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5.xml" ContentType="application/vnd.openxmlformats-officedocument.drawingml.chart+xml"/>
  <Override PartName="/word/charts/colors5.xml" ContentType="application/vnd.ms-office.chartcolorstyle+xml"/>
  <Override PartName="/word/charts/colors4.xml" ContentType="application/vnd.ms-office.chartcolorstyle+xml"/>
  <Override PartName="/word/charts/style5.xml" ContentType="application/vnd.ms-office.chartstyle+xml"/>
  <Override PartName="/word/charts/style4.xml" ContentType="application/vnd.ms-office.chartstyle+xml"/>
  <Override PartName="/word/theme/theme1.xml" ContentType="application/vnd.openxmlformats-officedocument.theme+xml"/>
  <Override PartName="/word/charts/chart4.xml" ContentType="application/vnd.openxmlformats-officedocument.drawingml.chart+xml"/>
  <Override PartName="/word/charts/colors3.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style3.xml" ContentType="application/vnd.ms-office.chartstyle+xml"/>
  <Override PartName="/word/charts/chart3.xml" ContentType="application/vnd.openxmlformats-officedocument.drawingml.chart+xml"/>
  <Override PartName="/word/charts/colors2.xml" ContentType="application/vnd.ms-office.chartcolorstyl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28115" w14:textId="49AE7693" w:rsidR="00867569" w:rsidRPr="00BD40CD" w:rsidRDefault="00E330F7" w:rsidP="00E42E00">
      <w:pPr>
        <w:pStyle w:val="Datum"/>
      </w:pPr>
      <w:r>
        <w:t>2</w:t>
      </w:r>
      <w:r w:rsidR="00A44567">
        <w:t>5</w:t>
      </w:r>
      <w:r w:rsidR="00F03815" w:rsidRPr="00BD40CD">
        <w:t>. </w:t>
      </w:r>
      <w:r w:rsidR="00A44567">
        <w:t>července</w:t>
      </w:r>
      <w:r w:rsidR="007F6239" w:rsidRPr="00BD40CD">
        <w:t xml:space="preserve"> 202</w:t>
      </w:r>
      <w:r w:rsidR="008D3805">
        <w:t>3</w:t>
      </w:r>
    </w:p>
    <w:p w14:paraId="6D0ECC95" w14:textId="7CCECAB5" w:rsidR="00867569" w:rsidRPr="00BD40CD" w:rsidRDefault="000B7652" w:rsidP="00A56C80">
      <w:pPr>
        <w:pStyle w:val="Nzev"/>
      </w:pPr>
      <w:r w:rsidRPr="00BD40CD">
        <w:t>Analýza sektorových účtů</w:t>
      </w:r>
      <w:r w:rsidR="00FF04D9" w:rsidRPr="00BD40CD">
        <w:t> </w:t>
      </w:r>
      <w:r w:rsidR="00FB7E0F" w:rsidRPr="00BD40CD">
        <w:t>–</w:t>
      </w:r>
      <w:r w:rsidR="00FF04D9" w:rsidRPr="00BD40CD">
        <w:t xml:space="preserve"> </w:t>
      </w:r>
      <w:r w:rsidR="00A44567">
        <w:t>1</w:t>
      </w:r>
      <w:r w:rsidRPr="00BD40CD">
        <w:t>.</w:t>
      </w:r>
      <w:r w:rsidR="00F03815" w:rsidRPr="00BD40CD">
        <w:t> čtvrtlet</w:t>
      </w:r>
      <w:r w:rsidRPr="00BD40CD">
        <w:t>í 202</w:t>
      </w:r>
      <w:r w:rsidR="00A44567">
        <w:t>3</w:t>
      </w:r>
    </w:p>
    <w:p w14:paraId="6BCB54AE" w14:textId="2FBE9AED" w:rsidR="00B92E7A" w:rsidRPr="00957441" w:rsidRDefault="00F01B59" w:rsidP="000302A6">
      <w:pPr>
        <w:pStyle w:val="Perex"/>
        <w:spacing w:after="120"/>
      </w:pPr>
      <w:r>
        <w:t xml:space="preserve">První čtvrtina roku 2023 přinesla další zpomalení domácí poptávky. To bylo patrné zejména na spotřebě domácností, která se vlivem jejich klesající kupní síly reálně propadla, ale také na nižší míře investic podniků i domácností. </w:t>
      </w:r>
      <w:r w:rsidR="00825477">
        <w:t>Reálnému růstu hrubé přidané hodnoty nefinančních podniků p</w:t>
      </w:r>
      <w:r>
        <w:t xml:space="preserve">omohla hlavně zahraniční poptávka. </w:t>
      </w:r>
      <w:r w:rsidR="009F0F8D" w:rsidRPr="00F01B59">
        <w:t>Hos</w:t>
      </w:r>
      <w:r w:rsidR="009F2D91" w:rsidRPr="00F01B59">
        <w:t>podaření s</w:t>
      </w:r>
      <w:r w:rsidR="00E46082" w:rsidRPr="00F01B59">
        <w:t>ektor</w:t>
      </w:r>
      <w:r w:rsidR="009F2D91" w:rsidRPr="00F01B59">
        <w:t>u</w:t>
      </w:r>
      <w:r w:rsidR="00E46082" w:rsidRPr="00F01B59">
        <w:t xml:space="preserve"> vládních institucí</w:t>
      </w:r>
      <w:r w:rsidR="00957441" w:rsidRPr="00F01B59">
        <w:t xml:space="preserve"> skončilo v deficitu, který se meziročně prohloubil.</w:t>
      </w:r>
    </w:p>
    <w:p w14:paraId="727C8E6B" w14:textId="77777777" w:rsidR="00066E38" w:rsidRPr="00946FC5" w:rsidRDefault="008F35E4" w:rsidP="000302A6">
      <w:pPr>
        <w:pStyle w:val="Nadpis1"/>
        <w:spacing w:after="120"/>
      </w:pPr>
      <w:r w:rsidRPr="00946FC5">
        <w:t>Nefinanční podniky</w:t>
      </w:r>
    </w:p>
    <w:p w14:paraId="5E2AB0C7" w14:textId="05F0BD3E" w:rsidR="00D00BE7" w:rsidRDefault="00653D59" w:rsidP="009F7FD8">
      <w:pPr>
        <w:spacing w:after="120"/>
      </w:pPr>
      <w:r>
        <w:t>V 1. čtvrtletí 2023 českou ekonomiku dál ovlivňovalo oslabování domácí poptávky</w:t>
      </w:r>
      <w:r w:rsidR="001355FF">
        <w:t xml:space="preserve"> (spotřební i investiční)</w:t>
      </w:r>
      <w:r>
        <w:t xml:space="preserve"> a současné zlepšování situace části exportérů. </w:t>
      </w:r>
      <w:r w:rsidR="00DD1F1F">
        <w:t xml:space="preserve">Výsledkem byl trvající útlum maloobchodu </w:t>
      </w:r>
      <w:r w:rsidR="007D3C4D">
        <w:t>i</w:t>
      </w:r>
      <w:r w:rsidR="00DD1F1F">
        <w:t xml:space="preserve"> služeb</w:t>
      </w:r>
      <w:r w:rsidR="006F2D0B">
        <w:t>, ačkoli s</w:t>
      </w:r>
      <w:r w:rsidR="00C060B9">
        <w:t xml:space="preserve">lužby </w:t>
      </w:r>
      <w:r w:rsidR="00DD1F1F">
        <w:t>jediné mohly čerpat alespoň z oživení zahraničního cestovního ruchu.</w:t>
      </w:r>
      <w:r w:rsidR="001355FF">
        <w:t xml:space="preserve"> Na druhé straně pozitivní výsledky vývozu motorových vozidel a přidružených oborů udržovaly růst ve zpracovatelském průmyslu. Nominální meziroční přírůstek hrubé přidané hodnoty (HPH) nefinančních podniků (NP)</w:t>
      </w:r>
      <w:r w:rsidR="007D3C4D">
        <w:t xml:space="preserve"> v 1. čtvrtletí 2023 </w:t>
      </w:r>
      <w:r w:rsidR="006F2D0B">
        <w:t xml:space="preserve">dosáhl </w:t>
      </w:r>
      <w:r w:rsidR="007D3C4D">
        <w:t>162,4 mld. korun</w:t>
      </w:r>
      <w:r w:rsidR="007D3C4D" w:rsidRPr="00946FC5">
        <w:rPr>
          <w:rStyle w:val="Znakapoznpodarou"/>
        </w:rPr>
        <w:footnoteReference w:id="1"/>
      </w:r>
      <w:r w:rsidR="007D3C4D">
        <w:t>. To po očištění o vliv silného růstu cenové hladiny</w:t>
      </w:r>
      <w:r w:rsidR="007D3C4D" w:rsidRPr="00946FC5">
        <w:rPr>
          <w:rStyle w:val="Znakapoznpodarou"/>
          <w:spacing w:val="-2"/>
        </w:rPr>
        <w:footnoteReference w:id="2"/>
      </w:r>
      <w:r w:rsidR="007D3C4D">
        <w:t xml:space="preserve"> představovalo reálné navýšení o 5,7 %. </w:t>
      </w:r>
      <w:r w:rsidR="009B4EA8">
        <w:t xml:space="preserve">Podle sezónně očištěných dat </w:t>
      </w:r>
      <w:r w:rsidR="007D3C4D">
        <w:t>narostl</w:t>
      </w:r>
      <w:r w:rsidR="00CA09D4">
        <w:t>a</w:t>
      </w:r>
      <w:r w:rsidR="007D3C4D">
        <w:t xml:space="preserve"> </w:t>
      </w:r>
      <w:r w:rsidR="009B4EA8">
        <w:t>HPH</w:t>
      </w:r>
      <w:r w:rsidR="00C94419">
        <w:t xml:space="preserve"> </w:t>
      </w:r>
      <w:r w:rsidR="00CA09D4">
        <w:t xml:space="preserve">sektoru </w:t>
      </w:r>
      <w:r w:rsidR="00C94419">
        <w:t>NP</w:t>
      </w:r>
      <w:r w:rsidR="009B4EA8">
        <w:t xml:space="preserve"> v </w:t>
      </w:r>
      <w:r w:rsidR="007D3C4D">
        <w:t>1</w:t>
      </w:r>
      <w:r w:rsidR="009B4EA8">
        <w:t>. kvartálu nominálně mezičtvrtletně o</w:t>
      </w:r>
      <w:r w:rsidR="00CA09D4">
        <w:t> </w:t>
      </w:r>
      <w:r w:rsidR="007D3C4D">
        <w:t>51,0</w:t>
      </w:r>
      <w:r w:rsidR="00CA09D4">
        <w:t> </w:t>
      </w:r>
      <w:r w:rsidR="009B4EA8">
        <w:t xml:space="preserve">mld. korun, což po očištění o cenové vlivy </w:t>
      </w:r>
      <w:r w:rsidR="007D3C4D">
        <w:t>znamenalo</w:t>
      </w:r>
      <w:r w:rsidR="009B4EA8">
        <w:t xml:space="preserve"> reálný nárůst o </w:t>
      </w:r>
      <w:r w:rsidR="007D3C4D">
        <w:t>0,5</w:t>
      </w:r>
      <w:r w:rsidR="009B4EA8">
        <w:t xml:space="preserve"> %.</w:t>
      </w:r>
    </w:p>
    <w:p w14:paraId="4F702B86" w14:textId="77777777" w:rsidR="00825477" w:rsidRPr="00AC6570" w:rsidRDefault="00825477" w:rsidP="00825477">
      <w:pPr>
        <w:pStyle w:val="TabulkaGraf"/>
        <w:jc w:val="both"/>
      </w:pPr>
      <w:r w:rsidRPr="00AC6570">
        <w:t>Graf 1: Meziroční nominální přírůstek HPH a náhrad zaměstnancům (v mld. korun), míra zisku (sezónně očištěno, v %)</w:t>
      </w:r>
    </w:p>
    <w:p w14:paraId="1D428774" w14:textId="77777777" w:rsidR="00825477" w:rsidRPr="00AC6570" w:rsidRDefault="00825477" w:rsidP="00825477">
      <w:pPr>
        <w:pStyle w:val="TabulkaGraf"/>
        <w:jc w:val="center"/>
        <w:rPr>
          <w:b w:val="0"/>
          <w:bCs w:val="0"/>
        </w:rPr>
      </w:pPr>
      <w:r>
        <w:rPr>
          <w:noProof/>
          <w:lang w:eastAsia="cs-CZ"/>
        </w:rPr>
        <w:drawing>
          <wp:inline distT="0" distB="0" distL="0" distR="0" wp14:anchorId="3C845A28" wp14:editId="3C8386C6">
            <wp:extent cx="4734425" cy="3024000"/>
            <wp:effectExtent l="0" t="0" r="0" b="5080"/>
            <wp:docPr id="1" name="Graf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AC6570">
        <w:rPr>
          <w:noProof/>
          <w:lang w:eastAsia="cs-CZ"/>
        </w:rPr>
        <w:t xml:space="preserve"> </w:t>
      </w:r>
    </w:p>
    <w:p w14:paraId="1C532377" w14:textId="77777777" w:rsidR="00825477" w:rsidRPr="00AC6570" w:rsidRDefault="00825477" w:rsidP="00825477">
      <w:r w:rsidRPr="00AC6570">
        <w:t>Zdroj: ČSÚ, národní účty</w:t>
      </w:r>
    </w:p>
    <w:p w14:paraId="7D457196" w14:textId="77777777" w:rsidR="00F01B59" w:rsidRDefault="00F01B59" w:rsidP="00F01B59">
      <w:pPr>
        <w:spacing w:after="120"/>
      </w:pPr>
      <w:r>
        <w:lastRenderedPageBreak/>
        <w:t>V 1. čtvrtletí posílil meziroční růst celkové zaměstnanosti v sektoru NP na 2,5 %. Zaměstnanost v sektoru NP překonala úroveň stejného období všech předchozích let. Zaměstnancům NP vyplatily ve formě náhrad o 52,3 mld. korun (10,6 %) více. Z toho se mzdy a platy navýšily o 41,9 mld. korun (11,1 %). Podle sezónně očištěných údajů se náhrady zaměstnancům vyplacené NP mezičtvrtletně zvýšily o 18,0 mld. korun (3,3 %). Nefinančním podnikům bylo vyplaceno 23,0 mld. korun ve formě dotací, což bylo meziročně o 4,8 mld. více. Na druhé straně byl patrný skokový nárůst zaplacených daní z výroby a dovozu</w:t>
      </w:r>
      <w:r>
        <w:rPr>
          <w:rStyle w:val="Znakapoznpodarou"/>
        </w:rPr>
        <w:footnoteReference w:id="3"/>
      </w:r>
      <w:r>
        <w:t xml:space="preserve"> (+8,8 mld. korun).</w:t>
      </w:r>
    </w:p>
    <w:p w14:paraId="6C23775C" w14:textId="77777777" w:rsidR="00F01B59" w:rsidRDefault="00F01B59" w:rsidP="00F01B59">
      <w:pPr>
        <w:spacing w:after="120"/>
      </w:pPr>
      <w:r>
        <w:t>Hrubý provozní přebytek NP dosáhl v 1. čtvrtletí 505,1 mld. korun a meziročně se zvýšil o 106,1 mld. Silný byl také mezičtvrtletní nárůst (27,2 mld. korun, sezónně očištěno). M</w:t>
      </w:r>
      <w:r w:rsidRPr="00EE3CBD">
        <w:t>íra zisku NP</w:t>
      </w:r>
      <w:r w:rsidRPr="00EE3CBD">
        <w:rPr>
          <w:rStyle w:val="Znakapoznpodarou"/>
        </w:rPr>
        <w:footnoteReference w:id="4"/>
      </w:r>
      <w:r w:rsidRPr="00EE3CBD">
        <w:t xml:space="preserve"> </w:t>
      </w:r>
      <w:r>
        <w:t xml:space="preserve">v 1. kvartálu mírně narostla o 0,2 p. b. </w:t>
      </w:r>
      <w:proofErr w:type="gramStart"/>
      <w:r>
        <w:t>na</w:t>
      </w:r>
      <w:proofErr w:type="gramEnd"/>
      <w:r>
        <w:t xml:space="preserve"> 48,6 %</w:t>
      </w:r>
      <w:r w:rsidRPr="00EE3CBD">
        <w:t xml:space="preserve"> (sezónně očištěno). Meziročně byla míra zisku vyšší o</w:t>
      </w:r>
      <w:r>
        <w:t> 3,1 p. b.</w:t>
      </w:r>
      <w:r w:rsidRPr="00EE3CBD">
        <w:t xml:space="preserve"> (sezónně neočištěno).</w:t>
      </w:r>
    </w:p>
    <w:p w14:paraId="041B8F79" w14:textId="00309D33" w:rsidR="00F01B59" w:rsidRDefault="00F01B59" w:rsidP="00F01B59">
      <w:pPr>
        <w:spacing w:after="120"/>
      </w:pPr>
      <w:r>
        <w:t xml:space="preserve">Saldo důchodů z vlastnictví NP dosáhlo v 1. čtvrtletí deficitu 88,0 mld. korun. Schodek se meziročně prohloubil o 7,6 mld. korun. Přijaté důchody z vlastnictví NP byly meziročně o 8,9 mld. vyšší zejména zásluhou přijatých úroků (+11,0 mld. korun). Naopak rozdělované důchody společností náležící NP byly meziročně nižší o 2,6 mld. korun a reinvestované zisky z přímých zahraničních investic rostly jen mírně (+0,6 mld.). Nefinanční podniky </w:t>
      </w:r>
      <w:r w:rsidR="006F2D0B">
        <w:t xml:space="preserve">ve formě důchodů z vlastnictví </w:t>
      </w:r>
      <w:r>
        <w:t>vyplatily meziročně o 16,5 mld. korun více. Poměrně mírně rostly jimi zaplacené úroky (+3,2 mld. korun) a nevýrazný byl pokles rozdělovaných důchodů společností (−1,5 mld.). Reinvestované zisky z přímých zahraničních investic ale meziročně vzrostly o 14,8 mld. korun.</w:t>
      </w:r>
    </w:p>
    <w:p w14:paraId="629A236D" w14:textId="0B361491" w:rsidR="000C43AA" w:rsidRDefault="006A4968" w:rsidP="00D30F12">
      <w:pPr>
        <w:spacing w:after="120"/>
      </w:pPr>
      <w:r>
        <w:t>Deficit salda druhotných důchodů se v 1. kvartálu výrazně prohloubil o 13,6 mld. korun a dosáhl 60,6 mld. korun.</w:t>
      </w:r>
      <w:r w:rsidR="00D30F12">
        <w:t xml:space="preserve"> Běžné d</w:t>
      </w:r>
      <w:r w:rsidR="006F2D0B">
        <w:t>a</w:t>
      </w:r>
      <w:r w:rsidR="00D30F12">
        <w:t>ně z důchodů a jmění zaplacené NP se meziročně zvýšily o 12,5 mld. korun. O 10,2 mld. korun více NP odvedly ve formě ostatních běžných transferů.</w:t>
      </w:r>
      <w:r w:rsidR="00E2791C">
        <w:t xml:space="preserve"> O</w:t>
      </w:r>
      <w:r w:rsidR="002C76B2" w:rsidRPr="00D30F12">
        <w:t>statní běžn</w:t>
      </w:r>
      <w:r w:rsidR="00E2791C">
        <w:t xml:space="preserve">é </w:t>
      </w:r>
      <w:r w:rsidR="002C76B2" w:rsidRPr="00D30F12">
        <w:t>transfer</w:t>
      </w:r>
      <w:r w:rsidR="00E2791C">
        <w:t>y, které podniky obdržely</w:t>
      </w:r>
      <w:r w:rsidR="006F2D0B">
        <w:t>,</w:t>
      </w:r>
      <w:r w:rsidR="00E2791C">
        <w:t xml:space="preserve"> se m</w:t>
      </w:r>
      <w:r w:rsidR="00F91E77" w:rsidRPr="00D30F12">
        <w:t xml:space="preserve">eziročně </w:t>
      </w:r>
      <w:r w:rsidR="00E2791C">
        <w:t xml:space="preserve">zvýšily o </w:t>
      </w:r>
      <w:r w:rsidR="00871086" w:rsidRPr="00D30F12">
        <w:t>25,9 </w:t>
      </w:r>
      <w:r w:rsidR="00F91E77" w:rsidRPr="00D30F12">
        <w:t>mld. korun.</w:t>
      </w:r>
      <w:r w:rsidR="00820139" w:rsidRPr="00D30F12">
        <w:t xml:space="preserve"> </w:t>
      </w:r>
      <w:r w:rsidR="00871086" w:rsidRPr="00D30F12">
        <w:t>H</w:t>
      </w:r>
      <w:r w:rsidR="00BA6BD0" w:rsidRPr="00D30F12">
        <w:t>rubé úspory</w:t>
      </w:r>
      <w:r w:rsidR="00E9181E" w:rsidRPr="00D30F12">
        <w:t> </w:t>
      </w:r>
      <w:r w:rsidR="00BA6BD0" w:rsidRPr="00D30F12">
        <w:t>NP</w:t>
      </w:r>
      <w:r w:rsidR="00871086" w:rsidRPr="00D30F12">
        <w:t xml:space="preserve"> v</w:t>
      </w:r>
      <w:r w:rsidR="005C37A2">
        <w:t> </w:t>
      </w:r>
      <w:r w:rsidR="00E2791C">
        <w:t>1</w:t>
      </w:r>
      <w:r w:rsidR="00871086" w:rsidRPr="00D30F12">
        <w:t>.</w:t>
      </w:r>
      <w:r w:rsidR="00E2791C">
        <w:t> </w:t>
      </w:r>
      <w:r w:rsidR="00871086" w:rsidRPr="00D30F12">
        <w:t xml:space="preserve">čtvrtletí dosáhly </w:t>
      </w:r>
      <w:r w:rsidR="00E2791C">
        <w:t xml:space="preserve">rekordní úrovně 356,5 </w:t>
      </w:r>
      <w:r w:rsidR="00871086" w:rsidRPr="00D30F12">
        <w:t xml:space="preserve">mld. korun a </w:t>
      </w:r>
      <w:r w:rsidR="00964190" w:rsidRPr="00D30F12">
        <w:t>meziročně</w:t>
      </w:r>
      <w:r w:rsidR="00871086" w:rsidRPr="00D30F12">
        <w:t xml:space="preserve"> byly vyšší o </w:t>
      </w:r>
      <w:r w:rsidR="00E2791C">
        <w:t>84,9</w:t>
      </w:r>
      <w:r w:rsidR="00871086" w:rsidRPr="00D30F12">
        <w:t xml:space="preserve"> </w:t>
      </w:r>
      <w:r w:rsidR="00964190" w:rsidRPr="00D30F12">
        <w:t xml:space="preserve">mld. </w:t>
      </w:r>
      <w:r w:rsidR="00E2791C">
        <w:t>Mimořádně vysokým zásobám odpovídá také ukazatel m</w:t>
      </w:r>
      <w:r w:rsidR="00E0186F" w:rsidRPr="00D30F12">
        <w:t>ír</w:t>
      </w:r>
      <w:r w:rsidR="00E2791C">
        <w:t>y</w:t>
      </w:r>
      <w:r w:rsidR="00E0186F" w:rsidRPr="00D30F12">
        <w:t xml:space="preserve"> úspor</w:t>
      </w:r>
      <w:r w:rsidR="00CF1E81" w:rsidRPr="00D30F12">
        <w:t> </w:t>
      </w:r>
      <w:r w:rsidR="00E0186F" w:rsidRPr="00D30F12">
        <w:t>NP</w:t>
      </w:r>
      <w:r w:rsidR="00E0186F" w:rsidRPr="00D30F12">
        <w:rPr>
          <w:rStyle w:val="Znakapoznpodarou"/>
        </w:rPr>
        <w:footnoteReference w:id="5"/>
      </w:r>
      <w:r w:rsidR="00E2791C">
        <w:t xml:space="preserve">, který </w:t>
      </w:r>
      <w:r w:rsidR="009A3ACE" w:rsidRPr="00D30F12">
        <w:t xml:space="preserve">dosáhl </w:t>
      </w:r>
      <w:r w:rsidR="00E2791C">
        <w:t>34,2</w:t>
      </w:r>
      <w:r w:rsidR="00BD40CD" w:rsidRPr="00D30F12">
        <w:t> %</w:t>
      </w:r>
      <w:r w:rsidR="00E2791C">
        <w:t xml:space="preserve"> (nejvíce od 1. kvartálu 2007)</w:t>
      </w:r>
      <w:r w:rsidR="00820139" w:rsidRPr="00D30F12">
        <w:t xml:space="preserve"> a meziročně tak </w:t>
      </w:r>
      <w:r w:rsidR="00F91E77" w:rsidRPr="00D30F12">
        <w:t>vzrostl</w:t>
      </w:r>
      <w:r w:rsidR="00820139" w:rsidRPr="00D30F12">
        <w:t xml:space="preserve"> o </w:t>
      </w:r>
      <w:r w:rsidR="00E2791C">
        <w:t>3,4</w:t>
      </w:r>
      <w:r w:rsidR="0032347E" w:rsidRPr="00D30F12">
        <w:t> p. b.</w:t>
      </w:r>
    </w:p>
    <w:p w14:paraId="1E90DCB9" w14:textId="4DC59C1F" w:rsidR="00820139" w:rsidRPr="00FE5AAD" w:rsidRDefault="0013159D" w:rsidP="005D42E5">
      <w:pPr>
        <w:spacing w:after="120"/>
      </w:pPr>
      <w:r>
        <w:t xml:space="preserve">Objem kapitálových transferů přijatých v 1. čtvrtletí NP se meziročně zvýšil o 2,0 mld. korun na 7,5 mld. Z toho se o 2,1 mld. zvýšily přijaté investiční dotace tvořící naprostou většinu kapitálových transferů pro NP (6,8 mld.), zatímco ostatní kapitálové transfery byly nižší o 0,2 mld. </w:t>
      </w:r>
      <w:r w:rsidR="000827CE" w:rsidRPr="0013159D">
        <w:t>Výdaje na tvorbu hrubého fixního kapitálu NP</w:t>
      </w:r>
      <w:r w:rsidR="00CB0423" w:rsidRPr="0013159D">
        <w:t xml:space="preserve"> </w:t>
      </w:r>
      <w:r>
        <w:t xml:space="preserve">byly v 1. </w:t>
      </w:r>
      <w:r w:rsidR="00CB0423" w:rsidRPr="0013159D">
        <w:t>čtvrtletí</w:t>
      </w:r>
      <w:r w:rsidR="000827CE" w:rsidRPr="0013159D">
        <w:t xml:space="preserve"> meziročně </w:t>
      </w:r>
      <w:r>
        <w:t>vyšší o 18,5 mld. korun (7,6 %) a vyšplhaly na 262,4 mld. Nominální nárůst byl ale silně ovlivněn růstem cenové hladiny</w:t>
      </w:r>
      <w:r w:rsidRPr="0013159D">
        <w:rPr>
          <w:rStyle w:val="Znakapoznpodarou"/>
        </w:rPr>
        <w:footnoteReference w:id="6"/>
      </w:r>
      <w:r>
        <w:t xml:space="preserve">. </w:t>
      </w:r>
      <w:r w:rsidR="00CB0423" w:rsidRPr="0013159D">
        <w:t>Mezičtvrtletn</w:t>
      </w:r>
      <w:r>
        <w:t>í nominální přírůstek investic NP byl velmi mírný (+0,6 mld. korun, 0,1 %</w:t>
      </w:r>
      <w:r w:rsidR="00CB0423" w:rsidRPr="0013159D">
        <w:t>, sezónně očištěno).</w:t>
      </w:r>
      <w:r w:rsidR="003149E1" w:rsidRPr="0013159D">
        <w:t xml:space="preserve"> </w:t>
      </w:r>
      <w:r w:rsidR="00820139" w:rsidRPr="0013159D">
        <w:t>Míra investic </w:t>
      </w:r>
      <w:r w:rsidR="002C6B5F" w:rsidRPr="0013159D">
        <w:t>nefinančních podniků</w:t>
      </w:r>
      <w:r w:rsidRPr="0013159D">
        <w:rPr>
          <w:rStyle w:val="Znakapoznpodarou"/>
        </w:rPr>
        <w:footnoteReference w:id="7"/>
      </w:r>
      <w:r w:rsidR="002C6B5F" w:rsidRPr="0013159D">
        <w:t xml:space="preserve"> </w:t>
      </w:r>
      <w:r w:rsidR="00DA0D2D">
        <w:t xml:space="preserve">dokládá spíše zdrženlivost podniků ohledně větší investiční aktivity. Podle sezónně očištěných údajů se míra investic v 1. </w:t>
      </w:r>
      <w:r w:rsidR="002C6B5F" w:rsidRPr="0013159D">
        <w:t>čtvrtletí</w:t>
      </w:r>
      <w:r w:rsidR="00DA0D2D">
        <w:t xml:space="preserve"> mezičtvrtletně snížila o 1,3 p. b. na 27,2 %</w:t>
      </w:r>
      <w:r w:rsidR="002C6B5F" w:rsidRPr="0013159D">
        <w:t xml:space="preserve">. </w:t>
      </w:r>
      <w:r w:rsidR="00820139" w:rsidRPr="0013159D">
        <w:t xml:space="preserve">Meziročně byla míra investic NP (neočištěná) </w:t>
      </w:r>
      <w:r w:rsidR="00DA0D2D">
        <w:t>nižší</w:t>
      </w:r>
      <w:r w:rsidR="00446302" w:rsidRPr="0013159D">
        <w:t xml:space="preserve"> o </w:t>
      </w:r>
      <w:r w:rsidR="00DA0D2D">
        <w:t>2,</w:t>
      </w:r>
      <w:r w:rsidR="0049268D">
        <w:t>5</w:t>
      </w:r>
      <w:r w:rsidR="00820139" w:rsidRPr="0013159D">
        <w:t> p. b.</w:t>
      </w:r>
      <w:r w:rsidR="003149E1" w:rsidRPr="0013159D">
        <w:t xml:space="preserve"> </w:t>
      </w:r>
      <w:r w:rsidR="00820139" w:rsidRPr="00FE5AAD">
        <w:t xml:space="preserve"> </w:t>
      </w:r>
    </w:p>
    <w:p w14:paraId="367064F9" w14:textId="77777777" w:rsidR="0050641C" w:rsidRPr="00AC6570" w:rsidRDefault="009F7FD8" w:rsidP="000302A6">
      <w:pPr>
        <w:pStyle w:val="TabulkaGraf"/>
        <w:spacing w:after="120"/>
      </w:pPr>
      <w:r w:rsidRPr="00AC6570">
        <w:lastRenderedPageBreak/>
        <w:t>G</w:t>
      </w:r>
      <w:r w:rsidR="002E6F00" w:rsidRPr="00AC6570">
        <w:t>raf </w:t>
      </w:r>
      <w:r w:rsidR="0050641C" w:rsidRPr="00AC6570">
        <w:t>2: Meziroční nominální přírůstek tvorby hrubého fixního kapitálu (v</w:t>
      </w:r>
      <w:r w:rsidR="00840938" w:rsidRPr="00AC6570">
        <w:t> mld.</w:t>
      </w:r>
      <w:r w:rsidR="0050641C" w:rsidRPr="00AC6570">
        <w:t xml:space="preserve"> korun) </w:t>
      </w:r>
      <w:r w:rsidR="00F03815" w:rsidRPr="00AC6570">
        <w:t>a </w:t>
      </w:r>
      <w:r w:rsidR="0050641C" w:rsidRPr="00AC6570">
        <w:t>míra investic (sezónně očištěno, v</w:t>
      </w:r>
      <w:r w:rsidR="00840938" w:rsidRPr="00AC6570">
        <w:t> %</w:t>
      </w:r>
      <w:r w:rsidR="0050641C" w:rsidRPr="00AC6570">
        <w:t>)</w:t>
      </w:r>
    </w:p>
    <w:p w14:paraId="10DE6E0A" w14:textId="7B8BD733" w:rsidR="007B7E54" w:rsidRPr="00AC6570" w:rsidRDefault="00A44567" w:rsidP="009F7FD8">
      <w:pPr>
        <w:jc w:val="center"/>
      </w:pPr>
      <w:r>
        <w:rPr>
          <w:noProof/>
          <w:lang w:eastAsia="cs-CZ"/>
        </w:rPr>
        <w:drawing>
          <wp:inline distT="0" distB="0" distL="0" distR="0" wp14:anchorId="1F60ABB0" wp14:editId="033897C9">
            <wp:extent cx="4737600" cy="3060000"/>
            <wp:effectExtent l="0" t="0" r="6350" b="7620"/>
            <wp:docPr id="19" name="Graf 1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16ACA" w:rsidRPr="00AC6570">
        <w:rPr>
          <w:noProof/>
          <w:lang w:eastAsia="cs-CZ"/>
        </w:rPr>
        <w:t xml:space="preserve"> </w:t>
      </w:r>
    </w:p>
    <w:p w14:paraId="40303758" w14:textId="1BDEBC1C" w:rsidR="00962C91" w:rsidRDefault="00941335" w:rsidP="00035558">
      <w:pPr>
        <w:spacing w:after="240"/>
        <w:rPr>
          <w:b/>
          <w:bCs/>
        </w:rPr>
      </w:pPr>
      <w:r w:rsidRPr="00AC6570">
        <w:t>Zdroj: ČSÚ, národní účty</w:t>
      </w:r>
    </w:p>
    <w:p w14:paraId="14C81046" w14:textId="77777777" w:rsidR="00F50CEF" w:rsidRPr="007012C8" w:rsidRDefault="00F50CEF" w:rsidP="00210B17">
      <w:pPr>
        <w:spacing w:after="120"/>
        <w:rPr>
          <w:b/>
          <w:bCs/>
        </w:rPr>
      </w:pPr>
      <w:r w:rsidRPr="007012C8">
        <w:rPr>
          <w:b/>
          <w:bCs/>
        </w:rPr>
        <w:t>Vládní instituce</w:t>
      </w:r>
    </w:p>
    <w:p w14:paraId="5A251715" w14:textId="338866BC" w:rsidR="001869C8" w:rsidRDefault="00C47D6A" w:rsidP="00A969A9">
      <w:pPr>
        <w:spacing w:after="120"/>
      </w:pPr>
      <w:r>
        <w:t xml:space="preserve">Celkový deficit hospodaření sektoru vládních institucí (VI) v 1. čtvrtletí 2023 dosáhl 100,9 mld. korun a meziročně byl hlubší o 31,9 mld. V rámci 1. kvartálu šlo o druhý nejvyšší schodek po pandemií ovlivněném 1. čtvrtletí 2021. Za výrazným </w:t>
      </w:r>
      <w:r w:rsidR="00EC701E">
        <w:t xml:space="preserve">meziročním </w:t>
      </w:r>
      <w:r>
        <w:t>zhoršením salda stál především prudký růst výdajů VI</w:t>
      </w:r>
      <w:r w:rsidR="00EC701E" w:rsidRPr="00EC701E">
        <w:t xml:space="preserve"> </w:t>
      </w:r>
      <w:r w:rsidR="00EC701E">
        <w:t>spojených s řešením energetické krize i dalšími závazky VI</w:t>
      </w:r>
      <w:r>
        <w:t>. Příjmová strana přitom rovněž vykazovala siln</w:t>
      </w:r>
      <w:r w:rsidR="00EC701E">
        <w:t>é meziroční navýšení.</w:t>
      </w:r>
      <w:r w:rsidR="00A312F2">
        <w:t xml:space="preserve"> </w:t>
      </w:r>
      <w:r w:rsidR="00D17D3F">
        <w:t xml:space="preserve">Podle sezónně očištěných údajů se deficit hospodaření VI mezičtvrtletně </w:t>
      </w:r>
      <w:r w:rsidR="00A312F2">
        <w:t>mírně zhoršil.</w:t>
      </w:r>
      <w:r w:rsidR="00D17D3F">
        <w:t xml:space="preserve"> </w:t>
      </w:r>
    </w:p>
    <w:p w14:paraId="09AC79B5" w14:textId="2120ECAB" w:rsidR="00F2773E" w:rsidRDefault="00C473BF" w:rsidP="00A969A9">
      <w:pPr>
        <w:spacing w:after="120"/>
      </w:pPr>
      <w:r>
        <w:t>Pří</w:t>
      </w:r>
      <w:r w:rsidR="001869C8" w:rsidRPr="00851858">
        <w:t xml:space="preserve">jmy sektoru </w:t>
      </w:r>
      <w:r>
        <w:t>VI se v 1. čtvrtletí meziročně zvýšily o 78,0 mld. korun (12,6 %) a dosáhly 696,6</w:t>
      </w:r>
      <w:r w:rsidR="00C95E57">
        <w:t> </w:t>
      </w:r>
      <w:r>
        <w:t xml:space="preserve">mld. </w:t>
      </w:r>
      <w:r w:rsidR="008F492F" w:rsidRPr="00851858">
        <w:t xml:space="preserve">Nejvíce k jejich růstu přispěly </w:t>
      </w:r>
      <w:r w:rsidR="00C95E57">
        <w:t>běžné daně z důchodů a jmění (+29,0 mld. korun) a</w:t>
      </w:r>
      <w:r w:rsidR="00F01B59">
        <w:t> </w:t>
      </w:r>
      <w:r w:rsidR="008F492F" w:rsidRPr="00851858">
        <w:t>přijaté čisté sociální příspěvky (+</w:t>
      </w:r>
      <w:r w:rsidR="00C95E57">
        <w:t>22,4</w:t>
      </w:r>
      <w:r w:rsidR="008F492F" w:rsidRPr="00851858">
        <w:t> mld.)</w:t>
      </w:r>
      <w:r w:rsidR="00C95E57">
        <w:t>.</w:t>
      </w:r>
      <w:r w:rsidR="00F2773E">
        <w:t xml:space="preserve"> Na 14,2 mld. korun zrychlil meziroční přírůstek daní z výroby a dovozu, na kterých se projevil příjem z daně z nadměrných zisků. Nominální růst daní navázaných na spotřebu ale zaostával za inflací</w:t>
      </w:r>
      <w:r w:rsidR="006F2D0B">
        <w:t>, na čemž se kromě slabší spotřebitelské poptávky projevovalo i dočasné snížení spotřební daně na naftu</w:t>
      </w:r>
      <w:r w:rsidR="00F2773E">
        <w:t xml:space="preserve">. Rostly také </w:t>
      </w:r>
      <w:r w:rsidR="008F492F" w:rsidRPr="00851858">
        <w:t>důchody z vlastnictví (+</w:t>
      </w:r>
      <w:r w:rsidR="00F2773E">
        <w:t>6,7</w:t>
      </w:r>
      <w:r w:rsidR="008F492F" w:rsidRPr="00851858">
        <w:t xml:space="preserve"> mld.</w:t>
      </w:r>
      <w:r w:rsidR="00F2773E">
        <w:t xml:space="preserve"> korun</w:t>
      </w:r>
      <w:r w:rsidR="008F492F" w:rsidRPr="00851858">
        <w:t>).</w:t>
      </w:r>
      <w:r w:rsidR="00F2773E">
        <w:t xml:space="preserve"> H</w:t>
      </w:r>
      <w:r w:rsidR="00F2773E" w:rsidRPr="00851858">
        <w:t xml:space="preserve">odnota tržní produkce pro vlastní užití a platby za ostatní netržní produkci </w:t>
      </w:r>
      <w:r w:rsidR="006F2D0B">
        <w:t>byly</w:t>
      </w:r>
      <w:r w:rsidR="00F2773E">
        <w:t xml:space="preserve"> meziročně o 5,0</w:t>
      </w:r>
      <w:r w:rsidR="00F2773E" w:rsidRPr="00851858">
        <w:t xml:space="preserve"> mld.</w:t>
      </w:r>
      <w:r w:rsidR="00F2773E">
        <w:t xml:space="preserve"> korun vyšší. Jen mírně se zvýšily přijaté ostatní běžné transfery (+1,0</w:t>
      </w:r>
      <w:r w:rsidR="006F2D0B">
        <w:t> </w:t>
      </w:r>
      <w:r w:rsidR="00F2773E">
        <w:t xml:space="preserve">mld. korun) a prakticky stagnovaly </w:t>
      </w:r>
      <w:r w:rsidR="007820D8" w:rsidRPr="00851858">
        <w:t>přijaté kapitálové transfery (</w:t>
      </w:r>
      <w:r w:rsidR="00F01B59">
        <w:t>−</w:t>
      </w:r>
      <w:r w:rsidR="00F2773E">
        <w:t>0,3</w:t>
      </w:r>
      <w:r w:rsidR="007820D8" w:rsidRPr="00851858">
        <w:t xml:space="preserve"> mld.).</w:t>
      </w:r>
    </w:p>
    <w:p w14:paraId="2284CA1B" w14:textId="7E1D37A6" w:rsidR="00501004" w:rsidRDefault="00DC4D30" w:rsidP="00A969A9">
      <w:pPr>
        <w:spacing w:after="120"/>
      </w:pPr>
      <w:r>
        <w:t xml:space="preserve">V 1. čtvrtletí došlo k prudkému posílení přírůstku výdajů VI. </w:t>
      </w:r>
      <w:r w:rsidR="00CA09D4">
        <w:t>Ty</w:t>
      </w:r>
      <w:r>
        <w:t xml:space="preserve"> dosáhly celkem 797,5 mld. korun a meziročně se zvýšily o 109,9 mld. (16,0 %). Na zaznamenaném nárůstu se nejvíce podílely sociální dávky a naturální sociální transfery (+38,0 mld. korun), ve kterých se projevovaly zejména valorizace starobních důchodů. Výrazně narůstaly i placené dotace (+30,2 mld. korun)</w:t>
      </w:r>
      <w:r w:rsidR="00CA09D4">
        <w:t xml:space="preserve">, </w:t>
      </w:r>
      <w:r w:rsidR="00CA09D4">
        <w:t>které zahrnoval</w:t>
      </w:r>
      <w:r w:rsidR="00CA09D4">
        <w:t>y</w:t>
      </w:r>
      <w:r w:rsidR="00CA09D4">
        <w:t xml:space="preserve"> především </w:t>
      </w:r>
      <w:r w:rsidR="00CA09D4" w:rsidRPr="00DA7424">
        <w:t>kompenzace za dodávku elektřiny a plynu</w:t>
      </w:r>
      <w:r>
        <w:t xml:space="preserve">. Posílil také meziroční růst </w:t>
      </w:r>
      <w:proofErr w:type="spellStart"/>
      <w:r>
        <w:lastRenderedPageBreak/>
        <w:t>mezispotřeby</w:t>
      </w:r>
      <w:proofErr w:type="spellEnd"/>
      <w:r>
        <w:t xml:space="preserve"> (+14,5 mld. korun) a náhrad zaměstnancům (+13,9 mld.).</w:t>
      </w:r>
      <w:r w:rsidR="00315B58">
        <w:t xml:space="preserve"> Vysoká úroveň úrokových sazeb dál ovlivňovala přírůstek </w:t>
      </w:r>
      <w:r w:rsidR="00315B58" w:rsidRPr="00DC4D30">
        <w:t>placených důchodů z vlastnictví (+</w:t>
      </w:r>
      <w:r w:rsidR="00315B58">
        <w:t>8,9</w:t>
      </w:r>
      <w:r w:rsidR="00F01B59">
        <w:t> </w:t>
      </w:r>
      <w:r w:rsidR="00315B58" w:rsidRPr="00DC4D30">
        <w:t>mld.</w:t>
      </w:r>
      <w:r w:rsidR="00315B58">
        <w:t xml:space="preserve"> korun</w:t>
      </w:r>
      <w:r w:rsidR="00315B58" w:rsidRPr="00DC4D30">
        <w:t>)</w:t>
      </w:r>
      <w:r w:rsidR="00315B58">
        <w:t xml:space="preserve">. </w:t>
      </w:r>
      <w:r w:rsidR="00315B58" w:rsidRPr="00DC4D30">
        <w:t xml:space="preserve">Meziročně </w:t>
      </w:r>
      <w:r w:rsidR="00315B58">
        <w:t xml:space="preserve">vyšší byly v 1. kvartálu také </w:t>
      </w:r>
      <w:r w:rsidR="00315B58" w:rsidRPr="00DC4D30">
        <w:t>placené ostatní běžné transfery (</w:t>
      </w:r>
      <w:r w:rsidR="00315B58">
        <w:t>+7,7</w:t>
      </w:r>
      <w:r w:rsidR="00F01B59">
        <w:t> </w:t>
      </w:r>
      <w:r w:rsidR="00315B58">
        <w:t>mld. korun</w:t>
      </w:r>
      <w:r w:rsidR="00315B58" w:rsidRPr="00DC4D30">
        <w:t>).</w:t>
      </w:r>
      <w:r w:rsidR="00315B58">
        <w:t xml:space="preserve"> P</w:t>
      </w:r>
      <w:r w:rsidR="002968EB" w:rsidRPr="00DC4D30">
        <w:t>řírůst</w:t>
      </w:r>
      <w:r w:rsidR="00025278" w:rsidRPr="00DC4D30">
        <w:t>e</w:t>
      </w:r>
      <w:r w:rsidR="002968EB" w:rsidRPr="00DC4D30">
        <w:t>k výdajů na tvorbu hrubého kapitálu</w:t>
      </w:r>
      <w:r w:rsidR="00025278" w:rsidRPr="00DC4D30">
        <w:t xml:space="preserve"> a</w:t>
      </w:r>
      <w:r w:rsidR="002968EB" w:rsidRPr="00DC4D30">
        <w:t xml:space="preserve"> čisté</w:t>
      </w:r>
      <w:r w:rsidR="00025278" w:rsidRPr="00DC4D30">
        <w:t>ho</w:t>
      </w:r>
      <w:r w:rsidR="002968EB" w:rsidRPr="00DC4D30">
        <w:t xml:space="preserve"> pořízení nevyráběných aktiv</w:t>
      </w:r>
      <w:r w:rsidR="00315B58">
        <w:t xml:space="preserve"> zpomalil na </w:t>
      </w:r>
      <w:r w:rsidR="00842A98" w:rsidRPr="00DC4D30">
        <w:t>+</w:t>
      </w:r>
      <w:r w:rsidR="00315B58">
        <w:t>4,2</w:t>
      </w:r>
      <w:r w:rsidR="002968EB" w:rsidRPr="00DC4D30">
        <w:t xml:space="preserve"> mld. korun</w:t>
      </w:r>
      <w:r w:rsidR="00315B58">
        <w:t>. Výrazně meziročně nižší byly placené kapitálové transfery (</w:t>
      </w:r>
      <w:r w:rsidR="00F01B59">
        <w:t>−</w:t>
      </w:r>
      <w:r w:rsidR="00315B58">
        <w:t>7,4</w:t>
      </w:r>
      <w:r w:rsidR="00F01B59">
        <w:t> </w:t>
      </w:r>
      <w:r w:rsidR="00315B58">
        <w:t>mld. korun).</w:t>
      </w:r>
    </w:p>
    <w:p w14:paraId="250FFAAB" w14:textId="48F8E834" w:rsidR="00043656" w:rsidRPr="00DC4D30" w:rsidRDefault="00501004" w:rsidP="00A969A9">
      <w:pPr>
        <w:spacing w:after="120"/>
      </w:pPr>
      <w:r>
        <w:t xml:space="preserve">Deficit hospodaření ústředních vládních institucí se v 1. čtvrtletí meziročně prohloubil o 59,4 mld. korun na 136,6 mld. Na </w:t>
      </w:r>
      <w:proofErr w:type="spellStart"/>
      <w:r>
        <w:t>subsektoru</w:t>
      </w:r>
      <w:proofErr w:type="spellEnd"/>
      <w:r>
        <w:t xml:space="preserve"> ležela hlavní část navýšených výdajů vládních institucí (+115,7 mld. korun, 23,2 %). Příjmy ústředních vládních institucí přes relativně silný nárůst</w:t>
      </w:r>
      <w:r w:rsidR="00291F91">
        <w:t xml:space="preserve"> (+56,2</w:t>
      </w:r>
      <w:r w:rsidR="00F01B59">
        <w:t> </w:t>
      </w:r>
      <w:r w:rsidR="00291F91">
        <w:t>mld. korun, 13,3 %)</w:t>
      </w:r>
      <w:r>
        <w:t xml:space="preserve"> nestačily výdajovou stránku kompenzovat.</w:t>
      </w:r>
      <w:r w:rsidR="00F71633">
        <w:t xml:space="preserve"> K meziročnímu navýšení výdajů ústředních VI nejvíce přispívaly placené ostatní běžné transfery (+40,1 mld. korun), dále sociální dávky a naturální sociální transfery (+34,1 mld.) a dotace (+27,8 mld.). Příjmy ústředních VI rostly zejména prostřednictvím přijatých běžných daní z důchodů a jmění (+21,1 mld. korun), přijatých čistých sociálních příspěvků (+16,3 mld.) a pak přijatých daní z výroby a dovozu (+10,2</w:t>
      </w:r>
      <w:r w:rsidR="00F01B59">
        <w:t> </w:t>
      </w:r>
      <w:r w:rsidR="00F71633">
        <w:t>mld.).</w:t>
      </w:r>
      <w:r w:rsidR="002968EB" w:rsidRPr="00DC4D30">
        <w:t xml:space="preserve"> </w:t>
      </w:r>
    </w:p>
    <w:p w14:paraId="3A35882B" w14:textId="77777777" w:rsidR="00BD57B8" w:rsidRPr="007012C8" w:rsidRDefault="00BD57B8" w:rsidP="00BD57B8">
      <w:pPr>
        <w:pStyle w:val="TabulkaGraf"/>
      </w:pPr>
      <w:r w:rsidRPr="007012C8">
        <w:t>Graf 3: Saldo hospodaření vládních institucí (v mld. korun)</w:t>
      </w:r>
    </w:p>
    <w:p w14:paraId="32B5AC7E" w14:textId="1BF6DBCF" w:rsidR="00BD57B8" w:rsidRPr="007012C8" w:rsidRDefault="00207F7B" w:rsidP="00BD57B8">
      <w:pPr>
        <w:jc w:val="center"/>
        <w:rPr>
          <w:noProof/>
          <w:lang w:eastAsia="cs-CZ"/>
        </w:rPr>
      </w:pPr>
      <w:r>
        <w:rPr>
          <w:noProof/>
          <w:lang w:eastAsia="cs-CZ"/>
        </w:rPr>
        <w:drawing>
          <wp:inline distT="0" distB="0" distL="0" distR="0" wp14:anchorId="49A1CB22" wp14:editId="5EFAA4D3">
            <wp:extent cx="4734425" cy="2904425"/>
            <wp:effectExtent l="0" t="0" r="0" b="0"/>
            <wp:docPr id="339999440" name="Graf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D57B8" w:rsidRPr="007012C8">
        <w:rPr>
          <w:noProof/>
          <w:lang w:eastAsia="cs-CZ"/>
        </w:rPr>
        <w:t xml:space="preserve"> </w:t>
      </w:r>
    </w:p>
    <w:p w14:paraId="7EA73390" w14:textId="77777777" w:rsidR="00BD57B8" w:rsidRPr="007012C8" w:rsidRDefault="00BD57B8" w:rsidP="005D42E5">
      <w:pPr>
        <w:spacing w:after="120"/>
        <w:jc w:val="left"/>
      </w:pPr>
      <w:r w:rsidRPr="007012C8">
        <w:t>Zdroj: ČSÚ, národní účty</w:t>
      </w:r>
    </w:p>
    <w:p w14:paraId="70F703A0" w14:textId="3A670662" w:rsidR="00A84C1D" w:rsidRDefault="003D3D9F" w:rsidP="005D42E5">
      <w:pPr>
        <w:spacing w:after="120"/>
      </w:pPr>
      <w:r w:rsidRPr="00F71633">
        <w:t>M</w:t>
      </w:r>
      <w:r w:rsidR="00DC2BF6" w:rsidRPr="00F71633">
        <w:t xml:space="preserve">ístní vládní instituce </w:t>
      </w:r>
      <w:r w:rsidRPr="00F71633">
        <w:t xml:space="preserve">v </w:t>
      </w:r>
      <w:r w:rsidR="00A84C1D">
        <w:t>1</w:t>
      </w:r>
      <w:r w:rsidRPr="00F71633">
        <w:t xml:space="preserve">. čtvrtletí </w:t>
      </w:r>
      <w:r w:rsidR="00DC2BF6" w:rsidRPr="00F71633">
        <w:t>hospodařily s</w:t>
      </w:r>
      <w:r w:rsidR="00A84C1D">
        <w:t> výrazným přebytkem 35,0</w:t>
      </w:r>
      <w:r w:rsidRPr="00F71633">
        <w:t xml:space="preserve"> mld. korun. </w:t>
      </w:r>
      <w:r w:rsidR="00A84C1D">
        <w:t xml:space="preserve">Kladné saldo bylo meziročně vyšší o 29,9 mld. korun a v rámci 1. kvartálu </w:t>
      </w:r>
      <w:r w:rsidR="005C69CF">
        <w:t>šlo</w:t>
      </w:r>
      <w:r w:rsidR="00A84C1D">
        <w:t xml:space="preserve"> také o nejvýraznější zaznamenaný přebytek. Meziroční růst příjmů </w:t>
      </w:r>
      <w:proofErr w:type="spellStart"/>
      <w:r w:rsidR="00A84C1D">
        <w:t>subsektoru</w:t>
      </w:r>
      <w:proofErr w:type="spellEnd"/>
      <w:r w:rsidR="00A84C1D">
        <w:t xml:space="preserve"> (+54,3 mld. korun, 27,3 %) značně překonal navýšení výdajů (+24,4 mld., 12,6 %). </w:t>
      </w:r>
      <w:r w:rsidR="00A84C1D" w:rsidRPr="00F71633">
        <w:t xml:space="preserve">Na straně příjmů v </w:t>
      </w:r>
      <w:r w:rsidR="00A84C1D">
        <w:t>1</w:t>
      </w:r>
      <w:r w:rsidR="00A84C1D" w:rsidRPr="00F71633">
        <w:t xml:space="preserve">. čtvrtletí </w:t>
      </w:r>
      <w:r w:rsidR="00A84C1D">
        <w:t xml:space="preserve">nejvýrazněji meziročně rostly </w:t>
      </w:r>
      <w:r w:rsidR="00A84C1D" w:rsidRPr="00F71633">
        <w:t>přijaté ostatní běžné transfery (+</w:t>
      </w:r>
      <w:r w:rsidR="00A84C1D">
        <w:t>36,2</w:t>
      </w:r>
      <w:r w:rsidR="00A84C1D" w:rsidRPr="00F71633">
        <w:t xml:space="preserve"> mld. korun), běžné daně z důchodů a jmění (+</w:t>
      </w:r>
      <w:r w:rsidR="00A84C1D">
        <w:t>8,0</w:t>
      </w:r>
      <w:r w:rsidR="00A84C1D" w:rsidRPr="00F71633">
        <w:t xml:space="preserve"> mld.)</w:t>
      </w:r>
      <w:r w:rsidR="00A84C1D">
        <w:t xml:space="preserve"> a </w:t>
      </w:r>
      <w:r w:rsidR="00A84C1D" w:rsidRPr="00F71633">
        <w:t>daně z výroby a dovozu (+</w:t>
      </w:r>
      <w:r w:rsidR="00A84C1D">
        <w:t>4,0</w:t>
      </w:r>
      <w:r w:rsidR="00A84C1D" w:rsidRPr="00F71633">
        <w:t> mld.)</w:t>
      </w:r>
      <w:r w:rsidR="00A84C1D">
        <w:t xml:space="preserve">. Na straně výdajů místních VI nejvíce meziročně rostly náhrady zaměstnancům (+8,1 mld. korun), </w:t>
      </w:r>
      <w:proofErr w:type="spellStart"/>
      <w:r w:rsidR="00A84C1D">
        <w:t>mezispotřeba</w:t>
      </w:r>
      <w:proofErr w:type="spellEnd"/>
      <w:r w:rsidR="00A84C1D">
        <w:t xml:space="preserve"> (+7,7 mld.) a dále </w:t>
      </w:r>
      <w:r w:rsidR="00A230B3" w:rsidRPr="00F71633">
        <w:t>tvorb</w:t>
      </w:r>
      <w:r w:rsidR="00A84C1D">
        <w:t>a</w:t>
      </w:r>
      <w:r w:rsidR="00A230B3" w:rsidRPr="00F71633">
        <w:t xml:space="preserve"> hrubého kapitálu </w:t>
      </w:r>
      <w:r w:rsidR="00364D0D" w:rsidRPr="00F71633">
        <w:t xml:space="preserve">a čisté pořízení nevyráběných aktiv </w:t>
      </w:r>
      <w:r w:rsidR="00A230B3" w:rsidRPr="00F71633">
        <w:t>(+</w:t>
      </w:r>
      <w:r w:rsidR="00A84C1D">
        <w:t>5,4</w:t>
      </w:r>
      <w:r w:rsidR="00A230B3" w:rsidRPr="00F71633">
        <w:t xml:space="preserve"> mld. korun)</w:t>
      </w:r>
      <w:r w:rsidR="00A84C1D">
        <w:t>.</w:t>
      </w:r>
    </w:p>
    <w:p w14:paraId="73320ECA" w14:textId="1A765DE9" w:rsidR="00F1049C" w:rsidRPr="00960186" w:rsidRDefault="005041DE" w:rsidP="005D42E5">
      <w:pPr>
        <w:spacing w:after="120"/>
      </w:pPr>
      <w:r w:rsidRPr="00A84C1D">
        <w:lastRenderedPageBreak/>
        <w:t>F</w:t>
      </w:r>
      <w:r w:rsidR="00BE3302" w:rsidRPr="00A84C1D">
        <w:t xml:space="preserve">ondy </w:t>
      </w:r>
      <w:r w:rsidR="00354A44" w:rsidRPr="00A84C1D">
        <w:t>sociálního zabezpečení (zdravotní pojišťovny)</w:t>
      </w:r>
      <w:r w:rsidRPr="00A84C1D">
        <w:t xml:space="preserve"> v </w:t>
      </w:r>
      <w:r w:rsidR="00A84C1D">
        <w:t>1</w:t>
      </w:r>
      <w:r w:rsidRPr="00A84C1D">
        <w:t>. čtvrtletí</w:t>
      </w:r>
      <w:r w:rsidR="00CA7469" w:rsidRPr="00A84C1D">
        <w:t xml:space="preserve"> hospodařily s</w:t>
      </w:r>
      <w:r w:rsidR="00A84C1D">
        <w:t> drobným přebytkem</w:t>
      </w:r>
      <w:r w:rsidR="00CA7469" w:rsidRPr="00A84C1D">
        <w:t xml:space="preserve"> </w:t>
      </w:r>
      <w:r w:rsidR="00A84C1D">
        <w:t xml:space="preserve">0,8 mld. korun. Kladné saldo bylo meziročně mírnější o 2,4 mld. korun. </w:t>
      </w:r>
      <w:r w:rsidR="00771497">
        <w:t xml:space="preserve">Výdaje zdravotních pojišťoven (+9,0 mld. korun, 8,8 %) meziročně rostly rychleji než jejich příjmy (+6,6 mld., 6,2 %). </w:t>
      </w:r>
      <w:r w:rsidR="00CA7469" w:rsidRPr="00A84C1D">
        <w:t>Na straně výdajů se h</w:t>
      </w:r>
      <w:r w:rsidR="00F1049C" w:rsidRPr="00A84C1D">
        <w:t>odnot</w:t>
      </w:r>
      <w:r w:rsidRPr="00A84C1D">
        <w:t>a</w:t>
      </w:r>
      <w:r w:rsidR="00F1049C" w:rsidRPr="00A84C1D">
        <w:t xml:space="preserve"> </w:t>
      </w:r>
      <w:r w:rsidR="00CA7469" w:rsidRPr="00A84C1D">
        <w:t>ostatních běžných transferů zvýšila o 5,</w:t>
      </w:r>
      <w:r w:rsidR="00771497">
        <w:t>1</w:t>
      </w:r>
      <w:r w:rsidR="00CA7469" w:rsidRPr="00A84C1D">
        <w:t xml:space="preserve"> mld. korun a</w:t>
      </w:r>
      <w:r w:rsidR="00AC5BE0" w:rsidRPr="00A84C1D">
        <w:t> </w:t>
      </w:r>
      <w:r w:rsidR="00771497">
        <w:t xml:space="preserve">přírůstek </w:t>
      </w:r>
      <w:r w:rsidR="00F1049C" w:rsidRPr="00A84C1D">
        <w:t xml:space="preserve">naturálních sociálních transferů </w:t>
      </w:r>
      <w:r w:rsidR="00771497">
        <w:t>posílil na</w:t>
      </w:r>
      <w:r w:rsidR="00D113B5" w:rsidRPr="00A84C1D">
        <w:t xml:space="preserve"> </w:t>
      </w:r>
      <w:r w:rsidR="00771497">
        <w:t>4,5</w:t>
      </w:r>
      <w:r w:rsidR="00CA7469" w:rsidRPr="00A84C1D">
        <w:t xml:space="preserve"> </w:t>
      </w:r>
      <w:r w:rsidR="00D113B5" w:rsidRPr="00A84C1D">
        <w:t>mld.</w:t>
      </w:r>
      <w:r w:rsidR="00F1049C" w:rsidRPr="00A84C1D">
        <w:t xml:space="preserve"> </w:t>
      </w:r>
      <w:r w:rsidR="00D113B5" w:rsidRPr="00A84C1D">
        <w:t xml:space="preserve">Hlavní zdroj jejich příjmů, </w:t>
      </w:r>
      <w:r w:rsidR="003B2089" w:rsidRPr="00A84C1D">
        <w:t xml:space="preserve">kterým jsou </w:t>
      </w:r>
      <w:r w:rsidR="00D113B5" w:rsidRPr="00A84C1D">
        <w:t>p</w:t>
      </w:r>
      <w:r w:rsidR="008B4550" w:rsidRPr="00A84C1D">
        <w:t>řijat</w:t>
      </w:r>
      <w:r w:rsidR="00D113B5" w:rsidRPr="00A84C1D">
        <w:t>é</w:t>
      </w:r>
      <w:r w:rsidR="008B4550" w:rsidRPr="00A84C1D">
        <w:t xml:space="preserve"> čist</w:t>
      </w:r>
      <w:r w:rsidR="00D113B5" w:rsidRPr="00A84C1D">
        <w:t>é</w:t>
      </w:r>
      <w:r w:rsidR="008B4550" w:rsidRPr="00A84C1D">
        <w:t xml:space="preserve"> sociální příspěvk</w:t>
      </w:r>
      <w:r w:rsidR="00D113B5" w:rsidRPr="00A84C1D">
        <w:t>y</w:t>
      </w:r>
      <w:r w:rsidR="003B2089" w:rsidRPr="00A84C1D">
        <w:t>,</w:t>
      </w:r>
      <w:r w:rsidR="00D113B5" w:rsidRPr="00A84C1D">
        <w:t xml:space="preserve"> vzrostl o</w:t>
      </w:r>
      <w:r w:rsidR="008B4550" w:rsidRPr="00A84C1D">
        <w:t xml:space="preserve"> </w:t>
      </w:r>
      <w:r w:rsidR="00771497">
        <w:t>6,6</w:t>
      </w:r>
      <w:r w:rsidR="008B4550" w:rsidRPr="00A84C1D">
        <w:t xml:space="preserve"> mld.</w:t>
      </w:r>
      <w:r w:rsidR="00D113B5" w:rsidRPr="00A84C1D">
        <w:t xml:space="preserve"> korun.</w:t>
      </w:r>
      <w:r w:rsidR="008B4550" w:rsidRPr="00960186">
        <w:t xml:space="preserve">  </w:t>
      </w:r>
    </w:p>
    <w:p w14:paraId="626E52D1" w14:textId="5E8E132E" w:rsidR="00962C91" w:rsidRPr="00F455DC" w:rsidRDefault="00962C91" w:rsidP="005D42E5">
      <w:pPr>
        <w:spacing w:after="120"/>
      </w:pPr>
      <w:r w:rsidRPr="00F455DC">
        <w:t xml:space="preserve">Dluh sektoru vládních institucí v </w:t>
      </w:r>
      <w:r w:rsidR="00C36722">
        <w:t>1</w:t>
      </w:r>
      <w:r w:rsidRPr="00F455DC">
        <w:t>. čtvrtletí 202</w:t>
      </w:r>
      <w:r w:rsidR="00C36722">
        <w:t>3</w:t>
      </w:r>
      <w:r w:rsidRPr="00F455DC">
        <w:t xml:space="preserve"> dosáhl </w:t>
      </w:r>
      <w:r w:rsidR="00CF2653">
        <w:t>3</w:t>
      </w:r>
      <w:r w:rsidR="001C3D20">
        <w:t xml:space="preserve"> </w:t>
      </w:r>
      <w:r w:rsidR="00CF2653">
        <w:t>099,4</w:t>
      </w:r>
      <w:r w:rsidRPr="00F455DC">
        <w:t xml:space="preserve"> mld. korun</w:t>
      </w:r>
      <w:r w:rsidRPr="00F455DC">
        <w:rPr>
          <w:rStyle w:val="Znakapoznpodarou"/>
        </w:rPr>
        <w:footnoteReference w:id="8"/>
      </w:r>
      <w:r w:rsidRPr="00F455DC">
        <w:t xml:space="preserve"> a meziročně vzrostl o</w:t>
      </w:r>
      <w:r w:rsidR="003F4BDE">
        <w:t> </w:t>
      </w:r>
      <w:r w:rsidR="00CF2653">
        <w:t>415,3</w:t>
      </w:r>
      <w:r w:rsidRPr="00F455DC">
        <w:t xml:space="preserve"> mld. Míra zadlužení vládních institucí </w:t>
      </w:r>
      <w:r w:rsidR="00CF2653">
        <w:t xml:space="preserve">byla </w:t>
      </w:r>
      <w:r w:rsidRPr="00F455DC">
        <w:t>meziročně</w:t>
      </w:r>
      <w:r w:rsidR="00CF2653">
        <w:t xml:space="preserve"> vyšší</w:t>
      </w:r>
      <w:r w:rsidRPr="00F455DC">
        <w:t xml:space="preserve"> o </w:t>
      </w:r>
      <w:r w:rsidR="00CF2653">
        <w:t>1,7</w:t>
      </w:r>
      <w:r w:rsidRPr="00F455DC">
        <w:t xml:space="preserve"> p. b. na 4</w:t>
      </w:r>
      <w:r>
        <w:t>4,</w:t>
      </w:r>
      <w:r w:rsidR="00CF2653">
        <w:t>5</w:t>
      </w:r>
      <w:r w:rsidRPr="00F455DC">
        <w:t xml:space="preserve"> % HDP. K růstu relativního zadlužení přispělo </w:t>
      </w:r>
      <w:r>
        <w:t>6,</w:t>
      </w:r>
      <w:r w:rsidR="00CF2653">
        <w:t>0</w:t>
      </w:r>
      <w:r w:rsidRPr="00F455DC">
        <w:t xml:space="preserve"> p. b. navýšení nominálního dluhu, a naopak růst HDP přispěl k poklesu </w:t>
      </w:r>
      <w:r>
        <w:t>4,</w:t>
      </w:r>
      <w:r w:rsidR="00CF2653">
        <w:t>3</w:t>
      </w:r>
      <w:r w:rsidRPr="00F455DC">
        <w:t xml:space="preserve"> p. b.</w:t>
      </w:r>
      <w:r>
        <w:t xml:space="preserve"> </w:t>
      </w:r>
      <w:r w:rsidRPr="00F455DC">
        <w:t xml:space="preserve">Dluh se meziročně zvyšoval především prostřednictvím nárůstu objemu dluhových cenných papírů o </w:t>
      </w:r>
      <w:r w:rsidR="00CF2653">
        <w:t>308,4</w:t>
      </w:r>
      <w:r w:rsidRPr="00F455DC">
        <w:t xml:space="preserve"> mld. korun. Z toho objem dlouhodobých dluhopisů vzrostl o</w:t>
      </w:r>
      <w:r w:rsidR="003F4BDE">
        <w:t> </w:t>
      </w:r>
      <w:r>
        <w:t>2</w:t>
      </w:r>
      <w:r w:rsidR="00CF2653">
        <w:t>54,0</w:t>
      </w:r>
      <w:r w:rsidRPr="00F455DC">
        <w:t xml:space="preserve"> mld. korun a </w:t>
      </w:r>
      <w:r>
        <w:t>u</w:t>
      </w:r>
      <w:r w:rsidR="00C55504">
        <w:t> </w:t>
      </w:r>
      <w:r>
        <w:t xml:space="preserve">těch </w:t>
      </w:r>
      <w:r w:rsidRPr="00F455DC">
        <w:t xml:space="preserve">krátkodobých o </w:t>
      </w:r>
      <w:r w:rsidR="00CF2653">
        <w:t>54,4</w:t>
      </w:r>
      <w:r>
        <w:t xml:space="preserve"> </w:t>
      </w:r>
      <w:r w:rsidRPr="00F455DC">
        <w:t>mld. Krátkodobé půjčky se zvýšily meziročně o</w:t>
      </w:r>
      <w:r w:rsidR="003F4BDE">
        <w:t> 39,3</w:t>
      </w:r>
      <w:r w:rsidRPr="00F455DC">
        <w:t xml:space="preserve"> mld. korun a dlouhodobé o </w:t>
      </w:r>
      <w:r w:rsidR="003F4BDE">
        <w:t>52,2 ml</w:t>
      </w:r>
      <w:r w:rsidRPr="00F455DC">
        <w:t>d. Objem oběživa a vkladů byl meziročně vyšší o</w:t>
      </w:r>
      <w:r w:rsidR="003F4BDE">
        <w:t> 15,4 </w:t>
      </w:r>
      <w:r w:rsidRPr="00F455DC">
        <w:t>mld.</w:t>
      </w:r>
      <w:r>
        <w:t xml:space="preserve"> korun.</w:t>
      </w:r>
      <w:r w:rsidRPr="00F455DC">
        <w:t xml:space="preserve"> </w:t>
      </w:r>
    </w:p>
    <w:p w14:paraId="3D6C0A72" w14:textId="77777777" w:rsidR="00092CCF" w:rsidRPr="007012C8" w:rsidRDefault="00092CCF" w:rsidP="00092CCF">
      <w:pPr>
        <w:pStyle w:val="TabulkaGraf"/>
        <w:spacing w:after="120"/>
      </w:pPr>
      <w:r w:rsidRPr="007012C8">
        <w:t>Graf 4: Dluh sektoru vládních institucí a jeho struktura (meziroční změna v mld. korun)</w:t>
      </w:r>
    </w:p>
    <w:p w14:paraId="74D98E2E" w14:textId="08FEBC14" w:rsidR="001258A6" w:rsidRPr="007012C8" w:rsidRDefault="00207F7B" w:rsidP="001258A6">
      <w:pPr>
        <w:spacing w:after="120"/>
        <w:jc w:val="center"/>
      </w:pPr>
      <w:r>
        <w:rPr>
          <w:noProof/>
          <w:lang w:eastAsia="cs-CZ"/>
        </w:rPr>
        <w:drawing>
          <wp:inline distT="0" distB="0" distL="0" distR="0" wp14:anchorId="7CDE8130" wp14:editId="7F0F1BF9">
            <wp:extent cx="4743950" cy="2910775"/>
            <wp:effectExtent l="0" t="0" r="0" b="4445"/>
            <wp:docPr id="1113093095" name="Graf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306196" w14:textId="77777777" w:rsidR="00962C91" w:rsidRDefault="00092CCF" w:rsidP="005D42E5">
      <w:pPr>
        <w:spacing w:after="120"/>
        <w:jc w:val="left"/>
        <w:rPr>
          <w:rFonts w:eastAsia="Times New Roman"/>
          <w:b/>
          <w:bCs/>
          <w:szCs w:val="28"/>
        </w:rPr>
      </w:pPr>
      <w:r w:rsidRPr="007012C8">
        <w:t>Zdroj: ČSÚ, národní účty</w:t>
      </w:r>
    </w:p>
    <w:p w14:paraId="301CA078" w14:textId="0B721E83" w:rsidR="00F50CEF" w:rsidRPr="00BC09C7" w:rsidRDefault="00F50CEF" w:rsidP="000302A6">
      <w:pPr>
        <w:pStyle w:val="Nadpis1"/>
        <w:spacing w:after="120"/>
      </w:pPr>
      <w:r w:rsidRPr="00BC09C7">
        <w:t>Domácnosti</w:t>
      </w:r>
    </w:p>
    <w:p w14:paraId="482AC57E" w14:textId="0BEA4380" w:rsidR="00E83134" w:rsidRDefault="007C3D04" w:rsidP="005D42E5">
      <w:pPr>
        <w:spacing w:after="120"/>
      </w:pPr>
      <w:r>
        <w:t>Příjmy domácností reprezentované hrubým disponibilním důchodem (</w:t>
      </w:r>
      <w:r w:rsidR="00BC09C7">
        <w:t xml:space="preserve">HDD) v </w:t>
      </w:r>
      <w:r>
        <w:t>1</w:t>
      </w:r>
      <w:r w:rsidR="00BC09C7">
        <w:t>. čtvrtletí</w:t>
      </w:r>
      <w:r>
        <w:t xml:space="preserve"> 2023 dosáhly 949,0 mld. korun a meziročně vzrostly o 93,1 mld. (10,9 %). Výrazný nominální přírůstek </w:t>
      </w:r>
      <w:r>
        <w:lastRenderedPageBreak/>
        <w:t>nestačil na pokrytí růstu cenové hladiny, takže reálně HDD domácností klesl meziročně o 3,4 %</w:t>
      </w:r>
      <w:r w:rsidRPr="00BC09C7">
        <w:rPr>
          <w:rStyle w:val="Znakapoznpodarou"/>
        </w:rPr>
        <w:footnoteReference w:id="9"/>
      </w:r>
      <w:r>
        <w:t xml:space="preserve">. </w:t>
      </w:r>
      <w:r w:rsidR="00A7484D">
        <w:t xml:space="preserve"> Podle sezónně očištěných údajů se HDD domácností mezičtvrtletně zvýšil o 2</w:t>
      </w:r>
      <w:r>
        <w:t>8,2</w:t>
      </w:r>
      <w:r w:rsidR="00A7484D">
        <w:t xml:space="preserve"> mld. korun (2,9</w:t>
      </w:r>
      <w:r w:rsidR="00E83134">
        <w:t> </w:t>
      </w:r>
      <w:r w:rsidR="00A7484D">
        <w:t xml:space="preserve">%). </w:t>
      </w:r>
      <w:r w:rsidR="00E83134">
        <w:t xml:space="preserve">Zrychlení mezičtvrtletního růstu cenové hladiny na počátku roku </w:t>
      </w:r>
      <w:r w:rsidR="001C3D20">
        <w:t xml:space="preserve">ale </w:t>
      </w:r>
      <w:r w:rsidR="00E83134">
        <w:t>vedlo k reálnému poklesu HDD o 2</w:t>
      </w:r>
      <w:r w:rsidR="00A7484D">
        <w:t>,0 %.</w:t>
      </w:r>
    </w:p>
    <w:p w14:paraId="6C6E8897" w14:textId="2CDD64E5" w:rsidR="003F18C0" w:rsidRDefault="00E83134" w:rsidP="005D42E5">
      <w:pPr>
        <w:spacing w:after="120"/>
      </w:pPr>
      <w:r>
        <w:t>Domácnostem v 1. čtvrtletí náleželo 595,6 mld. korun ve formě m</w:t>
      </w:r>
      <w:r w:rsidR="002421E0">
        <w:t>e</w:t>
      </w:r>
      <w:r>
        <w:t>zd a platů. Meziročně se mzdy a platy nominálně zvýšily o 56,0 mld. korun (10,4 %).</w:t>
      </w:r>
      <w:r w:rsidR="0043466C">
        <w:t xml:space="preserve"> Reálně ale došlo k jejich poklesu o 3,8 %. </w:t>
      </w:r>
      <w:r w:rsidR="003D22F2" w:rsidRPr="00A7484D">
        <w:t>Hrubý smíšený důchod</w:t>
      </w:r>
      <w:r w:rsidR="003D22F2" w:rsidRPr="00A7484D">
        <w:rPr>
          <w:rStyle w:val="Znakapoznpodarou"/>
        </w:rPr>
        <w:footnoteReference w:id="10"/>
      </w:r>
      <w:r w:rsidR="003D22F2" w:rsidRPr="00A7484D">
        <w:t xml:space="preserve"> podnikatelů zařazených do sektoru domácností </w:t>
      </w:r>
      <w:r w:rsidR="0043466C">
        <w:t>dosáhl 128,3 mld. korun a mez</w:t>
      </w:r>
      <w:r w:rsidR="005F3961">
        <w:t xml:space="preserve">iročně vzrostl o </w:t>
      </w:r>
      <w:r w:rsidR="0043466C">
        <w:t>4,8</w:t>
      </w:r>
      <w:r w:rsidR="005F3961">
        <w:t xml:space="preserve"> mld.</w:t>
      </w:r>
      <w:r w:rsidR="00337EDB">
        <w:t xml:space="preserve"> </w:t>
      </w:r>
      <w:r w:rsidR="002421E0">
        <w:t xml:space="preserve">Poměrně nízký nominální růst </w:t>
      </w:r>
      <w:r w:rsidR="005C69CF">
        <w:t xml:space="preserve">těchto </w:t>
      </w:r>
      <w:r w:rsidR="002421E0">
        <w:t xml:space="preserve">příjmů zaostával za dynamikou příjmů zaměstnanců. </w:t>
      </w:r>
      <w:r w:rsidR="00337EDB">
        <w:t xml:space="preserve">Mezičtvrtletně </w:t>
      </w:r>
      <w:r w:rsidR="005D7869" w:rsidRPr="00A7484D">
        <w:t>byl</w:t>
      </w:r>
      <w:r w:rsidR="009A5C79" w:rsidRPr="00A7484D">
        <w:t xml:space="preserve"> hrubý smíšený důchod</w:t>
      </w:r>
      <w:r w:rsidR="002421E0">
        <w:t xml:space="preserve"> nižší</w:t>
      </w:r>
      <w:r w:rsidR="005D7869" w:rsidRPr="00A7484D">
        <w:t xml:space="preserve"> </w:t>
      </w:r>
      <w:r w:rsidR="001C4AB9" w:rsidRPr="00A7484D">
        <w:t>o </w:t>
      </w:r>
      <w:r w:rsidR="002421E0">
        <w:t>5,9</w:t>
      </w:r>
      <w:r w:rsidR="00C45A80" w:rsidRPr="00A7484D">
        <w:t xml:space="preserve"> </w:t>
      </w:r>
      <w:r w:rsidR="0032347E" w:rsidRPr="00A7484D">
        <w:t>mld</w:t>
      </w:r>
      <w:r w:rsidR="005D7869" w:rsidRPr="00A7484D">
        <w:t>. korun</w:t>
      </w:r>
      <w:r w:rsidR="009A5C79" w:rsidRPr="00A7484D">
        <w:t xml:space="preserve"> (sezónně očištěno)</w:t>
      </w:r>
      <w:r w:rsidR="00337EDB">
        <w:t xml:space="preserve">. </w:t>
      </w:r>
      <w:r w:rsidR="00434936" w:rsidRPr="00A7484D">
        <w:t>Hrubý provozní přebytek</w:t>
      </w:r>
      <w:r w:rsidR="00F12768" w:rsidRPr="00A7484D">
        <w:rPr>
          <w:rStyle w:val="Znakapoznpodarou"/>
        </w:rPr>
        <w:footnoteReference w:id="11"/>
      </w:r>
      <w:r w:rsidR="00434936" w:rsidRPr="00A7484D">
        <w:t xml:space="preserve"> </w:t>
      </w:r>
      <w:r w:rsidR="00C45A80" w:rsidRPr="00A7484D">
        <w:t xml:space="preserve">dosáhl </w:t>
      </w:r>
      <w:r w:rsidR="002421E0">
        <w:t xml:space="preserve">92,4 </w:t>
      </w:r>
      <w:r w:rsidR="00C45A80" w:rsidRPr="00A7484D">
        <w:t>mld. korun a</w:t>
      </w:r>
      <w:r w:rsidR="00337EDB">
        <w:t xml:space="preserve"> </w:t>
      </w:r>
      <w:r w:rsidR="002421E0">
        <w:t>m</w:t>
      </w:r>
      <w:r w:rsidR="008F4513" w:rsidRPr="00A7484D">
        <w:t>eziročn</w:t>
      </w:r>
      <w:r w:rsidR="002421E0">
        <w:t>ě</w:t>
      </w:r>
      <w:r w:rsidR="00337EDB">
        <w:t xml:space="preserve"> n</w:t>
      </w:r>
      <w:r w:rsidR="002421E0">
        <w:t>arostl</w:t>
      </w:r>
      <w:r w:rsidR="00337EDB">
        <w:t xml:space="preserve"> </w:t>
      </w:r>
      <w:r w:rsidR="002421E0">
        <w:t>o</w:t>
      </w:r>
      <w:r w:rsidR="00075EAF">
        <w:t> </w:t>
      </w:r>
      <w:r w:rsidR="002421E0">
        <w:t>5,4</w:t>
      </w:r>
      <w:r w:rsidR="00075EAF">
        <w:t> </w:t>
      </w:r>
      <w:r w:rsidR="008F4513" w:rsidRPr="00A7484D">
        <w:t>mld.</w:t>
      </w:r>
      <w:r w:rsidR="002D3536" w:rsidRPr="00A7484D">
        <w:t xml:space="preserve"> Mezičtvrtletně (sezónně očištěný) hrubý provozní přebytek </w:t>
      </w:r>
      <w:r w:rsidR="00337EDB">
        <w:t>vzrostl</w:t>
      </w:r>
      <w:r w:rsidR="00797632">
        <w:t xml:space="preserve"> o 1</w:t>
      </w:r>
      <w:r w:rsidR="002421E0">
        <w:t>0</w:t>
      </w:r>
      <w:r w:rsidR="00797632">
        <w:t xml:space="preserve">,2 mld. korun, což byl </w:t>
      </w:r>
      <w:r w:rsidR="00337EDB">
        <w:t>nejv</w:t>
      </w:r>
      <w:r w:rsidR="002421E0">
        <w:t>ýraznější zaznamenaný přírůstek v dostupné časové řadě</w:t>
      </w:r>
      <w:r w:rsidR="002D3536" w:rsidRPr="00A7484D">
        <w:t>.</w:t>
      </w:r>
    </w:p>
    <w:p w14:paraId="59F64BA5" w14:textId="7456A763" w:rsidR="00075EAF" w:rsidRDefault="003F18C0" w:rsidP="005D42E5">
      <w:pPr>
        <w:spacing w:after="120"/>
      </w:pPr>
      <w:r>
        <w:t>Přebytek salda důchodů z vlastnictví domácností se v 1. čtvrtletí meziročně zvýšil o 11,7 mld. korun na 46,9 mld.</w:t>
      </w:r>
      <w:r w:rsidR="00476098">
        <w:t xml:space="preserve"> Domácnostem náleželo o 13,5 mld. korun více ve formě úroků, </w:t>
      </w:r>
      <w:r w:rsidR="00476098" w:rsidRPr="00E330C2">
        <w:t xml:space="preserve">rozdělované důchody společností </w:t>
      </w:r>
      <w:r w:rsidR="00476098">
        <w:t xml:space="preserve">byly vyšší </w:t>
      </w:r>
      <w:r w:rsidR="00476098" w:rsidRPr="00E330C2">
        <w:t xml:space="preserve">o </w:t>
      </w:r>
      <w:r w:rsidR="00476098">
        <w:t>4,2</w:t>
      </w:r>
      <w:r w:rsidR="00476098" w:rsidRPr="00E330C2">
        <w:t xml:space="preserve"> mld.</w:t>
      </w:r>
      <w:r w:rsidR="00476098">
        <w:t xml:space="preserve"> a </w:t>
      </w:r>
      <w:r w:rsidR="00476098" w:rsidRPr="00E330C2">
        <w:t>reinvestované zisky z přímých zahraničních investic</w:t>
      </w:r>
      <w:r w:rsidR="00476098">
        <w:t xml:space="preserve"> </w:t>
      </w:r>
      <w:r w:rsidR="00476098" w:rsidRPr="00E330C2">
        <w:t xml:space="preserve">o </w:t>
      </w:r>
      <w:r w:rsidR="00476098">
        <w:t>2,2</w:t>
      </w:r>
      <w:r w:rsidR="00476098" w:rsidRPr="00E330C2">
        <w:t xml:space="preserve"> mld</w:t>
      </w:r>
      <w:r w:rsidR="00476098">
        <w:t>. Naopak obdržené o</w:t>
      </w:r>
      <w:r w:rsidR="0077424B">
        <w:t xml:space="preserve">statní důchody z investic meziročně </w:t>
      </w:r>
      <w:r w:rsidR="00476098">
        <w:t>klesly o 2,8</w:t>
      </w:r>
      <w:r w:rsidR="0077424B">
        <w:t xml:space="preserve"> mld. korun. D</w:t>
      </w:r>
      <w:r w:rsidR="00E11DD0" w:rsidRPr="00E330C2">
        <w:t xml:space="preserve">omácnosti </w:t>
      </w:r>
      <w:r w:rsidR="0077424B">
        <w:t>ve formě úroků vyplatily</w:t>
      </w:r>
      <w:r w:rsidR="00476098">
        <w:t xml:space="preserve"> v 1. čtvrtletí</w:t>
      </w:r>
      <w:r w:rsidR="0077424B">
        <w:t xml:space="preserve"> </w:t>
      </w:r>
      <w:r w:rsidR="00476098">
        <w:t xml:space="preserve">meziročně </w:t>
      </w:r>
      <w:r w:rsidR="0077424B">
        <w:t xml:space="preserve">o </w:t>
      </w:r>
      <w:r w:rsidR="00476098">
        <w:t>3,7</w:t>
      </w:r>
      <w:r w:rsidR="0077424B">
        <w:t xml:space="preserve"> mld. korun více.</w:t>
      </w:r>
    </w:p>
    <w:p w14:paraId="73BC44BF" w14:textId="77777777" w:rsidR="007D3F60" w:rsidRDefault="00470306" w:rsidP="005D42E5">
      <w:pPr>
        <w:spacing w:after="120"/>
      </w:pPr>
      <w:r>
        <w:t>V 1. čtvrtletí došlo k dalšímu výraznému posílení přebytku salda sociálních důchodů. Ten se meziročně zvýšil o 28,5 mld. korun na 155,0 mld. Sociální dávky a příspěvky, které domácnostem v 1. čtvrtletí náležely, byly meziročně vyšší o 39,1 mld. korun</w:t>
      </w:r>
      <w:r w:rsidR="00A6428E">
        <w:t xml:space="preserve">. Na druhé straně objem sociálních příspěvků, které domácnosti odvedly, vzrostl meziročně o 10,6 mld. korun na 127,8 mld. Saldo ostatních transferů </w:t>
      </w:r>
      <w:r w:rsidR="00EA344F">
        <w:t>v 1. čtvrtletí dosáhlo deficitu 1,0 mld. korun, schodek se ale meziročně zmírnil o 1,4 mld. B</w:t>
      </w:r>
      <w:r w:rsidR="003538FB" w:rsidRPr="00EA344F">
        <w:t xml:space="preserve">ěžné daně z důchodů a jmění, </w:t>
      </w:r>
      <w:r w:rsidR="00720D9F" w:rsidRPr="00EA344F">
        <w:t>které domácnosti odvedly, byly m</w:t>
      </w:r>
      <w:r w:rsidR="003538FB" w:rsidRPr="00EA344F">
        <w:t>eziročně</w:t>
      </w:r>
      <w:r w:rsidR="00720D9F" w:rsidRPr="00EA344F">
        <w:t xml:space="preserve"> vyšší o</w:t>
      </w:r>
      <w:r w:rsidR="00EA344F">
        <w:t> 14,7 </w:t>
      </w:r>
      <w:r w:rsidR="003538FB" w:rsidRPr="00EA344F">
        <w:t>mld.</w:t>
      </w:r>
      <w:r w:rsidR="00797632" w:rsidRPr="00EA344F">
        <w:t xml:space="preserve"> korun</w:t>
      </w:r>
      <w:r w:rsidR="00720D9F" w:rsidRPr="00EA344F">
        <w:t xml:space="preserve"> a dosáhly </w:t>
      </w:r>
      <w:r w:rsidR="00EA344F">
        <w:t>68,3</w:t>
      </w:r>
      <w:r w:rsidR="00720D9F" w:rsidRPr="00EA344F">
        <w:t xml:space="preserve"> mld.</w:t>
      </w:r>
      <w:r w:rsidR="003538FB" w:rsidRPr="00EA344F">
        <w:t xml:space="preserve"> </w:t>
      </w:r>
      <w:r w:rsidR="00C72A55" w:rsidRPr="00EA344F">
        <w:t xml:space="preserve">Úroveň odvedených daní ale hluboce zaostávala za úrovní stejného období roku 2020 a byla nižší také oproti </w:t>
      </w:r>
      <w:r w:rsidR="00EA344F">
        <w:t>1</w:t>
      </w:r>
      <w:r w:rsidR="00C72A55" w:rsidRPr="00EA344F">
        <w:t>. kvartálu let 2018 a 2019.</w:t>
      </w:r>
    </w:p>
    <w:p w14:paraId="5BA978E7" w14:textId="03B37FD8" w:rsidR="00A23F1D" w:rsidRDefault="007D3F60" w:rsidP="005D42E5">
      <w:pPr>
        <w:spacing w:after="120"/>
      </w:pPr>
      <w:r>
        <w:t>Výdaje na konečnou spotřebu domácností v 1. čtvrtletí dosáhly 779,5 mld. korun a meziročně se</w:t>
      </w:r>
      <w:r w:rsidR="001C3D20">
        <w:t xml:space="preserve"> </w:t>
      </w:r>
      <w:r>
        <w:t>zvýšily o 58,0 mld. (8,0 %). Nominální přírůstek opět oslabil a v kombinaci s trvajícím silným růstem cenové hladiny tak došlo k dalšímu prohloubení reálného propadu spotřeby na 5,8 %.</w:t>
      </w:r>
      <w:r w:rsidR="00A23F1D">
        <w:t xml:space="preserve"> Pokračující reálný ú</w:t>
      </w:r>
      <w:r w:rsidR="00590FA3" w:rsidRPr="007D3F60">
        <w:t xml:space="preserve">tlum poptávky domácností </w:t>
      </w:r>
      <w:r w:rsidR="00A23F1D">
        <w:t>dokládá i me</w:t>
      </w:r>
      <w:r w:rsidR="00590FA3" w:rsidRPr="007D3F60">
        <w:t>zičtvrtletní dynami</w:t>
      </w:r>
      <w:r w:rsidR="00A23F1D">
        <w:t>ka</w:t>
      </w:r>
      <w:r w:rsidR="00590FA3" w:rsidRPr="007D3F60">
        <w:t xml:space="preserve"> spotřeby. Nominálně se </w:t>
      </w:r>
      <w:r w:rsidR="00A23F1D">
        <w:t xml:space="preserve">sice </w:t>
      </w:r>
      <w:r w:rsidR="00590FA3" w:rsidRPr="007D3F60">
        <w:t xml:space="preserve">spotřeba domácností </w:t>
      </w:r>
      <w:r w:rsidR="00A23F1D">
        <w:t>zvýšila o 24,7 mld. korun (3,1 %), r</w:t>
      </w:r>
      <w:r w:rsidR="00590FA3" w:rsidRPr="007D3F60">
        <w:t xml:space="preserve">eálně </w:t>
      </w:r>
      <w:r w:rsidR="00A23F1D">
        <w:t>ale klesla o 1,8 %.</w:t>
      </w:r>
    </w:p>
    <w:p w14:paraId="24A5C443" w14:textId="4141AF50" w:rsidR="00FF2AEF" w:rsidRDefault="00A23F1D" w:rsidP="005D42E5">
      <w:pPr>
        <w:spacing w:after="120"/>
      </w:pPr>
      <w:r>
        <w:t>Hrubé úspory</w:t>
      </w:r>
      <w:r w:rsidRPr="00A23F1D">
        <w:rPr>
          <w:rStyle w:val="Znakapoznpodarou"/>
        </w:rPr>
        <w:footnoteReference w:id="12"/>
      </w:r>
      <w:r>
        <w:t xml:space="preserve"> domácností v 1. čtvrtletí dosáhly 171,8 mld. korun a meziročně tak byly vyšší o</w:t>
      </w:r>
      <w:r w:rsidR="00F01B59">
        <w:t> </w:t>
      </w:r>
      <w:r>
        <w:t xml:space="preserve">29,8 mld. </w:t>
      </w:r>
      <w:r w:rsidR="005F455B">
        <w:t>S</w:t>
      </w:r>
      <w:r>
        <w:t>ezónně očištěné hrubé úspory se oproti konci roku 2022 snížily o 1,1 mld. korun.</w:t>
      </w:r>
      <w:r w:rsidR="005F455B">
        <w:t xml:space="preserve"> </w:t>
      </w:r>
      <w:r w:rsidR="00FF2AEF">
        <w:t>Zastavila se tak loňská série mezičtvrtletních nárůstů úspor doprovázejících reálný pokles spotřeby. Domácnosti, které dříve spořily „z opatrnosti“, v tom zřejmě nem</w:t>
      </w:r>
      <w:r w:rsidR="005C69CF">
        <w:t>ohly</w:t>
      </w:r>
      <w:r w:rsidR="00FF2AEF">
        <w:t xml:space="preserve"> </w:t>
      </w:r>
      <w:r w:rsidR="001C3D20">
        <w:t xml:space="preserve">v takové míře </w:t>
      </w:r>
      <w:r w:rsidR="00FF2AEF">
        <w:lastRenderedPageBreak/>
        <w:t xml:space="preserve">pokračovat. </w:t>
      </w:r>
      <w:r w:rsidR="00A46B64" w:rsidRPr="00A23F1D">
        <w:t>M</w:t>
      </w:r>
      <w:r w:rsidR="00E26E5D" w:rsidRPr="00A23F1D">
        <w:t>íra úspor</w:t>
      </w:r>
      <w:r w:rsidR="00E26E5D" w:rsidRPr="00A23F1D">
        <w:rPr>
          <w:rStyle w:val="Znakapoznpodarou"/>
        </w:rPr>
        <w:footnoteReference w:id="13"/>
      </w:r>
      <w:r w:rsidR="005F455B">
        <w:t xml:space="preserve"> </w:t>
      </w:r>
      <w:r w:rsidR="00502031" w:rsidRPr="00A23F1D">
        <w:t xml:space="preserve">v </w:t>
      </w:r>
      <w:r w:rsidR="005F455B">
        <w:t>1</w:t>
      </w:r>
      <w:r w:rsidR="00502031" w:rsidRPr="00A23F1D">
        <w:t xml:space="preserve">. čtvrtletí </w:t>
      </w:r>
      <w:r w:rsidR="00E26E5D" w:rsidRPr="00A23F1D">
        <w:t xml:space="preserve">mezičtvrtletně </w:t>
      </w:r>
      <w:r w:rsidR="005F455B">
        <w:t xml:space="preserve">klesla o 0,5 </w:t>
      </w:r>
      <w:r w:rsidR="00864880" w:rsidRPr="00A23F1D">
        <w:t xml:space="preserve">p. b. </w:t>
      </w:r>
      <w:proofErr w:type="gramStart"/>
      <w:r w:rsidR="00E26E5D" w:rsidRPr="00A23F1D">
        <w:t>na</w:t>
      </w:r>
      <w:proofErr w:type="gramEnd"/>
      <w:r w:rsidR="00E26E5D" w:rsidRPr="00A23F1D">
        <w:t xml:space="preserve"> </w:t>
      </w:r>
      <w:r w:rsidR="005F455B">
        <w:t xml:space="preserve">17,9 </w:t>
      </w:r>
      <w:r w:rsidR="00E26E5D" w:rsidRPr="00A23F1D">
        <w:t xml:space="preserve">% (sezónně očištěno). Meziročně byla míra úspor </w:t>
      </w:r>
      <w:r w:rsidR="00864880" w:rsidRPr="00A23F1D">
        <w:t>vyšší o 1,</w:t>
      </w:r>
      <w:r w:rsidR="005F455B">
        <w:t>7</w:t>
      </w:r>
      <w:r w:rsidR="00864880" w:rsidRPr="00A23F1D">
        <w:t xml:space="preserve"> </w:t>
      </w:r>
      <w:r w:rsidR="00E26E5D" w:rsidRPr="00A23F1D">
        <w:t>p. b. (sezónně neočištěno).</w:t>
      </w:r>
      <w:r w:rsidR="00502031" w:rsidRPr="00A23F1D">
        <w:t xml:space="preserve"> </w:t>
      </w:r>
    </w:p>
    <w:p w14:paraId="470EF023" w14:textId="780143C9" w:rsidR="00502031" w:rsidRPr="00AE04A7" w:rsidRDefault="000E03CC" w:rsidP="005D42E5">
      <w:pPr>
        <w:spacing w:after="120"/>
        <w:rPr>
          <w:rFonts w:eastAsia="Times New Roman"/>
          <w:b/>
          <w:bCs/>
          <w:szCs w:val="28"/>
        </w:rPr>
      </w:pPr>
      <w:r>
        <w:t>Domácnosti obdržely kapitálové transfery ve výši 7,9 mld. korun, což bylo meziročně o 2,2 mld. více. Z naprosté v</w:t>
      </w:r>
      <w:r w:rsidR="00502031" w:rsidRPr="000E03CC">
        <w:t>ětšin</w:t>
      </w:r>
      <w:r>
        <w:t xml:space="preserve">y to byly </w:t>
      </w:r>
      <w:r w:rsidR="00502031" w:rsidRPr="000E03CC">
        <w:t>investiční dotace (</w:t>
      </w:r>
      <w:r>
        <w:t>7,1</w:t>
      </w:r>
      <w:r w:rsidR="00502031" w:rsidRPr="000E03CC">
        <w:t xml:space="preserve"> mld. korun), které byly meziročně vyšší o </w:t>
      </w:r>
      <w:r>
        <w:t>5,7</w:t>
      </w:r>
      <w:r w:rsidR="00502031" w:rsidRPr="000E03CC">
        <w:t> mld. Ostatní kapitálové transfery dosáhly 0,</w:t>
      </w:r>
      <w:r>
        <w:t>8</w:t>
      </w:r>
      <w:r w:rsidR="00502031" w:rsidRPr="000E03CC">
        <w:t xml:space="preserve"> mld. korun a klesly o </w:t>
      </w:r>
      <w:r>
        <w:t>3,5</w:t>
      </w:r>
      <w:r w:rsidR="00502031" w:rsidRPr="000E03CC">
        <w:t xml:space="preserve"> mld. Výdaje domácností na tvorbu hrubého fixního kapitálu v </w:t>
      </w:r>
      <w:r w:rsidR="008656A8">
        <w:t>1</w:t>
      </w:r>
      <w:r w:rsidR="00502031" w:rsidRPr="000E03CC">
        <w:t xml:space="preserve">. čtvrtletí meziročně </w:t>
      </w:r>
      <w:r w:rsidR="008656A8">
        <w:t>klesly o 5,5 mld. korun (</w:t>
      </w:r>
      <w:r w:rsidR="00F01B59">
        <w:t>−</w:t>
      </w:r>
      <w:r w:rsidR="008656A8">
        <w:t xml:space="preserve">8,0 %) na 63,6 </w:t>
      </w:r>
      <w:r w:rsidR="00502031" w:rsidRPr="000E03CC">
        <w:t xml:space="preserve">mld. Mezičtvrtletně investice domácností </w:t>
      </w:r>
      <w:r w:rsidR="008656A8">
        <w:t xml:space="preserve">klesly počtvrté v řadě, a to o 1,3 mld. </w:t>
      </w:r>
      <w:r w:rsidR="00502031" w:rsidRPr="000E03CC">
        <w:t>korun (sezónně očištěno). Výsledná míra investic</w:t>
      </w:r>
      <w:r w:rsidR="00502031" w:rsidRPr="000E03CC">
        <w:rPr>
          <w:rStyle w:val="Znakapoznpodarou"/>
        </w:rPr>
        <w:footnoteReference w:id="14"/>
      </w:r>
      <w:r w:rsidR="008656A8">
        <w:t xml:space="preserve"> (sezónně očištěná) se snížila o 0,3 p. b. </w:t>
      </w:r>
      <w:proofErr w:type="gramStart"/>
      <w:r w:rsidR="008656A8">
        <w:t>na</w:t>
      </w:r>
      <w:proofErr w:type="gramEnd"/>
      <w:r w:rsidR="008656A8">
        <w:t xml:space="preserve"> 7,3 %, což byla nejnižší zaznamenaná úroveň v celé dostupné časové řadě. </w:t>
      </w:r>
      <w:r w:rsidR="00502031" w:rsidRPr="000E03CC">
        <w:t xml:space="preserve">Meziročně se (neočištěná) míra investic snížila o </w:t>
      </w:r>
      <w:r w:rsidR="008656A8">
        <w:t>1</w:t>
      </w:r>
      <w:r w:rsidR="00502031" w:rsidRPr="000E03CC">
        <w:t>,3 p. b.</w:t>
      </w:r>
      <w:r w:rsidR="00502031">
        <w:t xml:space="preserve"> </w:t>
      </w:r>
    </w:p>
    <w:p w14:paraId="231F42C9" w14:textId="77777777" w:rsidR="00455E2F" w:rsidRPr="007E6EC4" w:rsidRDefault="00455E2F" w:rsidP="00455E2F">
      <w:pPr>
        <w:pStyle w:val="TabulkaGraf"/>
      </w:pPr>
      <w:r w:rsidRPr="007E6EC4">
        <w:t>Graf 5: Meziroční změna výdajů na tvorbu hrubého fixního kapitálu (mld. korun) a míra úspor a míra investic sektoru domácností (v %, sezónně očištěno)</w:t>
      </w:r>
    </w:p>
    <w:p w14:paraId="0151EB38" w14:textId="11516D23" w:rsidR="00455E2F" w:rsidRPr="007E6EC4" w:rsidRDefault="00B824E2" w:rsidP="00455E2F">
      <w:pPr>
        <w:pStyle w:val="TabulkaGraf"/>
        <w:jc w:val="center"/>
        <w:rPr>
          <w:b w:val="0"/>
          <w:bCs w:val="0"/>
        </w:rPr>
      </w:pPr>
      <w:r>
        <w:rPr>
          <w:noProof/>
          <w:lang w:eastAsia="cs-CZ"/>
        </w:rPr>
        <w:drawing>
          <wp:inline distT="0" distB="0" distL="0" distR="0" wp14:anchorId="75568B7A" wp14:editId="1431BA7D">
            <wp:extent cx="4734425" cy="2904425"/>
            <wp:effectExtent l="0" t="0" r="0" b="0"/>
            <wp:docPr id="84157495" name="Graf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B980C9" w14:textId="77777777" w:rsidR="00455E2F" w:rsidRPr="007E6EC4" w:rsidRDefault="00455E2F" w:rsidP="000C72DE">
      <w:pPr>
        <w:spacing w:after="240"/>
      </w:pPr>
      <w:r w:rsidRPr="007E6EC4">
        <w:t>Zdroj: ČSÚ, národní účty</w:t>
      </w:r>
    </w:p>
    <w:p w14:paraId="6D8E76C2" w14:textId="5FFC0C31" w:rsidR="00F50CEF" w:rsidRPr="00900F13" w:rsidRDefault="00F50CEF" w:rsidP="000302A6">
      <w:pPr>
        <w:pStyle w:val="Nadpis1"/>
        <w:spacing w:after="120"/>
      </w:pPr>
      <w:r w:rsidRPr="00900F13">
        <w:t>Finanční vztahy s</w:t>
      </w:r>
      <w:r w:rsidR="000D19F9" w:rsidRPr="00900F13">
        <w:t> </w:t>
      </w:r>
      <w:r w:rsidRPr="00900F13">
        <w:t>nerezidenty</w:t>
      </w:r>
    </w:p>
    <w:p w14:paraId="352B00FB" w14:textId="27A83F40" w:rsidR="00EA4C0E" w:rsidRDefault="00EA4C0E" w:rsidP="00060DD8">
      <w:pPr>
        <w:spacing w:after="120"/>
      </w:pPr>
      <w:r>
        <w:t>V</w:t>
      </w:r>
      <w:r w:rsidR="00900F13">
        <w:t xml:space="preserve">ývoz zboží a služeb </w:t>
      </w:r>
      <w:r>
        <w:t xml:space="preserve">v 1. čtvrtletí 2023 </w:t>
      </w:r>
      <w:r w:rsidR="00900F13">
        <w:t>meziročně</w:t>
      </w:r>
      <w:r>
        <w:t xml:space="preserve"> vzrostl o 138,0 mld. korun na 1 347,5 mld. </w:t>
      </w:r>
      <w:r w:rsidR="00551675">
        <w:t>Hodnota dovozu naproti tomu vzrostla o 86,0 mld. korun na 1 244,7 mld. Celkové saldo zahraničního obchodu se tak d</w:t>
      </w:r>
      <w:r w:rsidR="00D26044">
        <w:t xml:space="preserve">ostalo do výrazného přebytku 102,9 mld. korun. Přebytek se meziročně </w:t>
      </w:r>
      <w:r w:rsidR="001C3D20">
        <w:t>zvýšil</w:t>
      </w:r>
      <w:r w:rsidR="00D26044">
        <w:t xml:space="preserve"> o 52,0 mld. korun. Za zlepšení</w:t>
      </w:r>
      <w:r w:rsidR="005C69CF">
        <w:t>m</w:t>
      </w:r>
      <w:bookmarkStart w:id="0" w:name="_GoBack"/>
      <w:bookmarkEnd w:id="0"/>
      <w:r w:rsidR="00D26044">
        <w:t xml:space="preserve"> bilance stály </w:t>
      </w:r>
      <w:r w:rsidR="001C3D20">
        <w:t xml:space="preserve">pozitivnější </w:t>
      </w:r>
      <w:r w:rsidR="00D26044">
        <w:t xml:space="preserve">výsledky domácích exportérů a současné snížení cen dovážených surovin – především ropy a zemního plynu ale i dalších materiálů. </w:t>
      </w:r>
      <w:r>
        <w:t xml:space="preserve"> </w:t>
      </w:r>
    </w:p>
    <w:p w14:paraId="741414F4" w14:textId="639D08DC" w:rsidR="00F476A2" w:rsidRDefault="003F5414" w:rsidP="00060DD8">
      <w:pPr>
        <w:spacing w:after="120"/>
      </w:pPr>
      <w:r>
        <w:lastRenderedPageBreak/>
        <w:t>Ve formě důchodů z vlastnictví nerezidentům</w:t>
      </w:r>
      <w:r w:rsidRPr="00597BEA">
        <w:rPr>
          <w:rStyle w:val="Znakapoznpodarou"/>
        </w:rPr>
        <w:footnoteReference w:id="15"/>
      </w:r>
      <w:r>
        <w:t xml:space="preserve"> náleželo v </w:t>
      </w:r>
      <w:r w:rsidR="00D26044">
        <w:t>1</w:t>
      </w:r>
      <w:r>
        <w:t xml:space="preserve">. čtvrtletí </w:t>
      </w:r>
      <w:r w:rsidR="007E0B69">
        <w:t>117,6</w:t>
      </w:r>
      <w:r>
        <w:t xml:space="preserve"> mld. korun, což bylo meziročně o </w:t>
      </w:r>
      <w:r w:rsidR="007E0B69">
        <w:t>29,0</w:t>
      </w:r>
      <w:r>
        <w:t xml:space="preserve"> mld</w:t>
      </w:r>
      <w:r w:rsidR="000F1825">
        <w:t>. více</w:t>
      </w:r>
      <w:r>
        <w:t xml:space="preserve">. </w:t>
      </w:r>
      <w:r w:rsidR="007E0B69">
        <w:t>Výrazně rostly reinvestované zisky z přímých zahraničních investic (+22,0 mld. korun) a výrazně vyšší byly i nerezidentům náležící úroky (+8,1 mld.). R</w:t>
      </w:r>
      <w:r>
        <w:t>ozdělované důchody společností</w:t>
      </w:r>
      <w:r w:rsidR="007E0B69">
        <w:t xml:space="preserve"> ale mírně meziročně klesly (</w:t>
      </w:r>
      <w:r w:rsidR="00F01B59">
        <w:t>−</w:t>
      </w:r>
      <w:r w:rsidR="007E0B69">
        <w:t xml:space="preserve">1,0 mld. korun). </w:t>
      </w:r>
      <w:r>
        <w:t xml:space="preserve">Pro domácí investory v zahraničí se důchody z vlastnictví v </w:t>
      </w:r>
      <w:r w:rsidR="007E0B69">
        <w:t>1</w:t>
      </w:r>
      <w:r>
        <w:t xml:space="preserve">. čtvrtletí meziročně zvýšily o </w:t>
      </w:r>
      <w:r w:rsidR="007E0B69">
        <w:t>18,1</w:t>
      </w:r>
      <w:r>
        <w:t xml:space="preserve"> mld. korun na </w:t>
      </w:r>
      <w:r w:rsidR="007E0B69">
        <w:t>57,9</w:t>
      </w:r>
      <w:r>
        <w:t xml:space="preserve"> mld. Nárůst z většiny proběhl prostřednictvím úroků (+1</w:t>
      </w:r>
      <w:r w:rsidR="007E0B69">
        <w:t>5,7</w:t>
      </w:r>
      <w:r>
        <w:t xml:space="preserve"> mld. korun)</w:t>
      </w:r>
      <w:r w:rsidR="006E1BFB">
        <w:t xml:space="preserve"> a</w:t>
      </w:r>
      <w:r w:rsidR="005017E0">
        <w:t> </w:t>
      </w:r>
      <w:r>
        <w:t xml:space="preserve">reinvestované zisky byly vyšší o </w:t>
      </w:r>
      <w:r w:rsidR="007E0B69">
        <w:t xml:space="preserve">4,7 </w:t>
      </w:r>
      <w:r>
        <w:t>mld.</w:t>
      </w:r>
      <w:r w:rsidR="007E0B69">
        <w:t xml:space="preserve"> R</w:t>
      </w:r>
      <w:r w:rsidR="006E1BFB">
        <w:t xml:space="preserve">ozdělované důchody společností se meziročně snížily o </w:t>
      </w:r>
      <w:r w:rsidR="006D5F4C">
        <w:t>2,2</w:t>
      </w:r>
      <w:r w:rsidR="006E1BFB">
        <w:t xml:space="preserve"> mld.</w:t>
      </w:r>
      <w:r w:rsidR="006D5F4C">
        <w:t xml:space="preserve"> korun.</w:t>
      </w:r>
      <w:r w:rsidR="006E1BFB">
        <w:t xml:space="preserve"> </w:t>
      </w:r>
      <w:r w:rsidR="002A2E87" w:rsidRPr="00597BEA">
        <w:t xml:space="preserve">Čistý odliv </w:t>
      </w:r>
      <w:r w:rsidR="007640A3" w:rsidRPr="00597BEA">
        <w:t>důchodů z vlastnictví do zahraničí v</w:t>
      </w:r>
      <w:r w:rsidR="00131E21" w:rsidRPr="00597BEA">
        <w:t xml:space="preserve"> </w:t>
      </w:r>
      <w:r w:rsidR="006D5F4C">
        <w:t>1</w:t>
      </w:r>
      <w:r w:rsidR="007640A3" w:rsidRPr="00597BEA">
        <w:t>.</w:t>
      </w:r>
      <w:r w:rsidR="00B13907" w:rsidRPr="00597BEA">
        <w:t> čtvrtlet</w:t>
      </w:r>
      <w:r w:rsidR="007640A3" w:rsidRPr="00597BEA">
        <w:t>í</w:t>
      </w:r>
      <w:r w:rsidR="006D5F4C">
        <w:t xml:space="preserve"> </w:t>
      </w:r>
      <w:r w:rsidR="008518E7" w:rsidRPr="00597BEA">
        <w:t xml:space="preserve">dosáhl </w:t>
      </w:r>
      <w:r w:rsidR="006D5F4C">
        <w:t>59,7</w:t>
      </w:r>
      <w:r w:rsidR="008518E7" w:rsidRPr="00597BEA">
        <w:t xml:space="preserve"> mld. korun</w:t>
      </w:r>
      <w:r w:rsidR="006D5F4C">
        <w:t xml:space="preserve">, což bylo </w:t>
      </w:r>
      <w:r w:rsidR="001050DD" w:rsidRPr="00597BEA">
        <w:t>meziročně</w:t>
      </w:r>
      <w:r w:rsidR="006D5F4C">
        <w:t xml:space="preserve"> o 10,9 mld. více. </w:t>
      </w:r>
    </w:p>
    <w:p w14:paraId="35C3B915" w14:textId="661F9B29" w:rsidR="00837A3C" w:rsidRDefault="006D5F4C" w:rsidP="007909AA">
      <w:pPr>
        <w:spacing w:after="120"/>
      </w:pPr>
      <w:r>
        <w:t xml:space="preserve">V 1. </w:t>
      </w:r>
      <w:r w:rsidR="002869E0">
        <w:t xml:space="preserve">čtvrtletí 2022 </w:t>
      </w:r>
      <w:r>
        <w:t xml:space="preserve">nerezidenti </w:t>
      </w:r>
      <w:r w:rsidR="002869E0">
        <w:t xml:space="preserve">zaměstnancům v domácí ekonomice </w:t>
      </w:r>
      <w:r>
        <w:t>vyplatili</w:t>
      </w:r>
      <w:r w:rsidR="002869E0">
        <w:t xml:space="preserve"> náhrady ve výš</w:t>
      </w:r>
      <w:r w:rsidR="001C3D20">
        <w:t>i</w:t>
      </w:r>
      <w:r w:rsidR="002869E0">
        <w:t xml:space="preserve"> </w:t>
      </w:r>
      <w:r>
        <w:t>17,0</w:t>
      </w:r>
      <w:r w:rsidR="00F01B59">
        <w:t> </w:t>
      </w:r>
      <w:r>
        <w:t>mld</w:t>
      </w:r>
      <w:r w:rsidR="002869E0">
        <w:t>. korun, což byl</w:t>
      </w:r>
      <w:r>
        <w:t>o meziročně o 1,1 mld. méně. N</w:t>
      </w:r>
      <w:r w:rsidR="002869E0">
        <w:t>áhrady do zahraničí</w:t>
      </w:r>
      <w:r>
        <w:t xml:space="preserve"> také</w:t>
      </w:r>
      <w:r w:rsidR="002869E0">
        <w:t xml:space="preserve"> meziročně </w:t>
      </w:r>
      <w:r>
        <w:t>klesaly (</w:t>
      </w:r>
      <w:r w:rsidR="00F01B59">
        <w:t>−</w:t>
      </w:r>
      <w:r>
        <w:t xml:space="preserve">2,7 mld. korun) a dosáhly 13,5 mld. </w:t>
      </w:r>
      <w:r w:rsidR="008519C6">
        <w:t xml:space="preserve">Saldo náhrad </w:t>
      </w:r>
      <w:r>
        <w:t>dosáhlo přebytku 3,5 mld. korun a</w:t>
      </w:r>
      <w:r w:rsidR="00F01B59">
        <w:t> </w:t>
      </w:r>
      <w:r>
        <w:t xml:space="preserve">meziročně se zvýšilo o 1,6 mld. </w:t>
      </w:r>
      <w:r w:rsidR="003F2A47" w:rsidRPr="00AB5D19">
        <w:t>Daně z výroby a dovozu zaplacené do zahraničí</w:t>
      </w:r>
      <w:r w:rsidR="008519C6">
        <w:t xml:space="preserve"> v </w:t>
      </w:r>
      <w:r>
        <w:t>1</w:t>
      </w:r>
      <w:r w:rsidR="008519C6">
        <w:t xml:space="preserve">. </w:t>
      </w:r>
      <w:r>
        <w:t>kvartálu</w:t>
      </w:r>
      <w:r w:rsidR="003F2A47" w:rsidRPr="00AB5D19">
        <w:t xml:space="preserve"> meziročně</w:t>
      </w:r>
      <w:r w:rsidR="00E23F4A">
        <w:t xml:space="preserve"> vzrostly o 0,4 mld. korun </w:t>
      </w:r>
      <w:r w:rsidR="008519C6">
        <w:t>na 3,</w:t>
      </w:r>
      <w:r w:rsidR="00E23F4A">
        <w:t>2</w:t>
      </w:r>
      <w:r w:rsidR="003F2A47" w:rsidRPr="00AB5D19">
        <w:t xml:space="preserve"> mld. </w:t>
      </w:r>
      <w:r w:rsidR="00C54EDD" w:rsidRPr="00AB5D19">
        <w:t>Dotace ze zahraničí</w:t>
      </w:r>
      <w:r w:rsidR="005D21E7" w:rsidRPr="00AB5D19">
        <w:t xml:space="preserve"> byly </w:t>
      </w:r>
      <w:r w:rsidR="00105107">
        <w:t>nižší</w:t>
      </w:r>
      <w:r w:rsidR="005D21E7" w:rsidRPr="00AB5D19">
        <w:t xml:space="preserve"> o</w:t>
      </w:r>
      <w:r w:rsidR="00105107">
        <w:t> </w:t>
      </w:r>
      <w:r w:rsidR="005D21E7" w:rsidRPr="00AB5D19">
        <w:t>1,</w:t>
      </w:r>
      <w:r w:rsidR="00E23F4A">
        <w:t xml:space="preserve">2 </w:t>
      </w:r>
      <w:r w:rsidR="00C54EDD" w:rsidRPr="00AB5D19">
        <w:t xml:space="preserve">mld. korun </w:t>
      </w:r>
      <w:r w:rsidR="005D21E7" w:rsidRPr="00AB5D19">
        <w:t>a</w:t>
      </w:r>
      <w:r w:rsidR="00F01B59">
        <w:t> </w:t>
      </w:r>
      <w:r w:rsidR="005D21E7" w:rsidRPr="00AB5D19">
        <w:t xml:space="preserve">dosáhly </w:t>
      </w:r>
      <w:r w:rsidR="00105107">
        <w:t>1</w:t>
      </w:r>
      <w:r w:rsidR="00E23F4A">
        <w:t>2,7</w:t>
      </w:r>
      <w:r w:rsidR="00C54EDD" w:rsidRPr="00AB5D19">
        <w:t xml:space="preserve"> mld.</w:t>
      </w:r>
      <w:r w:rsidR="00105107">
        <w:t xml:space="preserve"> S</w:t>
      </w:r>
      <w:r w:rsidR="00F77F8B" w:rsidRPr="00AB5D19">
        <w:t>ald</w:t>
      </w:r>
      <w:r w:rsidR="00105107">
        <w:t>o</w:t>
      </w:r>
      <w:r w:rsidR="00F77F8B" w:rsidRPr="00AB5D19">
        <w:t xml:space="preserve"> prvotních důchodů</w:t>
      </w:r>
      <w:r w:rsidR="00C17B2C" w:rsidRPr="00AB5D19">
        <w:t xml:space="preserve"> </w:t>
      </w:r>
      <w:r w:rsidR="00105107">
        <w:t xml:space="preserve">v </w:t>
      </w:r>
      <w:r w:rsidR="00E23F4A">
        <w:t>1</w:t>
      </w:r>
      <w:r w:rsidR="00105107">
        <w:t xml:space="preserve">. čtvrtletí dosáhlo deficitu </w:t>
      </w:r>
      <w:r w:rsidR="00E23F4A">
        <w:t>46,8</w:t>
      </w:r>
      <w:r w:rsidR="00105107">
        <w:t xml:space="preserve"> mld. korun a</w:t>
      </w:r>
      <w:r w:rsidR="00F01B59">
        <w:t> </w:t>
      </w:r>
      <w:r w:rsidR="00105107">
        <w:t xml:space="preserve">zhoršilo se tak meziročně o </w:t>
      </w:r>
      <w:r w:rsidR="00E23F4A">
        <w:t>10,9</w:t>
      </w:r>
      <w:r w:rsidR="00105107">
        <w:t xml:space="preserve"> mld.</w:t>
      </w:r>
    </w:p>
    <w:p w14:paraId="0BF28874" w14:textId="77777777" w:rsidR="003E2A20" w:rsidRDefault="00837A3C" w:rsidP="007909AA">
      <w:pPr>
        <w:spacing w:after="120"/>
      </w:pPr>
      <w:r>
        <w:t xml:space="preserve">Saldo druhotného rozdělení v 1. kvartálu 2023 skončilo v tradičním deficitu. Ten se meziročně prohloubil o 5,0 mld. korun na 22,6 mld. Meziročně se zvýšily </w:t>
      </w:r>
      <w:r w:rsidR="004C5122" w:rsidRPr="00837A3C">
        <w:t>ostatní běžn</w:t>
      </w:r>
      <w:r>
        <w:t>é</w:t>
      </w:r>
      <w:r w:rsidR="004C5122" w:rsidRPr="00837A3C">
        <w:t xml:space="preserve"> transfer</w:t>
      </w:r>
      <w:r>
        <w:t>y</w:t>
      </w:r>
      <w:r w:rsidR="004C5122" w:rsidRPr="00837A3C">
        <w:t xml:space="preserve"> vyplacen</w:t>
      </w:r>
      <w:r>
        <w:t>é do</w:t>
      </w:r>
      <w:r w:rsidR="004C5122" w:rsidRPr="00837A3C">
        <w:t xml:space="preserve"> zahraničí (</w:t>
      </w:r>
      <w:r>
        <w:t>+6,7</w:t>
      </w:r>
      <w:r w:rsidR="004C5122" w:rsidRPr="00837A3C">
        <w:t xml:space="preserve"> mld. korun). Úroveň sociálních </w:t>
      </w:r>
      <w:r w:rsidR="00934EFE">
        <w:t xml:space="preserve">příspěvků a </w:t>
      </w:r>
      <w:r w:rsidR="004C5122" w:rsidRPr="00837A3C">
        <w:t xml:space="preserve">dávek vyplacených nerezidentům byla meziročně </w:t>
      </w:r>
      <w:r w:rsidR="00934EFE">
        <w:t xml:space="preserve">nižší o 0,8 mld. </w:t>
      </w:r>
      <w:r w:rsidR="004C5122" w:rsidRPr="00837A3C">
        <w:t>korun</w:t>
      </w:r>
      <w:r w:rsidR="00934EFE">
        <w:t xml:space="preserve">. </w:t>
      </w:r>
      <w:r w:rsidR="00D326BD" w:rsidRPr="00837A3C">
        <w:t>S</w:t>
      </w:r>
      <w:r w:rsidR="00920317" w:rsidRPr="00837A3C">
        <w:t>aldo běžných transakcí domácí ekonomiky se zahraničím</w:t>
      </w:r>
      <w:r w:rsidR="00934EFE">
        <w:t xml:space="preserve"> dosáhlo v 1. čtvrtletí přebytku 33,4 mld. korun</w:t>
      </w:r>
      <w:r w:rsidR="006041E0">
        <w:t xml:space="preserve"> a meziročně se tak zlepšilo o 36,1 mld.</w:t>
      </w:r>
      <w:r w:rsidR="009A1871" w:rsidRPr="00837A3C">
        <w:t xml:space="preserve"> </w:t>
      </w:r>
      <w:r w:rsidR="006041E0">
        <w:t xml:space="preserve">Ke zlepšení přispěl výhradně pozitivní vývoj bilance </w:t>
      </w:r>
      <w:r w:rsidR="00D326BD" w:rsidRPr="00837A3C">
        <w:t>zahraničního obchodu</w:t>
      </w:r>
      <w:r w:rsidR="006041E0">
        <w:t>.</w:t>
      </w:r>
    </w:p>
    <w:p w14:paraId="7ACEDEB1" w14:textId="7C5682A6" w:rsidR="00C43DB8" w:rsidRDefault="003E2A20" w:rsidP="00F915C2">
      <w:pPr>
        <w:spacing w:after="120"/>
      </w:pPr>
      <w:r>
        <w:t>Domácí ekonomice náležely kapitálové transfery ze zahraničí ve výši 18,8 mld. korun. To je meziročně o 9,5 mld. více a z většiny za nárůstem stály investiční dotace, které se navýšily o</w:t>
      </w:r>
      <w:r w:rsidR="00F01B59">
        <w:t> </w:t>
      </w:r>
      <w:r>
        <w:t>9,2</w:t>
      </w:r>
      <w:r w:rsidR="00F01B59">
        <w:t> </w:t>
      </w:r>
      <w:r>
        <w:t xml:space="preserve">mld. na 17,5 mld. </w:t>
      </w:r>
      <w:r w:rsidR="00A61BE0" w:rsidRPr="003E2A20">
        <w:t xml:space="preserve">Do zahraničí bylo </w:t>
      </w:r>
      <w:r>
        <w:t xml:space="preserve">naopak </w:t>
      </w:r>
      <w:r w:rsidR="00A61BE0" w:rsidRPr="003E2A20">
        <w:t xml:space="preserve">takto vyplaceno </w:t>
      </w:r>
      <w:r>
        <w:t>1,0</w:t>
      </w:r>
      <w:r w:rsidR="00A61BE0" w:rsidRPr="003E2A20">
        <w:t xml:space="preserve"> ml</w:t>
      </w:r>
      <w:r w:rsidR="00F915C2" w:rsidRPr="003E2A20">
        <w:t>d. korun</w:t>
      </w:r>
      <w:r w:rsidR="00A61BE0" w:rsidRPr="003E2A20">
        <w:t xml:space="preserve"> (</w:t>
      </w:r>
      <w:r w:rsidR="00F01B59">
        <w:t>−</w:t>
      </w:r>
      <w:r>
        <w:t>3,4</w:t>
      </w:r>
      <w:r w:rsidR="00A61BE0" w:rsidRPr="003E2A20">
        <w:t xml:space="preserve"> mld.)</w:t>
      </w:r>
      <w:r w:rsidR="00F915C2" w:rsidRPr="003E2A20">
        <w:t xml:space="preserve">. Kladné saldo </w:t>
      </w:r>
      <w:r w:rsidR="00FD6D15" w:rsidRPr="003E2A20">
        <w:t xml:space="preserve">kapitálových transferů mezi domácí ekonomikou </w:t>
      </w:r>
      <w:r w:rsidR="008C00A5" w:rsidRPr="003E2A20">
        <w:t>a </w:t>
      </w:r>
      <w:r w:rsidR="00FD6D15" w:rsidRPr="003E2A20">
        <w:t xml:space="preserve">zahraničím </w:t>
      </w:r>
      <w:r w:rsidR="00484F22" w:rsidRPr="003E2A20">
        <w:t xml:space="preserve">se meziročně </w:t>
      </w:r>
      <w:r w:rsidR="00C87B18" w:rsidRPr="003E2A20">
        <w:t>zlepšilo o</w:t>
      </w:r>
      <w:r w:rsidR="00B3323F" w:rsidRPr="003E2A20">
        <w:t> </w:t>
      </w:r>
      <w:r w:rsidR="00A61BE0" w:rsidRPr="003E2A20">
        <w:t>12,</w:t>
      </w:r>
      <w:r>
        <w:t>8</w:t>
      </w:r>
      <w:r w:rsidR="00A61BE0" w:rsidRPr="003E2A20">
        <w:t xml:space="preserve"> </w:t>
      </w:r>
      <w:r w:rsidR="00C87B18" w:rsidRPr="003E2A20">
        <w:t xml:space="preserve">mld. korun na </w:t>
      </w:r>
      <w:r>
        <w:t>17,7</w:t>
      </w:r>
      <w:r w:rsidR="00484F22" w:rsidRPr="003E2A20">
        <w:t xml:space="preserve"> mld.</w:t>
      </w:r>
      <w:r w:rsidR="00A61BE0" w:rsidRPr="003E2A20">
        <w:t xml:space="preserve"> </w:t>
      </w:r>
      <w:r w:rsidR="00FD6D15" w:rsidRPr="003E2A20">
        <w:t xml:space="preserve">Domácí ekonomika </w:t>
      </w:r>
      <w:r w:rsidR="00C87B18" w:rsidRPr="003E2A20">
        <w:t xml:space="preserve">v </w:t>
      </w:r>
      <w:r>
        <w:t>1</w:t>
      </w:r>
      <w:r w:rsidR="00C87B18" w:rsidRPr="003E2A20">
        <w:t xml:space="preserve">. čtvrtletí </w:t>
      </w:r>
      <w:r>
        <w:t>skončila v č</w:t>
      </w:r>
      <w:r w:rsidR="00FD6D15" w:rsidRPr="003E2A20">
        <w:t>ist</w:t>
      </w:r>
      <w:r>
        <w:t>é</w:t>
      </w:r>
      <w:r w:rsidR="00FD6D15" w:rsidRPr="003E2A20">
        <w:t xml:space="preserve"> </w:t>
      </w:r>
      <w:r>
        <w:t>kladné</w:t>
      </w:r>
      <w:r w:rsidR="00613EF0" w:rsidRPr="003E2A20">
        <w:t xml:space="preserve"> </w:t>
      </w:r>
      <w:r w:rsidR="00FD6D15" w:rsidRPr="003E2A20">
        <w:t>pozic</w:t>
      </w:r>
      <w:r w:rsidR="00484F22" w:rsidRPr="003E2A20">
        <w:t>i</w:t>
      </w:r>
      <w:r w:rsidR="00FD6D15" w:rsidRPr="003E2A20">
        <w:t xml:space="preserve"> </w:t>
      </w:r>
      <w:r w:rsidR="00C87B18" w:rsidRPr="003E2A20">
        <w:t>vůči zahraničí</w:t>
      </w:r>
      <w:r w:rsidR="00F64C3F">
        <w:rPr>
          <w:rStyle w:val="Znakapoznpodarou"/>
        </w:rPr>
        <w:footnoteReference w:id="16"/>
      </w:r>
      <w:r w:rsidR="00F64C3F">
        <w:t>.</w:t>
      </w:r>
      <w:r w:rsidR="00C87B18" w:rsidRPr="003E2A20">
        <w:t xml:space="preserve"> </w:t>
      </w:r>
      <w:r>
        <w:t>Č</w:t>
      </w:r>
      <w:r w:rsidR="00B70ECD" w:rsidRPr="003E2A20">
        <w:t xml:space="preserve">isté půjčky </w:t>
      </w:r>
      <w:r w:rsidR="00C87B18" w:rsidRPr="003E2A20">
        <w:t xml:space="preserve">činily </w:t>
      </w:r>
      <w:r w:rsidR="00F64C3F">
        <w:t>45,8</w:t>
      </w:r>
      <w:r w:rsidR="008C00A5" w:rsidRPr="003E2A20">
        <w:t> mld.</w:t>
      </w:r>
      <w:r w:rsidR="00FD6D15" w:rsidRPr="003E2A20">
        <w:t xml:space="preserve"> korun (meziročně </w:t>
      </w:r>
      <w:r w:rsidR="008C00A5" w:rsidRPr="003E2A20">
        <w:t>o </w:t>
      </w:r>
      <w:r w:rsidR="00F64C3F">
        <w:t>50,6</w:t>
      </w:r>
      <w:r w:rsidR="00CD547F" w:rsidRPr="003E2A20">
        <w:t> </w:t>
      </w:r>
      <w:r w:rsidR="00FD6D15" w:rsidRPr="003E2A20">
        <w:t xml:space="preserve">mld. </w:t>
      </w:r>
      <w:r w:rsidR="00F64C3F">
        <w:t>lepší</w:t>
      </w:r>
      <w:r w:rsidR="00FD6D15" w:rsidRPr="003E2A20">
        <w:t xml:space="preserve"> výsledek).</w:t>
      </w:r>
      <w:r w:rsidR="00E71ED8">
        <w:t xml:space="preserve"> </w:t>
      </w:r>
    </w:p>
    <w:p w14:paraId="6D42393D" w14:textId="77777777" w:rsidR="00834CC5" w:rsidRDefault="00834CC5">
      <w:pPr>
        <w:spacing w:line="240" w:lineRule="auto"/>
        <w:jc w:val="left"/>
        <w:rPr>
          <w:rFonts w:eastAsia="Times New Roman" w:cs="Arial"/>
          <w:b/>
          <w:bCs/>
          <w:color w:val="000000"/>
          <w:szCs w:val="20"/>
          <w:lang w:eastAsia="cs-CZ"/>
        </w:rPr>
      </w:pPr>
      <w:r>
        <w:rPr>
          <w:rFonts w:eastAsia="Times New Roman" w:cs="Arial"/>
          <w:b/>
          <w:bCs/>
          <w:color w:val="000000"/>
          <w:szCs w:val="20"/>
          <w:lang w:eastAsia="cs-CZ"/>
        </w:rPr>
        <w:br w:type="page"/>
      </w:r>
    </w:p>
    <w:p w14:paraId="449668E5" w14:textId="4B671DCE" w:rsidR="00A54D7B" w:rsidRDefault="00BD57B8" w:rsidP="00B76199">
      <w:pPr>
        <w:jc w:val="left"/>
        <w:rPr>
          <w:rFonts w:ascii="Calibri" w:hAnsi="Calibri"/>
          <w:szCs w:val="20"/>
          <w:lang w:eastAsia="cs-CZ"/>
        </w:rPr>
      </w:pPr>
      <w:r>
        <w:rPr>
          <w:rFonts w:eastAsia="Times New Roman" w:cs="Arial"/>
          <w:b/>
          <w:bCs/>
          <w:color w:val="000000"/>
          <w:szCs w:val="20"/>
          <w:lang w:eastAsia="cs-CZ"/>
        </w:rPr>
        <w:lastRenderedPageBreak/>
        <w:t xml:space="preserve">Tabulka 1: </w:t>
      </w:r>
      <w:r w:rsidRPr="00BD57B8">
        <w:rPr>
          <w:rFonts w:eastAsia="Times New Roman" w:cs="Arial"/>
          <w:b/>
          <w:bCs/>
          <w:color w:val="000000"/>
          <w:szCs w:val="20"/>
          <w:lang w:eastAsia="cs-CZ"/>
        </w:rPr>
        <w:t>Vybrané hl</w:t>
      </w:r>
      <w:r>
        <w:rPr>
          <w:rFonts w:eastAsia="Times New Roman" w:cs="Arial"/>
          <w:b/>
          <w:bCs/>
          <w:color w:val="000000"/>
          <w:szCs w:val="20"/>
          <w:lang w:eastAsia="cs-CZ"/>
        </w:rPr>
        <w:t>avní ukazatele vývoje ekonomiky</w:t>
      </w:r>
    </w:p>
    <w:p w14:paraId="6DA8EC84" w14:textId="261300F3" w:rsidR="00834CC5" w:rsidRDefault="00745672" w:rsidP="00834CC5">
      <w:pPr>
        <w:jc w:val="center"/>
        <w:rPr>
          <w:rFonts w:eastAsia="Times New Roman" w:cs="Arial"/>
          <w:b/>
          <w:bCs/>
          <w:color w:val="000000"/>
          <w:szCs w:val="20"/>
          <w:lang w:eastAsia="cs-CZ"/>
        </w:rPr>
      </w:pPr>
      <w:r w:rsidRPr="00745672">
        <w:rPr>
          <w:noProof/>
          <w:lang w:eastAsia="cs-CZ"/>
        </w:rPr>
        <w:drawing>
          <wp:inline distT="0" distB="0" distL="0" distR="0" wp14:anchorId="5B036A81" wp14:editId="22CC50CE">
            <wp:extent cx="5320516" cy="549502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8812" cy="5513922"/>
                    </a:xfrm>
                    <a:prstGeom prst="rect">
                      <a:avLst/>
                    </a:prstGeom>
                    <a:noFill/>
                    <a:ln>
                      <a:noFill/>
                    </a:ln>
                  </pic:spPr>
                </pic:pic>
              </a:graphicData>
            </a:graphic>
          </wp:inline>
        </w:drawing>
      </w:r>
    </w:p>
    <w:p w14:paraId="04866E5B" w14:textId="77777777" w:rsidR="00834CC5" w:rsidRDefault="00834CC5" w:rsidP="00C43DB8">
      <w:pPr>
        <w:rPr>
          <w:rFonts w:eastAsia="Times New Roman" w:cs="Arial"/>
          <w:b/>
          <w:bCs/>
          <w:color w:val="000000"/>
          <w:szCs w:val="20"/>
          <w:lang w:eastAsia="cs-CZ"/>
        </w:rPr>
      </w:pPr>
    </w:p>
    <w:p w14:paraId="344449D7" w14:textId="77777777" w:rsidR="007E0FB5" w:rsidRDefault="00E976D2" w:rsidP="007E0FB5">
      <w:pPr>
        <w:jc w:val="center"/>
        <w:rPr>
          <w:rFonts w:eastAsia="Times New Roman" w:cs="Arial"/>
          <w:b/>
          <w:bCs/>
          <w:color w:val="000000"/>
          <w:szCs w:val="20"/>
          <w:lang w:eastAsia="cs-CZ"/>
        </w:rPr>
      </w:pPr>
      <w:r w:rsidRPr="00C43DB8">
        <w:rPr>
          <w:noProof/>
          <w:lang w:eastAsia="cs-CZ"/>
        </w:rPr>
        <w:t xml:space="preserve"> </w:t>
      </w:r>
    </w:p>
    <w:p w14:paraId="3AD17A19" w14:textId="77777777" w:rsidR="007B1333" w:rsidRPr="00BD40CD" w:rsidRDefault="007B1333" w:rsidP="00E42E00">
      <w:pPr>
        <w:rPr>
          <w:b/>
        </w:rPr>
      </w:pPr>
      <w:r w:rsidRPr="00BD40CD">
        <w:rPr>
          <w:b/>
        </w:rPr>
        <w:t>Autor/Kontakt/Zpracoval</w:t>
      </w:r>
      <w:r w:rsidR="004C52C6" w:rsidRPr="00BD40CD">
        <w:rPr>
          <w:b/>
        </w:rPr>
        <w:t>a</w:t>
      </w:r>
    </w:p>
    <w:p w14:paraId="1145E561" w14:textId="77777777" w:rsidR="007B1333" w:rsidRPr="00BD40CD" w:rsidRDefault="00656A12" w:rsidP="00E42E00">
      <w:r w:rsidRPr="00BD40CD">
        <w:t>Karolína Zábojníková</w:t>
      </w:r>
    </w:p>
    <w:p w14:paraId="417D7AFA" w14:textId="77777777" w:rsidR="007B1333" w:rsidRPr="00BD40CD" w:rsidRDefault="00656A12" w:rsidP="00E42E00">
      <w:r w:rsidRPr="00BD40CD">
        <w:t>Odbor Kancelář předsedy</w:t>
      </w:r>
    </w:p>
    <w:p w14:paraId="05E3A044" w14:textId="77777777" w:rsidR="007B1333" w:rsidRPr="00BD40CD" w:rsidRDefault="007B1333" w:rsidP="00E42E00">
      <w:r w:rsidRPr="00BD40CD">
        <w:t>Tel.:</w:t>
      </w:r>
      <w:r w:rsidR="00656A12" w:rsidRPr="00BD40CD">
        <w:t xml:space="preserve"> 542</w:t>
      </w:r>
      <w:r w:rsidR="0038007D" w:rsidRPr="00BD40CD">
        <w:t> </w:t>
      </w:r>
      <w:r w:rsidR="00656A12" w:rsidRPr="00BD40CD">
        <w:t>528</w:t>
      </w:r>
      <w:r w:rsidR="0038007D" w:rsidRPr="00BD40CD">
        <w:t> </w:t>
      </w:r>
      <w:r w:rsidR="00656A12" w:rsidRPr="00BD40CD">
        <w:t>112</w:t>
      </w:r>
    </w:p>
    <w:p w14:paraId="08880335" w14:textId="77777777" w:rsidR="004920AD" w:rsidRPr="00BD40CD" w:rsidRDefault="007B1333" w:rsidP="00E42E00">
      <w:r w:rsidRPr="00BD40CD">
        <w:t>E-mail:</w:t>
      </w:r>
      <w:r w:rsidR="00346D76" w:rsidRPr="00BD40CD">
        <w:t xml:space="preserve"> karolina.zabojnikova@czso.cz</w:t>
      </w:r>
    </w:p>
    <w:sectPr w:rsidR="004920AD" w:rsidRPr="00BD40CD" w:rsidSect="00247E8D">
      <w:headerReference w:type="default" r:id="rId13"/>
      <w:footerReference w:type="default" r:id="rId14"/>
      <w:pgSz w:w="11907" w:h="16839" w:code="9"/>
      <w:pgMar w:top="2948" w:right="1418" w:bottom="1985" w:left="1985"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9055C" w14:textId="77777777" w:rsidR="007537C7" w:rsidRDefault="007537C7" w:rsidP="00BA6370">
      <w:r>
        <w:separator/>
      </w:r>
    </w:p>
  </w:endnote>
  <w:endnote w:type="continuationSeparator" w:id="0">
    <w:p w14:paraId="1D48590C" w14:textId="77777777" w:rsidR="007537C7" w:rsidRDefault="007537C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28405"/>
      <w:docPartObj>
        <w:docPartGallery w:val="Page Numbers (Bottom of Page)"/>
        <w:docPartUnique/>
      </w:docPartObj>
    </w:sdtPr>
    <w:sdtEndPr/>
    <w:sdtContent>
      <w:p w14:paraId="3D094395" w14:textId="2E5FF12E" w:rsidR="00EB4F8B" w:rsidRDefault="00EB4F8B">
        <w:pPr>
          <w:pStyle w:val="Zpat"/>
          <w:jc w:val="right"/>
        </w:pPr>
        <w:r>
          <w:fldChar w:fldCharType="begin"/>
        </w:r>
        <w:r>
          <w:instrText>PAGE   \* MERGEFORMAT</w:instrText>
        </w:r>
        <w:r>
          <w:fldChar w:fldCharType="separate"/>
        </w:r>
        <w:r w:rsidR="005C69CF">
          <w:rPr>
            <w:noProof/>
          </w:rPr>
          <w:t>9</w:t>
        </w:r>
        <w:r>
          <w:fldChar w:fldCharType="end"/>
        </w:r>
      </w:p>
    </w:sdtContent>
  </w:sdt>
  <w:p w14:paraId="277276BC" w14:textId="77777777" w:rsidR="00EB4F8B" w:rsidRDefault="00EB4F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C6C1" w14:textId="77777777" w:rsidR="007537C7" w:rsidRDefault="007537C7" w:rsidP="00BA6370">
      <w:r>
        <w:separator/>
      </w:r>
    </w:p>
  </w:footnote>
  <w:footnote w:type="continuationSeparator" w:id="0">
    <w:p w14:paraId="6ABF3884" w14:textId="77777777" w:rsidR="007537C7" w:rsidRDefault="007537C7" w:rsidP="00BA6370">
      <w:r>
        <w:continuationSeparator/>
      </w:r>
    </w:p>
  </w:footnote>
  <w:footnote w:id="1">
    <w:p w14:paraId="51657F70" w14:textId="77777777" w:rsidR="007D3C4D" w:rsidRPr="00F5750C" w:rsidRDefault="007D3C4D" w:rsidP="007D3C4D">
      <w:pPr>
        <w:pStyle w:val="Textpoznpodarou"/>
        <w:rPr>
          <w:sz w:val="16"/>
          <w:szCs w:val="16"/>
        </w:rPr>
      </w:pPr>
      <w:r w:rsidRPr="00F5750C">
        <w:rPr>
          <w:rStyle w:val="Znakapoznpodarou"/>
          <w:sz w:val="16"/>
          <w:szCs w:val="16"/>
        </w:rPr>
        <w:footnoteRef/>
      </w:r>
      <w:r w:rsidRPr="00F5750C">
        <w:rPr>
          <w:sz w:val="16"/>
          <w:szCs w:val="16"/>
        </w:rPr>
        <w:t xml:space="preserve"> Není</w:t>
      </w:r>
      <w:r>
        <w:rPr>
          <w:sz w:val="16"/>
          <w:szCs w:val="16"/>
        </w:rPr>
        <w:t>-</w:t>
      </w:r>
      <w:r w:rsidRPr="00F5750C">
        <w:rPr>
          <w:sz w:val="16"/>
          <w:szCs w:val="16"/>
        </w:rPr>
        <w:t>li uvedeno jinak, jsou všechny údaje použité v textu bez sezónního očištění.</w:t>
      </w:r>
    </w:p>
  </w:footnote>
  <w:footnote w:id="2">
    <w:p w14:paraId="0103BA9F" w14:textId="01DC732F" w:rsidR="007D3C4D" w:rsidRPr="0006237B" w:rsidRDefault="007D3C4D" w:rsidP="007D3C4D">
      <w:pPr>
        <w:pStyle w:val="Textpoznpodarou"/>
        <w:rPr>
          <w:sz w:val="16"/>
          <w:szCs w:val="16"/>
        </w:rPr>
      </w:pPr>
      <w:r w:rsidRPr="0006237B">
        <w:rPr>
          <w:rStyle w:val="Znakapoznpodarou"/>
          <w:sz w:val="16"/>
          <w:szCs w:val="16"/>
        </w:rPr>
        <w:footnoteRef/>
      </w:r>
      <w:r w:rsidRPr="0006237B">
        <w:rPr>
          <w:sz w:val="16"/>
          <w:szCs w:val="16"/>
        </w:rPr>
        <w:t xml:space="preserve"> </w:t>
      </w:r>
      <w:r>
        <w:rPr>
          <w:sz w:val="16"/>
          <w:szCs w:val="16"/>
        </w:rPr>
        <w:t xml:space="preserve">Do reálného vyjádření převedeno s pomocí </w:t>
      </w:r>
      <w:r w:rsidRPr="0006237B">
        <w:rPr>
          <w:sz w:val="16"/>
          <w:szCs w:val="16"/>
        </w:rPr>
        <w:t>celkov</w:t>
      </w:r>
      <w:r>
        <w:rPr>
          <w:sz w:val="16"/>
          <w:szCs w:val="16"/>
        </w:rPr>
        <w:t>ého</w:t>
      </w:r>
      <w:r w:rsidRPr="0006237B">
        <w:rPr>
          <w:sz w:val="16"/>
          <w:szCs w:val="16"/>
        </w:rPr>
        <w:t xml:space="preserve"> deflátor</w:t>
      </w:r>
      <w:r>
        <w:rPr>
          <w:sz w:val="16"/>
          <w:szCs w:val="16"/>
        </w:rPr>
        <w:t>u</w:t>
      </w:r>
      <w:r w:rsidRPr="0006237B">
        <w:rPr>
          <w:sz w:val="16"/>
          <w:szCs w:val="16"/>
        </w:rPr>
        <w:t xml:space="preserve"> HPH.</w:t>
      </w:r>
      <w:r>
        <w:rPr>
          <w:sz w:val="16"/>
          <w:szCs w:val="16"/>
        </w:rPr>
        <w:t xml:space="preserve"> V 1. čtvrtletí 2023 dosahoval meziroční deflátor HPH 12,0 %, mezičtvrtletně cenová hladina stoupla o 4,4 %.</w:t>
      </w:r>
    </w:p>
  </w:footnote>
  <w:footnote w:id="3">
    <w:p w14:paraId="27A6FC89" w14:textId="77777777" w:rsidR="00F01B59" w:rsidRPr="00107C2A" w:rsidRDefault="00F01B59" w:rsidP="00F01B59">
      <w:pPr>
        <w:pStyle w:val="Textpoznpodarou"/>
        <w:rPr>
          <w:sz w:val="16"/>
          <w:szCs w:val="16"/>
        </w:rPr>
      </w:pPr>
      <w:r w:rsidRPr="00107C2A">
        <w:rPr>
          <w:rStyle w:val="Znakapoznpodarou"/>
          <w:sz w:val="16"/>
          <w:szCs w:val="16"/>
        </w:rPr>
        <w:footnoteRef/>
      </w:r>
      <w:r w:rsidRPr="00107C2A">
        <w:rPr>
          <w:sz w:val="16"/>
          <w:szCs w:val="16"/>
        </w:rPr>
        <w:t xml:space="preserve"> Zejména dopad daně z nadměrných zisků, tzv. „</w:t>
      </w:r>
      <w:proofErr w:type="spellStart"/>
      <w:r w:rsidRPr="00107C2A">
        <w:rPr>
          <w:sz w:val="16"/>
          <w:szCs w:val="16"/>
        </w:rPr>
        <w:t>windfall</w:t>
      </w:r>
      <w:proofErr w:type="spellEnd"/>
      <w:r w:rsidRPr="00107C2A">
        <w:rPr>
          <w:sz w:val="16"/>
          <w:szCs w:val="16"/>
        </w:rPr>
        <w:t xml:space="preserve"> tax“</w:t>
      </w:r>
    </w:p>
  </w:footnote>
  <w:footnote w:id="4">
    <w:p w14:paraId="4C32CDD7" w14:textId="77777777" w:rsidR="00F01B59" w:rsidRPr="0006237B" w:rsidRDefault="00F01B59" w:rsidP="00F01B59">
      <w:pPr>
        <w:pStyle w:val="Textpoznpodarou"/>
        <w:rPr>
          <w:sz w:val="16"/>
          <w:szCs w:val="16"/>
        </w:rPr>
      </w:pPr>
      <w:r w:rsidRPr="0006237B">
        <w:rPr>
          <w:rStyle w:val="Znakapoznpodarou"/>
          <w:sz w:val="16"/>
          <w:szCs w:val="16"/>
        </w:rPr>
        <w:footnoteRef/>
      </w:r>
      <w:r w:rsidRPr="0006237B">
        <w:rPr>
          <w:sz w:val="16"/>
          <w:szCs w:val="16"/>
        </w:rPr>
        <w:t xml:space="preserve"> </w:t>
      </w:r>
      <w:r w:rsidRPr="0006237B">
        <w:rPr>
          <w:rFonts w:eastAsiaTheme="minorHAnsi" w:cs="Arial"/>
          <w:bCs/>
          <w:iCs/>
          <w:sz w:val="16"/>
          <w:szCs w:val="16"/>
          <w:lang w:eastAsia="en-US"/>
        </w:rPr>
        <w:t xml:space="preserve">Míra zisku nefinančních podniků </w:t>
      </w:r>
      <w:r w:rsidRPr="0006237B">
        <w:rPr>
          <w:rFonts w:eastAsiaTheme="minorHAnsi" w:cs="Arial"/>
          <w:iCs/>
          <w:sz w:val="16"/>
          <w:szCs w:val="16"/>
          <w:lang w:eastAsia="en-US"/>
        </w:rPr>
        <w:t>je definována jako podíl hrubého provozního přebytku k</w:t>
      </w:r>
      <w:r>
        <w:rPr>
          <w:rFonts w:eastAsiaTheme="minorHAnsi" w:cs="Arial"/>
          <w:iCs/>
          <w:sz w:val="16"/>
          <w:szCs w:val="16"/>
          <w:lang w:eastAsia="en-US"/>
        </w:rPr>
        <w:t> </w:t>
      </w:r>
      <w:r w:rsidRPr="0006237B">
        <w:rPr>
          <w:rFonts w:eastAsiaTheme="minorHAnsi" w:cs="Arial"/>
          <w:iCs/>
          <w:sz w:val="16"/>
          <w:szCs w:val="16"/>
          <w:lang w:eastAsia="en-US"/>
        </w:rPr>
        <w:t>hrubé přidané hodnotě (B.2g</w:t>
      </w:r>
      <w:r>
        <w:rPr>
          <w:rFonts w:eastAsiaTheme="minorHAnsi" w:cs="Arial"/>
          <w:iCs/>
          <w:sz w:val="16"/>
          <w:szCs w:val="16"/>
          <w:lang w:eastAsia="en-US"/>
        </w:rPr>
        <w:t> </w:t>
      </w:r>
      <w:r w:rsidRPr="0006237B">
        <w:rPr>
          <w:rFonts w:eastAsiaTheme="minorHAnsi" w:cs="Arial"/>
          <w:iCs/>
          <w:sz w:val="16"/>
          <w:szCs w:val="16"/>
          <w:lang w:eastAsia="en-US"/>
        </w:rPr>
        <w:t>/</w:t>
      </w:r>
      <w:r>
        <w:rPr>
          <w:rFonts w:eastAsiaTheme="minorHAnsi" w:cs="Arial"/>
          <w:iCs/>
          <w:sz w:val="16"/>
          <w:szCs w:val="16"/>
          <w:lang w:eastAsia="en-US"/>
        </w:rPr>
        <w:t> </w:t>
      </w:r>
      <w:r w:rsidRPr="0006237B">
        <w:rPr>
          <w:rFonts w:eastAsiaTheme="minorHAnsi" w:cs="Arial"/>
          <w:iCs/>
          <w:sz w:val="16"/>
          <w:szCs w:val="16"/>
          <w:lang w:eastAsia="en-US"/>
        </w:rPr>
        <w:t>B.1g).</w:t>
      </w:r>
    </w:p>
  </w:footnote>
  <w:footnote w:id="5">
    <w:p w14:paraId="52ED59C9" w14:textId="77777777" w:rsidR="00EB4F8B" w:rsidRPr="00984434" w:rsidRDefault="00EB4F8B" w:rsidP="00E0186F">
      <w:pPr>
        <w:pStyle w:val="Textpoznpodarou"/>
        <w:rPr>
          <w:sz w:val="16"/>
          <w:szCs w:val="16"/>
        </w:rPr>
      </w:pPr>
      <w:r w:rsidRPr="00984434">
        <w:rPr>
          <w:rStyle w:val="Znakapoznpodarou"/>
          <w:sz w:val="16"/>
          <w:szCs w:val="16"/>
        </w:rPr>
        <w:footnoteRef/>
      </w:r>
      <w:r w:rsidRPr="00984434">
        <w:rPr>
          <w:sz w:val="16"/>
          <w:szCs w:val="16"/>
        </w:rPr>
        <w:t xml:space="preserve"> Míra úspor nefinančních podniků je definována jako podíl hrubých úspor na hrubé přidané hodnotě </w:t>
      </w:r>
      <w:r w:rsidRPr="00984434">
        <w:rPr>
          <w:rFonts w:eastAsiaTheme="minorHAnsi" w:cs="Arial"/>
          <w:iCs/>
          <w:sz w:val="16"/>
          <w:szCs w:val="16"/>
          <w:lang w:eastAsia="en-US"/>
        </w:rPr>
        <w:t>(B.8g / B.1g).</w:t>
      </w:r>
    </w:p>
  </w:footnote>
  <w:footnote w:id="6">
    <w:p w14:paraId="0ADCD0FA" w14:textId="77777777" w:rsidR="0013159D" w:rsidRPr="00446302" w:rsidRDefault="0013159D" w:rsidP="0013159D">
      <w:pPr>
        <w:pStyle w:val="Textpoznpodarou"/>
        <w:rPr>
          <w:sz w:val="16"/>
          <w:szCs w:val="16"/>
        </w:rPr>
      </w:pPr>
      <w:r w:rsidRPr="00446302">
        <w:rPr>
          <w:rStyle w:val="Znakapoznpodarou"/>
          <w:sz w:val="16"/>
          <w:szCs w:val="16"/>
        </w:rPr>
        <w:footnoteRef/>
      </w:r>
      <w:r w:rsidRPr="00446302">
        <w:rPr>
          <w:sz w:val="16"/>
          <w:szCs w:val="16"/>
        </w:rPr>
        <w:t xml:space="preserve"> Podle deflátoru </w:t>
      </w:r>
      <w:r>
        <w:rPr>
          <w:sz w:val="16"/>
          <w:szCs w:val="16"/>
        </w:rPr>
        <w:t xml:space="preserve">HDP </w:t>
      </w:r>
      <w:r w:rsidRPr="00446302">
        <w:rPr>
          <w:sz w:val="16"/>
          <w:szCs w:val="16"/>
        </w:rPr>
        <w:t>se ceny hrubého fixního kapitálu zvýšily</w:t>
      </w:r>
      <w:r>
        <w:rPr>
          <w:sz w:val="16"/>
          <w:szCs w:val="16"/>
        </w:rPr>
        <w:t xml:space="preserve"> v 1. čtvrtletí</w:t>
      </w:r>
      <w:r w:rsidRPr="00446302">
        <w:rPr>
          <w:sz w:val="16"/>
          <w:szCs w:val="16"/>
        </w:rPr>
        <w:t xml:space="preserve"> meziročně o </w:t>
      </w:r>
      <w:r>
        <w:rPr>
          <w:sz w:val="16"/>
          <w:szCs w:val="16"/>
        </w:rPr>
        <w:t xml:space="preserve">7,6 </w:t>
      </w:r>
      <w:r w:rsidRPr="00446302">
        <w:rPr>
          <w:sz w:val="16"/>
          <w:szCs w:val="16"/>
        </w:rPr>
        <w:t>%</w:t>
      </w:r>
      <w:r>
        <w:rPr>
          <w:sz w:val="16"/>
          <w:szCs w:val="16"/>
        </w:rPr>
        <w:t xml:space="preserve"> </w:t>
      </w:r>
      <w:r w:rsidRPr="00446302">
        <w:rPr>
          <w:sz w:val="16"/>
          <w:szCs w:val="16"/>
        </w:rPr>
        <w:t>a mezičtvrtletně</w:t>
      </w:r>
      <w:r>
        <w:rPr>
          <w:sz w:val="16"/>
          <w:szCs w:val="16"/>
        </w:rPr>
        <w:t xml:space="preserve"> vzrostly o 2,3 %. </w:t>
      </w:r>
    </w:p>
  </w:footnote>
  <w:footnote w:id="7">
    <w:p w14:paraId="4F47E9EC" w14:textId="77777777" w:rsidR="0013159D" w:rsidRPr="00AB3D8D" w:rsidRDefault="0013159D" w:rsidP="0013159D">
      <w:pPr>
        <w:pStyle w:val="Textpoznpodarou"/>
        <w:rPr>
          <w:sz w:val="16"/>
          <w:szCs w:val="16"/>
        </w:rPr>
      </w:pPr>
      <w:r w:rsidRPr="00AB3D8D">
        <w:rPr>
          <w:rStyle w:val="Znakapoznpodarou"/>
          <w:sz w:val="16"/>
          <w:szCs w:val="16"/>
        </w:rPr>
        <w:footnoteRef/>
      </w:r>
      <w:r w:rsidRPr="00AB3D8D">
        <w:rPr>
          <w:sz w:val="16"/>
          <w:szCs w:val="16"/>
        </w:rPr>
        <w:t xml:space="preserve"> </w:t>
      </w:r>
      <w:r w:rsidRPr="00AB3D8D">
        <w:rPr>
          <w:rFonts w:eastAsiaTheme="minorHAnsi" w:cs="Arial"/>
          <w:bCs/>
          <w:iCs/>
          <w:sz w:val="16"/>
          <w:szCs w:val="16"/>
          <w:lang w:eastAsia="en-US"/>
        </w:rPr>
        <w:t xml:space="preserve">Míra investic nefinančních podniků </w:t>
      </w:r>
      <w:r w:rsidRPr="00AB3D8D">
        <w:rPr>
          <w:rFonts w:eastAsiaTheme="minorHAnsi" w:cs="Arial"/>
          <w:iCs/>
          <w:sz w:val="16"/>
          <w:szCs w:val="16"/>
          <w:lang w:eastAsia="en-US"/>
        </w:rPr>
        <w:t>je definována jako podíl hrubé tvorby fixního kapitálu k</w:t>
      </w:r>
      <w:r>
        <w:rPr>
          <w:rFonts w:eastAsiaTheme="minorHAnsi" w:cs="Arial"/>
          <w:iCs/>
          <w:sz w:val="16"/>
          <w:szCs w:val="16"/>
          <w:lang w:eastAsia="en-US"/>
        </w:rPr>
        <w:t> </w:t>
      </w:r>
      <w:r w:rsidRPr="00AB3D8D">
        <w:rPr>
          <w:rFonts w:eastAsiaTheme="minorHAnsi" w:cs="Arial"/>
          <w:iCs/>
          <w:sz w:val="16"/>
          <w:szCs w:val="16"/>
          <w:lang w:eastAsia="en-US"/>
        </w:rPr>
        <w:t>hrubé přidané hodnotě (P.51g</w:t>
      </w:r>
      <w:r>
        <w:rPr>
          <w:rFonts w:eastAsiaTheme="minorHAnsi" w:cs="Arial"/>
          <w:iCs/>
          <w:sz w:val="16"/>
          <w:szCs w:val="16"/>
          <w:lang w:eastAsia="en-US"/>
        </w:rPr>
        <w:t> </w:t>
      </w:r>
      <w:r w:rsidRPr="00AB3D8D">
        <w:rPr>
          <w:rFonts w:eastAsiaTheme="minorHAnsi" w:cs="Arial"/>
          <w:iCs/>
          <w:sz w:val="16"/>
          <w:szCs w:val="16"/>
          <w:lang w:eastAsia="en-US"/>
        </w:rPr>
        <w:t>/</w:t>
      </w:r>
      <w:r>
        <w:rPr>
          <w:rFonts w:eastAsiaTheme="minorHAnsi" w:cs="Arial"/>
          <w:iCs/>
          <w:sz w:val="16"/>
          <w:szCs w:val="16"/>
          <w:lang w:eastAsia="en-US"/>
        </w:rPr>
        <w:t> </w:t>
      </w:r>
      <w:r w:rsidRPr="00AB3D8D">
        <w:rPr>
          <w:rFonts w:eastAsiaTheme="minorHAnsi" w:cs="Arial"/>
          <w:iCs/>
          <w:sz w:val="16"/>
          <w:szCs w:val="16"/>
          <w:lang w:eastAsia="en-US"/>
        </w:rPr>
        <w:t>B.1g).</w:t>
      </w:r>
    </w:p>
  </w:footnote>
  <w:footnote w:id="8">
    <w:p w14:paraId="07CFA7BF" w14:textId="77777777" w:rsidR="00962C91" w:rsidRPr="00337C71" w:rsidRDefault="00962C91" w:rsidP="00962C91">
      <w:pPr>
        <w:autoSpaceDE w:val="0"/>
        <w:autoSpaceDN w:val="0"/>
        <w:adjustRightInd w:val="0"/>
        <w:spacing w:line="240" w:lineRule="auto"/>
        <w:jc w:val="left"/>
        <w:rPr>
          <w:rStyle w:val="Znakapoznpodarou"/>
          <w:sz w:val="16"/>
          <w:szCs w:val="16"/>
          <w:vertAlign w:val="baseline"/>
          <w:lang w:eastAsia="cs-CZ"/>
        </w:rPr>
      </w:pPr>
      <w:r w:rsidRPr="00EC1A9F">
        <w:rPr>
          <w:rStyle w:val="Znakapoznpodarou"/>
          <w:sz w:val="16"/>
          <w:szCs w:val="16"/>
        </w:rPr>
        <w:footnoteRef/>
      </w:r>
      <w:r w:rsidRPr="00EC1A9F">
        <w:rPr>
          <w:sz w:val="16"/>
          <w:szCs w:val="16"/>
        </w:rPr>
        <w:t xml:space="preserve"> Dluh v sektorových účtech se liší (číselně i</w:t>
      </w:r>
      <w:r>
        <w:rPr>
          <w:sz w:val="16"/>
          <w:szCs w:val="16"/>
        </w:rPr>
        <w:t> </w:t>
      </w:r>
      <w:r w:rsidRPr="00EC1A9F">
        <w:rPr>
          <w:sz w:val="16"/>
          <w:szCs w:val="16"/>
        </w:rPr>
        <w:t>metodicky) od Maastrichtského dluhu pro potřeby EDP statistiky.</w:t>
      </w:r>
      <w:r>
        <w:rPr>
          <w:sz w:val="16"/>
          <w:szCs w:val="16"/>
        </w:rPr>
        <w:t xml:space="preserve"> Liší se zejména zahrnuté závazky i způsob jejich ohodnocení. </w:t>
      </w:r>
      <w:r w:rsidRPr="00EB3C89">
        <w:rPr>
          <w:rFonts w:cs="Arial"/>
          <w:sz w:val="16"/>
          <w:szCs w:val="16"/>
          <w:lang w:eastAsia="cs-CZ"/>
        </w:rPr>
        <w:t>Celkové závazky v</w:t>
      </w:r>
      <w:r>
        <w:rPr>
          <w:rFonts w:cs="Arial"/>
          <w:sz w:val="16"/>
          <w:szCs w:val="16"/>
          <w:lang w:eastAsia="cs-CZ"/>
        </w:rPr>
        <w:t> </w:t>
      </w:r>
      <w:r w:rsidRPr="00EB3C89">
        <w:rPr>
          <w:rFonts w:cs="Arial"/>
          <w:sz w:val="16"/>
          <w:szCs w:val="16"/>
          <w:lang w:eastAsia="cs-CZ"/>
        </w:rPr>
        <w:t>sektorových účtech zahrnují</w:t>
      </w:r>
      <w:r>
        <w:rPr>
          <w:rFonts w:cs="Arial"/>
          <w:sz w:val="16"/>
          <w:szCs w:val="16"/>
          <w:lang w:eastAsia="cs-CZ"/>
        </w:rPr>
        <w:t xml:space="preserve"> </w:t>
      </w:r>
      <w:r w:rsidRPr="00EB3C89">
        <w:rPr>
          <w:rFonts w:cs="Arial"/>
          <w:sz w:val="16"/>
          <w:szCs w:val="16"/>
          <w:lang w:eastAsia="cs-CZ"/>
        </w:rPr>
        <w:t>navíc měnové zlato a</w:t>
      </w:r>
      <w:r>
        <w:rPr>
          <w:rFonts w:cs="Arial"/>
          <w:sz w:val="16"/>
          <w:szCs w:val="16"/>
          <w:lang w:eastAsia="cs-CZ"/>
        </w:rPr>
        <w:t> </w:t>
      </w:r>
      <w:r w:rsidRPr="00EB3C89">
        <w:rPr>
          <w:rFonts w:cs="Arial"/>
          <w:sz w:val="16"/>
          <w:szCs w:val="16"/>
          <w:lang w:eastAsia="cs-CZ"/>
        </w:rPr>
        <w:t>zvláštní práva čerpání, účasti a</w:t>
      </w:r>
      <w:r>
        <w:rPr>
          <w:rFonts w:cs="Arial"/>
          <w:sz w:val="16"/>
          <w:szCs w:val="16"/>
          <w:lang w:eastAsia="cs-CZ"/>
        </w:rPr>
        <w:t> </w:t>
      </w:r>
      <w:r w:rsidRPr="00EB3C89">
        <w:rPr>
          <w:rFonts w:cs="Arial"/>
          <w:sz w:val="16"/>
          <w:szCs w:val="16"/>
          <w:lang w:eastAsia="cs-CZ"/>
        </w:rPr>
        <w:t>podíly v</w:t>
      </w:r>
      <w:r>
        <w:rPr>
          <w:rFonts w:cs="Arial"/>
          <w:sz w:val="16"/>
          <w:szCs w:val="16"/>
          <w:lang w:eastAsia="cs-CZ"/>
        </w:rPr>
        <w:t> </w:t>
      </w:r>
      <w:r w:rsidRPr="00EB3C89">
        <w:rPr>
          <w:rFonts w:cs="Arial"/>
          <w:sz w:val="16"/>
          <w:szCs w:val="16"/>
          <w:lang w:eastAsia="cs-CZ"/>
        </w:rPr>
        <w:t>investičních</w:t>
      </w:r>
      <w:r>
        <w:rPr>
          <w:rFonts w:cs="Arial"/>
          <w:sz w:val="16"/>
          <w:szCs w:val="16"/>
          <w:lang w:eastAsia="cs-CZ"/>
        </w:rPr>
        <w:t xml:space="preserve"> </w:t>
      </w:r>
      <w:r w:rsidRPr="00EB3C89">
        <w:rPr>
          <w:rFonts w:cs="Arial"/>
          <w:sz w:val="16"/>
          <w:szCs w:val="16"/>
          <w:lang w:eastAsia="cs-CZ"/>
        </w:rPr>
        <w:t>fondech, pojistné a</w:t>
      </w:r>
      <w:r>
        <w:rPr>
          <w:rFonts w:cs="Arial"/>
          <w:sz w:val="16"/>
          <w:szCs w:val="16"/>
          <w:lang w:eastAsia="cs-CZ"/>
        </w:rPr>
        <w:t> </w:t>
      </w:r>
      <w:r w:rsidRPr="00EB3C89">
        <w:rPr>
          <w:rFonts w:cs="Arial"/>
          <w:sz w:val="16"/>
          <w:szCs w:val="16"/>
          <w:lang w:eastAsia="cs-CZ"/>
        </w:rPr>
        <w:t>penzijní programy, finanční deriváty a</w:t>
      </w:r>
      <w:r>
        <w:rPr>
          <w:rFonts w:cs="Arial"/>
          <w:sz w:val="16"/>
          <w:szCs w:val="16"/>
          <w:lang w:eastAsia="cs-CZ"/>
        </w:rPr>
        <w:t> </w:t>
      </w:r>
      <w:r w:rsidRPr="00EB3C89">
        <w:rPr>
          <w:rFonts w:cs="Arial"/>
          <w:sz w:val="16"/>
          <w:szCs w:val="16"/>
          <w:lang w:eastAsia="cs-CZ"/>
        </w:rPr>
        <w:t>zaměstnanecké</w:t>
      </w:r>
      <w:r>
        <w:rPr>
          <w:rFonts w:cs="Arial"/>
          <w:sz w:val="16"/>
          <w:szCs w:val="16"/>
          <w:lang w:eastAsia="cs-CZ"/>
        </w:rPr>
        <w:t xml:space="preserve"> </w:t>
      </w:r>
      <w:r w:rsidRPr="00EB3C89">
        <w:rPr>
          <w:rFonts w:cs="Arial"/>
          <w:sz w:val="16"/>
          <w:szCs w:val="16"/>
          <w:lang w:eastAsia="cs-CZ"/>
        </w:rPr>
        <w:t>opce a</w:t>
      </w:r>
      <w:r>
        <w:rPr>
          <w:rFonts w:cs="Arial"/>
          <w:sz w:val="16"/>
          <w:szCs w:val="16"/>
          <w:lang w:eastAsia="cs-CZ"/>
        </w:rPr>
        <w:t> </w:t>
      </w:r>
      <w:r w:rsidRPr="00EB3C89">
        <w:rPr>
          <w:rFonts w:cs="Arial"/>
          <w:sz w:val="16"/>
          <w:szCs w:val="16"/>
          <w:lang w:eastAsia="cs-CZ"/>
        </w:rPr>
        <w:t>ostatní závazky. Všechny závazky jsou oceněny tržní hodnotou a</w:t>
      </w:r>
      <w:r>
        <w:rPr>
          <w:rFonts w:cs="Arial"/>
          <w:sz w:val="16"/>
          <w:szCs w:val="16"/>
          <w:lang w:eastAsia="cs-CZ"/>
        </w:rPr>
        <w:t> </w:t>
      </w:r>
      <w:r w:rsidRPr="00EB3C89">
        <w:rPr>
          <w:rFonts w:cs="Arial"/>
          <w:sz w:val="16"/>
          <w:szCs w:val="16"/>
          <w:lang w:eastAsia="cs-CZ"/>
        </w:rPr>
        <w:t>bez</w:t>
      </w:r>
      <w:r>
        <w:rPr>
          <w:rFonts w:cs="Arial"/>
          <w:sz w:val="16"/>
          <w:szCs w:val="16"/>
          <w:lang w:eastAsia="cs-CZ"/>
        </w:rPr>
        <w:t xml:space="preserve"> </w:t>
      </w:r>
      <w:r w:rsidRPr="00EB3C89">
        <w:rPr>
          <w:rFonts w:cs="Arial"/>
          <w:sz w:val="16"/>
          <w:szCs w:val="16"/>
          <w:lang w:eastAsia="cs-CZ"/>
        </w:rPr>
        <w:t>vlivu souvisejících</w:t>
      </w:r>
      <w:r>
        <w:rPr>
          <w:rFonts w:cs="Arial"/>
          <w:sz w:val="16"/>
          <w:szCs w:val="16"/>
          <w:lang w:eastAsia="cs-CZ"/>
        </w:rPr>
        <w:t xml:space="preserve"> </w:t>
      </w:r>
      <w:r w:rsidRPr="00EB3C89">
        <w:rPr>
          <w:rFonts w:cs="Arial"/>
          <w:sz w:val="16"/>
          <w:szCs w:val="16"/>
          <w:lang w:eastAsia="cs-CZ"/>
        </w:rPr>
        <w:t>derivátových obchodů.</w:t>
      </w:r>
      <w:r>
        <w:rPr>
          <w:rFonts w:cs="Arial"/>
          <w:sz w:val="16"/>
          <w:szCs w:val="16"/>
          <w:lang w:eastAsia="cs-CZ"/>
        </w:rPr>
        <w:t xml:space="preserve"> Zdroj: Rybáček, V., Musil, P. (2020). </w:t>
      </w:r>
      <w:r w:rsidRPr="00EB3C89">
        <w:rPr>
          <w:rFonts w:cs="Arial"/>
          <w:sz w:val="16"/>
          <w:szCs w:val="16"/>
          <w:lang w:eastAsia="cs-CZ"/>
        </w:rPr>
        <w:t>Vztah mezi saldem hospodaření a</w:t>
      </w:r>
      <w:r>
        <w:rPr>
          <w:rFonts w:cs="Arial"/>
          <w:sz w:val="16"/>
          <w:szCs w:val="16"/>
          <w:lang w:eastAsia="cs-CZ"/>
        </w:rPr>
        <w:t> </w:t>
      </w:r>
      <w:r w:rsidRPr="00EB3C89">
        <w:rPr>
          <w:rFonts w:cs="Arial"/>
          <w:sz w:val="16"/>
          <w:szCs w:val="16"/>
          <w:lang w:eastAsia="cs-CZ"/>
        </w:rPr>
        <w:t>dluhem vládních institucí.</w:t>
      </w:r>
      <w:r w:rsidRPr="00EB3C89">
        <w:rPr>
          <w:sz w:val="16"/>
          <w:szCs w:val="16"/>
        </w:rPr>
        <w:t xml:space="preserve"> </w:t>
      </w:r>
      <w:r w:rsidRPr="00EB3C89">
        <w:rPr>
          <w:i/>
          <w:iCs/>
          <w:sz w:val="16"/>
          <w:szCs w:val="16"/>
        </w:rPr>
        <w:t>Politická ekonomie</w:t>
      </w:r>
      <w:r w:rsidRPr="00EB3C89">
        <w:rPr>
          <w:sz w:val="16"/>
          <w:szCs w:val="16"/>
        </w:rPr>
        <w:t>, 68(4), 462</w:t>
      </w:r>
      <w:r>
        <w:rPr>
          <w:sz w:val="16"/>
          <w:szCs w:val="16"/>
        </w:rPr>
        <w:t>–</w:t>
      </w:r>
      <w:r w:rsidRPr="00EB3C89">
        <w:rPr>
          <w:sz w:val="16"/>
          <w:szCs w:val="16"/>
        </w:rPr>
        <w:t>482, https://doi.org/10.18267/j.polek.1290</w:t>
      </w:r>
      <w:r>
        <w:rPr>
          <w:sz w:val="16"/>
          <w:szCs w:val="16"/>
        </w:rPr>
        <w:t>.</w:t>
      </w:r>
    </w:p>
  </w:footnote>
  <w:footnote w:id="9">
    <w:p w14:paraId="0105CF49" w14:textId="29E95745" w:rsidR="007C3D04" w:rsidRPr="009E0C2A" w:rsidRDefault="007C3D04" w:rsidP="007C3D04">
      <w:pPr>
        <w:pStyle w:val="Textpoznpodarou"/>
        <w:rPr>
          <w:sz w:val="16"/>
          <w:szCs w:val="16"/>
        </w:rPr>
      </w:pPr>
      <w:r w:rsidRPr="009E0C2A">
        <w:rPr>
          <w:rStyle w:val="Znakapoznpodarou"/>
          <w:sz w:val="16"/>
          <w:szCs w:val="16"/>
        </w:rPr>
        <w:footnoteRef/>
      </w:r>
      <w:r w:rsidRPr="009E0C2A">
        <w:rPr>
          <w:sz w:val="16"/>
          <w:szCs w:val="16"/>
        </w:rPr>
        <w:t xml:space="preserve"> </w:t>
      </w:r>
      <w:r>
        <w:rPr>
          <w:sz w:val="16"/>
          <w:szCs w:val="16"/>
        </w:rPr>
        <w:t>Pro očištění o vliv cen byl použit</w:t>
      </w:r>
      <w:r w:rsidRPr="009E0C2A">
        <w:rPr>
          <w:sz w:val="16"/>
          <w:szCs w:val="16"/>
        </w:rPr>
        <w:t xml:space="preserve"> deflátor výdajů na konečnou spotřebu domácností.</w:t>
      </w:r>
      <w:r>
        <w:rPr>
          <w:sz w:val="16"/>
          <w:szCs w:val="16"/>
        </w:rPr>
        <w:t xml:space="preserve"> V 1. čtvrtletí 2023 činil meziroční cenový nárůst 14,7 % a mezičtvrtletně došlo k nárůstu o 5,1 %.</w:t>
      </w:r>
    </w:p>
  </w:footnote>
  <w:footnote w:id="10">
    <w:p w14:paraId="26780487" w14:textId="77777777" w:rsidR="00EB4F8B" w:rsidRPr="00EB5544" w:rsidRDefault="00EB4F8B" w:rsidP="003D22F2">
      <w:pPr>
        <w:pStyle w:val="Textpoznpodarou"/>
        <w:rPr>
          <w:sz w:val="16"/>
          <w:szCs w:val="16"/>
        </w:rPr>
      </w:pPr>
      <w:r w:rsidRPr="00EB5544">
        <w:rPr>
          <w:rStyle w:val="Znakapoznpodarou"/>
          <w:sz w:val="16"/>
          <w:szCs w:val="16"/>
        </w:rPr>
        <w:footnoteRef/>
      </w:r>
      <w:r w:rsidRPr="00EB5544">
        <w:rPr>
          <w:sz w:val="16"/>
          <w:szCs w:val="16"/>
        </w:rPr>
        <w:t xml:space="preserve"> Zachycuje příjmy z podnikání drobných podnikatelů zařazených do sektor</w:t>
      </w:r>
      <w:r>
        <w:rPr>
          <w:sz w:val="16"/>
          <w:szCs w:val="16"/>
        </w:rPr>
        <w:t>u</w:t>
      </w:r>
      <w:r w:rsidRPr="00EB5544">
        <w:rPr>
          <w:sz w:val="16"/>
          <w:szCs w:val="16"/>
        </w:rPr>
        <w:t xml:space="preserve"> domácností</w:t>
      </w:r>
      <w:r>
        <w:rPr>
          <w:sz w:val="16"/>
          <w:szCs w:val="16"/>
        </w:rPr>
        <w:t>.</w:t>
      </w:r>
    </w:p>
  </w:footnote>
  <w:footnote w:id="11">
    <w:p w14:paraId="6552631E" w14:textId="77777777" w:rsidR="00EB4F8B" w:rsidRPr="00EB5544" w:rsidRDefault="00EB4F8B" w:rsidP="00F12768">
      <w:pPr>
        <w:pStyle w:val="Textpoznpodarou"/>
        <w:rPr>
          <w:sz w:val="16"/>
          <w:szCs w:val="16"/>
        </w:rPr>
      </w:pPr>
      <w:r w:rsidRPr="00EB5544">
        <w:rPr>
          <w:rStyle w:val="Znakapoznpodarou"/>
          <w:sz w:val="16"/>
          <w:szCs w:val="16"/>
        </w:rPr>
        <w:footnoteRef/>
      </w:r>
      <w:r w:rsidRPr="00EB5544">
        <w:rPr>
          <w:sz w:val="16"/>
          <w:szCs w:val="16"/>
        </w:rPr>
        <w:t xml:space="preserve"> Zachycuje hodnotu produkce domácností pro vlastní spotřebu a</w:t>
      </w:r>
      <w:r>
        <w:rPr>
          <w:sz w:val="16"/>
          <w:szCs w:val="16"/>
        </w:rPr>
        <w:t> </w:t>
      </w:r>
      <w:r w:rsidRPr="00EB5544">
        <w:rPr>
          <w:sz w:val="16"/>
          <w:szCs w:val="16"/>
        </w:rPr>
        <w:t>rovněž imputované nájemné a</w:t>
      </w:r>
      <w:r>
        <w:rPr>
          <w:sz w:val="16"/>
          <w:szCs w:val="16"/>
        </w:rPr>
        <w:t> </w:t>
      </w:r>
      <w:r w:rsidRPr="00EB5544">
        <w:rPr>
          <w:sz w:val="16"/>
          <w:szCs w:val="16"/>
        </w:rPr>
        <w:t>poskytování služeb bydlení</w:t>
      </w:r>
      <w:r>
        <w:rPr>
          <w:sz w:val="16"/>
          <w:szCs w:val="16"/>
        </w:rPr>
        <w:t>.</w:t>
      </w:r>
    </w:p>
  </w:footnote>
  <w:footnote w:id="12">
    <w:p w14:paraId="3D2A9E1A" w14:textId="77777777" w:rsidR="00A23F1D" w:rsidRPr="00797632" w:rsidRDefault="00A23F1D" w:rsidP="00A23F1D">
      <w:pPr>
        <w:pStyle w:val="Textpoznpodarou"/>
        <w:rPr>
          <w:sz w:val="16"/>
          <w:szCs w:val="16"/>
        </w:rPr>
      </w:pPr>
      <w:r w:rsidRPr="00797632">
        <w:rPr>
          <w:rStyle w:val="Znakapoznpodarou"/>
          <w:sz w:val="16"/>
          <w:szCs w:val="16"/>
        </w:rPr>
        <w:footnoteRef/>
      </w:r>
      <w:r w:rsidRPr="00797632">
        <w:rPr>
          <w:sz w:val="16"/>
          <w:szCs w:val="16"/>
        </w:rPr>
        <w:t xml:space="preserve"> </w:t>
      </w:r>
      <w:r w:rsidRPr="00797632">
        <w:rPr>
          <w:rFonts w:cs="Arial"/>
          <w:iCs/>
          <w:sz w:val="16"/>
          <w:szCs w:val="16"/>
        </w:rPr>
        <w:t>Hrubé úspory představují část hrubého disponibilního důchodu, která nebyla spotřebována ve formě výdajů na konečnou spotřebu.</w:t>
      </w:r>
    </w:p>
  </w:footnote>
  <w:footnote w:id="13">
    <w:p w14:paraId="42AE676D" w14:textId="7544947D" w:rsidR="00EB4F8B" w:rsidRPr="00E9501D" w:rsidRDefault="00EB4F8B" w:rsidP="00E26E5D">
      <w:pPr>
        <w:autoSpaceDE w:val="0"/>
        <w:autoSpaceDN w:val="0"/>
        <w:adjustRightInd w:val="0"/>
        <w:spacing w:line="240" w:lineRule="auto"/>
        <w:jc w:val="left"/>
        <w:rPr>
          <w:sz w:val="16"/>
          <w:szCs w:val="16"/>
        </w:rPr>
      </w:pPr>
      <w:r w:rsidRPr="00E9501D">
        <w:rPr>
          <w:rStyle w:val="Znakapoznpodarou"/>
          <w:sz w:val="16"/>
          <w:szCs w:val="16"/>
        </w:rPr>
        <w:footnoteRef/>
      </w:r>
      <w:r w:rsidRPr="00E9501D">
        <w:rPr>
          <w:sz w:val="16"/>
          <w:szCs w:val="16"/>
        </w:rPr>
        <w:t xml:space="preserve"> </w:t>
      </w:r>
      <w:r w:rsidRPr="00E9501D">
        <w:rPr>
          <w:rFonts w:cs="Arial"/>
          <w:bCs/>
          <w:iCs/>
          <w:sz w:val="16"/>
          <w:szCs w:val="16"/>
        </w:rPr>
        <w:t xml:space="preserve">Míra úspor domácností </w:t>
      </w:r>
      <w:r w:rsidRPr="00E9501D">
        <w:rPr>
          <w:rFonts w:cs="Arial"/>
          <w:iCs/>
          <w:sz w:val="16"/>
          <w:szCs w:val="16"/>
        </w:rPr>
        <w:t>je definována jako podíl hrubých úspor a</w:t>
      </w:r>
      <w:r>
        <w:rPr>
          <w:rFonts w:cs="Arial"/>
          <w:iCs/>
          <w:sz w:val="16"/>
          <w:szCs w:val="16"/>
        </w:rPr>
        <w:t> </w:t>
      </w:r>
      <w:r w:rsidRPr="00E9501D">
        <w:rPr>
          <w:rFonts w:cs="Arial"/>
          <w:iCs/>
          <w:sz w:val="16"/>
          <w:szCs w:val="16"/>
        </w:rPr>
        <w:t>hrubého disponibilního důchodu se zahrnutím úpravy o</w:t>
      </w:r>
      <w:r>
        <w:rPr>
          <w:rFonts w:cs="Arial"/>
          <w:iCs/>
          <w:sz w:val="16"/>
          <w:szCs w:val="16"/>
        </w:rPr>
        <w:t> </w:t>
      </w:r>
      <w:r w:rsidRPr="00E9501D">
        <w:rPr>
          <w:rFonts w:cs="Arial"/>
          <w:iCs/>
          <w:sz w:val="16"/>
          <w:szCs w:val="16"/>
        </w:rPr>
        <w:t>čistý podíl domácností na rezervách penzijních fondů (B.8g</w:t>
      </w:r>
      <w:r>
        <w:rPr>
          <w:rFonts w:cs="Arial"/>
          <w:iCs/>
          <w:sz w:val="16"/>
          <w:szCs w:val="16"/>
        </w:rPr>
        <w:t> </w:t>
      </w:r>
      <w:r w:rsidRPr="00E9501D">
        <w:rPr>
          <w:rFonts w:cs="Arial"/>
          <w:iCs/>
          <w:sz w:val="16"/>
          <w:szCs w:val="16"/>
        </w:rPr>
        <w:t>/</w:t>
      </w:r>
      <w:r>
        <w:rPr>
          <w:rFonts w:cs="Arial"/>
          <w:iCs/>
          <w:sz w:val="16"/>
          <w:szCs w:val="16"/>
        </w:rPr>
        <w:t> </w:t>
      </w:r>
      <w:r w:rsidRPr="00E9501D">
        <w:rPr>
          <w:rFonts w:cs="Arial"/>
          <w:iCs/>
          <w:sz w:val="16"/>
          <w:szCs w:val="16"/>
        </w:rPr>
        <w:t>(B.</w:t>
      </w:r>
      <w:proofErr w:type="gramStart"/>
      <w:r w:rsidRPr="00E9501D">
        <w:rPr>
          <w:rFonts w:cs="Arial"/>
          <w:iCs/>
          <w:sz w:val="16"/>
          <w:szCs w:val="16"/>
        </w:rPr>
        <w:t>6g</w:t>
      </w:r>
      <w:r>
        <w:rPr>
          <w:rFonts w:cs="Arial"/>
          <w:iCs/>
          <w:sz w:val="16"/>
          <w:szCs w:val="16"/>
        </w:rPr>
        <w:t> </w:t>
      </w:r>
      <w:r w:rsidRPr="00E9501D">
        <w:rPr>
          <w:rFonts w:cs="Arial"/>
          <w:iCs/>
          <w:sz w:val="16"/>
          <w:szCs w:val="16"/>
        </w:rPr>
        <w:t>+</w:t>
      </w:r>
      <w:r>
        <w:rPr>
          <w:rFonts w:cs="Arial"/>
          <w:iCs/>
          <w:sz w:val="16"/>
          <w:szCs w:val="16"/>
        </w:rPr>
        <w:t> </w:t>
      </w:r>
      <w:r w:rsidRPr="00E9501D">
        <w:rPr>
          <w:rFonts w:cs="Arial"/>
          <w:iCs/>
          <w:sz w:val="16"/>
          <w:szCs w:val="16"/>
        </w:rPr>
        <w:t>D.8)).</w:t>
      </w:r>
      <w:proofErr w:type="gramEnd"/>
      <w:r w:rsidRPr="00E9501D">
        <w:rPr>
          <w:rFonts w:cs="Arial"/>
          <w:iCs/>
          <w:sz w:val="16"/>
          <w:szCs w:val="16"/>
        </w:rPr>
        <w:t xml:space="preserve"> </w:t>
      </w:r>
    </w:p>
  </w:footnote>
  <w:footnote w:id="14">
    <w:p w14:paraId="37C291D2" w14:textId="77777777" w:rsidR="00502031" w:rsidRPr="00D20875" w:rsidRDefault="00502031" w:rsidP="00502031">
      <w:pPr>
        <w:autoSpaceDE w:val="0"/>
        <w:autoSpaceDN w:val="0"/>
        <w:adjustRightInd w:val="0"/>
        <w:spacing w:line="240" w:lineRule="auto"/>
        <w:jc w:val="left"/>
        <w:rPr>
          <w:rFonts w:cs="Arial"/>
          <w:sz w:val="16"/>
          <w:szCs w:val="16"/>
        </w:rPr>
      </w:pPr>
      <w:r w:rsidRPr="00D20875">
        <w:rPr>
          <w:rStyle w:val="Znakapoznpodarou"/>
          <w:rFonts w:cs="Arial"/>
          <w:sz w:val="16"/>
          <w:szCs w:val="16"/>
        </w:rPr>
        <w:footnoteRef/>
      </w:r>
      <w:r w:rsidRPr="00D20875">
        <w:rPr>
          <w:rFonts w:cs="Arial"/>
          <w:sz w:val="16"/>
          <w:szCs w:val="16"/>
        </w:rPr>
        <w:t xml:space="preserve"> </w:t>
      </w:r>
      <w:r w:rsidRPr="00D20875">
        <w:rPr>
          <w:rFonts w:cs="Arial"/>
          <w:bCs/>
          <w:iCs/>
          <w:sz w:val="16"/>
          <w:szCs w:val="16"/>
        </w:rPr>
        <w:t xml:space="preserve">Míra investic domácností </w:t>
      </w:r>
      <w:r w:rsidRPr="00D20875">
        <w:rPr>
          <w:rFonts w:cs="Arial"/>
          <w:iCs/>
          <w:sz w:val="16"/>
          <w:szCs w:val="16"/>
        </w:rPr>
        <w:t>je definována jako podíl hrubé tvorby fixního kapitálu k hrubému disponibilnímu důchodu se zahrnutím úpravy o</w:t>
      </w:r>
      <w:r>
        <w:rPr>
          <w:rFonts w:cs="Arial"/>
          <w:iCs/>
          <w:sz w:val="16"/>
          <w:szCs w:val="16"/>
        </w:rPr>
        <w:t> </w:t>
      </w:r>
      <w:r w:rsidRPr="00D20875">
        <w:rPr>
          <w:rFonts w:cs="Arial"/>
          <w:iCs/>
          <w:sz w:val="16"/>
          <w:szCs w:val="16"/>
        </w:rPr>
        <w:t>čistý podíl domácností na rezervách penzijních fondů (P.51g</w:t>
      </w:r>
      <w:r>
        <w:rPr>
          <w:rFonts w:cs="Arial"/>
          <w:iCs/>
          <w:sz w:val="16"/>
          <w:szCs w:val="16"/>
        </w:rPr>
        <w:t> </w:t>
      </w:r>
      <w:r w:rsidRPr="00D20875">
        <w:rPr>
          <w:rFonts w:cs="Arial"/>
          <w:iCs/>
          <w:sz w:val="16"/>
          <w:szCs w:val="16"/>
        </w:rPr>
        <w:t>/</w:t>
      </w:r>
      <w:r>
        <w:rPr>
          <w:rFonts w:cs="Arial"/>
          <w:iCs/>
          <w:sz w:val="16"/>
          <w:szCs w:val="16"/>
        </w:rPr>
        <w:t> (</w:t>
      </w:r>
      <w:r w:rsidRPr="00D20875">
        <w:rPr>
          <w:rFonts w:cs="Arial"/>
          <w:iCs/>
          <w:sz w:val="16"/>
          <w:szCs w:val="16"/>
        </w:rPr>
        <w:t>B.</w:t>
      </w:r>
      <w:proofErr w:type="gramStart"/>
      <w:r w:rsidRPr="00D20875">
        <w:rPr>
          <w:rFonts w:cs="Arial"/>
          <w:iCs/>
          <w:sz w:val="16"/>
          <w:szCs w:val="16"/>
        </w:rPr>
        <w:t>6g</w:t>
      </w:r>
      <w:r>
        <w:rPr>
          <w:rFonts w:cs="Arial"/>
          <w:iCs/>
          <w:sz w:val="16"/>
          <w:szCs w:val="16"/>
        </w:rPr>
        <w:t> + </w:t>
      </w:r>
      <w:r w:rsidRPr="00D20875">
        <w:rPr>
          <w:rFonts w:cs="Arial"/>
          <w:iCs/>
          <w:sz w:val="16"/>
          <w:szCs w:val="16"/>
        </w:rPr>
        <w:t>D.8</w:t>
      </w:r>
      <w:r>
        <w:rPr>
          <w:rFonts w:cs="Arial"/>
          <w:iCs/>
          <w:sz w:val="16"/>
          <w:szCs w:val="16"/>
        </w:rPr>
        <w:t>)</w:t>
      </w:r>
      <w:r w:rsidRPr="00D20875">
        <w:rPr>
          <w:rFonts w:cs="Arial"/>
          <w:iCs/>
          <w:sz w:val="16"/>
          <w:szCs w:val="16"/>
        </w:rPr>
        <w:t>).</w:t>
      </w:r>
      <w:proofErr w:type="gramEnd"/>
    </w:p>
  </w:footnote>
  <w:footnote w:id="15">
    <w:p w14:paraId="3E60FB3B" w14:textId="77777777" w:rsidR="003F5414" w:rsidRPr="00B342F4" w:rsidRDefault="003F5414" w:rsidP="003F5414">
      <w:pPr>
        <w:pStyle w:val="Textpoznpodarou"/>
        <w:rPr>
          <w:rFonts w:cs="Arial"/>
          <w:sz w:val="16"/>
          <w:szCs w:val="16"/>
        </w:rPr>
      </w:pPr>
      <w:r w:rsidRPr="00273CB1">
        <w:rPr>
          <w:rStyle w:val="Znakapoznpodarou"/>
          <w:sz w:val="16"/>
          <w:szCs w:val="16"/>
        </w:rPr>
        <w:footnoteRef/>
      </w:r>
      <w:r w:rsidRPr="00273CB1">
        <w:rPr>
          <w:sz w:val="16"/>
          <w:szCs w:val="16"/>
        </w:rPr>
        <w:t xml:space="preserve"> </w:t>
      </w:r>
      <w:r w:rsidRPr="00273CB1">
        <w:rPr>
          <w:rStyle w:val="odkaz-style-wrapper"/>
          <w:rFonts w:cs="Arial"/>
          <w:bCs/>
          <w:sz w:val="16"/>
          <w:szCs w:val="16"/>
        </w:rPr>
        <w:t xml:space="preserve">Nerezidenti </w:t>
      </w:r>
      <w:r w:rsidRPr="00273CB1">
        <w:rPr>
          <w:rStyle w:val="odkaz-style-wrapper"/>
          <w:rFonts w:cs="Arial"/>
          <w:sz w:val="16"/>
          <w:szCs w:val="16"/>
        </w:rPr>
        <w:t xml:space="preserve">představují </w:t>
      </w:r>
      <w:r>
        <w:rPr>
          <w:rStyle w:val="odkaz-style-wrapper"/>
          <w:rFonts w:cs="Arial"/>
          <w:sz w:val="16"/>
          <w:szCs w:val="16"/>
        </w:rPr>
        <w:t xml:space="preserve">různorodé </w:t>
      </w:r>
      <w:r w:rsidRPr="00273CB1">
        <w:rPr>
          <w:rStyle w:val="odkaz-style-wrapper"/>
          <w:rFonts w:cs="Arial"/>
          <w:sz w:val="16"/>
          <w:szCs w:val="16"/>
        </w:rPr>
        <w:t>seskupení jednotek</w:t>
      </w:r>
      <w:r>
        <w:rPr>
          <w:rStyle w:val="odkaz-style-wrapper"/>
          <w:rFonts w:cs="Arial"/>
          <w:sz w:val="16"/>
          <w:szCs w:val="16"/>
        </w:rPr>
        <w:t>, jejichž společným znakem je, že nesídlí na ekonomickém území státu, ale mají s daným národním hospodářstvím ekonomické vztahy.</w:t>
      </w:r>
    </w:p>
  </w:footnote>
  <w:footnote w:id="16">
    <w:p w14:paraId="4D599219" w14:textId="28DB13D7" w:rsidR="00F64C3F" w:rsidRPr="00720964" w:rsidRDefault="00F64C3F">
      <w:pPr>
        <w:pStyle w:val="Textpoznpodarou"/>
        <w:rPr>
          <w:sz w:val="16"/>
          <w:szCs w:val="16"/>
        </w:rPr>
      </w:pPr>
      <w:r w:rsidRPr="00720964">
        <w:rPr>
          <w:rStyle w:val="Znakapoznpodarou"/>
          <w:sz w:val="16"/>
          <w:szCs w:val="16"/>
        </w:rPr>
        <w:footnoteRef/>
      </w:r>
      <w:r w:rsidRPr="00720964">
        <w:rPr>
          <w:sz w:val="16"/>
          <w:szCs w:val="16"/>
        </w:rPr>
        <w:t xml:space="preserve"> </w:t>
      </w:r>
      <w:r w:rsidR="00720964">
        <w:rPr>
          <w:sz w:val="16"/>
          <w:szCs w:val="16"/>
        </w:rPr>
        <w:t>O</w:t>
      </w:r>
      <w:r w:rsidRPr="00720964">
        <w:rPr>
          <w:sz w:val="16"/>
          <w:szCs w:val="16"/>
        </w:rPr>
        <w:t>d roku 2005</w:t>
      </w:r>
      <w:r w:rsidR="00720964">
        <w:rPr>
          <w:sz w:val="16"/>
          <w:szCs w:val="16"/>
        </w:rPr>
        <w:t xml:space="preserve"> je kladná čistá pozice </w:t>
      </w:r>
      <w:r w:rsidRPr="00720964">
        <w:rPr>
          <w:sz w:val="16"/>
          <w:szCs w:val="16"/>
        </w:rPr>
        <w:t>výsledk</w:t>
      </w:r>
      <w:r w:rsidR="00720964">
        <w:rPr>
          <w:sz w:val="16"/>
          <w:szCs w:val="16"/>
        </w:rPr>
        <w:t>em</w:t>
      </w:r>
      <w:r w:rsidRPr="00720964">
        <w:rPr>
          <w:sz w:val="16"/>
          <w:szCs w:val="16"/>
        </w:rPr>
        <w:t xml:space="preserve"> typický</w:t>
      </w:r>
      <w:r w:rsidR="00720964">
        <w:rPr>
          <w:sz w:val="16"/>
          <w:szCs w:val="16"/>
        </w:rPr>
        <w:t>m</w:t>
      </w:r>
      <w:r w:rsidRPr="00720964">
        <w:rPr>
          <w:sz w:val="16"/>
          <w:szCs w:val="16"/>
        </w:rPr>
        <w:t xml:space="preserve"> pro 1. čtvrtletí. Výjimkou byl rok 2008, 2009, 2012, 2013 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E062" w14:textId="77777777" w:rsidR="00EB4F8B" w:rsidRDefault="00EB4F8B">
    <w:pPr>
      <w:pStyle w:val="Zhlav"/>
    </w:pPr>
    <w:r>
      <w:rPr>
        <w:noProof/>
        <w:lang w:eastAsia="cs-CZ"/>
      </w:rPr>
      <mc:AlternateContent>
        <mc:Choice Requires="wpg">
          <w:drawing>
            <wp:anchor distT="0" distB="0" distL="114300" distR="114300" simplePos="0" relativeHeight="251658752" behindDoc="0" locked="0" layoutInCell="1" allowOverlap="1" wp14:anchorId="59100DFE" wp14:editId="57F5ACED">
              <wp:simplePos x="0" y="0"/>
              <wp:positionH relativeFrom="page">
                <wp:posOffset>360045</wp:posOffset>
              </wp:positionH>
              <wp:positionV relativeFrom="page">
                <wp:posOffset>540385</wp:posOffset>
              </wp:positionV>
              <wp:extent cx="6329045" cy="1045845"/>
              <wp:effectExtent l="0" t="6985" r="0" b="444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4" name="Rectangle 7"/>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9"/>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0"/>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2178" y="2129"/>
                          <a:ext cx="195" cy="186"/>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394" y="2129"/>
                          <a:ext cx="187" cy="186"/>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2603" y="2129"/>
                          <a:ext cx="195" cy="186"/>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2820" y="2129"/>
                          <a:ext cx="106" cy="186"/>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2909" y="2068"/>
                          <a:ext cx="187" cy="247"/>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3099" y="2129"/>
                          <a:ext cx="170" cy="186"/>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noEditPoints="1"/>
                      </wps:cNvSpPr>
                      <wps:spPr bwMode="auto">
                        <a:xfrm>
                          <a:off x="3278" y="2129"/>
                          <a:ext cx="195" cy="186"/>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6643" y="1371"/>
                          <a:ext cx="3880" cy="179"/>
                        </a:xfrm>
                        <a:custGeom>
                          <a:avLst/>
                          <a:gdLst>
                            <a:gd name="T0" fmla="*/ 152 w 7760"/>
                            <a:gd name="T1" fmla="*/ 278 h 358"/>
                            <a:gd name="T2" fmla="*/ 109 w 7760"/>
                            <a:gd name="T3" fmla="*/ 87 h 358"/>
                            <a:gd name="T4" fmla="*/ 204 w 7760"/>
                            <a:gd name="T5" fmla="*/ 188 h 358"/>
                            <a:gd name="T6" fmla="*/ 327 w 7760"/>
                            <a:gd name="T7" fmla="*/ 221 h 358"/>
                            <a:gd name="T8" fmla="*/ 404 w 7760"/>
                            <a:gd name="T9" fmla="*/ 228 h 358"/>
                            <a:gd name="T10" fmla="*/ 382 w 7760"/>
                            <a:gd name="T11" fmla="*/ 192 h 358"/>
                            <a:gd name="T12" fmla="*/ 888 w 7760"/>
                            <a:gd name="T13" fmla="*/ 156 h 358"/>
                            <a:gd name="T14" fmla="*/ 823 w 7760"/>
                            <a:gd name="T15" fmla="*/ 267 h 358"/>
                            <a:gd name="T16" fmla="*/ 925 w 7760"/>
                            <a:gd name="T17" fmla="*/ 171 h 358"/>
                            <a:gd name="T18" fmla="*/ 1062 w 7760"/>
                            <a:gd name="T19" fmla="*/ 287 h 358"/>
                            <a:gd name="T20" fmla="*/ 1056 w 7760"/>
                            <a:gd name="T21" fmla="*/ 168 h 358"/>
                            <a:gd name="T22" fmla="*/ 1376 w 7760"/>
                            <a:gd name="T23" fmla="*/ 165 h 358"/>
                            <a:gd name="T24" fmla="*/ 1295 w 7760"/>
                            <a:gd name="T25" fmla="*/ 253 h 358"/>
                            <a:gd name="T26" fmla="*/ 1420 w 7760"/>
                            <a:gd name="T27" fmla="*/ 150 h 358"/>
                            <a:gd name="T28" fmla="*/ 1567 w 7760"/>
                            <a:gd name="T29" fmla="*/ 162 h 358"/>
                            <a:gd name="T30" fmla="*/ 1566 w 7760"/>
                            <a:gd name="T31" fmla="*/ 217 h 358"/>
                            <a:gd name="T32" fmla="*/ 2044 w 7760"/>
                            <a:gd name="T33" fmla="*/ 150 h 358"/>
                            <a:gd name="T34" fmla="*/ 2136 w 7760"/>
                            <a:gd name="T35" fmla="*/ 82 h 358"/>
                            <a:gd name="T36" fmla="*/ 2319 w 7760"/>
                            <a:gd name="T37" fmla="*/ 147 h 358"/>
                            <a:gd name="T38" fmla="*/ 2362 w 7760"/>
                            <a:gd name="T39" fmla="*/ 175 h 358"/>
                            <a:gd name="T40" fmla="*/ 2466 w 7760"/>
                            <a:gd name="T41" fmla="*/ 155 h 358"/>
                            <a:gd name="T42" fmla="*/ 2541 w 7760"/>
                            <a:gd name="T43" fmla="*/ 195 h 358"/>
                            <a:gd name="T44" fmla="*/ 3266 w 7760"/>
                            <a:gd name="T45" fmla="*/ 163 h 358"/>
                            <a:gd name="T46" fmla="*/ 3266 w 7760"/>
                            <a:gd name="T47" fmla="*/ 269 h 358"/>
                            <a:gd name="T48" fmla="*/ 3458 w 7760"/>
                            <a:gd name="T49" fmla="*/ 282 h 358"/>
                            <a:gd name="T50" fmla="*/ 3438 w 7760"/>
                            <a:gd name="T51" fmla="*/ 358 h 358"/>
                            <a:gd name="T52" fmla="*/ 3634 w 7760"/>
                            <a:gd name="T53" fmla="*/ 146 h 358"/>
                            <a:gd name="T54" fmla="*/ 3647 w 7760"/>
                            <a:gd name="T55" fmla="*/ 168 h 358"/>
                            <a:gd name="T56" fmla="*/ 3785 w 7760"/>
                            <a:gd name="T57" fmla="*/ 148 h 358"/>
                            <a:gd name="T58" fmla="*/ 3811 w 7760"/>
                            <a:gd name="T59" fmla="*/ 168 h 358"/>
                            <a:gd name="T60" fmla="*/ 3989 w 7760"/>
                            <a:gd name="T61" fmla="*/ 152 h 358"/>
                            <a:gd name="T62" fmla="*/ 4001 w 7760"/>
                            <a:gd name="T63" fmla="*/ 244 h 358"/>
                            <a:gd name="T64" fmla="*/ 4086 w 7760"/>
                            <a:gd name="T65" fmla="*/ 147 h 358"/>
                            <a:gd name="T66" fmla="*/ 4093 w 7760"/>
                            <a:gd name="T67" fmla="*/ 287 h 358"/>
                            <a:gd name="T68" fmla="*/ 4193 w 7760"/>
                            <a:gd name="T69" fmla="*/ 155 h 358"/>
                            <a:gd name="T70" fmla="*/ 4269 w 7760"/>
                            <a:gd name="T71" fmla="*/ 196 h 358"/>
                            <a:gd name="T72" fmla="*/ 4359 w 7760"/>
                            <a:gd name="T73" fmla="*/ 283 h 358"/>
                            <a:gd name="T74" fmla="*/ 4440 w 7760"/>
                            <a:gd name="T75" fmla="*/ 283 h 358"/>
                            <a:gd name="T76" fmla="*/ 4493 w 7760"/>
                            <a:gd name="T77" fmla="*/ 187 h 358"/>
                            <a:gd name="T78" fmla="*/ 4703 w 7760"/>
                            <a:gd name="T79" fmla="*/ 181 h 358"/>
                            <a:gd name="T80" fmla="*/ 4867 w 7760"/>
                            <a:gd name="T81" fmla="*/ 186 h 358"/>
                            <a:gd name="T82" fmla="*/ 4971 w 7760"/>
                            <a:gd name="T83" fmla="*/ 91 h 358"/>
                            <a:gd name="T84" fmla="*/ 4886 w 7760"/>
                            <a:gd name="T85" fmla="*/ 139 h 358"/>
                            <a:gd name="T86" fmla="*/ 4920 w 7760"/>
                            <a:gd name="T87" fmla="*/ 182 h 358"/>
                            <a:gd name="T88" fmla="*/ 5714 w 7760"/>
                            <a:gd name="T89" fmla="*/ 252 h 358"/>
                            <a:gd name="T90" fmla="*/ 5782 w 7760"/>
                            <a:gd name="T91" fmla="*/ 89 h 358"/>
                            <a:gd name="T92" fmla="*/ 5759 w 7760"/>
                            <a:gd name="T93" fmla="*/ 89 h 358"/>
                            <a:gd name="T94" fmla="*/ 6008 w 7760"/>
                            <a:gd name="T95" fmla="*/ 246 h 358"/>
                            <a:gd name="T96" fmla="*/ 5974 w 7760"/>
                            <a:gd name="T97" fmla="*/ 253 h 358"/>
                            <a:gd name="T98" fmla="*/ 6160 w 7760"/>
                            <a:gd name="T99" fmla="*/ 268 h 358"/>
                            <a:gd name="T100" fmla="*/ 6152 w 7760"/>
                            <a:gd name="T101" fmla="*/ 101 h 358"/>
                            <a:gd name="T102" fmla="*/ 6206 w 7760"/>
                            <a:gd name="T103" fmla="*/ 182 h 358"/>
                            <a:gd name="T104" fmla="*/ 6446 w 7760"/>
                            <a:gd name="T105" fmla="*/ 122 h 358"/>
                            <a:gd name="T106" fmla="*/ 6423 w 7760"/>
                            <a:gd name="T107" fmla="*/ 129 h 358"/>
                            <a:gd name="T108" fmla="*/ 6681 w 7760"/>
                            <a:gd name="T109" fmla="*/ 190 h 358"/>
                            <a:gd name="T110" fmla="*/ 6817 w 7760"/>
                            <a:gd name="T111" fmla="*/ 150 h 358"/>
                            <a:gd name="T112" fmla="*/ 6957 w 7760"/>
                            <a:gd name="T113" fmla="*/ 283 h 358"/>
                            <a:gd name="T114" fmla="*/ 7046 w 7760"/>
                            <a:gd name="T115" fmla="*/ 283 h 358"/>
                            <a:gd name="T116" fmla="*/ 7279 w 7760"/>
                            <a:gd name="T117" fmla="*/ 155 h 358"/>
                            <a:gd name="T118" fmla="*/ 7295 w 7760"/>
                            <a:gd name="T119" fmla="*/ 283 h 358"/>
                            <a:gd name="T120" fmla="*/ 7501 w 7760"/>
                            <a:gd name="T121" fmla="*/ 91 h 358"/>
                            <a:gd name="T122" fmla="*/ 7751 w 7760"/>
                            <a:gd name="T123" fmla="*/ 228 h 358"/>
                            <a:gd name="T124" fmla="*/ 7700 w 7760"/>
                            <a:gd name="T125" fmla="*/ 261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8">
                              <a:moveTo>
                                <a:pt x="174" y="86"/>
                              </a:moveTo>
                              <a:lnTo>
                                <a:pt x="159" y="77"/>
                              </a:lnTo>
                              <a:lnTo>
                                <a:pt x="144" y="70"/>
                              </a:lnTo>
                              <a:lnTo>
                                <a:pt x="135" y="69"/>
                              </a:lnTo>
                              <a:lnTo>
                                <a:pt x="128" y="66"/>
                              </a:lnTo>
                              <a:lnTo>
                                <a:pt x="120" y="66"/>
                              </a:lnTo>
                              <a:lnTo>
                                <a:pt x="112" y="65"/>
                              </a:lnTo>
                              <a:lnTo>
                                <a:pt x="99" y="66"/>
                              </a:lnTo>
                              <a:lnTo>
                                <a:pt x="89" y="68"/>
                              </a:lnTo>
                              <a:lnTo>
                                <a:pt x="78" y="70"/>
                              </a:lnTo>
                              <a:lnTo>
                                <a:pt x="68" y="74"/>
                              </a:lnTo>
                              <a:lnTo>
                                <a:pt x="58" y="79"/>
                              </a:lnTo>
                              <a:lnTo>
                                <a:pt x="48" y="85"/>
                              </a:lnTo>
                              <a:lnTo>
                                <a:pt x="41" y="91"/>
                              </a:lnTo>
                              <a:lnTo>
                                <a:pt x="32" y="99"/>
                              </a:lnTo>
                              <a:lnTo>
                                <a:pt x="24" y="106"/>
                              </a:lnTo>
                              <a:lnTo>
                                <a:pt x="18" y="115"/>
                              </a:lnTo>
                              <a:lnTo>
                                <a:pt x="13" y="124"/>
                              </a:lnTo>
                              <a:lnTo>
                                <a:pt x="8" y="134"/>
                              </a:lnTo>
                              <a:lnTo>
                                <a:pt x="5" y="144"/>
                              </a:lnTo>
                              <a:lnTo>
                                <a:pt x="2" y="155"/>
                              </a:lnTo>
                              <a:lnTo>
                                <a:pt x="0" y="165"/>
                              </a:lnTo>
                              <a:lnTo>
                                <a:pt x="0" y="177"/>
                              </a:lnTo>
                              <a:lnTo>
                                <a:pt x="0" y="188"/>
                              </a:lnTo>
                              <a:lnTo>
                                <a:pt x="2" y="198"/>
                              </a:lnTo>
                              <a:lnTo>
                                <a:pt x="5" y="210"/>
                              </a:lnTo>
                              <a:lnTo>
                                <a:pt x="8" y="220"/>
                              </a:lnTo>
                              <a:lnTo>
                                <a:pt x="13" y="228"/>
                              </a:lnTo>
                              <a:lnTo>
                                <a:pt x="18" y="238"/>
                              </a:lnTo>
                              <a:lnTo>
                                <a:pt x="24" y="247"/>
                              </a:lnTo>
                              <a:lnTo>
                                <a:pt x="32" y="254"/>
                              </a:lnTo>
                              <a:lnTo>
                                <a:pt x="39" y="262"/>
                              </a:lnTo>
                              <a:lnTo>
                                <a:pt x="48" y="268"/>
                              </a:lnTo>
                              <a:lnTo>
                                <a:pt x="57" y="273"/>
                              </a:lnTo>
                              <a:lnTo>
                                <a:pt x="67" y="278"/>
                              </a:lnTo>
                              <a:lnTo>
                                <a:pt x="77" y="282"/>
                              </a:lnTo>
                              <a:lnTo>
                                <a:pt x="88" y="284"/>
                              </a:lnTo>
                              <a:lnTo>
                                <a:pt x="99" y="286"/>
                              </a:lnTo>
                              <a:lnTo>
                                <a:pt x="110" y="287"/>
                              </a:lnTo>
                              <a:lnTo>
                                <a:pt x="118" y="287"/>
                              </a:lnTo>
                              <a:lnTo>
                                <a:pt x="127" y="286"/>
                              </a:lnTo>
                              <a:lnTo>
                                <a:pt x="135" y="284"/>
                              </a:lnTo>
                              <a:lnTo>
                                <a:pt x="143" y="282"/>
                              </a:lnTo>
                              <a:lnTo>
                                <a:pt x="152" y="278"/>
                              </a:lnTo>
                              <a:lnTo>
                                <a:pt x="159" y="276"/>
                              </a:lnTo>
                              <a:lnTo>
                                <a:pt x="166" y="271"/>
                              </a:lnTo>
                              <a:lnTo>
                                <a:pt x="174" y="266"/>
                              </a:lnTo>
                              <a:lnTo>
                                <a:pt x="174" y="236"/>
                              </a:lnTo>
                              <a:lnTo>
                                <a:pt x="166" y="243"/>
                              </a:lnTo>
                              <a:lnTo>
                                <a:pt x="159" y="248"/>
                              </a:lnTo>
                              <a:lnTo>
                                <a:pt x="152" y="253"/>
                              </a:lnTo>
                              <a:lnTo>
                                <a:pt x="143" y="257"/>
                              </a:lnTo>
                              <a:lnTo>
                                <a:pt x="135" y="261"/>
                              </a:lnTo>
                              <a:lnTo>
                                <a:pt x="127" y="263"/>
                              </a:lnTo>
                              <a:lnTo>
                                <a:pt x="119" y="264"/>
                              </a:lnTo>
                              <a:lnTo>
                                <a:pt x="110" y="264"/>
                              </a:lnTo>
                              <a:lnTo>
                                <a:pt x="102" y="263"/>
                              </a:lnTo>
                              <a:lnTo>
                                <a:pt x="93" y="262"/>
                              </a:lnTo>
                              <a:lnTo>
                                <a:pt x="84" y="261"/>
                              </a:lnTo>
                              <a:lnTo>
                                <a:pt x="77" y="257"/>
                              </a:lnTo>
                              <a:lnTo>
                                <a:pt x="69" y="253"/>
                              </a:lnTo>
                              <a:lnTo>
                                <a:pt x="62" y="249"/>
                              </a:lnTo>
                              <a:lnTo>
                                <a:pt x="54" y="244"/>
                              </a:lnTo>
                              <a:lnTo>
                                <a:pt x="49" y="238"/>
                              </a:lnTo>
                              <a:lnTo>
                                <a:pt x="43" y="232"/>
                              </a:lnTo>
                              <a:lnTo>
                                <a:pt x="38" y="226"/>
                              </a:lnTo>
                              <a:lnTo>
                                <a:pt x="34" y="218"/>
                              </a:lnTo>
                              <a:lnTo>
                                <a:pt x="31" y="211"/>
                              </a:lnTo>
                              <a:lnTo>
                                <a:pt x="27" y="203"/>
                              </a:lnTo>
                              <a:lnTo>
                                <a:pt x="26" y="195"/>
                              </a:lnTo>
                              <a:lnTo>
                                <a:pt x="23" y="186"/>
                              </a:lnTo>
                              <a:lnTo>
                                <a:pt x="23" y="177"/>
                              </a:lnTo>
                              <a:lnTo>
                                <a:pt x="23" y="168"/>
                              </a:lnTo>
                              <a:lnTo>
                                <a:pt x="26" y="158"/>
                              </a:lnTo>
                              <a:lnTo>
                                <a:pt x="27" y="151"/>
                              </a:lnTo>
                              <a:lnTo>
                                <a:pt x="31" y="142"/>
                              </a:lnTo>
                              <a:lnTo>
                                <a:pt x="34" y="135"/>
                              </a:lnTo>
                              <a:lnTo>
                                <a:pt x="38" y="127"/>
                              </a:lnTo>
                              <a:lnTo>
                                <a:pt x="43" y="120"/>
                              </a:lnTo>
                              <a:lnTo>
                                <a:pt x="49" y="114"/>
                              </a:lnTo>
                              <a:lnTo>
                                <a:pt x="54" y="109"/>
                              </a:lnTo>
                              <a:lnTo>
                                <a:pt x="62" y="104"/>
                              </a:lnTo>
                              <a:lnTo>
                                <a:pt x="68" y="99"/>
                              </a:lnTo>
                              <a:lnTo>
                                <a:pt x="77" y="95"/>
                              </a:lnTo>
                              <a:lnTo>
                                <a:pt x="84" y="92"/>
                              </a:lnTo>
                              <a:lnTo>
                                <a:pt x="92" y="90"/>
                              </a:lnTo>
                              <a:lnTo>
                                <a:pt x="100" y="89"/>
                              </a:lnTo>
                              <a:lnTo>
                                <a:pt x="109" y="87"/>
                              </a:lnTo>
                              <a:lnTo>
                                <a:pt x="118" y="89"/>
                              </a:lnTo>
                              <a:lnTo>
                                <a:pt x="127" y="90"/>
                              </a:lnTo>
                              <a:lnTo>
                                <a:pt x="135" y="91"/>
                              </a:lnTo>
                              <a:lnTo>
                                <a:pt x="143" y="95"/>
                              </a:lnTo>
                              <a:lnTo>
                                <a:pt x="152" y="99"/>
                              </a:lnTo>
                              <a:lnTo>
                                <a:pt x="159" y="104"/>
                              </a:lnTo>
                              <a:lnTo>
                                <a:pt x="166" y="109"/>
                              </a:lnTo>
                              <a:lnTo>
                                <a:pt x="174" y="116"/>
                              </a:lnTo>
                              <a:lnTo>
                                <a:pt x="174" y="86"/>
                              </a:lnTo>
                              <a:close/>
                              <a:moveTo>
                                <a:pt x="155" y="14"/>
                              </a:moveTo>
                              <a:lnTo>
                                <a:pt x="138" y="0"/>
                              </a:lnTo>
                              <a:lnTo>
                                <a:pt x="110" y="24"/>
                              </a:lnTo>
                              <a:lnTo>
                                <a:pt x="82" y="0"/>
                              </a:lnTo>
                              <a:lnTo>
                                <a:pt x="64" y="14"/>
                              </a:lnTo>
                              <a:lnTo>
                                <a:pt x="110" y="51"/>
                              </a:lnTo>
                              <a:lnTo>
                                <a:pt x="155" y="14"/>
                              </a:lnTo>
                              <a:close/>
                              <a:moveTo>
                                <a:pt x="327" y="221"/>
                              </a:moveTo>
                              <a:lnTo>
                                <a:pt x="327" y="217"/>
                              </a:lnTo>
                              <a:lnTo>
                                <a:pt x="326" y="202"/>
                              </a:lnTo>
                              <a:lnTo>
                                <a:pt x="322" y="188"/>
                              </a:lnTo>
                              <a:lnTo>
                                <a:pt x="320" y="182"/>
                              </a:lnTo>
                              <a:lnTo>
                                <a:pt x="317" y="176"/>
                              </a:lnTo>
                              <a:lnTo>
                                <a:pt x="314" y="171"/>
                              </a:lnTo>
                              <a:lnTo>
                                <a:pt x="310" y="166"/>
                              </a:lnTo>
                              <a:lnTo>
                                <a:pt x="306" y="162"/>
                              </a:lnTo>
                              <a:lnTo>
                                <a:pt x="301" y="158"/>
                              </a:lnTo>
                              <a:lnTo>
                                <a:pt x="296" y="155"/>
                              </a:lnTo>
                              <a:lnTo>
                                <a:pt x="290" y="152"/>
                              </a:lnTo>
                              <a:lnTo>
                                <a:pt x="284" y="150"/>
                              </a:lnTo>
                              <a:lnTo>
                                <a:pt x="277" y="148"/>
                              </a:lnTo>
                              <a:lnTo>
                                <a:pt x="271" y="147"/>
                              </a:lnTo>
                              <a:lnTo>
                                <a:pt x="264" y="147"/>
                              </a:lnTo>
                              <a:lnTo>
                                <a:pt x="256" y="147"/>
                              </a:lnTo>
                              <a:lnTo>
                                <a:pt x="250" y="148"/>
                              </a:lnTo>
                              <a:lnTo>
                                <a:pt x="244" y="150"/>
                              </a:lnTo>
                              <a:lnTo>
                                <a:pt x="238" y="152"/>
                              </a:lnTo>
                              <a:lnTo>
                                <a:pt x="231" y="155"/>
                              </a:lnTo>
                              <a:lnTo>
                                <a:pt x="226" y="158"/>
                              </a:lnTo>
                              <a:lnTo>
                                <a:pt x="221" y="162"/>
                              </a:lnTo>
                              <a:lnTo>
                                <a:pt x="218" y="166"/>
                              </a:lnTo>
                              <a:lnTo>
                                <a:pt x="213" y="171"/>
                              </a:lnTo>
                              <a:lnTo>
                                <a:pt x="210" y="176"/>
                              </a:lnTo>
                              <a:lnTo>
                                <a:pt x="206" y="182"/>
                              </a:lnTo>
                              <a:lnTo>
                                <a:pt x="204" y="188"/>
                              </a:lnTo>
                              <a:lnTo>
                                <a:pt x="200" y="202"/>
                              </a:lnTo>
                              <a:lnTo>
                                <a:pt x="199" y="217"/>
                              </a:lnTo>
                              <a:lnTo>
                                <a:pt x="200" y="224"/>
                              </a:lnTo>
                              <a:lnTo>
                                <a:pt x="200" y="232"/>
                              </a:lnTo>
                              <a:lnTo>
                                <a:pt x="203" y="238"/>
                              </a:lnTo>
                              <a:lnTo>
                                <a:pt x="204" y="246"/>
                              </a:lnTo>
                              <a:lnTo>
                                <a:pt x="206" y="252"/>
                              </a:lnTo>
                              <a:lnTo>
                                <a:pt x="210" y="257"/>
                              </a:lnTo>
                              <a:lnTo>
                                <a:pt x="214" y="262"/>
                              </a:lnTo>
                              <a:lnTo>
                                <a:pt x="218" y="267"/>
                              </a:lnTo>
                              <a:lnTo>
                                <a:pt x="223" y="272"/>
                              </a:lnTo>
                              <a:lnTo>
                                <a:pt x="228" y="276"/>
                              </a:lnTo>
                              <a:lnTo>
                                <a:pt x="233" y="279"/>
                              </a:lnTo>
                              <a:lnTo>
                                <a:pt x="239" y="282"/>
                              </a:lnTo>
                              <a:lnTo>
                                <a:pt x="245" y="283"/>
                              </a:lnTo>
                              <a:lnTo>
                                <a:pt x="251" y="286"/>
                              </a:lnTo>
                              <a:lnTo>
                                <a:pt x="257" y="287"/>
                              </a:lnTo>
                              <a:lnTo>
                                <a:pt x="265" y="287"/>
                              </a:lnTo>
                              <a:lnTo>
                                <a:pt x="275" y="286"/>
                              </a:lnTo>
                              <a:lnTo>
                                <a:pt x="284" y="284"/>
                              </a:lnTo>
                              <a:lnTo>
                                <a:pt x="292" y="282"/>
                              </a:lnTo>
                              <a:lnTo>
                                <a:pt x="300" y="277"/>
                              </a:lnTo>
                              <a:lnTo>
                                <a:pt x="307" y="272"/>
                              </a:lnTo>
                              <a:lnTo>
                                <a:pt x="314" y="266"/>
                              </a:lnTo>
                              <a:lnTo>
                                <a:pt x="320" y="258"/>
                              </a:lnTo>
                              <a:lnTo>
                                <a:pt x="326" y="249"/>
                              </a:lnTo>
                              <a:lnTo>
                                <a:pt x="307" y="238"/>
                              </a:lnTo>
                              <a:lnTo>
                                <a:pt x="302" y="244"/>
                              </a:lnTo>
                              <a:lnTo>
                                <a:pt x="297" y="251"/>
                              </a:lnTo>
                              <a:lnTo>
                                <a:pt x="292" y="256"/>
                              </a:lnTo>
                              <a:lnTo>
                                <a:pt x="289" y="259"/>
                              </a:lnTo>
                              <a:lnTo>
                                <a:pt x="284" y="262"/>
                              </a:lnTo>
                              <a:lnTo>
                                <a:pt x="277" y="264"/>
                              </a:lnTo>
                              <a:lnTo>
                                <a:pt x="272" y="266"/>
                              </a:lnTo>
                              <a:lnTo>
                                <a:pt x="266" y="266"/>
                              </a:lnTo>
                              <a:lnTo>
                                <a:pt x="257" y="264"/>
                              </a:lnTo>
                              <a:lnTo>
                                <a:pt x="249" y="263"/>
                              </a:lnTo>
                              <a:lnTo>
                                <a:pt x="242" y="258"/>
                              </a:lnTo>
                              <a:lnTo>
                                <a:pt x="236" y="253"/>
                              </a:lnTo>
                              <a:lnTo>
                                <a:pt x="231" y="247"/>
                              </a:lnTo>
                              <a:lnTo>
                                <a:pt x="228" y="239"/>
                              </a:lnTo>
                              <a:lnTo>
                                <a:pt x="225" y="231"/>
                              </a:lnTo>
                              <a:lnTo>
                                <a:pt x="224" y="221"/>
                              </a:lnTo>
                              <a:lnTo>
                                <a:pt x="327" y="221"/>
                              </a:lnTo>
                              <a:close/>
                              <a:moveTo>
                                <a:pt x="225" y="202"/>
                              </a:moveTo>
                              <a:lnTo>
                                <a:pt x="226" y="195"/>
                              </a:lnTo>
                              <a:lnTo>
                                <a:pt x="230" y="188"/>
                              </a:lnTo>
                              <a:lnTo>
                                <a:pt x="234" y="182"/>
                              </a:lnTo>
                              <a:lnTo>
                                <a:pt x="239" y="177"/>
                              </a:lnTo>
                              <a:lnTo>
                                <a:pt x="244" y="173"/>
                              </a:lnTo>
                              <a:lnTo>
                                <a:pt x="250" y="170"/>
                              </a:lnTo>
                              <a:lnTo>
                                <a:pt x="257" y="168"/>
                              </a:lnTo>
                              <a:lnTo>
                                <a:pt x="264" y="167"/>
                              </a:lnTo>
                              <a:lnTo>
                                <a:pt x="271" y="168"/>
                              </a:lnTo>
                              <a:lnTo>
                                <a:pt x="277" y="170"/>
                              </a:lnTo>
                              <a:lnTo>
                                <a:pt x="284" y="172"/>
                              </a:lnTo>
                              <a:lnTo>
                                <a:pt x="290" y="177"/>
                              </a:lnTo>
                              <a:lnTo>
                                <a:pt x="294" y="182"/>
                              </a:lnTo>
                              <a:lnTo>
                                <a:pt x="299" y="187"/>
                              </a:lnTo>
                              <a:lnTo>
                                <a:pt x="301" y="195"/>
                              </a:lnTo>
                              <a:lnTo>
                                <a:pt x="304" y="202"/>
                              </a:lnTo>
                              <a:lnTo>
                                <a:pt x="225" y="202"/>
                              </a:lnTo>
                              <a:close/>
                              <a:moveTo>
                                <a:pt x="431" y="171"/>
                              </a:moveTo>
                              <a:lnTo>
                                <a:pt x="428" y="165"/>
                              </a:lnTo>
                              <a:lnTo>
                                <a:pt x="424" y="160"/>
                              </a:lnTo>
                              <a:lnTo>
                                <a:pt x="421" y="156"/>
                              </a:lnTo>
                              <a:lnTo>
                                <a:pt x="416" y="152"/>
                              </a:lnTo>
                              <a:lnTo>
                                <a:pt x="411" y="150"/>
                              </a:lnTo>
                              <a:lnTo>
                                <a:pt x="406" y="148"/>
                              </a:lnTo>
                              <a:lnTo>
                                <a:pt x="401" y="147"/>
                              </a:lnTo>
                              <a:lnTo>
                                <a:pt x="394" y="147"/>
                              </a:lnTo>
                              <a:lnTo>
                                <a:pt x="387" y="147"/>
                              </a:lnTo>
                              <a:lnTo>
                                <a:pt x="380" y="150"/>
                              </a:lnTo>
                              <a:lnTo>
                                <a:pt x="372" y="153"/>
                              </a:lnTo>
                              <a:lnTo>
                                <a:pt x="367" y="157"/>
                              </a:lnTo>
                              <a:lnTo>
                                <a:pt x="362" y="163"/>
                              </a:lnTo>
                              <a:lnTo>
                                <a:pt x="358" y="170"/>
                              </a:lnTo>
                              <a:lnTo>
                                <a:pt x="357" y="176"/>
                              </a:lnTo>
                              <a:lnTo>
                                <a:pt x="356" y="183"/>
                              </a:lnTo>
                              <a:lnTo>
                                <a:pt x="356" y="190"/>
                              </a:lnTo>
                              <a:lnTo>
                                <a:pt x="357" y="196"/>
                              </a:lnTo>
                              <a:lnTo>
                                <a:pt x="360" y="201"/>
                              </a:lnTo>
                              <a:lnTo>
                                <a:pt x="363" y="205"/>
                              </a:lnTo>
                              <a:lnTo>
                                <a:pt x="368" y="210"/>
                              </a:lnTo>
                              <a:lnTo>
                                <a:pt x="376" y="213"/>
                              </a:lnTo>
                              <a:lnTo>
                                <a:pt x="383" y="218"/>
                              </a:lnTo>
                              <a:lnTo>
                                <a:pt x="394" y="223"/>
                              </a:lnTo>
                              <a:lnTo>
                                <a:pt x="404" y="228"/>
                              </a:lnTo>
                              <a:lnTo>
                                <a:pt x="411" y="233"/>
                              </a:lnTo>
                              <a:lnTo>
                                <a:pt x="413" y="236"/>
                              </a:lnTo>
                              <a:lnTo>
                                <a:pt x="414" y="238"/>
                              </a:lnTo>
                              <a:lnTo>
                                <a:pt x="416" y="242"/>
                              </a:lnTo>
                              <a:lnTo>
                                <a:pt x="416" y="244"/>
                              </a:lnTo>
                              <a:lnTo>
                                <a:pt x="416" y="249"/>
                              </a:lnTo>
                              <a:lnTo>
                                <a:pt x="414" y="253"/>
                              </a:lnTo>
                              <a:lnTo>
                                <a:pt x="412" y="257"/>
                              </a:lnTo>
                              <a:lnTo>
                                <a:pt x="409" y="259"/>
                              </a:lnTo>
                              <a:lnTo>
                                <a:pt x="406" y="262"/>
                              </a:lnTo>
                              <a:lnTo>
                                <a:pt x="403" y="264"/>
                              </a:lnTo>
                              <a:lnTo>
                                <a:pt x="398" y="266"/>
                              </a:lnTo>
                              <a:lnTo>
                                <a:pt x="394" y="266"/>
                              </a:lnTo>
                              <a:lnTo>
                                <a:pt x="390" y="266"/>
                              </a:lnTo>
                              <a:lnTo>
                                <a:pt x="386" y="264"/>
                              </a:lnTo>
                              <a:lnTo>
                                <a:pt x="382" y="263"/>
                              </a:lnTo>
                              <a:lnTo>
                                <a:pt x="378" y="261"/>
                              </a:lnTo>
                              <a:lnTo>
                                <a:pt x="373" y="254"/>
                              </a:lnTo>
                              <a:lnTo>
                                <a:pt x="367" y="244"/>
                              </a:lnTo>
                              <a:lnTo>
                                <a:pt x="347" y="253"/>
                              </a:lnTo>
                              <a:lnTo>
                                <a:pt x="351" y="261"/>
                              </a:lnTo>
                              <a:lnTo>
                                <a:pt x="355" y="267"/>
                              </a:lnTo>
                              <a:lnTo>
                                <a:pt x="360" y="273"/>
                              </a:lnTo>
                              <a:lnTo>
                                <a:pt x="366" y="278"/>
                              </a:lnTo>
                              <a:lnTo>
                                <a:pt x="371" y="282"/>
                              </a:lnTo>
                              <a:lnTo>
                                <a:pt x="378" y="284"/>
                              </a:lnTo>
                              <a:lnTo>
                                <a:pt x="386" y="286"/>
                              </a:lnTo>
                              <a:lnTo>
                                <a:pt x="393" y="287"/>
                              </a:lnTo>
                              <a:lnTo>
                                <a:pt x="403" y="286"/>
                              </a:lnTo>
                              <a:lnTo>
                                <a:pt x="412" y="283"/>
                              </a:lnTo>
                              <a:lnTo>
                                <a:pt x="419" y="279"/>
                              </a:lnTo>
                              <a:lnTo>
                                <a:pt x="426" y="274"/>
                              </a:lnTo>
                              <a:lnTo>
                                <a:pt x="432" y="268"/>
                              </a:lnTo>
                              <a:lnTo>
                                <a:pt x="436" y="261"/>
                              </a:lnTo>
                              <a:lnTo>
                                <a:pt x="438" y="252"/>
                              </a:lnTo>
                              <a:lnTo>
                                <a:pt x="439" y="243"/>
                              </a:lnTo>
                              <a:lnTo>
                                <a:pt x="438" y="234"/>
                              </a:lnTo>
                              <a:lnTo>
                                <a:pt x="436" y="227"/>
                              </a:lnTo>
                              <a:lnTo>
                                <a:pt x="431" y="220"/>
                              </a:lnTo>
                              <a:lnTo>
                                <a:pt x="424" y="215"/>
                              </a:lnTo>
                              <a:lnTo>
                                <a:pt x="416" y="208"/>
                              </a:lnTo>
                              <a:lnTo>
                                <a:pt x="399" y="201"/>
                              </a:lnTo>
                              <a:lnTo>
                                <a:pt x="388" y="196"/>
                              </a:lnTo>
                              <a:lnTo>
                                <a:pt x="382" y="192"/>
                              </a:lnTo>
                              <a:lnTo>
                                <a:pt x="380" y="190"/>
                              </a:lnTo>
                              <a:lnTo>
                                <a:pt x="378" y="187"/>
                              </a:lnTo>
                              <a:lnTo>
                                <a:pt x="378" y="185"/>
                              </a:lnTo>
                              <a:lnTo>
                                <a:pt x="377" y="182"/>
                              </a:lnTo>
                              <a:lnTo>
                                <a:pt x="378" y="177"/>
                              </a:lnTo>
                              <a:lnTo>
                                <a:pt x="382" y="172"/>
                              </a:lnTo>
                              <a:lnTo>
                                <a:pt x="387" y="168"/>
                              </a:lnTo>
                              <a:lnTo>
                                <a:pt x="393" y="167"/>
                              </a:lnTo>
                              <a:lnTo>
                                <a:pt x="399" y="168"/>
                              </a:lnTo>
                              <a:lnTo>
                                <a:pt x="404" y="171"/>
                              </a:lnTo>
                              <a:lnTo>
                                <a:pt x="408" y="175"/>
                              </a:lnTo>
                              <a:lnTo>
                                <a:pt x="412" y="181"/>
                              </a:lnTo>
                              <a:lnTo>
                                <a:pt x="431" y="171"/>
                              </a:lnTo>
                              <a:close/>
                              <a:moveTo>
                                <a:pt x="493" y="49"/>
                              </a:moveTo>
                              <a:lnTo>
                                <a:pt x="470" y="49"/>
                              </a:lnTo>
                              <a:lnTo>
                                <a:pt x="470" y="283"/>
                              </a:lnTo>
                              <a:lnTo>
                                <a:pt x="493" y="283"/>
                              </a:lnTo>
                              <a:lnTo>
                                <a:pt x="493" y="228"/>
                              </a:lnTo>
                              <a:lnTo>
                                <a:pt x="498" y="222"/>
                              </a:lnTo>
                              <a:lnTo>
                                <a:pt x="551" y="283"/>
                              </a:lnTo>
                              <a:lnTo>
                                <a:pt x="583" y="283"/>
                              </a:lnTo>
                              <a:lnTo>
                                <a:pt x="514" y="206"/>
                              </a:lnTo>
                              <a:lnTo>
                                <a:pt x="571" y="150"/>
                              </a:lnTo>
                              <a:lnTo>
                                <a:pt x="540" y="150"/>
                              </a:lnTo>
                              <a:lnTo>
                                <a:pt x="493" y="198"/>
                              </a:lnTo>
                              <a:lnTo>
                                <a:pt x="493" y="49"/>
                              </a:lnTo>
                              <a:close/>
                              <a:moveTo>
                                <a:pt x="644" y="271"/>
                              </a:moveTo>
                              <a:lnTo>
                                <a:pt x="600" y="358"/>
                              </a:lnTo>
                              <a:lnTo>
                                <a:pt x="626" y="358"/>
                              </a:lnTo>
                              <a:lnTo>
                                <a:pt x="725" y="150"/>
                              </a:lnTo>
                              <a:lnTo>
                                <a:pt x="698" y="150"/>
                              </a:lnTo>
                              <a:lnTo>
                                <a:pt x="655" y="244"/>
                              </a:lnTo>
                              <a:lnTo>
                                <a:pt x="609" y="150"/>
                              </a:lnTo>
                              <a:lnTo>
                                <a:pt x="583" y="150"/>
                              </a:lnTo>
                              <a:lnTo>
                                <a:pt x="644" y="271"/>
                              </a:lnTo>
                              <a:close/>
                              <a:moveTo>
                                <a:pt x="693" y="82"/>
                              </a:moveTo>
                              <a:lnTo>
                                <a:pt x="670" y="73"/>
                              </a:lnTo>
                              <a:lnTo>
                                <a:pt x="636" y="119"/>
                              </a:lnTo>
                              <a:lnTo>
                                <a:pt x="650" y="126"/>
                              </a:lnTo>
                              <a:lnTo>
                                <a:pt x="693" y="82"/>
                              </a:lnTo>
                              <a:close/>
                              <a:moveTo>
                                <a:pt x="899" y="171"/>
                              </a:moveTo>
                              <a:lnTo>
                                <a:pt x="895" y="165"/>
                              </a:lnTo>
                              <a:lnTo>
                                <a:pt x="892" y="160"/>
                              </a:lnTo>
                              <a:lnTo>
                                <a:pt x="888" y="156"/>
                              </a:lnTo>
                              <a:lnTo>
                                <a:pt x="884" y="152"/>
                              </a:lnTo>
                              <a:lnTo>
                                <a:pt x="879" y="150"/>
                              </a:lnTo>
                              <a:lnTo>
                                <a:pt x="874" y="148"/>
                              </a:lnTo>
                              <a:lnTo>
                                <a:pt x="868" y="147"/>
                              </a:lnTo>
                              <a:lnTo>
                                <a:pt x="862" y="147"/>
                              </a:lnTo>
                              <a:lnTo>
                                <a:pt x="854" y="147"/>
                              </a:lnTo>
                              <a:lnTo>
                                <a:pt x="847" y="150"/>
                              </a:lnTo>
                              <a:lnTo>
                                <a:pt x="841" y="153"/>
                              </a:lnTo>
                              <a:lnTo>
                                <a:pt x="834" y="157"/>
                              </a:lnTo>
                              <a:lnTo>
                                <a:pt x="829" y="163"/>
                              </a:lnTo>
                              <a:lnTo>
                                <a:pt x="827" y="170"/>
                              </a:lnTo>
                              <a:lnTo>
                                <a:pt x="824" y="176"/>
                              </a:lnTo>
                              <a:lnTo>
                                <a:pt x="823" y="183"/>
                              </a:lnTo>
                              <a:lnTo>
                                <a:pt x="824" y="190"/>
                              </a:lnTo>
                              <a:lnTo>
                                <a:pt x="826" y="196"/>
                              </a:lnTo>
                              <a:lnTo>
                                <a:pt x="828" y="201"/>
                              </a:lnTo>
                              <a:lnTo>
                                <a:pt x="831" y="205"/>
                              </a:lnTo>
                              <a:lnTo>
                                <a:pt x="837" y="210"/>
                              </a:lnTo>
                              <a:lnTo>
                                <a:pt x="843" y="213"/>
                              </a:lnTo>
                              <a:lnTo>
                                <a:pt x="852" y="218"/>
                              </a:lnTo>
                              <a:lnTo>
                                <a:pt x="862" y="223"/>
                              </a:lnTo>
                              <a:lnTo>
                                <a:pt x="873" y="228"/>
                              </a:lnTo>
                              <a:lnTo>
                                <a:pt x="879" y="233"/>
                              </a:lnTo>
                              <a:lnTo>
                                <a:pt x="882" y="236"/>
                              </a:lnTo>
                              <a:lnTo>
                                <a:pt x="883" y="238"/>
                              </a:lnTo>
                              <a:lnTo>
                                <a:pt x="883" y="242"/>
                              </a:lnTo>
                              <a:lnTo>
                                <a:pt x="883" y="244"/>
                              </a:lnTo>
                              <a:lnTo>
                                <a:pt x="883" y="249"/>
                              </a:lnTo>
                              <a:lnTo>
                                <a:pt x="882" y="253"/>
                              </a:lnTo>
                              <a:lnTo>
                                <a:pt x="880" y="257"/>
                              </a:lnTo>
                              <a:lnTo>
                                <a:pt x="877" y="259"/>
                              </a:lnTo>
                              <a:lnTo>
                                <a:pt x="874" y="262"/>
                              </a:lnTo>
                              <a:lnTo>
                                <a:pt x="870" y="264"/>
                              </a:lnTo>
                              <a:lnTo>
                                <a:pt x="867" y="266"/>
                              </a:lnTo>
                              <a:lnTo>
                                <a:pt x="862" y="266"/>
                              </a:lnTo>
                              <a:lnTo>
                                <a:pt x="857" y="266"/>
                              </a:lnTo>
                              <a:lnTo>
                                <a:pt x="853" y="264"/>
                              </a:lnTo>
                              <a:lnTo>
                                <a:pt x="849" y="263"/>
                              </a:lnTo>
                              <a:lnTo>
                                <a:pt x="847" y="261"/>
                              </a:lnTo>
                              <a:lnTo>
                                <a:pt x="841" y="254"/>
                              </a:lnTo>
                              <a:lnTo>
                                <a:pt x="836" y="244"/>
                              </a:lnTo>
                              <a:lnTo>
                                <a:pt x="814" y="253"/>
                              </a:lnTo>
                              <a:lnTo>
                                <a:pt x="818" y="261"/>
                              </a:lnTo>
                              <a:lnTo>
                                <a:pt x="823" y="267"/>
                              </a:lnTo>
                              <a:lnTo>
                                <a:pt x="828" y="273"/>
                              </a:lnTo>
                              <a:lnTo>
                                <a:pt x="833" y="278"/>
                              </a:lnTo>
                              <a:lnTo>
                                <a:pt x="839" y="282"/>
                              </a:lnTo>
                              <a:lnTo>
                                <a:pt x="845" y="284"/>
                              </a:lnTo>
                              <a:lnTo>
                                <a:pt x="853" y="286"/>
                              </a:lnTo>
                              <a:lnTo>
                                <a:pt x="862" y="287"/>
                              </a:lnTo>
                              <a:lnTo>
                                <a:pt x="870" y="286"/>
                              </a:lnTo>
                              <a:lnTo>
                                <a:pt x="879" y="283"/>
                              </a:lnTo>
                              <a:lnTo>
                                <a:pt x="887" y="279"/>
                              </a:lnTo>
                              <a:lnTo>
                                <a:pt x="894" y="274"/>
                              </a:lnTo>
                              <a:lnTo>
                                <a:pt x="899" y="268"/>
                              </a:lnTo>
                              <a:lnTo>
                                <a:pt x="903" y="261"/>
                              </a:lnTo>
                              <a:lnTo>
                                <a:pt x="905" y="252"/>
                              </a:lnTo>
                              <a:lnTo>
                                <a:pt x="907" y="243"/>
                              </a:lnTo>
                              <a:lnTo>
                                <a:pt x="905" y="234"/>
                              </a:lnTo>
                              <a:lnTo>
                                <a:pt x="903" y="227"/>
                              </a:lnTo>
                              <a:lnTo>
                                <a:pt x="898" y="220"/>
                              </a:lnTo>
                              <a:lnTo>
                                <a:pt x="892" y="215"/>
                              </a:lnTo>
                              <a:lnTo>
                                <a:pt x="883" y="208"/>
                              </a:lnTo>
                              <a:lnTo>
                                <a:pt x="867" y="201"/>
                              </a:lnTo>
                              <a:lnTo>
                                <a:pt x="857" y="196"/>
                              </a:lnTo>
                              <a:lnTo>
                                <a:pt x="849" y="192"/>
                              </a:lnTo>
                              <a:lnTo>
                                <a:pt x="848" y="190"/>
                              </a:lnTo>
                              <a:lnTo>
                                <a:pt x="847" y="187"/>
                              </a:lnTo>
                              <a:lnTo>
                                <a:pt x="845" y="185"/>
                              </a:lnTo>
                              <a:lnTo>
                                <a:pt x="845" y="182"/>
                              </a:lnTo>
                              <a:lnTo>
                                <a:pt x="847" y="177"/>
                              </a:lnTo>
                              <a:lnTo>
                                <a:pt x="850" y="172"/>
                              </a:lnTo>
                              <a:lnTo>
                                <a:pt x="855" y="168"/>
                              </a:lnTo>
                              <a:lnTo>
                                <a:pt x="862" y="167"/>
                              </a:lnTo>
                              <a:lnTo>
                                <a:pt x="867" y="168"/>
                              </a:lnTo>
                              <a:lnTo>
                                <a:pt x="872" y="171"/>
                              </a:lnTo>
                              <a:lnTo>
                                <a:pt x="877" y="175"/>
                              </a:lnTo>
                              <a:lnTo>
                                <a:pt x="880" y="181"/>
                              </a:lnTo>
                              <a:lnTo>
                                <a:pt x="899" y="171"/>
                              </a:lnTo>
                              <a:close/>
                              <a:moveTo>
                                <a:pt x="961" y="171"/>
                              </a:moveTo>
                              <a:lnTo>
                                <a:pt x="985" y="171"/>
                              </a:lnTo>
                              <a:lnTo>
                                <a:pt x="985" y="150"/>
                              </a:lnTo>
                              <a:lnTo>
                                <a:pt x="961" y="150"/>
                              </a:lnTo>
                              <a:lnTo>
                                <a:pt x="961" y="101"/>
                              </a:lnTo>
                              <a:lnTo>
                                <a:pt x="939" y="101"/>
                              </a:lnTo>
                              <a:lnTo>
                                <a:pt x="939" y="150"/>
                              </a:lnTo>
                              <a:lnTo>
                                <a:pt x="925" y="150"/>
                              </a:lnTo>
                              <a:lnTo>
                                <a:pt x="925" y="171"/>
                              </a:lnTo>
                              <a:lnTo>
                                <a:pt x="939" y="171"/>
                              </a:lnTo>
                              <a:lnTo>
                                <a:pt x="939" y="283"/>
                              </a:lnTo>
                              <a:lnTo>
                                <a:pt x="961" y="283"/>
                              </a:lnTo>
                              <a:lnTo>
                                <a:pt x="961" y="171"/>
                              </a:lnTo>
                              <a:close/>
                              <a:moveTo>
                                <a:pt x="1108" y="150"/>
                              </a:moveTo>
                              <a:lnTo>
                                <a:pt x="1108" y="168"/>
                              </a:lnTo>
                              <a:lnTo>
                                <a:pt x="1103" y="163"/>
                              </a:lnTo>
                              <a:lnTo>
                                <a:pt x="1097" y="158"/>
                              </a:lnTo>
                              <a:lnTo>
                                <a:pt x="1092" y="155"/>
                              </a:lnTo>
                              <a:lnTo>
                                <a:pt x="1087" y="152"/>
                              </a:lnTo>
                              <a:lnTo>
                                <a:pt x="1081" y="150"/>
                              </a:lnTo>
                              <a:lnTo>
                                <a:pt x="1075" y="147"/>
                              </a:lnTo>
                              <a:lnTo>
                                <a:pt x="1069" y="147"/>
                              </a:lnTo>
                              <a:lnTo>
                                <a:pt x="1061" y="146"/>
                              </a:lnTo>
                              <a:lnTo>
                                <a:pt x="1055" y="147"/>
                              </a:lnTo>
                              <a:lnTo>
                                <a:pt x="1049" y="147"/>
                              </a:lnTo>
                              <a:lnTo>
                                <a:pt x="1042" y="150"/>
                              </a:lnTo>
                              <a:lnTo>
                                <a:pt x="1036" y="152"/>
                              </a:lnTo>
                              <a:lnTo>
                                <a:pt x="1030" y="155"/>
                              </a:lnTo>
                              <a:lnTo>
                                <a:pt x="1025" y="158"/>
                              </a:lnTo>
                              <a:lnTo>
                                <a:pt x="1020" y="162"/>
                              </a:lnTo>
                              <a:lnTo>
                                <a:pt x="1016" y="166"/>
                              </a:lnTo>
                              <a:lnTo>
                                <a:pt x="1012" y="171"/>
                              </a:lnTo>
                              <a:lnTo>
                                <a:pt x="1009" y="176"/>
                              </a:lnTo>
                              <a:lnTo>
                                <a:pt x="1005" y="182"/>
                              </a:lnTo>
                              <a:lnTo>
                                <a:pt x="1002" y="188"/>
                              </a:lnTo>
                              <a:lnTo>
                                <a:pt x="999" y="201"/>
                              </a:lnTo>
                              <a:lnTo>
                                <a:pt x="997" y="216"/>
                              </a:lnTo>
                              <a:lnTo>
                                <a:pt x="999" y="223"/>
                              </a:lnTo>
                              <a:lnTo>
                                <a:pt x="999" y="231"/>
                              </a:lnTo>
                              <a:lnTo>
                                <a:pt x="1000" y="237"/>
                              </a:lnTo>
                              <a:lnTo>
                                <a:pt x="1002" y="244"/>
                              </a:lnTo>
                              <a:lnTo>
                                <a:pt x="1005" y="251"/>
                              </a:lnTo>
                              <a:lnTo>
                                <a:pt x="1009" y="256"/>
                              </a:lnTo>
                              <a:lnTo>
                                <a:pt x="1012" y="262"/>
                              </a:lnTo>
                              <a:lnTo>
                                <a:pt x="1016" y="267"/>
                              </a:lnTo>
                              <a:lnTo>
                                <a:pt x="1020" y="271"/>
                              </a:lnTo>
                              <a:lnTo>
                                <a:pt x="1025" y="276"/>
                              </a:lnTo>
                              <a:lnTo>
                                <a:pt x="1031" y="278"/>
                              </a:lnTo>
                              <a:lnTo>
                                <a:pt x="1036" y="282"/>
                              </a:lnTo>
                              <a:lnTo>
                                <a:pt x="1042" y="283"/>
                              </a:lnTo>
                              <a:lnTo>
                                <a:pt x="1049" y="286"/>
                              </a:lnTo>
                              <a:lnTo>
                                <a:pt x="1055" y="287"/>
                              </a:lnTo>
                              <a:lnTo>
                                <a:pt x="1062" y="287"/>
                              </a:lnTo>
                              <a:lnTo>
                                <a:pt x="1069" y="287"/>
                              </a:lnTo>
                              <a:lnTo>
                                <a:pt x="1075" y="286"/>
                              </a:lnTo>
                              <a:lnTo>
                                <a:pt x="1081" y="283"/>
                              </a:lnTo>
                              <a:lnTo>
                                <a:pt x="1087" y="281"/>
                              </a:lnTo>
                              <a:lnTo>
                                <a:pt x="1092" y="278"/>
                              </a:lnTo>
                              <a:lnTo>
                                <a:pt x="1098" y="274"/>
                              </a:lnTo>
                              <a:lnTo>
                                <a:pt x="1103" y="269"/>
                              </a:lnTo>
                              <a:lnTo>
                                <a:pt x="1108" y="264"/>
                              </a:lnTo>
                              <a:lnTo>
                                <a:pt x="1108" y="283"/>
                              </a:lnTo>
                              <a:lnTo>
                                <a:pt x="1131" y="283"/>
                              </a:lnTo>
                              <a:lnTo>
                                <a:pt x="1131" y="150"/>
                              </a:lnTo>
                              <a:lnTo>
                                <a:pt x="1108" y="150"/>
                              </a:lnTo>
                              <a:close/>
                              <a:moveTo>
                                <a:pt x="1065" y="167"/>
                              </a:moveTo>
                              <a:lnTo>
                                <a:pt x="1075" y="168"/>
                              </a:lnTo>
                              <a:lnTo>
                                <a:pt x="1083" y="171"/>
                              </a:lnTo>
                              <a:lnTo>
                                <a:pt x="1091" y="175"/>
                              </a:lnTo>
                              <a:lnTo>
                                <a:pt x="1097" y="181"/>
                              </a:lnTo>
                              <a:lnTo>
                                <a:pt x="1102" y="188"/>
                              </a:lnTo>
                              <a:lnTo>
                                <a:pt x="1106" y="196"/>
                              </a:lnTo>
                              <a:lnTo>
                                <a:pt x="1108" y="206"/>
                              </a:lnTo>
                              <a:lnTo>
                                <a:pt x="1110" y="216"/>
                              </a:lnTo>
                              <a:lnTo>
                                <a:pt x="1108" y="227"/>
                              </a:lnTo>
                              <a:lnTo>
                                <a:pt x="1106" y="236"/>
                              </a:lnTo>
                              <a:lnTo>
                                <a:pt x="1102" y="244"/>
                              </a:lnTo>
                              <a:lnTo>
                                <a:pt x="1097" y="252"/>
                              </a:lnTo>
                              <a:lnTo>
                                <a:pt x="1091" y="258"/>
                              </a:lnTo>
                              <a:lnTo>
                                <a:pt x="1083" y="262"/>
                              </a:lnTo>
                              <a:lnTo>
                                <a:pt x="1075" y="264"/>
                              </a:lnTo>
                              <a:lnTo>
                                <a:pt x="1065" y="266"/>
                              </a:lnTo>
                              <a:lnTo>
                                <a:pt x="1056" y="264"/>
                              </a:lnTo>
                              <a:lnTo>
                                <a:pt x="1047" y="262"/>
                              </a:lnTo>
                              <a:lnTo>
                                <a:pt x="1040" y="258"/>
                              </a:lnTo>
                              <a:lnTo>
                                <a:pt x="1034" y="252"/>
                              </a:lnTo>
                              <a:lnTo>
                                <a:pt x="1029" y="244"/>
                              </a:lnTo>
                              <a:lnTo>
                                <a:pt x="1025" y="236"/>
                              </a:lnTo>
                              <a:lnTo>
                                <a:pt x="1022" y="226"/>
                              </a:lnTo>
                              <a:lnTo>
                                <a:pt x="1021" y="216"/>
                              </a:lnTo>
                              <a:lnTo>
                                <a:pt x="1022" y="206"/>
                              </a:lnTo>
                              <a:lnTo>
                                <a:pt x="1025" y="196"/>
                              </a:lnTo>
                              <a:lnTo>
                                <a:pt x="1029" y="188"/>
                              </a:lnTo>
                              <a:lnTo>
                                <a:pt x="1034" y="181"/>
                              </a:lnTo>
                              <a:lnTo>
                                <a:pt x="1040" y="176"/>
                              </a:lnTo>
                              <a:lnTo>
                                <a:pt x="1047" y="171"/>
                              </a:lnTo>
                              <a:lnTo>
                                <a:pt x="1056" y="168"/>
                              </a:lnTo>
                              <a:lnTo>
                                <a:pt x="1065" y="167"/>
                              </a:lnTo>
                              <a:close/>
                              <a:moveTo>
                                <a:pt x="1197" y="171"/>
                              </a:moveTo>
                              <a:lnTo>
                                <a:pt x="1221" y="171"/>
                              </a:lnTo>
                              <a:lnTo>
                                <a:pt x="1221" y="150"/>
                              </a:lnTo>
                              <a:lnTo>
                                <a:pt x="1197" y="150"/>
                              </a:lnTo>
                              <a:lnTo>
                                <a:pt x="1197" y="101"/>
                              </a:lnTo>
                              <a:lnTo>
                                <a:pt x="1174" y="101"/>
                              </a:lnTo>
                              <a:lnTo>
                                <a:pt x="1174" y="150"/>
                              </a:lnTo>
                              <a:lnTo>
                                <a:pt x="1159" y="150"/>
                              </a:lnTo>
                              <a:lnTo>
                                <a:pt x="1159" y="171"/>
                              </a:lnTo>
                              <a:lnTo>
                                <a:pt x="1174" y="171"/>
                              </a:lnTo>
                              <a:lnTo>
                                <a:pt x="1174" y="283"/>
                              </a:lnTo>
                              <a:lnTo>
                                <a:pt x="1197" y="283"/>
                              </a:lnTo>
                              <a:lnTo>
                                <a:pt x="1197" y="171"/>
                              </a:lnTo>
                              <a:close/>
                              <a:moveTo>
                                <a:pt x="1264" y="150"/>
                              </a:moveTo>
                              <a:lnTo>
                                <a:pt x="1242" y="150"/>
                              </a:lnTo>
                              <a:lnTo>
                                <a:pt x="1242" y="283"/>
                              </a:lnTo>
                              <a:lnTo>
                                <a:pt x="1264" y="283"/>
                              </a:lnTo>
                              <a:lnTo>
                                <a:pt x="1264" y="150"/>
                              </a:lnTo>
                              <a:close/>
                              <a:moveTo>
                                <a:pt x="1253" y="82"/>
                              </a:moveTo>
                              <a:lnTo>
                                <a:pt x="1247" y="85"/>
                              </a:lnTo>
                              <a:lnTo>
                                <a:pt x="1242" y="87"/>
                              </a:lnTo>
                              <a:lnTo>
                                <a:pt x="1238" y="92"/>
                              </a:lnTo>
                              <a:lnTo>
                                <a:pt x="1237" y="99"/>
                              </a:lnTo>
                              <a:lnTo>
                                <a:pt x="1238" y="102"/>
                              </a:lnTo>
                              <a:lnTo>
                                <a:pt x="1238" y="106"/>
                              </a:lnTo>
                              <a:lnTo>
                                <a:pt x="1239" y="109"/>
                              </a:lnTo>
                              <a:lnTo>
                                <a:pt x="1242" y="111"/>
                              </a:lnTo>
                              <a:lnTo>
                                <a:pt x="1244" y="112"/>
                              </a:lnTo>
                              <a:lnTo>
                                <a:pt x="1247" y="115"/>
                              </a:lnTo>
                              <a:lnTo>
                                <a:pt x="1250" y="115"/>
                              </a:lnTo>
                              <a:lnTo>
                                <a:pt x="1253" y="116"/>
                              </a:lnTo>
                              <a:lnTo>
                                <a:pt x="1259" y="115"/>
                              </a:lnTo>
                              <a:lnTo>
                                <a:pt x="1265" y="111"/>
                              </a:lnTo>
                              <a:lnTo>
                                <a:pt x="1268" y="106"/>
                              </a:lnTo>
                              <a:lnTo>
                                <a:pt x="1269" y="100"/>
                              </a:lnTo>
                              <a:lnTo>
                                <a:pt x="1268" y="92"/>
                              </a:lnTo>
                              <a:lnTo>
                                <a:pt x="1265" y="87"/>
                              </a:lnTo>
                              <a:lnTo>
                                <a:pt x="1259" y="85"/>
                              </a:lnTo>
                              <a:lnTo>
                                <a:pt x="1253" y="82"/>
                              </a:lnTo>
                              <a:close/>
                              <a:moveTo>
                                <a:pt x="1379" y="171"/>
                              </a:moveTo>
                              <a:lnTo>
                                <a:pt x="1376" y="165"/>
                              </a:lnTo>
                              <a:lnTo>
                                <a:pt x="1372" y="160"/>
                              </a:lnTo>
                              <a:lnTo>
                                <a:pt x="1368" y="156"/>
                              </a:lnTo>
                              <a:lnTo>
                                <a:pt x="1364" y="152"/>
                              </a:lnTo>
                              <a:lnTo>
                                <a:pt x="1359" y="150"/>
                              </a:lnTo>
                              <a:lnTo>
                                <a:pt x="1354" y="148"/>
                              </a:lnTo>
                              <a:lnTo>
                                <a:pt x="1349" y="147"/>
                              </a:lnTo>
                              <a:lnTo>
                                <a:pt x="1343" y="147"/>
                              </a:lnTo>
                              <a:lnTo>
                                <a:pt x="1334" y="147"/>
                              </a:lnTo>
                              <a:lnTo>
                                <a:pt x="1328" y="150"/>
                              </a:lnTo>
                              <a:lnTo>
                                <a:pt x="1320" y="153"/>
                              </a:lnTo>
                              <a:lnTo>
                                <a:pt x="1315" y="157"/>
                              </a:lnTo>
                              <a:lnTo>
                                <a:pt x="1310" y="163"/>
                              </a:lnTo>
                              <a:lnTo>
                                <a:pt x="1306" y="170"/>
                              </a:lnTo>
                              <a:lnTo>
                                <a:pt x="1304" y="176"/>
                              </a:lnTo>
                              <a:lnTo>
                                <a:pt x="1304" y="183"/>
                              </a:lnTo>
                              <a:lnTo>
                                <a:pt x="1304" y="190"/>
                              </a:lnTo>
                              <a:lnTo>
                                <a:pt x="1305" y="196"/>
                              </a:lnTo>
                              <a:lnTo>
                                <a:pt x="1308" y="201"/>
                              </a:lnTo>
                              <a:lnTo>
                                <a:pt x="1311" y="205"/>
                              </a:lnTo>
                              <a:lnTo>
                                <a:pt x="1316" y="210"/>
                              </a:lnTo>
                              <a:lnTo>
                                <a:pt x="1323" y="213"/>
                              </a:lnTo>
                              <a:lnTo>
                                <a:pt x="1331" y="218"/>
                              </a:lnTo>
                              <a:lnTo>
                                <a:pt x="1343" y="223"/>
                              </a:lnTo>
                              <a:lnTo>
                                <a:pt x="1353" y="228"/>
                              </a:lnTo>
                              <a:lnTo>
                                <a:pt x="1359" y="233"/>
                              </a:lnTo>
                              <a:lnTo>
                                <a:pt x="1361" y="236"/>
                              </a:lnTo>
                              <a:lnTo>
                                <a:pt x="1363" y="238"/>
                              </a:lnTo>
                              <a:lnTo>
                                <a:pt x="1364" y="242"/>
                              </a:lnTo>
                              <a:lnTo>
                                <a:pt x="1364" y="244"/>
                              </a:lnTo>
                              <a:lnTo>
                                <a:pt x="1364" y="249"/>
                              </a:lnTo>
                              <a:lnTo>
                                <a:pt x="1363" y="253"/>
                              </a:lnTo>
                              <a:lnTo>
                                <a:pt x="1360" y="257"/>
                              </a:lnTo>
                              <a:lnTo>
                                <a:pt x="1358" y="259"/>
                              </a:lnTo>
                              <a:lnTo>
                                <a:pt x="1354" y="262"/>
                              </a:lnTo>
                              <a:lnTo>
                                <a:pt x="1350" y="264"/>
                              </a:lnTo>
                              <a:lnTo>
                                <a:pt x="1346" y="266"/>
                              </a:lnTo>
                              <a:lnTo>
                                <a:pt x="1341" y="266"/>
                              </a:lnTo>
                              <a:lnTo>
                                <a:pt x="1338" y="266"/>
                              </a:lnTo>
                              <a:lnTo>
                                <a:pt x="1334" y="264"/>
                              </a:lnTo>
                              <a:lnTo>
                                <a:pt x="1330" y="263"/>
                              </a:lnTo>
                              <a:lnTo>
                                <a:pt x="1326" y="261"/>
                              </a:lnTo>
                              <a:lnTo>
                                <a:pt x="1321" y="254"/>
                              </a:lnTo>
                              <a:lnTo>
                                <a:pt x="1315" y="244"/>
                              </a:lnTo>
                              <a:lnTo>
                                <a:pt x="1295" y="253"/>
                              </a:lnTo>
                              <a:lnTo>
                                <a:pt x="1299" y="261"/>
                              </a:lnTo>
                              <a:lnTo>
                                <a:pt x="1303" y="267"/>
                              </a:lnTo>
                              <a:lnTo>
                                <a:pt x="1308" y="273"/>
                              </a:lnTo>
                              <a:lnTo>
                                <a:pt x="1313" y="278"/>
                              </a:lnTo>
                              <a:lnTo>
                                <a:pt x="1319" y="282"/>
                              </a:lnTo>
                              <a:lnTo>
                                <a:pt x="1326" y="284"/>
                              </a:lnTo>
                              <a:lnTo>
                                <a:pt x="1334" y="286"/>
                              </a:lnTo>
                              <a:lnTo>
                                <a:pt x="1341" y="287"/>
                              </a:lnTo>
                              <a:lnTo>
                                <a:pt x="1351" y="286"/>
                              </a:lnTo>
                              <a:lnTo>
                                <a:pt x="1360" y="283"/>
                              </a:lnTo>
                              <a:lnTo>
                                <a:pt x="1368" y="279"/>
                              </a:lnTo>
                              <a:lnTo>
                                <a:pt x="1374" y="274"/>
                              </a:lnTo>
                              <a:lnTo>
                                <a:pt x="1380" y="268"/>
                              </a:lnTo>
                              <a:lnTo>
                                <a:pt x="1384" y="261"/>
                              </a:lnTo>
                              <a:lnTo>
                                <a:pt x="1386" y="252"/>
                              </a:lnTo>
                              <a:lnTo>
                                <a:pt x="1387" y="243"/>
                              </a:lnTo>
                              <a:lnTo>
                                <a:pt x="1386" y="234"/>
                              </a:lnTo>
                              <a:lnTo>
                                <a:pt x="1384" y="227"/>
                              </a:lnTo>
                              <a:lnTo>
                                <a:pt x="1379" y="220"/>
                              </a:lnTo>
                              <a:lnTo>
                                <a:pt x="1372" y="215"/>
                              </a:lnTo>
                              <a:lnTo>
                                <a:pt x="1363" y="208"/>
                              </a:lnTo>
                              <a:lnTo>
                                <a:pt x="1346" y="201"/>
                              </a:lnTo>
                              <a:lnTo>
                                <a:pt x="1336" y="196"/>
                              </a:lnTo>
                              <a:lnTo>
                                <a:pt x="1330" y="192"/>
                              </a:lnTo>
                              <a:lnTo>
                                <a:pt x="1328" y="190"/>
                              </a:lnTo>
                              <a:lnTo>
                                <a:pt x="1326" y="187"/>
                              </a:lnTo>
                              <a:lnTo>
                                <a:pt x="1325" y="185"/>
                              </a:lnTo>
                              <a:lnTo>
                                <a:pt x="1325" y="182"/>
                              </a:lnTo>
                              <a:lnTo>
                                <a:pt x="1326" y="177"/>
                              </a:lnTo>
                              <a:lnTo>
                                <a:pt x="1330" y="172"/>
                              </a:lnTo>
                              <a:lnTo>
                                <a:pt x="1335" y="168"/>
                              </a:lnTo>
                              <a:lnTo>
                                <a:pt x="1341" y="167"/>
                              </a:lnTo>
                              <a:lnTo>
                                <a:pt x="1348" y="168"/>
                              </a:lnTo>
                              <a:lnTo>
                                <a:pt x="1353" y="171"/>
                              </a:lnTo>
                              <a:lnTo>
                                <a:pt x="1356" y="175"/>
                              </a:lnTo>
                              <a:lnTo>
                                <a:pt x="1360" y="181"/>
                              </a:lnTo>
                              <a:lnTo>
                                <a:pt x="1379" y="171"/>
                              </a:lnTo>
                              <a:close/>
                              <a:moveTo>
                                <a:pt x="1442" y="171"/>
                              </a:moveTo>
                              <a:lnTo>
                                <a:pt x="1466" y="171"/>
                              </a:lnTo>
                              <a:lnTo>
                                <a:pt x="1466" y="150"/>
                              </a:lnTo>
                              <a:lnTo>
                                <a:pt x="1442" y="150"/>
                              </a:lnTo>
                              <a:lnTo>
                                <a:pt x="1442" y="101"/>
                              </a:lnTo>
                              <a:lnTo>
                                <a:pt x="1420" y="101"/>
                              </a:lnTo>
                              <a:lnTo>
                                <a:pt x="1420" y="150"/>
                              </a:lnTo>
                              <a:lnTo>
                                <a:pt x="1406" y="150"/>
                              </a:lnTo>
                              <a:lnTo>
                                <a:pt x="1406" y="171"/>
                              </a:lnTo>
                              <a:lnTo>
                                <a:pt x="1420" y="171"/>
                              </a:lnTo>
                              <a:lnTo>
                                <a:pt x="1420" y="283"/>
                              </a:lnTo>
                              <a:lnTo>
                                <a:pt x="1442" y="283"/>
                              </a:lnTo>
                              <a:lnTo>
                                <a:pt x="1442" y="171"/>
                              </a:lnTo>
                              <a:close/>
                              <a:moveTo>
                                <a:pt x="1510" y="150"/>
                              </a:moveTo>
                              <a:lnTo>
                                <a:pt x="1487" y="150"/>
                              </a:lnTo>
                              <a:lnTo>
                                <a:pt x="1487" y="283"/>
                              </a:lnTo>
                              <a:lnTo>
                                <a:pt x="1510" y="283"/>
                              </a:lnTo>
                              <a:lnTo>
                                <a:pt x="1510" y="150"/>
                              </a:lnTo>
                              <a:close/>
                              <a:moveTo>
                                <a:pt x="1498" y="82"/>
                              </a:moveTo>
                              <a:lnTo>
                                <a:pt x="1492" y="85"/>
                              </a:lnTo>
                              <a:lnTo>
                                <a:pt x="1487" y="87"/>
                              </a:lnTo>
                              <a:lnTo>
                                <a:pt x="1483" y="92"/>
                              </a:lnTo>
                              <a:lnTo>
                                <a:pt x="1482" y="99"/>
                              </a:lnTo>
                              <a:lnTo>
                                <a:pt x="1483" y="102"/>
                              </a:lnTo>
                              <a:lnTo>
                                <a:pt x="1483" y="106"/>
                              </a:lnTo>
                              <a:lnTo>
                                <a:pt x="1486" y="109"/>
                              </a:lnTo>
                              <a:lnTo>
                                <a:pt x="1487" y="111"/>
                              </a:lnTo>
                              <a:lnTo>
                                <a:pt x="1490" y="112"/>
                              </a:lnTo>
                              <a:lnTo>
                                <a:pt x="1492" y="115"/>
                              </a:lnTo>
                              <a:lnTo>
                                <a:pt x="1496" y="115"/>
                              </a:lnTo>
                              <a:lnTo>
                                <a:pt x="1498" y="116"/>
                              </a:lnTo>
                              <a:lnTo>
                                <a:pt x="1505" y="115"/>
                              </a:lnTo>
                              <a:lnTo>
                                <a:pt x="1511" y="111"/>
                              </a:lnTo>
                              <a:lnTo>
                                <a:pt x="1513" y="106"/>
                              </a:lnTo>
                              <a:lnTo>
                                <a:pt x="1516" y="100"/>
                              </a:lnTo>
                              <a:lnTo>
                                <a:pt x="1513" y="92"/>
                              </a:lnTo>
                              <a:lnTo>
                                <a:pt x="1511" y="87"/>
                              </a:lnTo>
                              <a:lnTo>
                                <a:pt x="1505" y="85"/>
                              </a:lnTo>
                              <a:lnTo>
                                <a:pt x="1498" y="82"/>
                              </a:lnTo>
                              <a:close/>
                              <a:moveTo>
                                <a:pt x="1654" y="160"/>
                              </a:moveTo>
                              <a:lnTo>
                                <a:pt x="1644" y="153"/>
                              </a:lnTo>
                              <a:lnTo>
                                <a:pt x="1634" y="150"/>
                              </a:lnTo>
                              <a:lnTo>
                                <a:pt x="1624" y="147"/>
                              </a:lnTo>
                              <a:lnTo>
                                <a:pt x="1613" y="147"/>
                              </a:lnTo>
                              <a:lnTo>
                                <a:pt x="1605" y="147"/>
                              </a:lnTo>
                              <a:lnTo>
                                <a:pt x="1598" y="148"/>
                              </a:lnTo>
                              <a:lnTo>
                                <a:pt x="1592" y="150"/>
                              </a:lnTo>
                              <a:lnTo>
                                <a:pt x="1586" y="152"/>
                              </a:lnTo>
                              <a:lnTo>
                                <a:pt x="1579" y="155"/>
                              </a:lnTo>
                              <a:lnTo>
                                <a:pt x="1573" y="158"/>
                              </a:lnTo>
                              <a:lnTo>
                                <a:pt x="1567" y="162"/>
                              </a:lnTo>
                              <a:lnTo>
                                <a:pt x="1562" y="167"/>
                              </a:lnTo>
                              <a:lnTo>
                                <a:pt x="1558" y="172"/>
                              </a:lnTo>
                              <a:lnTo>
                                <a:pt x="1554" y="177"/>
                              </a:lnTo>
                              <a:lnTo>
                                <a:pt x="1551" y="183"/>
                              </a:lnTo>
                              <a:lnTo>
                                <a:pt x="1548" y="190"/>
                              </a:lnTo>
                              <a:lnTo>
                                <a:pt x="1546" y="196"/>
                              </a:lnTo>
                              <a:lnTo>
                                <a:pt x="1543" y="202"/>
                              </a:lnTo>
                              <a:lnTo>
                                <a:pt x="1542" y="210"/>
                              </a:lnTo>
                              <a:lnTo>
                                <a:pt x="1542" y="217"/>
                              </a:lnTo>
                              <a:lnTo>
                                <a:pt x="1542" y="224"/>
                              </a:lnTo>
                              <a:lnTo>
                                <a:pt x="1543" y="231"/>
                              </a:lnTo>
                              <a:lnTo>
                                <a:pt x="1546" y="238"/>
                              </a:lnTo>
                              <a:lnTo>
                                <a:pt x="1548" y="244"/>
                              </a:lnTo>
                              <a:lnTo>
                                <a:pt x="1551" y="251"/>
                              </a:lnTo>
                              <a:lnTo>
                                <a:pt x="1554" y="256"/>
                              </a:lnTo>
                              <a:lnTo>
                                <a:pt x="1558" y="262"/>
                              </a:lnTo>
                              <a:lnTo>
                                <a:pt x="1562" y="267"/>
                              </a:lnTo>
                              <a:lnTo>
                                <a:pt x="1567" y="271"/>
                              </a:lnTo>
                              <a:lnTo>
                                <a:pt x="1573" y="274"/>
                              </a:lnTo>
                              <a:lnTo>
                                <a:pt x="1578" y="278"/>
                              </a:lnTo>
                              <a:lnTo>
                                <a:pt x="1584" y="282"/>
                              </a:lnTo>
                              <a:lnTo>
                                <a:pt x="1592" y="283"/>
                              </a:lnTo>
                              <a:lnTo>
                                <a:pt x="1598" y="286"/>
                              </a:lnTo>
                              <a:lnTo>
                                <a:pt x="1605" y="287"/>
                              </a:lnTo>
                              <a:lnTo>
                                <a:pt x="1613" y="287"/>
                              </a:lnTo>
                              <a:lnTo>
                                <a:pt x="1623" y="286"/>
                              </a:lnTo>
                              <a:lnTo>
                                <a:pt x="1634" y="283"/>
                              </a:lnTo>
                              <a:lnTo>
                                <a:pt x="1644" y="279"/>
                              </a:lnTo>
                              <a:lnTo>
                                <a:pt x="1655" y="273"/>
                              </a:lnTo>
                              <a:lnTo>
                                <a:pt x="1655" y="243"/>
                              </a:lnTo>
                              <a:lnTo>
                                <a:pt x="1644" y="253"/>
                              </a:lnTo>
                              <a:lnTo>
                                <a:pt x="1634" y="261"/>
                              </a:lnTo>
                              <a:lnTo>
                                <a:pt x="1629" y="263"/>
                              </a:lnTo>
                              <a:lnTo>
                                <a:pt x="1624" y="264"/>
                              </a:lnTo>
                              <a:lnTo>
                                <a:pt x="1618" y="266"/>
                              </a:lnTo>
                              <a:lnTo>
                                <a:pt x="1612" y="266"/>
                              </a:lnTo>
                              <a:lnTo>
                                <a:pt x="1603" y="264"/>
                              </a:lnTo>
                              <a:lnTo>
                                <a:pt x="1593" y="262"/>
                              </a:lnTo>
                              <a:lnTo>
                                <a:pt x="1586" y="258"/>
                              </a:lnTo>
                              <a:lnTo>
                                <a:pt x="1579" y="252"/>
                              </a:lnTo>
                              <a:lnTo>
                                <a:pt x="1573" y="244"/>
                              </a:lnTo>
                              <a:lnTo>
                                <a:pt x="1569" y="236"/>
                              </a:lnTo>
                              <a:lnTo>
                                <a:pt x="1567" y="227"/>
                              </a:lnTo>
                              <a:lnTo>
                                <a:pt x="1566" y="217"/>
                              </a:lnTo>
                              <a:lnTo>
                                <a:pt x="1567" y="207"/>
                              </a:lnTo>
                              <a:lnTo>
                                <a:pt x="1569" y="197"/>
                              </a:lnTo>
                              <a:lnTo>
                                <a:pt x="1573" y="188"/>
                              </a:lnTo>
                              <a:lnTo>
                                <a:pt x="1579" y="182"/>
                              </a:lnTo>
                              <a:lnTo>
                                <a:pt x="1586" y="176"/>
                              </a:lnTo>
                              <a:lnTo>
                                <a:pt x="1594" y="171"/>
                              </a:lnTo>
                              <a:lnTo>
                                <a:pt x="1603" y="168"/>
                              </a:lnTo>
                              <a:lnTo>
                                <a:pt x="1613" y="167"/>
                              </a:lnTo>
                              <a:lnTo>
                                <a:pt x="1618" y="168"/>
                              </a:lnTo>
                              <a:lnTo>
                                <a:pt x="1624" y="168"/>
                              </a:lnTo>
                              <a:lnTo>
                                <a:pt x="1629" y="171"/>
                              </a:lnTo>
                              <a:lnTo>
                                <a:pt x="1634" y="172"/>
                              </a:lnTo>
                              <a:lnTo>
                                <a:pt x="1644" y="180"/>
                              </a:lnTo>
                              <a:lnTo>
                                <a:pt x="1654" y="190"/>
                              </a:lnTo>
                              <a:lnTo>
                                <a:pt x="1654" y="160"/>
                              </a:lnTo>
                              <a:close/>
                              <a:moveTo>
                                <a:pt x="1710" y="49"/>
                              </a:moveTo>
                              <a:lnTo>
                                <a:pt x="1688" y="49"/>
                              </a:lnTo>
                              <a:lnTo>
                                <a:pt x="1688" y="283"/>
                              </a:lnTo>
                              <a:lnTo>
                                <a:pt x="1710" y="283"/>
                              </a:lnTo>
                              <a:lnTo>
                                <a:pt x="1710" y="228"/>
                              </a:lnTo>
                              <a:lnTo>
                                <a:pt x="1716" y="222"/>
                              </a:lnTo>
                              <a:lnTo>
                                <a:pt x="1770" y="283"/>
                              </a:lnTo>
                              <a:lnTo>
                                <a:pt x="1800" y="283"/>
                              </a:lnTo>
                              <a:lnTo>
                                <a:pt x="1733" y="206"/>
                              </a:lnTo>
                              <a:lnTo>
                                <a:pt x="1790" y="150"/>
                              </a:lnTo>
                              <a:lnTo>
                                <a:pt x="1759" y="150"/>
                              </a:lnTo>
                              <a:lnTo>
                                <a:pt x="1710" y="198"/>
                              </a:lnTo>
                              <a:lnTo>
                                <a:pt x="1710" y="49"/>
                              </a:lnTo>
                              <a:close/>
                              <a:moveTo>
                                <a:pt x="1861" y="271"/>
                              </a:moveTo>
                              <a:lnTo>
                                <a:pt x="1819" y="358"/>
                              </a:lnTo>
                              <a:lnTo>
                                <a:pt x="1845" y="358"/>
                              </a:lnTo>
                              <a:lnTo>
                                <a:pt x="1943" y="150"/>
                              </a:lnTo>
                              <a:lnTo>
                                <a:pt x="1917" y="150"/>
                              </a:lnTo>
                              <a:lnTo>
                                <a:pt x="1873" y="244"/>
                              </a:lnTo>
                              <a:lnTo>
                                <a:pt x="1826" y="150"/>
                              </a:lnTo>
                              <a:lnTo>
                                <a:pt x="1800" y="150"/>
                              </a:lnTo>
                              <a:lnTo>
                                <a:pt x="1861" y="271"/>
                              </a:lnTo>
                              <a:close/>
                              <a:moveTo>
                                <a:pt x="1912" y="82"/>
                              </a:moveTo>
                              <a:lnTo>
                                <a:pt x="1888" y="73"/>
                              </a:lnTo>
                              <a:lnTo>
                                <a:pt x="1855" y="119"/>
                              </a:lnTo>
                              <a:lnTo>
                                <a:pt x="1868" y="126"/>
                              </a:lnTo>
                              <a:lnTo>
                                <a:pt x="1912" y="82"/>
                              </a:lnTo>
                              <a:close/>
                              <a:moveTo>
                                <a:pt x="2066" y="150"/>
                              </a:moveTo>
                              <a:lnTo>
                                <a:pt x="2044" y="150"/>
                              </a:lnTo>
                              <a:lnTo>
                                <a:pt x="2044" y="229"/>
                              </a:lnTo>
                              <a:lnTo>
                                <a:pt x="2044" y="243"/>
                              </a:lnTo>
                              <a:lnTo>
                                <a:pt x="2047" y="253"/>
                              </a:lnTo>
                              <a:lnTo>
                                <a:pt x="2050" y="262"/>
                              </a:lnTo>
                              <a:lnTo>
                                <a:pt x="2055" y="269"/>
                              </a:lnTo>
                              <a:lnTo>
                                <a:pt x="2059" y="274"/>
                              </a:lnTo>
                              <a:lnTo>
                                <a:pt x="2064" y="277"/>
                              </a:lnTo>
                              <a:lnTo>
                                <a:pt x="2069" y="281"/>
                              </a:lnTo>
                              <a:lnTo>
                                <a:pt x="2074" y="282"/>
                              </a:lnTo>
                              <a:lnTo>
                                <a:pt x="2084" y="286"/>
                              </a:lnTo>
                              <a:lnTo>
                                <a:pt x="2096" y="287"/>
                              </a:lnTo>
                              <a:lnTo>
                                <a:pt x="2109" y="286"/>
                              </a:lnTo>
                              <a:lnTo>
                                <a:pt x="2119" y="282"/>
                              </a:lnTo>
                              <a:lnTo>
                                <a:pt x="2129" y="277"/>
                              </a:lnTo>
                              <a:lnTo>
                                <a:pt x="2136" y="269"/>
                              </a:lnTo>
                              <a:lnTo>
                                <a:pt x="2142" y="262"/>
                              </a:lnTo>
                              <a:lnTo>
                                <a:pt x="2146" y="253"/>
                              </a:lnTo>
                              <a:lnTo>
                                <a:pt x="2149" y="243"/>
                              </a:lnTo>
                              <a:lnTo>
                                <a:pt x="2149" y="229"/>
                              </a:lnTo>
                              <a:lnTo>
                                <a:pt x="2149" y="150"/>
                              </a:lnTo>
                              <a:lnTo>
                                <a:pt x="2126" y="150"/>
                              </a:lnTo>
                              <a:lnTo>
                                <a:pt x="2126" y="227"/>
                              </a:lnTo>
                              <a:lnTo>
                                <a:pt x="2126" y="236"/>
                              </a:lnTo>
                              <a:lnTo>
                                <a:pt x="2125" y="242"/>
                              </a:lnTo>
                              <a:lnTo>
                                <a:pt x="2124" y="248"/>
                              </a:lnTo>
                              <a:lnTo>
                                <a:pt x="2123" y="252"/>
                              </a:lnTo>
                              <a:lnTo>
                                <a:pt x="2118" y="258"/>
                              </a:lnTo>
                              <a:lnTo>
                                <a:pt x="2111" y="262"/>
                              </a:lnTo>
                              <a:lnTo>
                                <a:pt x="2105" y="264"/>
                              </a:lnTo>
                              <a:lnTo>
                                <a:pt x="2096" y="266"/>
                              </a:lnTo>
                              <a:lnTo>
                                <a:pt x="2088" y="264"/>
                              </a:lnTo>
                              <a:lnTo>
                                <a:pt x="2080" y="262"/>
                              </a:lnTo>
                              <a:lnTo>
                                <a:pt x="2075" y="258"/>
                              </a:lnTo>
                              <a:lnTo>
                                <a:pt x="2070" y="252"/>
                              </a:lnTo>
                              <a:lnTo>
                                <a:pt x="2069" y="248"/>
                              </a:lnTo>
                              <a:lnTo>
                                <a:pt x="2068" y="242"/>
                              </a:lnTo>
                              <a:lnTo>
                                <a:pt x="2066" y="236"/>
                              </a:lnTo>
                              <a:lnTo>
                                <a:pt x="2066" y="227"/>
                              </a:lnTo>
                              <a:lnTo>
                                <a:pt x="2066" y="150"/>
                              </a:lnTo>
                              <a:close/>
                              <a:moveTo>
                                <a:pt x="2136" y="82"/>
                              </a:moveTo>
                              <a:lnTo>
                                <a:pt x="2113" y="73"/>
                              </a:lnTo>
                              <a:lnTo>
                                <a:pt x="2079" y="119"/>
                              </a:lnTo>
                              <a:lnTo>
                                <a:pt x="2094" y="126"/>
                              </a:lnTo>
                              <a:lnTo>
                                <a:pt x="2136" y="82"/>
                              </a:lnTo>
                              <a:close/>
                              <a:moveTo>
                                <a:pt x="2190" y="150"/>
                              </a:moveTo>
                              <a:lnTo>
                                <a:pt x="2190" y="283"/>
                              </a:lnTo>
                              <a:lnTo>
                                <a:pt x="2212" y="283"/>
                              </a:lnTo>
                              <a:lnTo>
                                <a:pt x="2212" y="212"/>
                              </a:lnTo>
                              <a:lnTo>
                                <a:pt x="2212" y="202"/>
                              </a:lnTo>
                              <a:lnTo>
                                <a:pt x="2213" y="193"/>
                              </a:lnTo>
                              <a:lnTo>
                                <a:pt x="2215" y="186"/>
                              </a:lnTo>
                              <a:lnTo>
                                <a:pt x="2217" y="181"/>
                              </a:lnTo>
                              <a:lnTo>
                                <a:pt x="2221" y="176"/>
                              </a:lnTo>
                              <a:lnTo>
                                <a:pt x="2226" y="172"/>
                              </a:lnTo>
                              <a:lnTo>
                                <a:pt x="2232" y="170"/>
                              </a:lnTo>
                              <a:lnTo>
                                <a:pt x="2238" y="168"/>
                              </a:lnTo>
                              <a:lnTo>
                                <a:pt x="2245" y="170"/>
                              </a:lnTo>
                              <a:lnTo>
                                <a:pt x="2252" y="172"/>
                              </a:lnTo>
                              <a:lnTo>
                                <a:pt x="2262" y="152"/>
                              </a:lnTo>
                              <a:lnTo>
                                <a:pt x="2257" y="150"/>
                              </a:lnTo>
                              <a:lnTo>
                                <a:pt x="2252" y="147"/>
                              </a:lnTo>
                              <a:lnTo>
                                <a:pt x="2247" y="147"/>
                              </a:lnTo>
                              <a:lnTo>
                                <a:pt x="2242" y="146"/>
                              </a:lnTo>
                              <a:lnTo>
                                <a:pt x="2233" y="147"/>
                              </a:lnTo>
                              <a:lnTo>
                                <a:pt x="2227" y="150"/>
                              </a:lnTo>
                              <a:lnTo>
                                <a:pt x="2220" y="156"/>
                              </a:lnTo>
                              <a:lnTo>
                                <a:pt x="2212" y="165"/>
                              </a:lnTo>
                              <a:lnTo>
                                <a:pt x="2212" y="150"/>
                              </a:lnTo>
                              <a:lnTo>
                                <a:pt x="2190" y="150"/>
                              </a:lnTo>
                              <a:close/>
                              <a:moveTo>
                                <a:pt x="2265" y="85"/>
                              </a:moveTo>
                              <a:lnTo>
                                <a:pt x="2248" y="73"/>
                              </a:lnTo>
                              <a:lnTo>
                                <a:pt x="2221" y="99"/>
                              </a:lnTo>
                              <a:lnTo>
                                <a:pt x="2192" y="73"/>
                              </a:lnTo>
                              <a:lnTo>
                                <a:pt x="2176" y="85"/>
                              </a:lnTo>
                              <a:lnTo>
                                <a:pt x="2221" y="126"/>
                              </a:lnTo>
                              <a:lnTo>
                                <a:pt x="2265" y="85"/>
                              </a:lnTo>
                              <a:close/>
                              <a:moveTo>
                                <a:pt x="2379" y="150"/>
                              </a:moveTo>
                              <a:lnTo>
                                <a:pt x="2379" y="168"/>
                              </a:lnTo>
                              <a:lnTo>
                                <a:pt x="2374" y="163"/>
                              </a:lnTo>
                              <a:lnTo>
                                <a:pt x="2369" y="158"/>
                              </a:lnTo>
                              <a:lnTo>
                                <a:pt x="2363" y="155"/>
                              </a:lnTo>
                              <a:lnTo>
                                <a:pt x="2358" y="152"/>
                              </a:lnTo>
                              <a:lnTo>
                                <a:pt x="2352" y="150"/>
                              </a:lnTo>
                              <a:lnTo>
                                <a:pt x="2346" y="147"/>
                              </a:lnTo>
                              <a:lnTo>
                                <a:pt x="2339" y="147"/>
                              </a:lnTo>
                              <a:lnTo>
                                <a:pt x="2332" y="146"/>
                              </a:lnTo>
                              <a:lnTo>
                                <a:pt x="2326" y="147"/>
                              </a:lnTo>
                              <a:lnTo>
                                <a:pt x="2319" y="147"/>
                              </a:lnTo>
                              <a:lnTo>
                                <a:pt x="2313" y="150"/>
                              </a:lnTo>
                              <a:lnTo>
                                <a:pt x="2307" y="152"/>
                              </a:lnTo>
                              <a:lnTo>
                                <a:pt x="2302" y="155"/>
                              </a:lnTo>
                              <a:lnTo>
                                <a:pt x="2296" y="158"/>
                              </a:lnTo>
                              <a:lnTo>
                                <a:pt x="2291" y="162"/>
                              </a:lnTo>
                              <a:lnTo>
                                <a:pt x="2287" y="166"/>
                              </a:lnTo>
                              <a:lnTo>
                                <a:pt x="2283" y="171"/>
                              </a:lnTo>
                              <a:lnTo>
                                <a:pt x="2279" y="176"/>
                              </a:lnTo>
                              <a:lnTo>
                                <a:pt x="2276" y="182"/>
                              </a:lnTo>
                              <a:lnTo>
                                <a:pt x="2273" y="188"/>
                              </a:lnTo>
                              <a:lnTo>
                                <a:pt x="2270" y="201"/>
                              </a:lnTo>
                              <a:lnTo>
                                <a:pt x="2268" y="216"/>
                              </a:lnTo>
                              <a:lnTo>
                                <a:pt x="2270" y="223"/>
                              </a:lnTo>
                              <a:lnTo>
                                <a:pt x="2270" y="231"/>
                              </a:lnTo>
                              <a:lnTo>
                                <a:pt x="2272" y="237"/>
                              </a:lnTo>
                              <a:lnTo>
                                <a:pt x="2273" y="244"/>
                              </a:lnTo>
                              <a:lnTo>
                                <a:pt x="2276" y="251"/>
                              </a:lnTo>
                              <a:lnTo>
                                <a:pt x="2279" y="256"/>
                              </a:lnTo>
                              <a:lnTo>
                                <a:pt x="2283" y="262"/>
                              </a:lnTo>
                              <a:lnTo>
                                <a:pt x="2287" y="267"/>
                              </a:lnTo>
                              <a:lnTo>
                                <a:pt x="2292" y="271"/>
                              </a:lnTo>
                              <a:lnTo>
                                <a:pt x="2296" y="276"/>
                              </a:lnTo>
                              <a:lnTo>
                                <a:pt x="2302" y="278"/>
                              </a:lnTo>
                              <a:lnTo>
                                <a:pt x="2307" y="282"/>
                              </a:lnTo>
                              <a:lnTo>
                                <a:pt x="2313" y="283"/>
                              </a:lnTo>
                              <a:lnTo>
                                <a:pt x="2319" y="286"/>
                              </a:lnTo>
                              <a:lnTo>
                                <a:pt x="2326" y="287"/>
                              </a:lnTo>
                              <a:lnTo>
                                <a:pt x="2333" y="287"/>
                              </a:lnTo>
                              <a:lnTo>
                                <a:pt x="2339" y="287"/>
                              </a:lnTo>
                              <a:lnTo>
                                <a:pt x="2347" y="286"/>
                              </a:lnTo>
                              <a:lnTo>
                                <a:pt x="2352" y="283"/>
                              </a:lnTo>
                              <a:lnTo>
                                <a:pt x="2358" y="281"/>
                              </a:lnTo>
                              <a:lnTo>
                                <a:pt x="2364" y="278"/>
                              </a:lnTo>
                              <a:lnTo>
                                <a:pt x="2369" y="274"/>
                              </a:lnTo>
                              <a:lnTo>
                                <a:pt x="2374" y="269"/>
                              </a:lnTo>
                              <a:lnTo>
                                <a:pt x="2379" y="264"/>
                              </a:lnTo>
                              <a:lnTo>
                                <a:pt x="2379" y="283"/>
                              </a:lnTo>
                              <a:lnTo>
                                <a:pt x="2402" y="283"/>
                              </a:lnTo>
                              <a:lnTo>
                                <a:pt x="2402" y="150"/>
                              </a:lnTo>
                              <a:lnTo>
                                <a:pt x="2379" y="150"/>
                              </a:lnTo>
                              <a:close/>
                              <a:moveTo>
                                <a:pt x="2336" y="167"/>
                              </a:moveTo>
                              <a:lnTo>
                                <a:pt x="2346" y="168"/>
                              </a:lnTo>
                              <a:lnTo>
                                <a:pt x="2354" y="171"/>
                              </a:lnTo>
                              <a:lnTo>
                                <a:pt x="2362" y="175"/>
                              </a:lnTo>
                              <a:lnTo>
                                <a:pt x="2368" y="181"/>
                              </a:lnTo>
                              <a:lnTo>
                                <a:pt x="2373" y="188"/>
                              </a:lnTo>
                              <a:lnTo>
                                <a:pt x="2377" y="196"/>
                              </a:lnTo>
                              <a:lnTo>
                                <a:pt x="2379" y="206"/>
                              </a:lnTo>
                              <a:lnTo>
                                <a:pt x="2380" y="216"/>
                              </a:lnTo>
                              <a:lnTo>
                                <a:pt x="2379" y="227"/>
                              </a:lnTo>
                              <a:lnTo>
                                <a:pt x="2377" y="236"/>
                              </a:lnTo>
                              <a:lnTo>
                                <a:pt x="2373" y="244"/>
                              </a:lnTo>
                              <a:lnTo>
                                <a:pt x="2368" y="252"/>
                              </a:lnTo>
                              <a:lnTo>
                                <a:pt x="2362" y="258"/>
                              </a:lnTo>
                              <a:lnTo>
                                <a:pt x="2354" y="262"/>
                              </a:lnTo>
                              <a:lnTo>
                                <a:pt x="2346" y="264"/>
                              </a:lnTo>
                              <a:lnTo>
                                <a:pt x="2336" y="266"/>
                              </a:lnTo>
                              <a:lnTo>
                                <a:pt x="2327" y="264"/>
                              </a:lnTo>
                              <a:lnTo>
                                <a:pt x="2318" y="262"/>
                              </a:lnTo>
                              <a:lnTo>
                                <a:pt x="2311" y="258"/>
                              </a:lnTo>
                              <a:lnTo>
                                <a:pt x="2304" y="252"/>
                              </a:lnTo>
                              <a:lnTo>
                                <a:pt x="2299" y="244"/>
                              </a:lnTo>
                              <a:lnTo>
                                <a:pt x="2296" y="236"/>
                              </a:lnTo>
                              <a:lnTo>
                                <a:pt x="2293" y="226"/>
                              </a:lnTo>
                              <a:lnTo>
                                <a:pt x="2292" y="216"/>
                              </a:lnTo>
                              <a:lnTo>
                                <a:pt x="2293" y="206"/>
                              </a:lnTo>
                              <a:lnTo>
                                <a:pt x="2296" y="196"/>
                              </a:lnTo>
                              <a:lnTo>
                                <a:pt x="2299" y="188"/>
                              </a:lnTo>
                              <a:lnTo>
                                <a:pt x="2304" y="181"/>
                              </a:lnTo>
                              <a:lnTo>
                                <a:pt x="2311" y="176"/>
                              </a:lnTo>
                              <a:lnTo>
                                <a:pt x="2318" y="171"/>
                              </a:lnTo>
                              <a:lnTo>
                                <a:pt x="2327" y="168"/>
                              </a:lnTo>
                              <a:lnTo>
                                <a:pt x="2336" y="167"/>
                              </a:lnTo>
                              <a:close/>
                              <a:moveTo>
                                <a:pt x="2544" y="49"/>
                              </a:moveTo>
                              <a:lnTo>
                                <a:pt x="2544" y="168"/>
                              </a:lnTo>
                              <a:lnTo>
                                <a:pt x="2539" y="163"/>
                              </a:lnTo>
                              <a:lnTo>
                                <a:pt x="2534" y="158"/>
                              </a:lnTo>
                              <a:lnTo>
                                <a:pt x="2527" y="155"/>
                              </a:lnTo>
                              <a:lnTo>
                                <a:pt x="2522" y="152"/>
                              </a:lnTo>
                              <a:lnTo>
                                <a:pt x="2516" y="150"/>
                              </a:lnTo>
                              <a:lnTo>
                                <a:pt x="2510" y="148"/>
                              </a:lnTo>
                              <a:lnTo>
                                <a:pt x="2504" y="147"/>
                              </a:lnTo>
                              <a:lnTo>
                                <a:pt x="2496" y="147"/>
                              </a:lnTo>
                              <a:lnTo>
                                <a:pt x="2490" y="147"/>
                              </a:lnTo>
                              <a:lnTo>
                                <a:pt x="2484" y="148"/>
                              </a:lnTo>
                              <a:lnTo>
                                <a:pt x="2478" y="150"/>
                              </a:lnTo>
                              <a:lnTo>
                                <a:pt x="2471" y="152"/>
                              </a:lnTo>
                              <a:lnTo>
                                <a:pt x="2466" y="155"/>
                              </a:lnTo>
                              <a:lnTo>
                                <a:pt x="2460" y="158"/>
                              </a:lnTo>
                              <a:lnTo>
                                <a:pt x="2455" y="162"/>
                              </a:lnTo>
                              <a:lnTo>
                                <a:pt x="2451" y="166"/>
                              </a:lnTo>
                              <a:lnTo>
                                <a:pt x="2448" y="171"/>
                              </a:lnTo>
                              <a:lnTo>
                                <a:pt x="2444" y="177"/>
                              </a:lnTo>
                              <a:lnTo>
                                <a:pt x="2440" y="182"/>
                              </a:lnTo>
                              <a:lnTo>
                                <a:pt x="2438" y="188"/>
                              </a:lnTo>
                              <a:lnTo>
                                <a:pt x="2434" y="202"/>
                              </a:lnTo>
                              <a:lnTo>
                                <a:pt x="2433" y="216"/>
                              </a:lnTo>
                              <a:lnTo>
                                <a:pt x="2434" y="223"/>
                              </a:lnTo>
                              <a:lnTo>
                                <a:pt x="2434" y="231"/>
                              </a:lnTo>
                              <a:lnTo>
                                <a:pt x="2436" y="238"/>
                              </a:lnTo>
                              <a:lnTo>
                                <a:pt x="2438" y="244"/>
                              </a:lnTo>
                              <a:lnTo>
                                <a:pt x="2440" y="251"/>
                              </a:lnTo>
                              <a:lnTo>
                                <a:pt x="2444" y="257"/>
                              </a:lnTo>
                              <a:lnTo>
                                <a:pt x="2448" y="262"/>
                              </a:lnTo>
                              <a:lnTo>
                                <a:pt x="2451" y="267"/>
                              </a:lnTo>
                              <a:lnTo>
                                <a:pt x="2456" y="271"/>
                              </a:lnTo>
                              <a:lnTo>
                                <a:pt x="2461" y="276"/>
                              </a:lnTo>
                              <a:lnTo>
                                <a:pt x="2466" y="278"/>
                              </a:lnTo>
                              <a:lnTo>
                                <a:pt x="2471" y="282"/>
                              </a:lnTo>
                              <a:lnTo>
                                <a:pt x="2478" y="283"/>
                              </a:lnTo>
                              <a:lnTo>
                                <a:pt x="2484" y="286"/>
                              </a:lnTo>
                              <a:lnTo>
                                <a:pt x="2490" y="287"/>
                              </a:lnTo>
                              <a:lnTo>
                                <a:pt x="2498" y="287"/>
                              </a:lnTo>
                              <a:lnTo>
                                <a:pt x="2504" y="287"/>
                              </a:lnTo>
                              <a:lnTo>
                                <a:pt x="2511" y="286"/>
                              </a:lnTo>
                              <a:lnTo>
                                <a:pt x="2517" y="283"/>
                              </a:lnTo>
                              <a:lnTo>
                                <a:pt x="2524" y="281"/>
                              </a:lnTo>
                              <a:lnTo>
                                <a:pt x="2529" y="278"/>
                              </a:lnTo>
                              <a:lnTo>
                                <a:pt x="2534" y="274"/>
                              </a:lnTo>
                              <a:lnTo>
                                <a:pt x="2539" y="269"/>
                              </a:lnTo>
                              <a:lnTo>
                                <a:pt x="2542" y="264"/>
                              </a:lnTo>
                              <a:lnTo>
                                <a:pt x="2542" y="283"/>
                              </a:lnTo>
                              <a:lnTo>
                                <a:pt x="2566" y="283"/>
                              </a:lnTo>
                              <a:lnTo>
                                <a:pt x="2566" y="49"/>
                              </a:lnTo>
                              <a:lnTo>
                                <a:pt x="2544" y="49"/>
                              </a:lnTo>
                              <a:close/>
                              <a:moveTo>
                                <a:pt x="2500" y="167"/>
                              </a:moveTo>
                              <a:lnTo>
                                <a:pt x="2509" y="168"/>
                              </a:lnTo>
                              <a:lnTo>
                                <a:pt x="2516" y="171"/>
                              </a:lnTo>
                              <a:lnTo>
                                <a:pt x="2524" y="175"/>
                              </a:lnTo>
                              <a:lnTo>
                                <a:pt x="2531" y="180"/>
                              </a:lnTo>
                              <a:lnTo>
                                <a:pt x="2537" y="187"/>
                              </a:lnTo>
                              <a:lnTo>
                                <a:pt x="2541" y="195"/>
                              </a:lnTo>
                              <a:lnTo>
                                <a:pt x="2544" y="205"/>
                              </a:lnTo>
                              <a:lnTo>
                                <a:pt x="2545" y="216"/>
                              </a:lnTo>
                              <a:lnTo>
                                <a:pt x="2544" y="227"/>
                              </a:lnTo>
                              <a:lnTo>
                                <a:pt x="2541" y="237"/>
                              </a:lnTo>
                              <a:lnTo>
                                <a:pt x="2537" y="244"/>
                              </a:lnTo>
                              <a:lnTo>
                                <a:pt x="2532" y="252"/>
                              </a:lnTo>
                              <a:lnTo>
                                <a:pt x="2526" y="258"/>
                              </a:lnTo>
                              <a:lnTo>
                                <a:pt x="2519" y="262"/>
                              </a:lnTo>
                              <a:lnTo>
                                <a:pt x="2510" y="264"/>
                              </a:lnTo>
                              <a:lnTo>
                                <a:pt x="2500" y="266"/>
                              </a:lnTo>
                              <a:lnTo>
                                <a:pt x="2491" y="264"/>
                              </a:lnTo>
                              <a:lnTo>
                                <a:pt x="2483" y="262"/>
                              </a:lnTo>
                              <a:lnTo>
                                <a:pt x="2475" y="258"/>
                              </a:lnTo>
                              <a:lnTo>
                                <a:pt x="2469" y="252"/>
                              </a:lnTo>
                              <a:lnTo>
                                <a:pt x="2464" y="244"/>
                              </a:lnTo>
                              <a:lnTo>
                                <a:pt x="2460" y="236"/>
                              </a:lnTo>
                              <a:lnTo>
                                <a:pt x="2458" y="226"/>
                              </a:lnTo>
                              <a:lnTo>
                                <a:pt x="2456" y="216"/>
                              </a:lnTo>
                              <a:lnTo>
                                <a:pt x="2458" y="206"/>
                              </a:lnTo>
                              <a:lnTo>
                                <a:pt x="2460" y="197"/>
                              </a:lnTo>
                              <a:lnTo>
                                <a:pt x="2464" y="188"/>
                              </a:lnTo>
                              <a:lnTo>
                                <a:pt x="2469" y="181"/>
                              </a:lnTo>
                              <a:lnTo>
                                <a:pt x="2475" y="176"/>
                              </a:lnTo>
                              <a:lnTo>
                                <a:pt x="2483" y="171"/>
                              </a:lnTo>
                              <a:lnTo>
                                <a:pt x="2491" y="168"/>
                              </a:lnTo>
                              <a:lnTo>
                                <a:pt x="2500" y="167"/>
                              </a:lnTo>
                              <a:close/>
                              <a:moveTo>
                                <a:pt x="2734" y="337"/>
                              </a:moveTo>
                              <a:lnTo>
                                <a:pt x="2759" y="337"/>
                              </a:lnTo>
                              <a:lnTo>
                                <a:pt x="2759" y="69"/>
                              </a:lnTo>
                              <a:lnTo>
                                <a:pt x="2734" y="69"/>
                              </a:lnTo>
                              <a:lnTo>
                                <a:pt x="2734" y="337"/>
                              </a:lnTo>
                              <a:close/>
                              <a:moveTo>
                                <a:pt x="2932" y="283"/>
                              </a:moveTo>
                              <a:lnTo>
                                <a:pt x="2956" y="283"/>
                              </a:lnTo>
                              <a:lnTo>
                                <a:pt x="2956" y="117"/>
                              </a:lnTo>
                              <a:lnTo>
                                <a:pt x="3123" y="292"/>
                              </a:lnTo>
                              <a:lnTo>
                                <a:pt x="3123" y="69"/>
                              </a:lnTo>
                              <a:lnTo>
                                <a:pt x="3099" y="69"/>
                              </a:lnTo>
                              <a:lnTo>
                                <a:pt x="3099" y="234"/>
                              </a:lnTo>
                              <a:lnTo>
                                <a:pt x="2932" y="60"/>
                              </a:lnTo>
                              <a:lnTo>
                                <a:pt x="2932" y="283"/>
                              </a:lnTo>
                              <a:close/>
                              <a:moveTo>
                                <a:pt x="3271" y="150"/>
                              </a:moveTo>
                              <a:lnTo>
                                <a:pt x="3271" y="168"/>
                              </a:lnTo>
                              <a:lnTo>
                                <a:pt x="3266" y="163"/>
                              </a:lnTo>
                              <a:lnTo>
                                <a:pt x="3261" y="158"/>
                              </a:lnTo>
                              <a:lnTo>
                                <a:pt x="3256" y="155"/>
                              </a:lnTo>
                              <a:lnTo>
                                <a:pt x="3250" y="152"/>
                              </a:lnTo>
                              <a:lnTo>
                                <a:pt x="3244" y="150"/>
                              </a:lnTo>
                              <a:lnTo>
                                <a:pt x="3239" y="147"/>
                              </a:lnTo>
                              <a:lnTo>
                                <a:pt x="3231" y="147"/>
                              </a:lnTo>
                              <a:lnTo>
                                <a:pt x="3225" y="146"/>
                              </a:lnTo>
                              <a:lnTo>
                                <a:pt x="3218" y="147"/>
                              </a:lnTo>
                              <a:lnTo>
                                <a:pt x="3211" y="147"/>
                              </a:lnTo>
                              <a:lnTo>
                                <a:pt x="3205" y="150"/>
                              </a:lnTo>
                              <a:lnTo>
                                <a:pt x="3199" y="152"/>
                              </a:lnTo>
                              <a:lnTo>
                                <a:pt x="3194" y="155"/>
                              </a:lnTo>
                              <a:lnTo>
                                <a:pt x="3189" y="158"/>
                              </a:lnTo>
                              <a:lnTo>
                                <a:pt x="3184" y="162"/>
                              </a:lnTo>
                              <a:lnTo>
                                <a:pt x="3179" y="166"/>
                              </a:lnTo>
                              <a:lnTo>
                                <a:pt x="3175" y="171"/>
                              </a:lnTo>
                              <a:lnTo>
                                <a:pt x="3172" y="176"/>
                              </a:lnTo>
                              <a:lnTo>
                                <a:pt x="3169" y="182"/>
                              </a:lnTo>
                              <a:lnTo>
                                <a:pt x="3167" y="188"/>
                              </a:lnTo>
                              <a:lnTo>
                                <a:pt x="3163" y="201"/>
                              </a:lnTo>
                              <a:lnTo>
                                <a:pt x="3162" y="216"/>
                              </a:lnTo>
                              <a:lnTo>
                                <a:pt x="3162" y="223"/>
                              </a:lnTo>
                              <a:lnTo>
                                <a:pt x="3163" y="231"/>
                              </a:lnTo>
                              <a:lnTo>
                                <a:pt x="3164" y="237"/>
                              </a:lnTo>
                              <a:lnTo>
                                <a:pt x="3167" y="244"/>
                              </a:lnTo>
                              <a:lnTo>
                                <a:pt x="3169" y="251"/>
                              </a:lnTo>
                              <a:lnTo>
                                <a:pt x="3172" y="256"/>
                              </a:lnTo>
                              <a:lnTo>
                                <a:pt x="3175" y="262"/>
                              </a:lnTo>
                              <a:lnTo>
                                <a:pt x="3179" y="267"/>
                              </a:lnTo>
                              <a:lnTo>
                                <a:pt x="3184" y="271"/>
                              </a:lnTo>
                              <a:lnTo>
                                <a:pt x="3189" y="276"/>
                              </a:lnTo>
                              <a:lnTo>
                                <a:pt x="3194" y="278"/>
                              </a:lnTo>
                              <a:lnTo>
                                <a:pt x="3200" y="282"/>
                              </a:lnTo>
                              <a:lnTo>
                                <a:pt x="3205" y="283"/>
                              </a:lnTo>
                              <a:lnTo>
                                <a:pt x="3211" y="286"/>
                              </a:lnTo>
                              <a:lnTo>
                                <a:pt x="3219" y="287"/>
                              </a:lnTo>
                              <a:lnTo>
                                <a:pt x="3225" y="287"/>
                              </a:lnTo>
                              <a:lnTo>
                                <a:pt x="3233" y="287"/>
                              </a:lnTo>
                              <a:lnTo>
                                <a:pt x="3239" y="286"/>
                              </a:lnTo>
                              <a:lnTo>
                                <a:pt x="3245" y="283"/>
                              </a:lnTo>
                              <a:lnTo>
                                <a:pt x="3250" y="281"/>
                              </a:lnTo>
                              <a:lnTo>
                                <a:pt x="3256" y="278"/>
                              </a:lnTo>
                              <a:lnTo>
                                <a:pt x="3261" y="274"/>
                              </a:lnTo>
                              <a:lnTo>
                                <a:pt x="3266" y="269"/>
                              </a:lnTo>
                              <a:lnTo>
                                <a:pt x="3271" y="264"/>
                              </a:lnTo>
                              <a:lnTo>
                                <a:pt x="3271" y="283"/>
                              </a:lnTo>
                              <a:lnTo>
                                <a:pt x="3294" y="283"/>
                              </a:lnTo>
                              <a:lnTo>
                                <a:pt x="3294" y="150"/>
                              </a:lnTo>
                              <a:lnTo>
                                <a:pt x="3271" y="150"/>
                              </a:lnTo>
                              <a:close/>
                              <a:moveTo>
                                <a:pt x="3229" y="167"/>
                              </a:moveTo>
                              <a:lnTo>
                                <a:pt x="3238" y="168"/>
                              </a:lnTo>
                              <a:lnTo>
                                <a:pt x="3246" y="171"/>
                              </a:lnTo>
                              <a:lnTo>
                                <a:pt x="3254" y="175"/>
                              </a:lnTo>
                              <a:lnTo>
                                <a:pt x="3260" y="181"/>
                              </a:lnTo>
                              <a:lnTo>
                                <a:pt x="3266" y="188"/>
                              </a:lnTo>
                              <a:lnTo>
                                <a:pt x="3270" y="196"/>
                              </a:lnTo>
                              <a:lnTo>
                                <a:pt x="3272" y="206"/>
                              </a:lnTo>
                              <a:lnTo>
                                <a:pt x="3272" y="216"/>
                              </a:lnTo>
                              <a:lnTo>
                                <a:pt x="3272" y="227"/>
                              </a:lnTo>
                              <a:lnTo>
                                <a:pt x="3270" y="236"/>
                              </a:lnTo>
                              <a:lnTo>
                                <a:pt x="3266" y="244"/>
                              </a:lnTo>
                              <a:lnTo>
                                <a:pt x="3260" y="252"/>
                              </a:lnTo>
                              <a:lnTo>
                                <a:pt x="3254" y="258"/>
                              </a:lnTo>
                              <a:lnTo>
                                <a:pt x="3246" y="262"/>
                              </a:lnTo>
                              <a:lnTo>
                                <a:pt x="3238" y="264"/>
                              </a:lnTo>
                              <a:lnTo>
                                <a:pt x="3229" y="266"/>
                              </a:lnTo>
                              <a:lnTo>
                                <a:pt x="3219" y="264"/>
                              </a:lnTo>
                              <a:lnTo>
                                <a:pt x="3210" y="262"/>
                              </a:lnTo>
                              <a:lnTo>
                                <a:pt x="3204" y="258"/>
                              </a:lnTo>
                              <a:lnTo>
                                <a:pt x="3196" y="252"/>
                              </a:lnTo>
                              <a:lnTo>
                                <a:pt x="3191" y="244"/>
                              </a:lnTo>
                              <a:lnTo>
                                <a:pt x="3188" y="236"/>
                              </a:lnTo>
                              <a:lnTo>
                                <a:pt x="3185" y="226"/>
                              </a:lnTo>
                              <a:lnTo>
                                <a:pt x="3185" y="216"/>
                              </a:lnTo>
                              <a:lnTo>
                                <a:pt x="3185" y="206"/>
                              </a:lnTo>
                              <a:lnTo>
                                <a:pt x="3188" y="196"/>
                              </a:lnTo>
                              <a:lnTo>
                                <a:pt x="3191" y="188"/>
                              </a:lnTo>
                              <a:lnTo>
                                <a:pt x="3198" y="181"/>
                              </a:lnTo>
                              <a:lnTo>
                                <a:pt x="3204" y="176"/>
                              </a:lnTo>
                              <a:lnTo>
                                <a:pt x="3211" y="171"/>
                              </a:lnTo>
                              <a:lnTo>
                                <a:pt x="3219" y="168"/>
                              </a:lnTo>
                              <a:lnTo>
                                <a:pt x="3229" y="167"/>
                              </a:lnTo>
                              <a:close/>
                              <a:moveTo>
                                <a:pt x="3438" y="358"/>
                              </a:moveTo>
                              <a:lnTo>
                                <a:pt x="3438" y="264"/>
                              </a:lnTo>
                              <a:lnTo>
                                <a:pt x="3443" y="269"/>
                              </a:lnTo>
                              <a:lnTo>
                                <a:pt x="3448" y="274"/>
                              </a:lnTo>
                              <a:lnTo>
                                <a:pt x="3453" y="278"/>
                              </a:lnTo>
                              <a:lnTo>
                                <a:pt x="3458" y="282"/>
                              </a:lnTo>
                              <a:lnTo>
                                <a:pt x="3464" y="283"/>
                              </a:lnTo>
                              <a:lnTo>
                                <a:pt x="3471" y="286"/>
                              </a:lnTo>
                              <a:lnTo>
                                <a:pt x="3477" y="287"/>
                              </a:lnTo>
                              <a:lnTo>
                                <a:pt x="3484" y="287"/>
                              </a:lnTo>
                              <a:lnTo>
                                <a:pt x="3490" y="287"/>
                              </a:lnTo>
                              <a:lnTo>
                                <a:pt x="3497" y="286"/>
                              </a:lnTo>
                              <a:lnTo>
                                <a:pt x="3503" y="283"/>
                              </a:lnTo>
                              <a:lnTo>
                                <a:pt x="3509" y="282"/>
                              </a:lnTo>
                              <a:lnTo>
                                <a:pt x="3515" y="278"/>
                              </a:lnTo>
                              <a:lnTo>
                                <a:pt x="3520" y="276"/>
                              </a:lnTo>
                              <a:lnTo>
                                <a:pt x="3525" y="272"/>
                              </a:lnTo>
                              <a:lnTo>
                                <a:pt x="3529" y="267"/>
                              </a:lnTo>
                              <a:lnTo>
                                <a:pt x="3537" y="257"/>
                              </a:lnTo>
                              <a:lnTo>
                                <a:pt x="3543" y="244"/>
                              </a:lnTo>
                              <a:lnTo>
                                <a:pt x="3547" y="232"/>
                              </a:lnTo>
                              <a:lnTo>
                                <a:pt x="3548" y="217"/>
                              </a:lnTo>
                              <a:lnTo>
                                <a:pt x="3548" y="210"/>
                              </a:lnTo>
                              <a:lnTo>
                                <a:pt x="3547" y="202"/>
                              </a:lnTo>
                              <a:lnTo>
                                <a:pt x="3545" y="196"/>
                              </a:lnTo>
                              <a:lnTo>
                                <a:pt x="3543" y="188"/>
                              </a:lnTo>
                              <a:lnTo>
                                <a:pt x="3540" y="182"/>
                              </a:lnTo>
                              <a:lnTo>
                                <a:pt x="3537" y="177"/>
                              </a:lnTo>
                              <a:lnTo>
                                <a:pt x="3533" y="171"/>
                              </a:lnTo>
                              <a:lnTo>
                                <a:pt x="3529" y="166"/>
                              </a:lnTo>
                              <a:lnTo>
                                <a:pt x="3525" y="162"/>
                              </a:lnTo>
                              <a:lnTo>
                                <a:pt x="3520" y="158"/>
                              </a:lnTo>
                              <a:lnTo>
                                <a:pt x="3514" y="155"/>
                              </a:lnTo>
                              <a:lnTo>
                                <a:pt x="3509" y="152"/>
                              </a:lnTo>
                              <a:lnTo>
                                <a:pt x="3503" y="150"/>
                              </a:lnTo>
                              <a:lnTo>
                                <a:pt x="3497" y="148"/>
                              </a:lnTo>
                              <a:lnTo>
                                <a:pt x="3490" y="147"/>
                              </a:lnTo>
                              <a:lnTo>
                                <a:pt x="3483" y="146"/>
                              </a:lnTo>
                              <a:lnTo>
                                <a:pt x="3477" y="147"/>
                              </a:lnTo>
                              <a:lnTo>
                                <a:pt x="3471" y="147"/>
                              </a:lnTo>
                              <a:lnTo>
                                <a:pt x="3464" y="150"/>
                              </a:lnTo>
                              <a:lnTo>
                                <a:pt x="3458" y="152"/>
                              </a:lnTo>
                              <a:lnTo>
                                <a:pt x="3453" y="155"/>
                              </a:lnTo>
                              <a:lnTo>
                                <a:pt x="3448" y="158"/>
                              </a:lnTo>
                              <a:lnTo>
                                <a:pt x="3442" y="163"/>
                              </a:lnTo>
                              <a:lnTo>
                                <a:pt x="3438" y="168"/>
                              </a:lnTo>
                              <a:lnTo>
                                <a:pt x="3438" y="150"/>
                              </a:lnTo>
                              <a:lnTo>
                                <a:pt x="3414" y="150"/>
                              </a:lnTo>
                              <a:lnTo>
                                <a:pt x="3414" y="358"/>
                              </a:lnTo>
                              <a:lnTo>
                                <a:pt x="3438" y="358"/>
                              </a:lnTo>
                              <a:close/>
                              <a:moveTo>
                                <a:pt x="3481" y="167"/>
                              </a:moveTo>
                              <a:lnTo>
                                <a:pt x="3489" y="168"/>
                              </a:lnTo>
                              <a:lnTo>
                                <a:pt x="3498" y="171"/>
                              </a:lnTo>
                              <a:lnTo>
                                <a:pt x="3505" y="176"/>
                              </a:lnTo>
                              <a:lnTo>
                                <a:pt x="3512" y="182"/>
                              </a:lnTo>
                              <a:lnTo>
                                <a:pt x="3517" y="188"/>
                              </a:lnTo>
                              <a:lnTo>
                                <a:pt x="3520" y="197"/>
                              </a:lnTo>
                              <a:lnTo>
                                <a:pt x="3523" y="207"/>
                              </a:lnTo>
                              <a:lnTo>
                                <a:pt x="3524" y="218"/>
                              </a:lnTo>
                              <a:lnTo>
                                <a:pt x="3523" y="227"/>
                              </a:lnTo>
                              <a:lnTo>
                                <a:pt x="3520" y="237"/>
                              </a:lnTo>
                              <a:lnTo>
                                <a:pt x="3517" y="244"/>
                              </a:lnTo>
                              <a:lnTo>
                                <a:pt x="3512" y="252"/>
                              </a:lnTo>
                              <a:lnTo>
                                <a:pt x="3505" y="258"/>
                              </a:lnTo>
                              <a:lnTo>
                                <a:pt x="3498" y="262"/>
                              </a:lnTo>
                              <a:lnTo>
                                <a:pt x="3489" y="264"/>
                              </a:lnTo>
                              <a:lnTo>
                                <a:pt x="3481" y="266"/>
                              </a:lnTo>
                              <a:lnTo>
                                <a:pt x="3471" y="264"/>
                              </a:lnTo>
                              <a:lnTo>
                                <a:pt x="3463" y="262"/>
                              </a:lnTo>
                              <a:lnTo>
                                <a:pt x="3456" y="258"/>
                              </a:lnTo>
                              <a:lnTo>
                                <a:pt x="3448" y="252"/>
                              </a:lnTo>
                              <a:lnTo>
                                <a:pt x="3443" y="244"/>
                              </a:lnTo>
                              <a:lnTo>
                                <a:pt x="3439" y="237"/>
                              </a:lnTo>
                              <a:lnTo>
                                <a:pt x="3437" y="227"/>
                              </a:lnTo>
                              <a:lnTo>
                                <a:pt x="3436" y="217"/>
                              </a:lnTo>
                              <a:lnTo>
                                <a:pt x="3437" y="207"/>
                              </a:lnTo>
                              <a:lnTo>
                                <a:pt x="3439" y="197"/>
                              </a:lnTo>
                              <a:lnTo>
                                <a:pt x="3443" y="188"/>
                              </a:lnTo>
                              <a:lnTo>
                                <a:pt x="3448" y="181"/>
                              </a:lnTo>
                              <a:lnTo>
                                <a:pt x="3456" y="176"/>
                              </a:lnTo>
                              <a:lnTo>
                                <a:pt x="3463" y="171"/>
                              </a:lnTo>
                              <a:lnTo>
                                <a:pt x="3471" y="168"/>
                              </a:lnTo>
                              <a:lnTo>
                                <a:pt x="3481" y="167"/>
                              </a:lnTo>
                              <a:close/>
                              <a:moveTo>
                                <a:pt x="3680" y="150"/>
                              </a:moveTo>
                              <a:lnTo>
                                <a:pt x="3680" y="168"/>
                              </a:lnTo>
                              <a:lnTo>
                                <a:pt x="3675" y="163"/>
                              </a:lnTo>
                              <a:lnTo>
                                <a:pt x="3670" y="158"/>
                              </a:lnTo>
                              <a:lnTo>
                                <a:pt x="3665" y="155"/>
                              </a:lnTo>
                              <a:lnTo>
                                <a:pt x="3659" y="152"/>
                              </a:lnTo>
                              <a:lnTo>
                                <a:pt x="3654" y="150"/>
                              </a:lnTo>
                              <a:lnTo>
                                <a:pt x="3647" y="147"/>
                              </a:lnTo>
                              <a:lnTo>
                                <a:pt x="3641" y="147"/>
                              </a:lnTo>
                              <a:lnTo>
                                <a:pt x="3634" y="146"/>
                              </a:lnTo>
                              <a:lnTo>
                                <a:pt x="3628" y="147"/>
                              </a:lnTo>
                              <a:lnTo>
                                <a:pt x="3620" y="147"/>
                              </a:lnTo>
                              <a:lnTo>
                                <a:pt x="3614" y="150"/>
                              </a:lnTo>
                              <a:lnTo>
                                <a:pt x="3609" y="152"/>
                              </a:lnTo>
                              <a:lnTo>
                                <a:pt x="3603" y="155"/>
                              </a:lnTo>
                              <a:lnTo>
                                <a:pt x="3598" y="158"/>
                              </a:lnTo>
                              <a:lnTo>
                                <a:pt x="3593" y="162"/>
                              </a:lnTo>
                              <a:lnTo>
                                <a:pt x="3589" y="166"/>
                              </a:lnTo>
                              <a:lnTo>
                                <a:pt x="3584" y="171"/>
                              </a:lnTo>
                              <a:lnTo>
                                <a:pt x="3580" y="176"/>
                              </a:lnTo>
                              <a:lnTo>
                                <a:pt x="3578" y="182"/>
                              </a:lnTo>
                              <a:lnTo>
                                <a:pt x="3575" y="188"/>
                              </a:lnTo>
                              <a:lnTo>
                                <a:pt x="3571" y="201"/>
                              </a:lnTo>
                              <a:lnTo>
                                <a:pt x="3570" y="216"/>
                              </a:lnTo>
                              <a:lnTo>
                                <a:pt x="3570" y="223"/>
                              </a:lnTo>
                              <a:lnTo>
                                <a:pt x="3571" y="231"/>
                              </a:lnTo>
                              <a:lnTo>
                                <a:pt x="3573" y="237"/>
                              </a:lnTo>
                              <a:lnTo>
                                <a:pt x="3575" y="244"/>
                              </a:lnTo>
                              <a:lnTo>
                                <a:pt x="3578" y="251"/>
                              </a:lnTo>
                              <a:lnTo>
                                <a:pt x="3580" y="256"/>
                              </a:lnTo>
                              <a:lnTo>
                                <a:pt x="3584" y="262"/>
                              </a:lnTo>
                              <a:lnTo>
                                <a:pt x="3589" y="267"/>
                              </a:lnTo>
                              <a:lnTo>
                                <a:pt x="3593" y="271"/>
                              </a:lnTo>
                              <a:lnTo>
                                <a:pt x="3598" y="276"/>
                              </a:lnTo>
                              <a:lnTo>
                                <a:pt x="3603" y="278"/>
                              </a:lnTo>
                              <a:lnTo>
                                <a:pt x="3609" y="282"/>
                              </a:lnTo>
                              <a:lnTo>
                                <a:pt x="3615" y="283"/>
                              </a:lnTo>
                              <a:lnTo>
                                <a:pt x="3621" y="286"/>
                              </a:lnTo>
                              <a:lnTo>
                                <a:pt x="3628" y="287"/>
                              </a:lnTo>
                              <a:lnTo>
                                <a:pt x="3635" y="287"/>
                              </a:lnTo>
                              <a:lnTo>
                                <a:pt x="3641" y="287"/>
                              </a:lnTo>
                              <a:lnTo>
                                <a:pt x="3647" y="286"/>
                              </a:lnTo>
                              <a:lnTo>
                                <a:pt x="3654" y="283"/>
                              </a:lnTo>
                              <a:lnTo>
                                <a:pt x="3660" y="281"/>
                              </a:lnTo>
                              <a:lnTo>
                                <a:pt x="3665" y="278"/>
                              </a:lnTo>
                              <a:lnTo>
                                <a:pt x="3670" y="274"/>
                              </a:lnTo>
                              <a:lnTo>
                                <a:pt x="3675" y="269"/>
                              </a:lnTo>
                              <a:lnTo>
                                <a:pt x="3680" y="264"/>
                              </a:lnTo>
                              <a:lnTo>
                                <a:pt x="3680" y="283"/>
                              </a:lnTo>
                              <a:lnTo>
                                <a:pt x="3704" y="283"/>
                              </a:lnTo>
                              <a:lnTo>
                                <a:pt x="3704" y="150"/>
                              </a:lnTo>
                              <a:lnTo>
                                <a:pt x="3680" y="150"/>
                              </a:lnTo>
                              <a:close/>
                              <a:moveTo>
                                <a:pt x="3637" y="167"/>
                              </a:moveTo>
                              <a:lnTo>
                                <a:pt x="3647" y="168"/>
                              </a:lnTo>
                              <a:lnTo>
                                <a:pt x="3655" y="171"/>
                              </a:lnTo>
                              <a:lnTo>
                                <a:pt x="3662" y="175"/>
                              </a:lnTo>
                              <a:lnTo>
                                <a:pt x="3670" y="181"/>
                              </a:lnTo>
                              <a:lnTo>
                                <a:pt x="3675" y="188"/>
                              </a:lnTo>
                              <a:lnTo>
                                <a:pt x="3679" y="196"/>
                              </a:lnTo>
                              <a:lnTo>
                                <a:pt x="3681" y="206"/>
                              </a:lnTo>
                              <a:lnTo>
                                <a:pt x="3682" y="216"/>
                              </a:lnTo>
                              <a:lnTo>
                                <a:pt x="3681" y="227"/>
                              </a:lnTo>
                              <a:lnTo>
                                <a:pt x="3679" y="236"/>
                              </a:lnTo>
                              <a:lnTo>
                                <a:pt x="3675" y="244"/>
                              </a:lnTo>
                              <a:lnTo>
                                <a:pt x="3670" y="252"/>
                              </a:lnTo>
                              <a:lnTo>
                                <a:pt x="3662" y="258"/>
                              </a:lnTo>
                              <a:lnTo>
                                <a:pt x="3655" y="262"/>
                              </a:lnTo>
                              <a:lnTo>
                                <a:pt x="3646" y="264"/>
                              </a:lnTo>
                              <a:lnTo>
                                <a:pt x="3637" y="266"/>
                              </a:lnTo>
                              <a:lnTo>
                                <a:pt x="3628" y="264"/>
                              </a:lnTo>
                              <a:lnTo>
                                <a:pt x="3620" y="262"/>
                              </a:lnTo>
                              <a:lnTo>
                                <a:pt x="3613" y="258"/>
                              </a:lnTo>
                              <a:lnTo>
                                <a:pt x="3606" y="252"/>
                              </a:lnTo>
                              <a:lnTo>
                                <a:pt x="3601" y="244"/>
                              </a:lnTo>
                              <a:lnTo>
                                <a:pt x="3596" y="236"/>
                              </a:lnTo>
                              <a:lnTo>
                                <a:pt x="3594" y="226"/>
                              </a:lnTo>
                              <a:lnTo>
                                <a:pt x="3594" y="216"/>
                              </a:lnTo>
                              <a:lnTo>
                                <a:pt x="3595" y="206"/>
                              </a:lnTo>
                              <a:lnTo>
                                <a:pt x="3598" y="196"/>
                              </a:lnTo>
                              <a:lnTo>
                                <a:pt x="3601" y="188"/>
                              </a:lnTo>
                              <a:lnTo>
                                <a:pt x="3606" y="181"/>
                              </a:lnTo>
                              <a:lnTo>
                                <a:pt x="3613" y="176"/>
                              </a:lnTo>
                              <a:lnTo>
                                <a:pt x="3620" y="171"/>
                              </a:lnTo>
                              <a:lnTo>
                                <a:pt x="3629" y="168"/>
                              </a:lnTo>
                              <a:lnTo>
                                <a:pt x="3637" y="167"/>
                              </a:lnTo>
                              <a:close/>
                              <a:moveTo>
                                <a:pt x="3844" y="49"/>
                              </a:moveTo>
                              <a:lnTo>
                                <a:pt x="3844" y="168"/>
                              </a:lnTo>
                              <a:lnTo>
                                <a:pt x="3839" y="163"/>
                              </a:lnTo>
                              <a:lnTo>
                                <a:pt x="3834" y="158"/>
                              </a:lnTo>
                              <a:lnTo>
                                <a:pt x="3829" y="155"/>
                              </a:lnTo>
                              <a:lnTo>
                                <a:pt x="3823" y="152"/>
                              </a:lnTo>
                              <a:lnTo>
                                <a:pt x="3818" y="150"/>
                              </a:lnTo>
                              <a:lnTo>
                                <a:pt x="3812" y="148"/>
                              </a:lnTo>
                              <a:lnTo>
                                <a:pt x="3806" y="147"/>
                              </a:lnTo>
                              <a:lnTo>
                                <a:pt x="3798" y="147"/>
                              </a:lnTo>
                              <a:lnTo>
                                <a:pt x="3792" y="147"/>
                              </a:lnTo>
                              <a:lnTo>
                                <a:pt x="3785" y="148"/>
                              </a:lnTo>
                              <a:lnTo>
                                <a:pt x="3778" y="150"/>
                              </a:lnTo>
                              <a:lnTo>
                                <a:pt x="3773" y="152"/>
                              </a:lnTo>
                              <a:lnTo>
                                <a:pt x="3767" y="155"/>
                              </a:lnTo>
                              <a:lnTo>
                                <a:pt x="3762" y="158"/>
                              </a:lnTo>
                              <a:lnTo>
                                <a:pt x="3757" y="162"/>
                              </a:lnTo>
                              <a:lnTo>
                                <a:pt x="3753" y="166"/>
                              </a:lnTo>
                              <a:lnTo>
                                <a:pt x="3748" y="171"/>
                              </a:lnTo>
                              <a:lnTo>
                                <a:pt x="3745" y="177"/>
                              </a:lnTo>
                              <a:lnTo>
                                <a:pt x="3742" y="182"/>
                              </a:lnTo>
                              <a:lnTo>
                                <a:pt x="3740" y="188"/>
                              </a:lnTo>
                              <a:lnTo>
                                <a:pt x="3737" y="195"/>
                              </a:lnTo>
                              <a:lnTo>
                                <a:pt x="3736" y="202"/>
                              </a:lnTo>
                              <a:lnTo>
                                <a:pt x="3735" y="208"/>
                              </a:lnTo>
                              <a:lnTo>
                                <a:pt x="3735" y="216"/>
                              </a:lnTo>
                              <a:lnTo>
                                <a:pt x="3735" y="223"/>
                              </a:lnTo>
                              <a:lnTo>
                                <a:pt x="3736" y="231"/>
                              </a:lnTo>
                              <a:lnTo>
                                <a:pt x="3737" y="238"/>
                              </a:lnTo>
                              <a:lnTo>
                                <a:pt x="3740" y="244"/>
                              </a:lnTo>
                              <a:lnTo>
                                <a:pt x="3742" y="251"/>
                              </a:lnTo>
                              <a:lnTo>
                                <a:pt x="3746" y="257"/>
                              </a:lnTo>
                              <a:lnTo>
                                <a:pt x="3748" y="262"/>
                              </a:lnTo>
                              <a:lnTo>
                                <a:pt x="3753" y="267"/>
                              </a:lnTo>
                              <a:lnTo>
                                <a:pt x="3757" y="271"/>
                              </a:lnTo>
                              <a:lnTo>
                                <a:pt x="3762" y="276"/>
                              </a:lnTo>
                              <a:lnTo>
                                <a:pt x="3767" y="278"/>
                              </a:lnTo>
                              <a:lnTo>
                                <a:pt x="3773" y="282"/>
                              </a:lnTo>
                              <a:lnTo>
                                <a:pt x="3780" y="283"/>
                              </a:lnTo>
                              <a:lnTo>
                                <a:pt x="3786" y="286"/>
                              </a:lnTo>
                              <a:lnTo>
                                <a:pt x="3792" y="287"/>
                              </a:lnTo>
                              <a:lnTo>
                                <a:pt x="3798" y="287"/>
                              </a:lnTo>
                              <a:lnTo>
                                <a:pt x="3806" y="287"/>
                              </a:lnTo>
                              <a:lnTo>
                                <a:pt x="3812" y="286"/>
                              </a:lnTo>
                              <a:lnTo>
                                <a:pt x="3818" y="283"/>
                              </a:lnTo>
                              <a:lnTo>
                                <a:pt x="3824" y="281"/>
                              </a:lnTo>
                              <a:lnTo>
                                <a:pt x="3831" y="278"/>
                              </a:lnTo>
                              <a:lnTo>
                                <a:pt x="3836" y="274"/>
                              </a:lnTo>
                              <a:lnTo>
                                <a:pt x="3841" y="269"/>
                              </a:lnTo>
                              <a:lnTo>
                                <a:pt x="3844" y="264"/>
                              </a:lnTo>
                              <a:lnTo>
                                <a:pt x="3844" y="283"/>
                              </a:lnTo>
                              <a:lnTo>
                                <a:pt x="3868" y="283"/>
                              </a:lnTo>
                              <a:lnTo>
                                <a:pt x="3868" y="49"/>
                              </a:lnTo>
                              <a:lnTo>
                                <a:pt x="3844" y="49"/>
                              </a:lnTo>
                              <a:close/>
                              <a:moveTo>
                                <a:pt x="3802" y="167"/>
                              </a:moveTo>
                              <a:lnTo>
                                <a:pt x="3811" y="168"/>
                              </a:lnTo>
                              <a:lnTo>
                                <a:pt x="3818" y="171"/>
                              </a:lnTo>
                              <a:lnTo>
                                <a:pt x="3826" y="175"/>
                              </a:lnTo>
                              <a:lnTo>
                                <a:pt x="3833" y="180"/>
                              </a:lnTo>
                              <a:lnTo>
                                <a:pt x="3838" y="187"/>
                              </a:lnTo>
                              <a:lnTo>
                                <a:pt x="3843" y="195"/>
                              </a:lnTo>
                              <a:lnTo>
                                <a:pt x="3846" y="205"/>
                              </a:lnTo>
                              <a:lnTo>
                                <a:pt x="3846" y="216"/>
                              </a:lnTo>
                              <a:lnTo>
                                <a:pt x="3846" y="227"/>
                              </a:lnTo>
                              <a:lnTo>
                                <a:pt x="3843" y="237"/>
                              </a:lnTo>
                              <a:lnTo>
                                <a:pt x="3839" y="244"/>
                              </a:lnTo>
                              <a:lnTo>
                                <a:pt x="3834" y="252"/>
                              </a:lnTo>
                              <a:lnTo>
                                <a:pt x="3827" y="258"/>
                              </a:lnTo>
                              <a:lnTo>
                                <a:pt x="3819" y="262"/>
                              </a:lnTo>
                              <a:lnTo>
                                <a:pt x="3811" y="264"/>
                              </a:lnTo>
                              <a:lnTo>
                                <a:pt x="3802" y="266"/>
                              </a:lnTo>
                              <a:lnTo>
                                <a:pt x="3792" y="264"/>
                              </a:lnTo>
                              <a:lnTo>
                                <a:pt x="3785" y="262"/>
                              </a:lnTo>
                              <a:lnTo>
                                <a:pt x="3777" y="258"/>
                              </a:lnTo>
                              <a:lnTo>
                                <a:pt x="3771" y="252"/>
                              </a:lnTo>
                              <a:lnTo>
                                <a:pt x="3766" y="244"/>
                              </a:lnTo>
                              <a:lnTo>
                                <a:pt x="3761" y="236"/>
                              </a:lnTo>
                              <a:lnTo>
                                <a:pt x="3758" y="226"/>
                              </a:lnTo>
                              <a:lnTo>
                                <a:pt x="3758" y="216"/>
                              </a:lnTo>
                              <a:lnTo>
                                <a:pt x="3760" y="206"/>
                              </a:lnTo>
                              <a:lnTo>
                                <a:pt x="3762" y="197"/>
                              </a:lnTo>
                              <a:lnTo>
                                <a:pt x="3766" y="188"/>
                              </a:lnTo>
                              <a:lnTo>
                                <a:pt x="3771" y="181"/>
                              </a:lnTo>
                              <a:lnTo>
                                <a:pt x="3777" y="176"/>
                              </a:lnTo>
                              <a:lnTo>
                                <a:pt x="3785" y="171"/>
                              </a:lnTo>
                              <a:lnTo>
                                <a:pt x="3793" y="168"/>
                              </a:lnTo>
                              <a:lnTo>
                                <a:pt x="3802" y="167"/>
                              </a:lnTo>
                              <a:close/>
                              <a:moveTo>
                                <a:pt x="4026" y="221"/>
                              </a:moveTo>
                              <a:lnTo>
                                <a:pt x="4026" y="217"/>
                              </a:lnTo>
                              <a:lnTo>
                                <a:pt x="4026" y="202"/>
                              </a:lnTo>
                              <a:lnTo>
                                <a:pt x="4022" y="188"/>
                              </a:lnTo>
                              <a:lnTo>
                                <a:pt x="4020" y="182"/>
                              </a:lnTo>
                              <a:lnTo>
                                <a:pt x="4016" y="176"/>
                              </a:lnTo>
                              <a:lnTo>
                                <a:pt x="4014" y="171"/>
                              </a:lnTo>
                              <a:lnTo>
                                <a:pt x="4010" y="166"/>
                              </a:lnTo>
                              <a:lnTo>
                                <a:pt x="4005" y="162"/>
                              </a:lnTo>
                              <a:lnTo>
                                <a:pt x="4000" y="158"/>
                              </a:lnTo>
                              <a:lnTo>
                                <a:pt x="3995" y="155"/>
                              </a:lnTo>
                              <a:lnTo>
                                <a:pt x="3989" y="152"/>
                              </a:lnTo>
                              <a:lnTo>
                                <a:pt x="3984" y="150"/>
                              </a:lnTo>
                              <a:lnTo>
                                <a:pt x="3978" y="148"/>
                              </a:lnTo>
                              <a:lnTo>
                                <a:pt x="3970" y="147"/>
                              </a:lnTo>
                              <a:lnTo>
                                <a:pt x="3963" y="147"/>
                              </a:lnTo>
                              <a:lnTo>
                                <a:pt x="3956" y="147"/>
                              </a:lnTo>
                              <a:lnTo>
                                <a:pt x="3949" y="148"/>
                              </a:lnTo>
                              <a:lnTo>
                                <a:pt x="3943" y="150"/>
                              </a:lnTo>
                              <a:lnTo>
                                <a:pt x="3937" y="152"/>
                              </a:lnTo>
                              <a:lnTo>
                                <a:pt x="3932" y="155"/>
                              </a:lnTo>
                              <a:lnTo>
                                <a:pt x="3927" y="158"/>
                              </a:lnTo>
                              <a:lnTo>
                                <a:pt x="3922" y="162"/>
                              </a:lnTo>
                              <a:lnTo>
                                <a:pt x="3917" y="166"/>
                              </a:lnTo>
                              <a:lnTo>
                                <a:pt x="3913" y="171"/>
                              </a:lnTo>
                              <a:lnTo>
                                <a:pt x="3909" y="176"/>
                              </a:lnTo>
                              <a:lnTo>
                                <a:pt x="3907" y="182"/>
                              </a:lnTo>
                              <a:lnTo>
                                <a:pt x="3904" y="188"/>
                              </a:lnTo>
                              <a:lnTo>
                                <a:pt x="3900" y="202"/>
                              </a:lnTo>
                              <a:lnTo>
                                <a:pt x="3899" y="217"/>
                              </a:lnTo>
                              <a:lnTo>
                                <a:pt x="3899" y="224"/>
                              </a:lnTo>
                              <a:lnTo>
                                <a:pt x="3900" y="232"/>
                              </a:lnTo>
                              <a:lnTo>
                                <a:pt x="3902" y="238"/>
                              </a:lnTo>
                              <a:lnTo>
                                <a:pt x="3904" y="246"/>
                              </a:lnTo>
                              <a:lnTo>
                                <a:pt x="3907" y="252"/>
                              </a:lnTo>
                              <a:lnTo>
                                <a:pt x="3909" y="257"/>
                              </a:lnTo>
                              <a:lnTo>
                                <a:pt x="3913" y="262"/>
                              </a:lnTo>
                              <a:lnTo>
                                <a:pt x="3917" y="267"/>
                              </a:lnTo>
                              <a:lnTo>
                                <a:pt x="3922" y="272"/>
                              </a:lnTo>
                              <a:lnTo>
                                <a:pt x="3927" y="276"/>
                              </a:lnTo>
                              <a:lnTo>
                                <a:pt x="3932" y="279"/>
                              </a:lnTo>
                              <a:lnTo>
                                <a:pt x="3938" y="282"/>
                              </a:lnTo>
                              <a:lnTo>
                                <a:pt x="3944" y="283"/>
                              </a:lnTo>
                              <a:lnTo>
                                <a:pt x="3950" y="286"/>
                              </a:lnTo>
                              <a:lnTo>
                                <a:pt x="3958" y="287"/>
                              </a:lnTo>
                              <a:lnTo>
                                <a:pt x="3964" y="287"/>
                              </a:lnTo>
                              <a:lnTo>
                                <a:pt x="3974" y="286"/>
                              </a:lnTo>
                              <a:lnTo>
                                <a:pt x="3983" y="284"/>
                              </a:lnTo>
                              <a:lnTo>
                                <a:pt x="3991" y="282"/>
                              </a:lnTo>
                              <a:lnTo>
                                <a:pt x="3999" y="277"/>
                              </a:lnTo>
                              <a:lnTo>
                                <a:pt x="4006" y="272"/>
                              </a:lnTo>
                              <a:lnTo>
                                <a:pt x="4014" y="266"/>
                              </a:lnTo>
                              <a:lnTo>
                                <a:pt x="4020" y="258"/>
                              </a:lnTo>
                              <a:lnTo>
                                <a:pt x="4025" y="249"/>
                              </a:lnTo>
                              <a:lnTo>
                                <a:pt x="4006" y="238"/>
                              </a:lnTo>
                              <a:lnTo>
                                <a:pt x="4001" y="244"/>
                              </a:lnTo>
                              <a:lnTo>
                                <a:pt x="3996" y="251"/>
                              </a:lnTo>
                              <a:lnTo>
                                <a:pt x="3993" y="256"/>
                              </a:lnTo>
                              <a:lnTo>
                                <a:pt x="3988" y="259"/>
                              </a:lnTo>
                              <a:lnTo>
                                <a:pt x="3983" y="262"/>
                              </a:lnTo>
                              <a:lnTo>
                                <a:pt x="3978" y="264"/>
                              </a:lnTo>
                              <a:lnTo>
                                <a:pt x="3971" y="266"/>
                              </a:lnTo>
                              <a:lnTo>
                                <a:pt x="3965" y="266"/>
                              </a:lnTo>
                              <a:lnTo>
                                <a:pt x="3956" y="264"/>
                              </a:lnTo>
                              <a:lnTo>
                                <a:pt x="3949" y="263"/>
                              </a:lnTo>
                              <a:lnTo>
                                <a:pt x="3941" y="258"/>
                              </a:lnTo>
                              <a:lnTo>
                                <a:pt x="3935" y="253"/>
                              </a:lnTo>
                              <a:lnTo>
                                <a:pt x="3930" y="247"/>
                              </a:lnTo>
                              <a:lnTo>
                                <a:pt x="3927" y="239"/>
                              </a:lnTo>
                              <a:lnTo>
                                <a:pt x="3924" y="231"/>
                              </a:lnTo>
                              <a:lnTo>
                                <a:pt x="3923" y="221"/>
                              </a:lnTo>
                              <a:lnTo>
                                <a:pt x="4026" y="221"/>
                              </a:lnTo>
                              <a:close/>
                              <a:moveTo>
                                <a:pt x="3924" y="202"/>
                              </a:moveTo>
                              <a:lnTo>
                                <a:pt x="3927" y="195"/>
                              </a:lnTo>
                              <a:lnTo>
                                <a:pt x="3929" y="188"/>
                              </a:lnTo>
                              <a:lnTo>
                                <a:pt x="3933" y="182"/>
                              </a:lnTo>
                              <a:lnTo>
                                <a:pt x="3938" y="177"/>
                              </a:lnTo>
                              <a:lnTo>
                                <a:pt x="3944" y="173"/>
                              </a:lnTo>
                              <a:lnTo>
                                <a:pt x="3950" y="170"/>
                              </a:lnTo>
                              <a:lnTo>
                                <a:pt x="3956" y="168"/>
                              </a:lnTo>
                              <a:lnTo>
                                <a:pt x="3964" y="167"/>
                              </a:lnTo>
                              <a:lnTo>
                                <a:pt x="3970" y="168"/>
                              </a:lnTo>
                              <a:lnTo>
                                <a:pt x="3978" y="170"/>
                              </a:lnTo>
                              <a:lnTo>
                                <a:pt x="3984" y="172"/>
                              </a:lnTo>
                              <a:lnTo>
                                <a:pt x="3989" y="177"/>
                              </a:lnTo>
                              <a:lnTo>
                                <a:pt x="3994" y="182"/>
                              </a:lnTo>
                              <a:lnTo>
                                <a:pt x="3998" y="187"/>
                              </a:lnTo>
                              <a:lnTo>
                                <a:pt x="4000" y="195"/>
                              </a:lnTo>
                              <a:lnTo>
                                <a:pt x="4003" y="202"/>
                              </a:lnTo>
                              <a:lnTo>
                                <a:pt x="3924" y="202"/>
                              </a:lnTo>
                              <a:close/>
                              <a:moveTo>
                                <a:pt x="4131" y="171"/>
                              </a:moveTo>
                              <a:lnTo>
                                <a:pt x="4127" y="165"/>
                              </a:lnTo>
                              <a:lnTo>
                                <a:pt x="4123" y="160"/>
                              </a:lnTo>
                              <a:lnTo>
                                <a:pt x="4120" y="156"/>
                              </a:lnTo>
                              <a:lnTo>
                                <a:pt x="4116" y="152"/>
                              </a:lnTo>
                              <a:lnTo>
                                <a:pt x="4111" y="150"/>
                              </a:lnTo>
                              <a:lnTo>
                                <a:pt x="4106" y="148"/>
                              </a:lnTo>
                              <a:lnTo>
                                <a:pt x="4100" y="147"/>
                              </a:lnTo>
                              <a:lnTo>
                                <a:pt x="4093" y="147"/>
                              </a:lnTo>
                              <a:lnTo>
                                <a:pt x="4086" y="147"/>
                              </a:lnTo>
                              <a:lnTo>
                                <a:pt x="4079" y="150"/>
                              </a:lnTo>
                              <a:lnTo>
                                <a:pt x="4072" y="153"/>
                              </a:lnTo>
                              <a:lnTo>
                                <a:pt x="4066" y="157"/>
                              </a:lnTo>
                              <a:lnTo>
                                <a:pt x="4061" y="163"/>
                              </a:lnTo>
                              <a:lnTo>
                                <a:pt x="4059" y="170"/>
                              </a:lnTo>
                              <a:lnTo>
                                <a:pt x="4056" y="176"/>
                              </a:lnTo>
                              <a:lnTo>
                                <a:pt x="4055" y="183"/>
                              </a:lnTo>
                              <a:lnTo>
                                <a:pt x="4056" y="190"/>
                              </a:lnTo>
                              <a:lnTo>
                                <a:pt x="4057" y="196"/>
                              </a:lnTo>
                              <a:lnTo>
                                <a:pt x="4060" y="201"/>
                              </a:lnTo>
                              <a:lnTo>
                                <a:pt x="4064" y="205"/>
                              </a:lnTo>
                              <a:lnTo>
                                <a:pt x="4069" y="210"/>
                              </a:lnTo>
                              <a:lnTo>
                                <a:pt x="4075" y="213"/>
                              </a:lnTo>
                              <a:lnTo>
                                <a:pt x="4084" y="218"/>
                              </a:lnTo>
                              <a:lnTo>
                                <a:pt x="4093" y="223"/>
                              </a:lnTo>
                              <a:lnTo>
                                <a:pt x="4105" y="228"/>
                              </a:lnTo>
                              <a:lnTo>
                                <a:pt x="4111" y="233"/>
                              </a:lnTo>
                              <a:lnTo>
                                <a:pt x="4113" y="236"/>
                              </a:lnTo>
                              <a:lnTo>
                                <a:pt x="4115" y="238"/>
                              </a:lnTo>
                              <a:lnTo>
                                <a:pt x="4115" y="242"/>
                              </a:lnTo>
                              <a:lnTo>
                                <a:pt x="4115" y="244"/>
                              </a:lnTo>
                              <a:lnTo>
                                <a:pt x="4115" y="249"/>
                              </a:lnTo>
                              <a:lnTo>
                                <a:pt x="4113" y="253"/>
                              </a:lnTo>
                              <a:lnTo>
                                <a:pt x="4112" y="257"/>
                              </a:lnTo>
                              <a:lnTo>
                                <a:pt x="4108" y="259"/>
                              </a:lnTo>
                              <a:lnTo>
                                <a:pt x="4106" y="262"/>
                              </a:lnTo>
                              <a:lnTo>
                                <a:pt x="4102" y="264"/>
                              </a:lnTo>
                              <a:lnTo>
                                <a:pt x="4098" y="266"/>
                              </a:lnTo>
                              <a:lnTo>
                                <a:pt x="4093" y="266"/>
                              </a:lnTo>
                              <a:lnTo>
                                <a:pt x="4089" y="266"/>
                              </a:lnTo>
                              <a:lnTo>
                                <a:pt x="4085" y="264"/>
                              </a:lnTo>
                              <a:lnTo>
                                <a:pt x="4081" y="263"/>
                              </a:lnTo>
                              <a:lnTo>
                                <a:pt x="4079" y="261"/>
                              </a:lnTo>
                              <a:lnTo>
                                <a:pt x="4072" y="254"/>
                              </a:lnTo>
                              <a:lnTo>
                                <a:pt x="4067" y="244"/>
                              </a:lnTo>
                              <a:lnTo>
                                <a:pt x="4046" y="253"/>
                              </a:lnTo>
                              <a:lnTo>
                                <a:pt x="4050" y="261"/>
                              </a:lnTo>
                              <a:lnTo>
                                <a:pt x="4055" y="267"/>
                              </a:lnTo>
                              <a:lnTo>
                                <a:pt x="4060" y="273"/>
                              </a:lnTo>
                              <a:lnTo>
                                <a:pt x="4065" y="278"/>
                              </a:lnTo>
                              <a:lnTo>
                                <a:pt x="4071" y="282"/>
                              </a:lnTo>
                              <a:lnTo>
                                <a:pt x="4077" y="284"/>
                              </a:lnTo>
                              <a:lnTo>
                                <a:pt x="4085" y="286"/>
                              </a:lnTo>
                              <a:lnTo>
                                <a:pt x="4093" y="287"/>
                              </a:lnTo>
                              <a:lnTo>
                                <a:pt x="4102" y="286"/>
                              </a:lnTo>
                              <a:lnTo>
                                <a:pt x="4111" y="283"/>
                              </a:lnTo>
                              <a:lnTo>
                                <a:pt x="4118" y="279"/>
                              </a:lnTo>
                              <a:lnTo>
                                <a:pt x="4126" y="274"/>
                              </a:lnTo>
                              <a:lnTo>
                                <a:pt x="4131" y="268"/>
                              </a:lnTo>
                              <a:lnTo>
                                <a:pt x="4135" y="261"/>
                              </a:lnTo>
                              <a:lnTo>
                                <a:pt x="4137" y="252"/>
                              </a:lnTo>
                              <a:lnTo>
                                <a:pt x="4138" y="243"/>
                              </a:lnTo>
                              <a:lnTo>
                                <a:pt x="4137" y="234"/>
                              </a:lnTo>
                              <a:lnTo>
                                <a:pt x="4135" y="227"/>
                              </a:lnTo>
                              <a:lnTo>
                                <a:pt x="4130" y="220"/>
                              </a:lnTo>
                              <a:lnTo>
                                <a:pt x="4123" y="215"/>
                              </a:lnTo>
                              <a:lnTo>
                                <a:pt x="4115" y="208"/>
                              </a:lnTo>
                              <a:lnTo>
                                <a:pt x="4098" y="201"/>
                              </a:lnTo>
                              <a:lnTo>
                                <a:pt x="4089" y="196"/>
                              </a:lnTo>
                              <a:lnTo>
                                <a:pt x="4081" y="192"/>
                              </a:lnTo>
                              <a:lnTo>
                                <a:pt x="4080" y="190"/>
                              </a:lnTo>
                              <a:lnTo>
                                <a:pt x="4079" y="187"/>
                              </a:lnTo>
                              <a:lnTo>
                                <a:pt x="4077" y="185"/>
                              </a:lnTo>
                              <a:lnTo>
                                <a:pt x="4077" y="182"/>
                              </a:lnTo>
                              <a:lnTo>
                                <a:pt x="4079" y="177"/>
                              </a:lnTo>
                              <a:lnTo>
                                <a:pt x="4082" y="172"/>
                              </a:lnTo>
                              <a:lnTo>
                                <a:pt x="4087" y="168"/>
                              </a:lnTo>
                              <a:lnTo>
                                <a:pt x="4093" y="167"/>
                              </a:lnTo>
                              <a:lnTo>
                                <a:pt x="4098" y="168"/>
                              </a:lnTo>
                              <a:lnTo>
                                <a:pt x="4103" y="171"/>
                              </a:lnTo>
                              <a:lnTo>
                                <a:pt x="4108" y="175"/>
                              </a:lnTo>
                              <a:lnTo>
                                <a:pt x="4112" y="181"/>
                              </a:lnTo>
                              <a:lnTo>
                                <a:pt x="4131" y="171"/>
                              </a:lnTo>
                              <a:close/>
                              <a:moveTo>
                                <a:pt x="4270" y="150"/>
                              </a:moveTo>
                              <a:lnTo>
                                <a:pt x="4270" y="168"/>
                              </a:lnTo>
                              <a:lnTo>
                                <a:pt x="4265" y="163"/>
                              </a:lnTo>
                              <a:lnTo>
                                <a:pt x="4260" y="158"/>
                              </a:lnTo>
                              <a:lnTo>
                                <a:pt x="4255" y="155"/>
                              </a:lnTo>
                              <a:lnTo>
                                <a:pt x="4250" y="152"/>
                              </a:lnTo>
                              <a:lnTo>
                                <a:pt x="4244" y="150"/>
                              </a:lnTo>
                              <a:lnTo>
                                <a:pt x="4238" y="147"/>
                              </a:lnTo>
                              <a:lnTo>
                                <a:pt x="4232" y="147"/>
                              </a:lnTo>
                              <a:lnTo>
                                <a:pt x="4224" y="146"/>
                              </a:lnTo>
                              <a:lnTo>
                                <a:pt x="4218" y="147"/>
                              </a:lnTo>
                              <a:lnTo>
                                <a:pt x="4212" y="147"/>
                              </a:lnTo>
                              <a:lnTo>
                                <a:pt x="4206" y="150"/>
                              </a:lnTo>
                              <a:lnTo>
                                <a:pt x="4199" y="152"/>
                              </a:lnTo>
                              <a:lnTo>
                                <a:pt x="4193" y="155"/>
                              </a:lnTo>
                              <a:lnTo>
                                <a:pt x="4188" y="158"/>
                              </a:lnTo>
                              <a:lnTo>
                                <a:pt x="4183" y="162"/>
                              </a:lnTo>
                              <a:lnTo>
                                <a:pt x="4179" y="166"/>
                              </a:lnTo>
                              <a:lnTo>
                                <a:pt x="4174" y="171"/>
                              </a:lnTo>
                              <a:lnTo>
                                <a:pt x="4172" y="176"/>
                              </a:lnTo>
                              <a:lnTo>
                                <a:pt x="4168" y="182"/>
                              </a:lnTo>
                              <a:lnTo>
                                <a:pt x="4166" y="188"/>
                              </a:lnTo>
                              <a:lnTo>
                                <a:pt x="4162" y="201"/>
                              </a:lnTo>
                              <a:lnTo>
                                <a:pt x="4161" y="216"/>
                              </a:lnTo>
                              <a:lnTo>
                                <a:pt x="4161" y="223"/>
                              </a:lnTo>
                              <a:lnTo>
                                <a:pt x="4162" y="231"/>
                              </a:lnTo>
                              <a:lnTo>
                                <a:pt x="4163" y="237"/>
                              </a:lnTo>
                              <a:lnTo>
                                <a:pt x="4166" y="244"/>
                              </a:lnTo>
                              <a:lnTo>
                                <a:pt x="4168" y="251"/>
                              </a:lnTo>
                              <a:lnTo>
                                <a:pt x="4172" y="256"/>
                              </a:lnTo>
                              <a:lnTo>
                                <a:pt x="4176" y="262"/>
                              </a:lnTo>
                              <a:lnTo>
                                <a:pt x="4179" y="267"/>
                              </a:lnTo>
                              <a:lnTo>
                                <a:pt x="4183" y="271"/>
                              </a:lnTo>
                              <a:lnTo>
                                <a:pt x="4188" y="276"/>
                              </a:lnTo>
                              <a:lnTo>
                                <a:pt x="4194" y="278"/>
                              </a:lnTo>
                              <a:lnTo>
                                <a:pt x="4199" y="282"/>
                              </a:lnTo>
                              <a:lnTo>
                                <a:pt x="4206" y="283"/>
                              </a:lnTo>
                              <a:lnTo>
                                <a:pt x="4212" y="286"/>
                              </a:lnTo>
                              <a:lnTo>
                                <a:pt x="4218" y="287"/>
                              </a:lnTo>
                              <a:lnTo>
                                <a:pt x="4226" y="287"/>
                              </a:lnTo>
                              <a:lnTo>
                                <a:pt x="4232" y="287"/>
                              </a:lnTo>
                              <a:lnTo>
                                <a:pt x="4238" y="286"/>
                              </a:lnTo>
                              <a:lnTo>
                                <a:pt x="4244" y="283"/>
                              </a:lnTo>
                              <a:lnTo>
                                <a:pt x="4250" y="281"/>
                              </a:lnTo>
                              <a:lnTo>
                                <a:pt x="4255" y="278"/>
                              </a:lnTo>
                              <a:lnTo>
                                <a:pt x="4262" y="274"/>
                              </a:lnTo>
                              <a:lnTo>
                                <a:pt x="4267" y="269"/>
                              </a:lnTo>
                              <a:lnTo>
                                <a:pt x="4270" y="264"/>
                              </a:lnTo>
                              <a:lnTo>
                                <a:pt x="4270" y="283"/>
                              </a:lnTo>
                              <a:lnTo>
                                <a:pt x="4294" y="283"/>
                              </a:lnTo>
                              <a:lnTo>
                                <a:pt x="4294" y="150"/>
                              </a:lnTo>
                              <a:lnTo>
                                <a:pt x="4270" y="150"/>
                              </a:lnTo>
                              <a:close/>
                              <a:moveTo>
                                <a:pt x="4228" y="167"/>
                              </a:moveTo>
                              <a:lnTo>
                                <a:pt x="4238" y="168"/>
                              </a:lnTo>
                              <a:lnTo>
                                <a:pt x="4247" y="171"/>
                              </a:lnTo>
                              <a:lnTo>
                                <a:pt x="4254" y="175"/>
                              </a:lnTo>
                              <a:lnTo>
                                <a:pt x="4260" y="181"/>
                              </a:lnTo>
                              <a:lnTo>
                                <a:pt x="4265" y="188"/>
                              </a:lnTo>
                              <a:lnTo>
                                <a:pt x="4269" y="196"/>
                              </a:lnTo>
                              <a:lnTo>
                                <a:pt x="4272" y="206"/>
                              </a:lnTo>
                              <a:lnTo>
                                <a:pt x="4273" y="216"/>
                              </a:lnTo>
                              <a:lnTo>
                                <a:pt x="4272" y="227"/>
                              </a:lnTo>
                              <a:lnTo>
                                <a:pt x="4269" y="236"/>
                              </a:lnTo>
                              <a:lnTo>
                                <a:pt x="4265" y="244"/>
                              </a:lnTo>
                              <a:lnTo>
                                <a:pt x="4260" y="252"/>
                              </a:lnTo>
                              <a:lnTo>
                                <a:pt x="4254" y="258"/>
                              </a:lnTo>
                              <a:lnTo>
                                <a:pt x="4245" y="262"/>
                              </a:lnTo>
                              <a:lnTo>
                                <a:pt x="4238" y="264"/>
                              </a:lnTo>
                              <a:lnTo>
                                <a:pt x="4228" y="266"/>
                              </a:lnTo>
                              <a:lnTo>
                                <a:pt x="4219" y="264"/>
                              </a:lnTo>
                              <a:lnTo>
                                <a:pt x="4211" y="262"/>
                              </a:lnTo>
                              <a:lnTo>
                                <a:pt x="4203" y="258"/>
                              </a:lnTo>
                              <a:lnTo>
                                <a:pt x="4197" y="252"/>
                              </a:lnTo>
                              <a:lnTo>
                                <a:pt x="4192" y="244"/>
                              </a:lnTo>
                              <a:lnTo>
                                <a:pt x="4188" y="236"/>
                              </a:lnTo>
                              <a:lnTo>
                                <a:pt x="4186" y="226"/>
                              </a:lnTo>
                              <a:lnTo>
                                <a:pt x="4184" y="216"/>
                              </a:lnTo>
                              <a:lnTo>
                                <a:pt x="4186" y="206"/>
                              </a:lnTo>
                              <a:lnTo>
                                <a:pt x="4188" y="196"/>
                              </a:lnTo>
                              <a:lnTo>
                                <a:pt x="4192" y="188"/>
                              </a:lnTo>
                              <a:lnTo>
                                <a:pt x="4197" y="181"/>
                              </a:lnTo>
                              <a:lnTo>
                                <a:pt x="4203" y="176"/>
                              </a:lnTo>
                              <a:lnTo>
                                <a:pt x="4211" y="171"/>
                              </a:lnTo>
                              <a:lnTo>
                                <a:pt x="4219" y="168"/>
                              </a:lnTo>
                              <a:lnTo>
                                <a:pt x="4228" y="167"/>
                              </a:lnTo>
                              <a:close/>
                              <a:moveTo>
                                <a:pt x="4273" y="82"/>
                              </a:moveTo>
                              <a:lnTo>
                                <a:pt x="4249" y="73"/>
                              </a:lnTo>
                              <a:lnTo>
                                <a:pt x="4216" y="119"/>
                              </a:lnTo>
                              <a:lnTo>
                                <a:pt x="4231" y="126"/>
                              </a:lnTo>
                              <a:lnTo>
                                <a:pt x="4273" y="82"/>
                              </a:lnTo>
                              <a:close/>
                              <a:moveTo>
                                <a:pt x="4359" y="171"/>
                              </a:moveTo>
                              <a:lnTo>
                                <a:pt x="4383" y="171"/>
                              </a:lnTo>
                              <a:lnTo>
                                <a:pt x="4383" y="150"/>
                              </a:lnTo>
                              <a:lnTo>
                                <a:pt x="4359" y="150"/>
                              </a:lnTo>
                              <a:lnTo>
                                <a:pt x="4359" y="101"/>
                              </a:lnTo>
                              <a:lnTo>
                                <a:pt x="4336" y="101"/>
                              </a:lnTo>
                              <a:lnTo>
                                <a:pt x="4336" y="150"/>
                              </a:lnTo>
                              <a:lnTo>
                                <a:pt x="4323" y="150"/>
                              </a:lnTo>
                              <a:lnTo>
                                <a:pt x="4323" y="171"/>
                              </a:lnTo>
                              <a:lnTo>
                                <a:pt x="4336" y="171"/>
                              </a:lnTo>
                              <a:lnTo>
                                <a:pt x="4336" y="283"/>
                              </a:lnTo>
                              <a:lnTo>
                                <a:pt x="4359" y="283"/>
                              </a:lnTo>
                              <a:lnTo>
                                <a:pt x="4359" y="171"/>
                              </a:lnTo>
                              <a:close/>
                              <a:moveTo>
                                <a:pt x="4523" y="221"/>
                              </a:moveTo>
                              <a:lnTo>
                                <a:pt x="4523" y="217"/>
                              </a:lnTo>
                              <a:lnTo>
                                <a:pt x="4522" y="202"/>
                              </a:lnTo>
                              <a:lnTo>
                                <a:pt x="4518" y="188"/>
                              </a:lnTo>
                              <a:lnTo>
                                <a:pt x="4516" y="182"/>
                              </a:lnTo>
                              <a:lnTo>
                                <a:pt x="4513" y="176"/>
                              </a:lnTo>
                              <a:lnTo>
                                <a:pt x="4510" y="171"/>
                              </a:lnTo>
                              <a:lnTo>
                                <a:pt x="4506" y="166"/>
                              </a:lnTo>
                              <a:lnTo>
                                <a:pt x="4501" y="162"/>
                              </a:lnTo>
                              <a:lnTo>
                                <a:pt x="4496" y="158"/>
                              </a:lnTo>
                              <a:lnTo>
                                <a:pt x="4491" y="155"/>
                              </a:lnTo>
                              <a:lnTo>
                                <a:pt x="4486" y="152"/>
                              </a:lnTo>
                              <a:lnTo>
                                <a:pt x="4480" y="150"/>
                              </a:lnTo>
                              <a:lnTo>
                                <a:pt x="4473" y="148"/>
                              </a:lnTo>
                              <a:lnTo>
                                <a:pt x="4466" y="147"/>
                              </a:lnTo>
                              <a:lnTo>
                                <a:pt x="4460" y="147"/>
                              </a:lnTo>
                              <a:lnTo>
                                <a:pt x="4452" y="147"/>
                              </a:lnTo>
                              <a:lnTo>
                                <a:pt x="4446" y="148"/>
                              </a:lnTo>
                              <a:lnTo>
                                <a:pt x="4440" y="150"/>
                              </a:lnTo>
                              <a:lnTo>
                                <a:pt x="4434" y="152"/>
                              </a:lnTo>
                              <a:lnTo>
                                <a:pt x="4427" y="155"/>
                              </a:lnTo>
                              <a:lnTo>
                                <a:pt x="4422" y="158"/>
                              </a:lnTo>
                              <a:lnTo>
                                <a:pt x="4417" y="162"/>
                              </a:lnTo>
                              <a:lnTo>
                                <a:pt x="4412" y="166"/>
                              </a:lnTo>
                              <a:lnTo>
                                <a:pt x="4409" y="171"/>
                              </a:lnTo>
                              <a:lnTo>
                                <a:pt x="4405" y="176"/>
                              </a:lnTo>
                              <a:lnTo>
                                <a:pt x="4402" y="182"/>
                              </a:lnTo>
                              <a:lnTo>
                                <a:pt x="4400" y="188"/>
                              </a:lnTo>
                              <a:lnTo>
                                <a:pt x="4396" y="202"/>
                              </a:lnTo>
                              <a:lnTo>
                                <a:pt x="4395" y="217"/>
                              </a:lnTo>
                              <a:lnTo>
                                <a:pt x="4395" y="224"/>
                              </a:lnTo>
                              <a:lnTo>
                                <a:pt x="4396" y="232"/>
                              </a:lnTo>
                              <a:lnTo>
                                <a:pt x="4397" y="238"/>
                              </a:lnTo>
                              <a:lnTo>
                                <a:pt x="4400" y="246"/>
                              </a:lnTo>
                              <a:lnTo>
                                <a:pt x="4402" y="252"/>
                              </a:lnTo>
                              <a:lnTo>
                                <a:pt x="4406" y="257"/>
                              </a:lnTo>
                              <a:lnTo>
                                <a:pt x="4409" y="262"/>
                              </a:lnTo>
                              <a:lnTo>
                                <a:pt x="4414" y="267"/>
                              </a:lnTo>
                              <a:lnTo>
                                <a:pt x="4417" y="272"/>
                              </a:lnTo>
                              <a:lnTo>
                                <a:pt x="4422" y="276"/>
                              </a:lnTo>
                              <a:lnTo>
                                <a:pt x="4429" y="279"/>
                              </a:lnTo>
                              <a:lnTo>
                                <a:pt x="4434" y="282"/>
                              </a:lnTo>
                              <a:lnTo>
                                <a:pt x="4440" y="283"/>
                              </a:lnTo>
                              <a:lnTo>
                                <a:pt x="4446" y="286"/>
                              </a:lnTo>
                              <a:lnTo>
                                <a:pt x="4454" y="287"/>
                              </a:lnTo>
                              <a:lnTo>
                                <a:pt x="4461" y="287"/>
                              </a:lnTo>
                              <a:lnTo>
                                <a:pt x="4470" y="286"/>
                              </a:lnTo>
                              <a:lnTo>
                                <a:pt x="4480" y="284"/>
                              </a:lnTo>
                              <a:lnTo>
                                <a:pt x="4487" y="282"/>
                              </a:lnTo>
                              <a:lnTo>
                                <a:pt x="4496" y="277"/>
                              </a:lnTo>
                              <a:lnTo>
                                <a:pt x="4503" y="272"/>
                              </a:lnTo>
                              <a:lnTo>
                                <a:pt x="4510" y="266"/>
                              </a:lnTo>
                              <a:lnTo>
                                <a:pt x="4516" y="258"/>
                              </a:lnTo>
                              <a:lnTo>
                                <a:pt x="4522" y="249"/>
                              </a:lnTo>
                              <a:lnTo>
                                <a:pt x="4502" y="238"/>
                              </a:lnTo>
                              <a:lnTo>
                                <a:pt x="4497" y="244"/>
                              </a:lnTo>
                              <a:lnTo>
                                <a:pt x="4493" y="251"/>
                              </a:lnTo>
                              <a:lnTo>
                                <a:pt x="4488" y="256"/>
                              </a:lnTo>
                              <a:lnTo>
                                <a:pt x="4483" y="259"/>
                              </a:lnTo>
                              <a:lnTo>
                                <a:pt x="4478" y="262"/>
                              </a:lnTo>
                              <a:lnTo>
                                <a:pt x="4473" y="264"/>
                              </a:lnTo>
                              <a:lnTo>
                                <a:pt x="4467" y="266"/>
                              </a:lnTo>
                              <a:lnTo>
                                <a:pt x="4461" y="266"/>
                              </a:lnTo>
                              <a:lnTo>
                                <a:pt x="4452" y="264"/>
                              </a:lnTo>
                              <a:lnTo>
                                <a:pt x="4445" y="263"/>
                              </a:lnTo>
                              <a:lnTo>
                                <a:pt x="4437" y="258"/>
                              </a:lnTo>
                              <a:lnTo>
                                <a:pt x="4431" y="253"/>
                              </a:lnTo>
                              <a:lnTo>
                                <a:pt x="4426" y="247"/>
                              </a:lnTo>
                              <a:lnTo>
                                <a:pt x="4422" y="239"/>
                              </a:lnTo>
                              <a:lnTo>
                                <a:pt x="4420" y="231"/>
                              </a:lnTo>
                              <a:lnTo>
                                <a:pt x="4419" y="221"/>
                              </a:lnTo>
                              <a:lnTo>
                                <a:pt x="4523" y="221"/>
                              </a:lnTo>
                              <a:close/>
                              <a:moveTo>
                                <a:pt x="4421" y="202"/>
                              </a:moveTo>
                              <a:lnTo>
                                <a:pt x="4422" y="195"/>
                              </a:lnTo>
                              <a:lnTo>
                                <a:pt x="4425" y="188"/>
                              </a:lnTo>
                              <a:lnTo>
                                <a:pt x="4430" y="182"/>
                              </a:lnTo>
                              <a:lnTo>
                                <a:pt x="4435" y="177"/>
                              </a:lnTo>
                              <a:lnTo>
                                <a:pt x="4440" y="173"/>
                              </a:lnTo>
                              <a:lnTo>
                                <a:pt x="4446" y="170"/>
                              </a:lnTo>
                              <a:lnTo>
                                <a:pt x="4452" y="168"/>
                              </a:lnTo>
                              <a:lnTo>
                                <a:pt x="4460" y="167"/>
                              </a:lnTo>
                              <a:lnTo>
                                <a:pt x="4467" y="168"/>
                              </a:lnTo>
                              <a:lnTo>
                                <a:pt x="4473" y="170"/>
                              </a:lnTo>
                              <a:lnTo>
                                <a:pt x="4480" y="172"/>
                              </a:lnTo>
                              <a:lnTo>
                                <a:pt x="4485" y="177"/>
                              </a:lnTo>
                              <a:lnTo>
                                <a:pt x="4490" y="182"/>
                              </a:lnTo>
                              <a:lnTo>
                                <a:pt x="4493" y="187"/>
                              </a:lnTo>
                              <a:lnTo>
                                <a:pt x="4497" y="195"/>
                              </a:lnTo>
                              <a:lnTo>
                                <a:pt x="4498" y="202"/>
                              </a:lnTo>
                              <a:lnTo>
                                <a:pt x="4421" y="202"/>
                              </a:lnTo>
                              <a:close/>
                              <a:moveTo>
                                <a:pt x="4503" y="82"/>
                              </a:moveTo>
                              <a:lnTo>
                                <a:pt x="4478" y="73"/>
                              </a:lnTo>
                              <a:lnTo>
                                <a:pt x="4445" y="119"/>
                              </a:lnTo>
                              <a:lnTo>
                                <a:pt x="4460" y="126"/>
                              </a:lnTo>
                              <a:lnTo>
                                <a:pt x="4503" y="82"/>
                              </a:lnTo>
                              <a:close/>
                              <a:moveTo>
                                <a:pt x="4554" y="150"/>
                              </a:moveTo>
                              <a:lnTo>
                                <a:pt x="4554" y="283"/>
                              </a:lnTo>
                              <a:lnTo>
                                <a:pt x="4577" y="283"/>
                              </a:lnTo>
                              <a:lnTo>
                                <a:pt x="4577" y="211"/>
                              </a:lnTo>
                              <a:lnTo>
                                <a:pt x="4578" y="201"/>
                              </a:lnTo>
                              <a:lnTo>
                                <a:pt x="4578" y="193"/>
                              </a:lnTo>
                              <a:lnTo>
                                <a:pt x="4581" y="187"/>
                              </a:lnTo>
                              <a:lnTo>
                                <a:pt x="4582" y="182"/>
                              </a:lnTo>
                              <a:lnTo>
                                <a:pt x="4587" y="176"/>
                              </a:lnTo>
                              <a:lnTo>
                                <a:pt x="4592" y="171"/>
                              </a:lnTo>
                              <a:lnTo>
                                <a:pt x="4599" y="168"/>
                              </a:lnTo>
                              <a:lnTo>
                                <a:pt x="4607" y="167"/>
                              </a:lnTo>
                              <a:lnTo>
                                <a:pt x="4612" y="168"/>
                              </a:lnTo>
                              <a:lnTo>
                                <a:pt x="4617" y="170"/>
                              </a:lnTo>
                              <a:lnTo>
                                <a:pt x="4622" y="172"/>
                              </a:lnTo>
                              <a:lnTo>
                                <a:pt x="4624" y="176"/>
                              </a:lnTo>
                              <a:lnTo>
                                <a:pt x="4628" y="182"/>
                              </a:lnTo>
                              <a:lnTo>
                                <a:pt x="4629" y="188"/>
                              </a:lnTo>
                              <a:lnTo>
                                <a:pt x="4630" y="196"/>
                              </a:lnTo>
                              <a:lnTo>
                                <a:pt x="4630" y="203"/>
                              </a:lnTo>
                              <a:lnTo>
                                <a:pt x="4630" y="283"/>
                              </a:lnTo>
                              <a:lnTo>
                                <a:pt x="4654" y="283"/>
                              </a:lnTo>
                              <a:lnTo>
                                <a:pt x="4654" y="210"/>
                              </a:lnTo>
                              <a:lnTo>
                                <a:pt x="4654" y="200"/>
                              </a:lnTo>
                              <a:lnTo>
                                <a:pt x="4655" y="191"/>
                              </a:lnTo>
                              <a:lnTo>
                                <a:pt x="4658" y="183"/>
                              </a:lnTo>
                              <a:lnTo>
                                <a:pt x="4660" y="177"/>
                              </a:lnTo>
                              <a:lnTo>
                                <a:pt x="4665" y="173"/>
                              </a:lnTo>
                              <a:lnTo>
                                <a:pt x="4669" y="170"/>
                              </a:lnTo>
                              <a:lnTo>
                                <a:pt x="4675" y="168"/>
                              </a:lnTo>
                              <a:lnTo>
                                <a:pt x="4683" y="167"/>
                              </a:lnTo>
                              <a:lnTo>
                                <a:pt x="4688" y="167"/>
                              </a:lnTo>
                              <a:lnTo>
                                <a:pt x="4693" y="170"/>
                              </a:lnTo>
                              <a:lnTo>
                                <a:pt x="4698" y="172"/>
                              </a:lnTo>
                              <a:lnTo>
                                <a:pt x="4700" y="176"/>
                              </a:lnTo>
                              <a:lnTo>
                                <a:pt x="4703" y="181"/>
                              </a:lnTo>
                              <a:lnTo>
                                <a:pt x="4705" y="186"/>
                              </a:lnTo>
                              <a:lnTo>
                                <a:pt x="4706" y="193"/>
                              </a:lnTo>
                              <a:lnTo>
                                <a:pt x="4706" y="202"/>
                              </a:lnTo>
                              <a:lnTo>
                                <a:pt x="4706" y="283"/>
                              </a:lnTo>
                              <a:lnTo>
                                <a:pt x="4729" y="283"/>
                              </a:lnTo>
                              <a:lnTo>
                                <a:pt x="4729" y="198"/>
                              </a:lnTo>
                              <a:lnTo>
                                <a:pt x="4729" y="187"/>
                              </a:lnTo>
                              <a:lnTo>
                                <a:pt x="4728" y="178"/>
                              </a:lnTo>
                              <a:lnTo>
                                <a:pt x="4725" y="171"/>
                              </a:lnTo>
                              <a:lnTo>
                                <a:pt x="4721" y="165"/>
                              </a:lnTo>
                              <a:lnTo>
                                <a:pt x="4719" y="161"/>
                              </a:lnTo>
                              <a:lnTo>
                                <a:pt x="4715" y="157"/>
                              </a:lnTo>
                              <a:lnTo>
                                <a:pt x="4711" y="153"/>
                              </a:lnTo>
                              <a:lnTo>
                                <a:pt x="4706" y="151"/>
                              </a:lnTo>
                              <a:lnTo>
                                <a:pt x="4701" y="150"/>
                              </a:lnTo>
                              <a:lnTo>
                                <a:pt x="4696" y="147"/>
                              </a:lnTo>
                              <a:lnTo>
                                <a:pt x="4692" y="147"/>
                              </a:lnTo>
                              <a:lnTo>
                                <a:pt x="4685" y="146"/>
                              </a:lnTo>
                              <a:lnTo>
                                <a:pt x="4679" y="147"/>
                              </a:lnTo>
                              <a:lnTo>
                                <a:pt x="4674" y="148"/>
                              </a:lnTo>
                              <a:lnTo>
                                <a:pt x="4668" y="150"/>
                              </a:lnTo>
                              <a:lnTo>
                                <a:pt x="4663" y="152"/>
                              </a:lnTo>
                              <a:lnTo>
                                <a:pt x="4658" y="155"/>
                              </a:lnTo>
                              <a:lnTo>
                                <a:pt x="4654" y="158"/>
                              </a:lnTo>
                              <a:lnTo>
                                <a:pt x="4650" y="163"/>
                              </a:lnTo>
                              <a:lnTo>
                                <a:pt x="4647" y="168"/>
                              </a:lnTo>
                              <a:lnTo>
                                <a:pt x="4644" y="163"/>
                              </a:lnTo>
                              <a:lnTo>
                                <a:pt x="4640" y="158"/>
                              </a:lnTo>
                              <a:lnTo>
                                <a:pt x="4637" y="155"/>
                              </a:lnTo>
                              <a:lnTo>
                                <a:pt x="4632" y="152"/>
                              </a:lnTo>
                              <a:lnTo>
                                <a:pt x="4627" y="150"/>
                              </a:lnTo>
                              <a:lnTo>
                                <a:pt x="4622" y="148"/>
                              </a:lnTo>
                              <a:lnTo>
                                <a:pt x="4617" y="147"/>
                              </a:lnTo>
                              <a:lnTo>
                                <a:pt x="4611" y="146"/>
                              </a:lnTo>
                              <a:lnTo>
                                <a:pt x="4601" y="147"/>
                              </a:lnTo>
                              <a:lnTo>
                                <a:pt x="4592" y="151"/>
                              </a:lnTo>
                              <a:lnTo>
                                <a:pt x="4584" y="156"/>
                              </a:lnTo>
                              <a:lnTo>
                                <a:pt x="4577" y="165"/>
                              </a:lnTo>
                              <a:lnTo>
                                <a:pt x="4577" y="150"/>
                              </a:lnTo>
                              <a:lnTo>
                                <a:pt x="4554" y="150"/>
                              </a:lnTo>
                              <a:close/>
                              <a:moveTo>
                                <a:pt x="4887" y="171"/>
                              </a:moveTo>
                              <a:lnTo>
                                <a:pt x="4880" y="176"/>
                              </a:lnTo>
                              <a:lnTo>
                                <a:pt x="4873" y="181"/>
                              </a:lnTo>
                              <a:lnTo>
                                <a:pt x="4867" y="186"/>
                              </a:lnTo>
                              <a:lnTo>
                                <a:pt x="4863" y="192"/>
                              </a:lnTo>
                              <a:lnTo>
                                <a:pt x="4860" y="200"/>
                              </a:lnTo>
                              <a:lnTo>
                                <a:pt x="4857" y="207"/>
                              </a:lnTo>
                              <a:lnTo>
                                <a:pt x="4856" y="215"/>
                              </a:lnTo>
                              <a:lnTo>
                                <a:pt x="4855" y="223"/>
                              </a:lnTo>
                              <a:lnTo>
                                <a:pt x="4856" y="231"/>
                              </a:lnTo>
                              <a:lnTo>
                                <a:pt x="4856" y="237"/>
                              </a:lnTo>
                              <a:lnTo>
                                <a:pt x="4858" y="243"/>
                              </a:lnTo>
                              <a:lnTo>
                                <a:pt x="4860" y="248"/>
                              </a:lnTo>
                              <a:lnTo>
                                <a:pt x="4866" y="259"/>
                              </a:lnTo>
                              <a:lnTo>
                                <a:pt x="4873" y="268"/>
                              </a:lnTo>
                              <a:lnTo>
                                <a:pt x="4883" y="276"/>
                              </a:lnTo>
                              <a:lnTo>
                                <a:pt x="4895" y="282"/>
                              </a:lnTo>
                              <a:lnTo>
                                <a:pt x="4907" y="286"/>
                              </a:lnTo>
                              <a:lnTo>
                                <a:pt x="4921" y="287"/>
                              </a:lnTo>
                              <a:lnTo>
                                <a:pt x="4933" y="286"/>
                              </a:lnTo>
                              <a:lnTo>
                                <a:pt x="4946" y="282"/>
                              </a:lnTo>
                              <a:lnTo>
                                <a:pt x="4957" y="276"/>
                              </a:lnTo>
                              <a:lnTo>
                                <a:pt x="4967" y="268"/>
                              </a:lnTo>
                              <a:lnTo>
                                <a:pt x="4974" y="259"/>
                              </a:lnTo>
                              <a:lnTo>
                                <a:pt x="4979" y="248"/>
                              </a:lnTo>
                              <a:lnTo>
                                <a:pt x="4982" y="242"/>
                              </a:lnTo>
                              <a:lnTo>
                                <a:pt x="4983" y="236"/>
                              </a:lnTo>
                              <a:lnTo>
                                <a:pt x="4984" y="229"/>
                              </a:lnTo>
                              <a:lnTo>
                                <a:pt x="4984" y="223"/>
                              </a:lnTo>
                              <a:lnTo>
                                <a:pt x="4984" y="215"/>
                              </a:lnTo>
                              <a:lnTo>
                                <a:pt x="4983" y="207"/>
                              </a:lnTo>
                              <a:lnTo>
                                <a:pt x="4979" y="200"/>
                              </a:lnTo>
                              <a:lnTo>
                                <a:pt x="4977" y="192"/>
                              </a:lnTo>
                              <a:lnTo>
                                <a:pt x="4972" y="186"/>
                              </a:lnTo>
                              <a:lnTo>
                                <a:pt x="4967" y="181"/>
                              </a:lnTo>
                              <a:lnTo>
                                <a:pt x="4961" y="176"/>
                              </a:lnTo>
                              <a:lnTo>
                                <a:pt x="4953" y="171"/>
                              </a:lnTo>
                              <a:lnTo>
                                <a:pt x="4959" y="167"/>
                              </a:lnTo>
                              <a:lnTo>
                                <a:pt x="4964" y="163"/>
                              </a:lnTo>
                              <a:lnTo>
                                <a:pt x="4969" y="157"/>
                              </a:lnTo>
                              <a:lnTo>
                                <a:pt x="4973" y="152"/>
                              </a:lnTo>
                              <a:lnTo>
                                <a:pt x="4976" y="145"/>
                              </a:lnTo>
                              <a:lnTo>
                                <a:pt x="4978" y="139"/>
                              </a:lnTo>
                              <a:lnTo>
                                <a:pt x="4979" y="131"/>
                              </a:lnTo>
                              <a:lnTo>
                                <a:pt x="4981" y="125"/>
                              </a:lnTo>
                              <a:lnTo>
                                <a:pt x="4979" y="112"/>
                              </a:lnTo>
                              <a:lnTo>
                                <a:pt x="4976" y="101"/>
                              </a:lnTo>
                              <a:lnTo>
                                <a:pt x="4971" y="91"/>
                              </a:lnTo>
                              <a:lnTo>
                                <a:pt x="4963" y="82"/>
                              </a:lnTo>
                              <a:lnTo>
                                <a:pt x="4954" y="75"/>
                              </a:lnTo>
                              <a:lnTo>
                                <a:pt x="4944" y="70"/>
                              </a:lnTo>
                              <a:lnTo>
                                <a:pt x="4933" y="66"/>
                              </a:lnTo>
                              <a:lnTo>
                                <a:pt x="4921" y="66"/>
                              </a:lnTo>
                              <a:lnTo>
                                <a:pt x="4908" y="66"/>
                              </a:lnTo>
                              <a:lnTo>
                                <a:pt x="4897" y="70"/>
                              </a:lnTo>
                              <a:lnTo>
                                <a:pt x="4887" y="75"/>
                              </a:lnTo>
                              <a:lnTo>
                                <a:pt x="4877" y="82"/>
                              </a:lnTo>
                              <a:lnTo>
                                <a:pt x="4871" y="91"/>
                              </a:lnTo>
                              <a:lnTo>
                                <a:pt x="4865" y="101"/>
                              </a:lnTo>
                              <a:lnTo>
                                <a:pt x="4862" y="112"/>
                              </a:lnTo>
                              <a:lnTo>
                                <a:pt x="4861" y="125"/>
                              </a:lnTo>
                              <a:lnTo>
                                <a:pt x="4861" y="132"/>
                              </a:lnTo>
                              <a:lnTo>
                                <a:pt x="4862" y="139"/>
                              </a:lnTo>
                              <a:lnTo>
                                <a:pt x="4865" y="146"/>
                              </a:lnTo>
                              <a:lnTo>
                                <a:pt x="4867" y="152"/>
                              </a:lnTo>
                              <a:lnTo>
                                <a:pt x="4871" y="157"/>
                              </a:lnTo>
                              <a:lnTo>
                                <a:pt x="4876" y="162"/>
                              </a:lnTo>
                              <a:lnTo>
                                <a:pt x="4881" y="167"/>
                              </a:lnTo>
                              <a:lnTo>
                                <a:pt x="4887" y="171"/>
                              </a:lnTo>
                              <a:close/>
                              <a:moveTo>
                                <a:pt x="4921" y="87"/>
                              </a:moveTo>
                              <a:lnTo>
                                <a:pt x="4928" y="89"/>
                              </a:lnTo>
                              <a:lnTo>
                                <a:pt x="4934" y="90"/>
                              </a:lnTo>
                              <a:lnTo>
                                <a:pt x="4941" y="94"/>
                              </a:lnTo>
                              <a:lnTo>
                                <a:pt x="4947" y="99"/>
                              </a:lnTo>
                              <a:lnTo>
                                <a:pt x="4952" y="104"/>
                              </a:lnTo>
                              <a:lnTo>
                                <a:pt x="4954" y="110"/>
                              </a:lnTo>
                              <a:lnTo>
                                <a:pt x="4957" y="117"/>
                              </a:lnTo>
                              <a:lnTo>
                                <a:pt x="4958" y="125"/>
                              </a:lnTo>
                              <a:lnTo>
                                <a:pt x="4957" y="132"/>
                              </a:lnTo>
                              <a:lnTo>
                                <a:pt x="4954" y="140"/>
                              </a:lnTo>
                              <a:lnTo>
                                <a:pt x="4952" y="146"/>
                              </a:lnTo>
                              <a:lnTo>
                                <a:pt x="4947" y="151"/>
                              </a:lnTo>
                              <a:lnTo>
                                <a:pt x="4941" y="156"/>
                              </a:lnTo>
                              <a:lnTo>
                                <a:pt x="4934" y="158"/>
                              </a:lnTo>
                              <a:lnTo>
                                <a:pt x="4928" y="161"/>
                              </a:lnTo>
                              <a:lnTo>
                                <a:pt x="4921" y="162"/>
                              </a:lnTo>
                              <a:lnTo>
                                <a:pt x="4913" y="161"/>
                              </a:lnTo>
                              <a:lnTo>
                                <a:pt x="4906" y="158"/>
                              </a:lnTo>
                              <a:lnTo>
                                <a:pt x="4900" y="156"/>
                              </a:lnTo>
                              <a:lnTo>
                                <a:pt x="4895" y="151"/>
                              </a:lnTo>
                              <a:lnTo>
                                <a:pt x="4890" y="145"/>
                              </a:lnTo>
                              <a:lnTo>
                                <a:pt x="4886" y="139"/>
                              </a:lnTo>
                              <a:lnTo>
                                <a:pt x="4883" y="132"/>
                              </a:lnTo>
                              <a:lnTo>
                                <a:pt x="4883" y="124"/>
                              </a:lnTo>
                              <a:lnTo>
                                <a:pt x="4885" y="117"/>
                              </a:lnTo>
                              <a:lnTo>
                                <a:pt x="4886" y="110"/>
                              </a:lnTo>
                              <a:lnTo>
                                <a:pt x="4890" y="104"/>
                              </a:lnTo>
                              <a:lnTo>
                                <a:pt x="4895" y="99"/>
                              </a:lnTo>
                              <a:lnTo>
                                <a:pt x="4900" y="94"/>
                              </a:lnTo>
                              <a:lnTo>
                                <a:pt x="4906" y="90"/>
                              </a:lnTo>
                              <a:lnTo>
                                <a:pt x="4913" y="89"/>
                              </a:lnTo>
                              <a:lnTo>
                                <a:pt x="4921" y="87"/>
                              </a:lnTo>
                              <a:close/>
                              <a:moveTo>
                                <a:pt x="4920" y="182"/>
                              </a:moveTo>
                              <a:lnTo>
                                <a:pt x="4928" y="183"/>
                              </a:lnTo>
                              <a:lnTo>
                                <a:pt x="4936" y="186"/>
                              </a:lnTo>
                              <a:lnTo>
                                <a:pt x="4943" y="190"/>
                              </a:lnTo>
                              <a:lnTo>
                                <a:pt x="4949" y="195"/>
                              </a:lnTo>
                              <a:lnTo>
                                <a:pt x="4954" y="200"/>
                              </a:lnTo>
                              <a:lnTo>
                                <a:pt x="4958" y="207"/>
                              </a:lnTo>
                              <a:lnTo>
                                <a:pt x="4961" y="215"/>
                              </a:lnTo>
                              <a:lnTo>
                                <a:pt x="4961" y="223"/>
                              </a:lnTo>
                              <a:lnTo>
                                <a:pt x="4961" y="232"/>
                              </a:lnTo>
                              <a:lnTo>
                                <a:pt x="4958" y="239"/>
                              </a:lnTo>
                              <a:lnTo>
                                <a:pt x="4954" y="246"/>
                              </a:lnTo>
                              <a:lnTo>
                                <a:pt x="4949" y="252"/>
                              </a:lnTo>
                              <a:lnTo>
                                <a:pt x="4943" y="257"/>
                              </a:lnTo>
                              <a:lnTo>
                                <a:pt x="4936" y="261"/>
                              </a:lnTo>
                              <a:lnTo>
                                <a:pt x="4928" y="263"/>
                              </a:lnTo>
                              <a:lnTo>
                                <a:pt x="4920" y="264"/>
                              </a:lnTo>
                              <a:lnTo>
                                <a:pt x="4911" y="263"/>
                              </a:lnTo>
                              <a:lnTo>
                                <a:pt x="4903" y="261"/>
                              </a:lnTo>
                              <a:lnTo>
                                <a:pt x="4897" y="257"/>
                              </a:lnTo>
                              <a:lnTo>
                                <a:pt x="4891" y="252"/>
                              </a:lnTo>
                              <a:lnTo>
                                <a:pt x="4886" y="246"/>
                              </a:lnTo>
                              <a:lnTo>
                                <a:pt x="4882" y="239"/>
                              </a:lnTo>
                              <a:lnTo>
                                <a:pt x="4880" y="231"/>
                              </a:lnTo>
                              <a:lnTo>
                                <a:pt x="4878" y="222"/>
                              </a:lnTo>
                              <a:lnTo>
                                <a:pt x="4880" y="215"/>
                              </a:lnTo>
                              <a:lnTo>
                                <a:pt x="4882" y="207"/>
                              </a:lnTo>
                              <a:lnTo>
                                <a:pt x="4886" y="200"/>
                              </a:lnTo>
                              <a:lnTo>
                                <a:pt x="4891" y="195"/>
                              </a:lnTo>
                              <a:lnTo>
                                <a:pt x="4897" y="190"/>
                              </a:lnTo>
                              <a:lnTo>
                                <a:pt x="4903" y="186"/>
                              </a:lnTo>
                              <a:lnTo>
                                <a:pt x="4912" y="183"/>
                              </a:lnTo>
                              <a:lnTo>
                                <a:pt x="4920" y="182"/>
                              </a:lnTo>
                              <a:close/>
                              <a:moveTo>
                                <a:pt x="5090" y="91"/>
                              </a:moveTo>
                              <a:lnTo>
                                <a:pt x="5090" y="283"/>
                              </a:lnTo>
                              <a:lnTo>
                                <a:pt x="5114" y="283"/>
                              </a:lnTo>
                              <a:lnTo>
                                <a:pt x="5114" y="69"/>
                              </a:lnTo>
                              <a:lnTo>
                                <a:pt x="5067" y="69"/>
                              </a:lnTo>
                              <a:lnTo>
                                <a:pt x="5054" y="91"/>
                              </a:lnTo>
                              <a:lnTo>
                                <a:pt x="5090" y="91"/>
                              </a:lnTo>
                              <a:close/>
                              <a:moveTo>
                                <a:pt x="5333" y="337"/>
                              </a:moveTo>
                              <a:lnTo>
                                <a:pt x="5357" y="337"/>
                              </a:lnTo>
                              <a:lnTo>
                                <a:pt x="5357" y="69"/>
                              </a:lnTo>
                              <a:lnTo>
                                <a:pt x="5333" y="69"/>
                              </a:lnTo>
                              <a:lnTo>
                                <a:pt x="5333" y="337"/>
                              </a:lnTo>
                              <a:close/>
                              <a:moveTo>
                                <a:pt x="5587" y="91"/>
                              </a:moveTo>
                              <a:lnTo>
                                <a:pt x="5587" y="283"/>
                              </a:lnTo>
                              <a:lnTo>
                                <a:pt x="5611" y="283"/>
                              </a:lnTo>
                              <a:lnTo>
                                <a:pt x="5611" y="69"/>
                              </a:lnTo>
                              <a:lnTo>
                                <a:pt x="5565" y="69"/>
                              </a:lnTo>
                              <a:lnTo>
                                <a:pt x="5552" y="91"/>
                              </a:lnTo>
                              <a:lnTo>
                                <a:pt x="5587" y="91"/>
                              </a:lnTo>
                              <a:close/>
                              <a:moveTo>
                                <a:pt x="5770" y="66"/>
                              </a:moveTo>
                              <a:lnTo>
                                <a:pt x="5763" y="66"/>
                              </a:lnTo>
                              <a:lnTo>
                                <a:pt x="5755" y="68"/>
                              </a:lnTo>
                              <a:lnTo>
                                <a:pt x="5748" y="70"/>
                              </a:lnTo>
                              <a:lnTo>
                                <a:pt x="5741" y="74"/>
                              </a:lnTo>
                              <a:lnTo>
                                <a:pt x="5734" y="79"/>
                              </a:lnTo>
                              <a:lnTo>
                                <a:pt x="5728" y="84"/>
                              </a:lnTo>
                              <a:lnTo>
                                <a:pt x="5722" y="90"/>
                              </a:lnTo>
                              <a:lnTo>
                                <a:pt x="5717" y="97"/>
                              </a:lnTo>
                              <a:lnTo>
                                <a:pt x="5712" y="105"/>
                              </a:lnTo>
                              <a:lnTo>
                                <a:pt x="5707" y="114"/>
                              </a:lnTo>
                              <a:lnTo>
                                <a:pt x="5703" y="122"/>
                              </a:lnTo>
                              <a:lnTo>
                                <a:pt x="5701" y="132"/>
                              </a:lnTo>
                              <a:lnTo>
                                <a:pt x="5698" y="142"/>
                              </a:lnTo>
                              <a:lnTo>
                                <a:pt x="5696" y="152"/>
                              </a:lnTo>
                              <a:lnTo>
                                <a:pt x="5694" y="163"/>
                              </a:lnTo>
                              <a:lnTo>
                                <a:pt x="5694" y="175"/>
                              </a:lnTo>
                              <a:lnTo>
                                <a:pt x="5694" y="186"/>
                              </a:lnTo>
                              <a:lnTo>
                                <a:pt x="5696" y="197"/>
                              </a:lnTo>
                              <a:lnTo>
                                <a:pt x="5697" y="207"/>
                              </a:lnTo>
                              <a:lnTo>
                                <a:pt x="5699" y="217"/>
                              </a:lnTo>
                              <a:lnTo>
                                <a:pt x="5702" y="227"/>
                              </a:lnTo>
                              <a:lnTo>
                                <a:pt x="5706" y="236"/>
                              </a:lnTo>
                              <a:lnTo>
                                <a:pt x="5709" y="244"/>
                              </a:lnTo>
                              <a:lnTo>
                                <a:pt x="5714" y="252"/>
                              </a:lnTo>
                              <a:lnTo>
                                <a:pt x="5719" y="259"/>
                              </a:lnTo>
                              <a:lnTo>
                                <a:pt x="5726" y="267"/>
                              </a:lnTo>
                              <a:lnTo>
                                <a:pt x="5733" y="272"/>
                              </a:lnTo>
                              <a:lnTo>
                                <a:pt x="5739" y="277"/>
                              </a:lnTo>
                              <a:lnTo>
                                <a:pt x="5747" y="281"/>
                              </a:lnTo>
                              <a:lnTo>
                                <a:pt x="5755" y="284"/>
                              </a:lnTo>
                              <a:lnTo>
                                <a:pt x="5763" y="286"/>
                              </a:lnTo>
                              <a:lnTo>
                                <a:pt x="5770" y="287"/>
                              </a:lnTo>
                              <a:lnTo>
                                <a:pt x="5778" y="286"/>
                              </a:lnTo>
                              <a:lnTo>
                                <a:pt x="5787" y="284"/>
                              </a:lnTo>
                              <a:lnTo>
                                <a:pt x="5794" y="281"/>
                              </a:lnTo>
                              <a:lnTo>
                                <a:pt x="5802" y="277"/>
                              </a:lnTo>
                              <a:lnTo>
                                <a:pt x="5808" y="273"/>
                              </a:lnTo>
                              <a:lnTo>
                                <a:pt x="5814" y="267"/>
                              </a:lnTo>
                              <a:lnTo>
                                <a:pt x="5820" y="261"/>
                              </a:lnTo>
                              <a:lnTo>
                                <a:pt x="5827" y="253"/>
                              </a:lnTo>
                              <a:lnTo>
                                <a:pt x="5831" y="246"/>
                              </a:lnTo>
                              <a:lnTo>
                                <a:pt x="5835" y="237"/>
                              </a:lnTo>
                              <a:lnTo>
                                <a:pt x="5839" y="228"/>
                              </a:lnTo>
                              <a:lnTo>
                                <a:pt x="5841" y="218"/>
                              </a:lnTo>
                              <a:lnTo>
                                <a:pt x="5844" y="208"/>
                              </a:lnTo>
                              <a:lnTo>
                                <a:pt x="5845" y="197"/>
                              </a:lnTo>
                              <a:lnTo>
                                <a:pt x="5846" y="187"/>
                              </a:lnTo>
                              <a:lnTo>
                                <a:pt x="5848" y="176"/>
                              </a:lnTo>
                              <a:lnTo>
                                <a:pt x="5846" y="163"/>
                              </a:lnTo>
                              <a:lnTo>
                                <a:pt x="5845" y="152"/>
                              </a:lnTo>
                              <a:lnTo>
                                <a:pt x="5844" y="142"/>
                              </a:lnTo>
                              <a:lnTo>
                                <a:pt x="5841" y="132"/>
                              </a:lnTo>
                              <a:lnTo>
                                <a:pt x="5838" y="122"/>
                              </a:lnTo>
                              <a:lnTo>
                                <a:pt x="5834" y="114"/>
                              </a:lnTo>
                              <a:lnTo>
                                <a:pt x="5830" y="105"/>
                              </a:lnTo>
                              <a:lnTo>
                                <a:pt x="5825" y="97"/>
                              </a:lnTo>
                              <a:lnTo>
                                <a:pt x="5820" y="90"/>
                              </a:lnTo>
                              <a:lnTo>
                                <a:pt x="5814" y="84"/>
                              </a:lnTo>
                              <a:lnTo>
                                <a:pt x="5808" y="79"/>
                              </a:lnTo>
                              <a:lnTo>
                                <a:pt x="5802" y="74"/>
                              </a:lnTo>
                              <a:lnTo>
                                <a:pt x="5794" y="70"/>
                              </a:lnTo>
                              <a:lnTo>
                                <a:pt x="5787" y="68"/>
                              </a:lnTo>
                              <a:lnTo>
                                <a:pt x="5779" y="66"/>
                              </a:lnTo>
                              <a:lnTo>
                                <a:pt x="5770" y="66"/>
                              </a:lnTo>
                              <a:close/>
                              <a:moveTo>
                                <a:pt x="5770" y="87"/>
                              </a:moveTo>
                              <a:lnTo>
                                <a:pt x="5777" y="87"/>
                              </a:lnTo>
                              <a:lnTo>
                                <a:pt x="5782" y="89"/>
                              </a:lnTo>
                              <a:lnTo>
                                <a:pt x="5787" y="91"/>
                              </a:lnTo>
                              <a:lnTo>
                                <a:pt x="5792" y="94"/>
                              </a:lnTo>
                              <a:lnTo>
                                <a:pt x="5797" y="97"/>
                              </a:lnTo>
                              <a:lnTo>
                                <a:pt x="5800" y="102"/>
                              </a:lnTo>
                              <a:lnTo>
                                <a:pt x="5805" y="107"/>
                              </a:lnTo>
                              <a:lnTo>
                                <a:pt x="5809" y="112"/>
                              </a:lnTo>
                              <a:lnTo>
                                <a:pt x="5815" y="126"/>
                              </a:lnTo>
                              <a:lnTo>
                                <a:pt x="5820" y="141"/>
                              </a:lnTo>
                              <a:lnTo>
                                <a:pt x="5823" y="157"/>
                              </a:lnTo>
                              <a:lnTo>
                                <a:pt x="5824" y="176"/>
                              </a:lnTo>
                              <a:lnTo>
                                <a:pt x="5823" y="193"/>
                              </a:lnTo>
                              <a:lnTo>
                                <a:pt x="5820" y="211"/>
                              </a:lnTo>
                              <a:lnTo>
                                <a:pt x="5815" y="226"/>
                              </a:lnTo>
                              <a:lnTo>
                                <a:pt x="5808" y="238"/>
                              </a:lnTo>
                              <a:lnTo>
                                <a:pt x="5804" y="244"/>
                              </a:lnTo>
                              <a:lnTo>
                                <a:pt x="5800" y="249"/>
                              </a:lnTo>
                              <a:lnTo>
                                <a:pt x="5797" y="253"/>
                              </a:lnTo>
                              <a:lnTo>
                                <a:pt x="5792" y="257"/>
                              </a:lnTo>
                              <a:lnTo>
                                <a:pt x="5787" y="261"/>
                              </a:lnTo>
                              <a:lnTo>
                                <a:pt x="5782" y="262"/>
                              </a:lnTo>
                              <a:lnTo>
                                <a:pt x="5777" y="263"/>
                              </a:lnTo>
                              <a:lnTo>
                                <a:pt x="5770" y="264"/>
                              </a:lnTo>
                              <a:lnTo>
                                <a:pt x="5765" y="264"/>
                              </a:lnTo>
                              <a:lnTo>
                                <a:pt x="5759" y="262"/>
                              </a:lnTo>
                              <a:lnTo>
                                <a:pt x="5754" y="261"/>
                              </a:lnTo>
                              <a:lnTo>
                                <a:pt x="5749" y="258"/>
                              </a:lnTo>
                              <a:lnTo>
                                <a:pt x="5744" y="254"/>
                              </a:lnTo>
                              <a:lnTo>
                                <a:pt x="5741" y="249"/>
                              </a:lnTo>
                              <a:lnTo>
                                <a:pt x="5737" y="244"/>
                              </a:lnTo>
                              <a:lnTo>
                                <a:pt x="5733" y="239"/>
                              </a:lnTo>
                              <a:lnTo>
                                <a:pt x="5727" y="226"/>
                              </a:lnTo>
                              <a:lnTo>
                                <a:pt x="5722" y="211"/>
                              </a:lnTo>
                              <a:lnTo>
                                <a:pt x="5718" y="193"/>
                              </a:lnTo>
                              <a:lnTo>
                                <a:pt x="5718" y="176"/>
                              </a:lnTo>
                              <a:lnTo>
                                <a:pt x="5718" y="157"/>
                              </a:lnTo>
                              <a:lnTo>
                                <a:pt x="5722" y="141"/>
                              </a:lnTo>
                              <a:lnTo>
                                <a:pt x="5727" y="126"/>
                              </a:lnTo>
                              <a:lnTo>
                                <a:pt x="5733" y="112"/>
                              </a:lnTo>
                              <a:lnTo>
                                <a:pt x="5737" y="107"/>
                              </a:lnTo>
                              <a:lnTo>
                                <a:pt x="5741" y="102"/>
                              </a:lnTo>
                              <a:lnTo>
                                <a:pt x="5746" y="97"/>
                              </a:lnTo>
                              <a:lnTo>
                                <a:pt x="5749" y="94"/>
                              </a:lnTo>
                              <a:lnTo>
                                <a:pt x="5754" y="91"/>
                              </a:lnTo>
                              <a:lnTo>
                                <a:pt x="5759" y="89"/>
                              </a:lnTo>
                              <a:lnTo>
                                <a:pt x="5765" y="87"/>
                              </a:lnTo>
                              <a:lnTo>
                                <a:pt x="5770" y="87"/>
                              </a:lnTo>
                              <a:close/>
                              <a:moveTo>
                                <a:pt x="5949" y="66"/>
                              </a:moveTo>
                              <a:lnTo>
                                <a:pt x="5940" y="66"/>
                              </a:lnTo>
                              <a:lnTo>
                                <a:pt x="5932" y="68"/>
                              </a:lnTo>
                              <a:lnTo>
                                <a:pt x="5925" y="70"/>
                              </a:lnTo>
                              <a:lnTo>
                                <a:pt x="5917" y="74"/>
                              </a:lnTo>
                              <a:lnTo>
                                <a:pt x="5911" y="79"/>
                              </a:lnTo>
                              <a:lnTo>
                                <a:pt x="5905" y="84"/>
                              </a:lnTo>
                              <a:lnTo>
                                <a:pt x="5899" y="90"/>
                              </a:lnTo>
                              <a:lnTo>
                                <a:pt x="5894" y="97"/>
                              </a:lnTo>
                              <a:lnTo>
                                <a:pt x="5889" y="105"/>
                              </a:lnTo>
                              <a:lnTo>
                                <a:pt x="5885" y="114"/>
                              </a:lnTo>
                              <a:lnTo>
                                <a:pt x="5880" y="122"/>
                              </a:lnTo>
                              <a:lnTo>
                                <a:pt x="5878" y="132"/>
                              </a:lnTo>
                              <a:lnTo>
                                <a:pt x="5875" y="142"/>
                              </a:lnTo>
                              <a:lnTo>
                                <a:pt x="5873" y="152"/>
                              </a:lnTo>
                              <a:lnTo>
                                <a:pt x="5871" y="163"/>
                              </a:lnTo>
                              <a:lnTo>
                                <a:pt x="5871" y="175"/>
                              </a:lnTo>
                              <a:lnTo>
                                <a:pt x="5871" y="186"/>
                              </a:lnTo>
                              <a:lnTo>
                                <a:pt x="5873" y="197"/>
                              </a:lnTo>
                              <a:lnTo>
                                <a:pt x="5874" y="207"/>
                              </a:lnTo>
                              <a:lnTo>
                                <a:pt x="5876" y="217"/>
                              </a:lnTo>
                              <a:lnTo>
                                <a:pt x="5879" y="227"/>
                              </a:lnTo>
                              <a:lnTo>
                                <a:pt x="5883" y="236"/>
                              </a:lnTo>
                              <a:lnTo>
                                <a:pt x="5888" y="244"/>
                              </a:lnTo>
                              <a:lnTo>
                                <a:pt x="5891" y="252"/>
                              </a:lnTo>
                              <a:lnTo>
                                <a:pt x="5898" y="259"/>
                              </a:lnTo>
                              <a:lnTo>
                                <a:pt x="5904" y="267"/>
                              </a:lnTo>
                              <a:lnTo>
                                <a:pt x="5910" y="272"/>
                              </a:lnTo>
                              <a:lnTo>
                                <a:pt x="5917" y="277"/>
                              </a:lnTo>
                              <a:lnTo>
                                <a:pt x="5925" y="281"/>
                              </a:lnTo>
                              <a:lnTo>
                                <a:pt x="5932" y="284"/>
                              </a:lnTo>
                              <a:lnTo>
                                <a:pt x="5940" y="286"/>
                              </a:lnTo>
                              <a:lnTo>
                                <a:pt x="5949" y="287"/>
                              </a:lnTo>
                              <a:lnTo>
                                <a:pt x="5956" y="286"/>
                              </a:lnTo>
                              <a:lnTo>
                                <a:pt x="5964" y="284"/>
                              </a:lnTo>
                              <a:lnTo>
                                <a:pt x="5971" y="281"/>
                              </a:lnTo>
                              <a:lnTo>
                                <a:pt x="5978" y="277"/>
                              </a:lnTo>
                              <a:lnTo>
                                <a:pt x="5985" y="273"/>
                              </a:lnTo>
                              <a:lnTo>
                                <a:pt x="5992" y="267"/>
                              </a:lnTo>
                              <a:lnTo>
                                <a:pt x="5998" y="261"/>
                              </a:lnTo>
                              <a:lnTo>
                                <a:pt x="6003" y="253"/>
                              </a:lnTo>
                              <a:lnTo>
                                <a:pt x="6008" y="246"/>
                              </a:lnTo>
                              <a:lnTo>
                                <a:pt x="6012" y="237"/>
                              </a:lnTo>
                              <a:lnTo>
                                <a:pt x="6016" y="228"/>
                              </a:lnTo>
                              <a:lnTo>
                                <a:pt x="6020" y="218"/>
                              </a:lnTo>
                              <a:lnTo>
                                <a:pt x="6021" y="208"/>
                              </a:lnTo>
                              <a:lnTo>
                                <a:pt x="6023" y="197"/>
                              </a:lnTo>
                              <a:lnTo>
                                <a:pt x="6025" y="187"/>
                              </a:lnTo>
                              <a:lnTo>
                                <a:pt x="6025" y="176"/>
                              </a:lnTo>
                              <a:lnTo>
                                <a:pt x="6025" y="163"/>
                              </a:lnTo>
                              <a:lnTo>
                                <a:pt x="6023" y="152"/>
                              </a:lnTo>
                              <a:lnTo>
                                <a:pt x="6021" y="142"/>
                              </a:lnTo>
                              <a:lnTo>
                                <a:pt x="6018" y="132"/>
                              </a:lnTo>
                              <a:lnTo>
                                <a:pt x="6016" y="122"/>
                              </a:lnTo>
                              <a:lnTo>
                                <a:pt x="6012" y="114"/>
                              </a:lnTo>
                              <a:lnTo>
                                <a:pt x="6007" y="105"/>
                              </a:lnTo>
                              <a:lnTo>
                                <a:pt x="6002" y="97"/>
                              </a:lnTo>
                              <a:lnTo>
                                <a:pt x="5997" y="90"/>
                              </a:lnTo>
                              <a:lnTo>
                                <a:pt x="5991" y="84"/>
                              </a:lnTo>
                              <a:lnTo>
                                <a:pt x="5985" y="79"/>
                              </a:lnTo>
                              <a:lnTo>
                                <a:pt x="5978" y="74"/>
                              </a:lnTo>
                              <a:lnTo>
                                <a:pt x="5971" y="70"/>
                              </a:lnTo>
                              <a:lnTo>
                                <a:pt x="5964" y="68"/>
                              </a:lnTo>
                              <a:lnTo>
                                <a:pt x="5956" y="66"/>
                              </a:lnTo>
                              <a:lnTo>
                                <a:pt x="5949" y="66"/>
                              </a:lnTo>
                              <a:close/>
                              <a:moveTo>
                                <a:pt x="5947" y="87"/>
                              </a:moveTo>
                              <a:lnTo>
                                <a:pt x="5954" y="87"/>
                              </a:lnTo>
                              <a:lnTo>
                                <a:pt x="5959" y="89"/>
                              </a:lnTo>
                              <a:lnTo>
                                <a:pt x="5964" y="91"/>
                              </a:lnTo>
                              <a:lnTo>
                                <a:pt x="5969" y="94"/>
                              </a:lnTo>
                              <a:lnTo>
                                <a:pt x="5974" y="97"/>
                              </a:lnTo>
                              <a:lnTo>
                                <a:pt x="5978" y="102"/>
                              </a:lnTo>
                              <a:lnTo>
                                <a:pt x="5982" y="107"/>
                              </a:lnTo>
                              <a:lnTo>
                                <a:pt x="5986" y="112"/>
                              </a:lnTo>
                              <a:lnTo>
                                <a:pt x="5992" y="126"/>
                              </a:lnTo>
                              <a:lnTo>
                                <a:pt x="5997" y="141"/>
                              </a:lnTo>
                              <a:lnTo>
                                <a:pt x="6000" y="157"/>
                              </a:lnTo>
                              <a:lnTo>
                                <a:pt x="6001" y="176"/>
                              </a:lnTo>
                              <a:lnTo>
                                <a:pt x="6000" y="193"/>
                              </a:lnTo>
                              <a:lnTo>
                                <a:pt x="5997" y="211"/>
                              </a:lnTo>
                              <a:lnTo>
                                <a:pt x="5992" y="226"/>
                              </a:lnTo>
                              <a:lnTo>
                                <a:pt x="5986" y="238"/>
                              </a:lnTo>
                              <a:lnTo>
                                <a:pt x="5982" y="244"/>
                              </a:lnTo>
                              <a:lnTo>
                                <a:pt x="5977" y="249"/>
                              </a:lnTo>
                              <a:lnTo>
                                <a:pt x="5974" y="253"/>
                              </a:lnTo>
                              <a:lnTo>
                                <a:pt x="5969" y="257"/>
                              </a:lnTo>
                              <a:lnTo>
                                <a:pt x="5964" y="261"/>
                              </a:lnTo>
                              <a:lnTo>
                                <a:pt x="5959" y="262"/>
                              </a:lnTo>
                              <a:lnTo>
                                <a:pt x="5954" y="263"/>
                              </a:lnTo>
                              <a:lnTo>
                                <a:pt x="5949" y="264"/>
                              </a:lnTo>
                              <a:lnTo>
                                <a:pt x="5942" y="264"/>
                              </a:lnTo>
                              <a:lnTo>
                                <a:pt x="5937" y="262"/>
                              </a:lnTo>
                              <a:lnTo>
                                <a:pt x="5932" y="261"/>
                              </a:lnTo>
                              <a:lnTo>
                                <a:pt x="5927" y="258"/>
                              </a:lnTo>
                              <a:lnTo>
                                <a:pt x="5922" y="254"/>
                              </a:lnTo>
                              <a:lnTo>
                                <a:pt x="5917" y="249"/>
                              </a:lnTo>
                              <a:lnTo>
                                <a:pt x="5914" y="244"/>
                              </a:lnTo>
                              <a:lnTo>
                                <a:pt x="5910" y="239"/>
                              </a:lnTo>
                              <a:lnTo>
                                <a:pt x="5904" y="226"/>
                              </a:lnTo>
                              <a:lnTo>
                                <a:pt x="5899" y="211"/>
                              </a:lnTo>
                              <a:lnTo>
                                <a:pt x="5896" y="193"/>
                              </a:lnTo>
                              <a:lnTo>
                                <a:pt x="5895" y="176"/>
                              </a:lnTo>
                              <a:lnTo>
                                <a:pt x="5896" y="157"/>
                              </a:lnTo>
                              <a:lnTo>
                                <a:pt x="5899" y="141"/>
                              </a:lnTo>
                              <a:lnTo>
                                <a:pt x="5904" y="126"/>
                              </a:lnTo>
                              <a:lnTo>
                                <a:pt x="5910" y="112"/>
                              </a:lnTo>
                              <a:lnTo>
                                <a:pt x="5914" y="107"/>
                              </a:lnTo>
                              <a:lnTo>
                                <a:pt x="5917" y="102"/>
                              </a:lnTo>
                              <a:lnTo>
                                <a:pt x="5922" y="97"/>
                              </a:lnTo>
                              <a:lnTo>
                                <a:pt x="5927" y="94"/>
                              </a:lnTo>
                              <a:lnTo>
                                <a:pt x="5932" y="91"/>
                              </a:lnTo>
                              <a:lnTo>
                                <a:pt x="5937" y="89"/>
                              </a:lnTo>
                              <a:lnTo>
                                <a:pt x="5942" y="87"/>
                              </a:lnTo>
                              <a:lnTo>
                                <a:pt x="5947" y="87"/>
                              </a:lnTo>
                              <a:close/>
                              <a:moveTo>
                                <a:pt x="6174" y="171"/>
                              </a:moveTo>
                              <a:lnTo>
                                <a:pt x="6167" y="176"/>
                              </a:lnTo>
                              <a:lnTo>
                                <a:pt x="6160" y="181"/>
                              </a:lnTo>
                              <a:lnTo>
                                <a:pt x="6154" y="186"/>
                              </a:lnTo>
                              <a:lnTo>
                                <a:pt x="6150" y="192"/>
                              </a:lnTo>
                              <a:lnTo>
                                <a:pt x="6147" y="200"/>
                              </a:lnTo>
                              <a:lnTo>
                                <a:pt x="6144" y="207"/>
                              </a:lnTo>
                              <a:lnTo>
                                <a:pt x="6143" y="215"/>
                              </a:lnTo>
                              <a:lnTo>
                                <a:pt x="6142" y="223"/>
                              </a:lnTo>
                              <a:lnTo>
                                <a:pt x="6143" y="231"/>
                              </a:lnTo>
                              <a:lnTo>
                                <a:pt x="6143" y="237"/>
                              </a:lnTo>
                              <a:lnTo>
                                <a:pt x="6145" y="243"/>
                              </a:lnTo>
                              <a:lnTo>
                                <a:pt x="6147" y="248"/>
                              </a:lnTo>
                              <a:lnTo>
                                <a:pt x="6153" y="259"/>
                              </a:lnTo>
                              <a:lnTo>
                                <a:pt x="6160" y="268"/>
                              </a:lnTo>
                              <a:lnTo>
                                <a:pt x="6170" y="276"/>
                              </a:lnTo>
                              <a:lnTo>
                                <a:pt x="6182" y="282"/>
                              </a:lnTo>
                              <a:lnTo>
                                <a:pt x="6194" y="286"/>
                              </a:lnTo>
                              <a:lnTo>
                                <a:pt x="6208" y="287"/>
                              </a:lnTo>
                              <a:lnTo>
                                <a:pt x="6220" y="286"/>
                              </a:lnTo>
                              <a:lnTo>
                                <a:pt x="6233" y="282"/>
                              </a:lnTo>
                              <a:lnTo>
                                <a:pt x="6244" y="276"/>
                              </a:lnTo>
                              <a:lnTo>
                                <a:pt x="6254" y="268"/>
                              </a:lnTo>
                              <a:lnTo>
                                <a:pt x="6261" y="259"/>
                              </a:lnTo>
                              <a:lnTo>
                                <a:pt x="6266" y="248"/>
                              </a:lnTo>
                              <a:lnTo>
                                <a:pt x="6269" y="242"/>
                              </a:lnTo>
                              <a:lnTo>
                                <a:pt x="6270" y="236"/>
                              </a:lnTo>
                              <a:lnTo>
                                <a:pt x="6271" y="229"/>
                              </a:lnTo>
                              <a:lnTo>
                                <a:pt x="6271" y="223"/>
                              </a:lnTo>
                              <a:lnTo>
                                <a:pt x="6271" y="215"/>
                              </a:lnTo>
                              <a:lnTo>
                                <a:pt x="6270" y="207"/>
                              </a:lnTo>
                              <a:lnTo>
                                <a:pt x="6266" y="200"/>
                              </a:lnTo>
                              <a:lnTo>
                                <a:pt x="6264" y="192"/>
                              </a:lnTo>
                              <a:lnTo>
                                <a:pt x="6259" y="186"/>
                              </a:lnTo>
                              <a:lnTo>
                                <a:pt x="6254" y="181"/>
                              </a:lnTo>
                              <a:lnTo>
                                <a:pt x="6248" y="176"/>
                              </a:lnTo>
                              <a:lnTo>
                                <a:pt x="6240" y="171"/>
                              </a:lnTo>
                              <a:lnTo>
                                <a:pt x="6246" y="167"/>
                              </a:lnTo>
                              <a:lnTo>
                                <a:pt x="6251" y="163"/>
                              </a:lnTo>
                              <a:lnTo>
                                <a:pt x="6256" y="157"/>
                              </a:lnTo>
                              <a:lnTo>
                                <a:pt x="6260" y="152"/>
                              </a:lnTo>
                              <a:lnTo>
                                <a:pt x="6264" y="145"/>
                              </a:lnTo>
                              <a:lnTo>
                                <a:pt x="6265" y="139"/>
                              </a:lnTo>
                              <a:lnTo>
                                <a:pt x="6268" y="131"/>
                              </a:lnTo>
                              <a:lnTo>
                                <a:pt x="6268" y="125"/>
                              </a:lnTo>
                              <a:lnTo>
                                <a:pt x="6266" y="112"/>
                              </a:lnTo>
                              <a:lnTo>
                                <a:pt x="6263" y="101"/>
                              </a:lnTo>
                              <a:lnTo>
                                <a:pt x="6258" y="91"/>
                              </a:lnTo>
                              <a:lnTo>
                                <a:pt x="6250" y="82"/>
                              </a:lnTo>
                              <a:lnTo>
                                <a:pt x="6241" y="75"/>
                              </a:lnTo>
                              <a:lnTo>
                                <a:pt x="6231" y="70"/>
                              </a:lnTo>
                              <a:lnTo>
                                <a:pt x="6220" y="66"/>
                              </a:lnTo>
                              <a:lnTo>
                                <a:pt x="6208" y="66"/>
                              </a:lnTo>
                              <a:lnTo>
                                <a:pt x="6195" y="66"/>
                              </a:lnTo>
                              <a:lnTo>
                                <a:pt x="6184" y="70"/>
                              </a:lnTo>
                              <a:lnTo>
                                <a:pt x="6174" y="75"/>
                              </a:lnTo>
                              <a:lnTo>
                                <a:pt x="6165" y="82"/>
                              </a:lnTo>
                              <a:lnTo>
                                <a:pt x="6158" y="91"/>
                              </a:lnTo>
                              <a:lnTo>
                                <a:pt x="6152" y="101"/>
                              </a:lnTo>
                              <a:lnTo>
                                <a:pt x="6149" y="112"/>
                              </a:lnTo>
                              <a:lnTo>
                                <a:pt x="6148" y="125"/>
                              </a:lnTo>
                              <a:lnTo>
                                <a:pt x="6148" y="132"/>
                              </a:lnTo>
                              <a:lnTo>
                                <a:pt x="6149" y="139"/>
                              </a:lnTo>
                              <a:lnTo>
                                <a:pt x="6152" y="146"/>
                              </a:lnTo>
                              <a:lnTo>
                                <a:pt x="6154" y="152"/>
                              </a:lnTo>
                              <a:lnTo>
                                <a:pt x="6158" y="157"/>
                              </a:lnTo>
                              <a:lnTo>
                                <a:pt x="6163" y="162"/>
                              </a:lnTo>
                              <a:lnTo>
                                <a:pt x="6168" y="167"/>
                              </a:lnTo>
                              <a:lnTo>
                                <a:pt x="6174" y="171"/>
                              </a:lnTo>
                              <a:close/>
                              <a:moveTo>
                                <a:pt x="6208" y="87"/>
                              </a:moveTo>
                              <a:lnTo>
                                <a:pt x="6215" y="89"/>
                              </a:lnTo>
                              <a:lnTo>
                                <a:pt x="6221" y="90"/>
                              </a:lnTo>
                              <a:lnTo>
                                <a:pt x="6228" y="94"/>
                              </a:lnTo>
                              <a:lnTo>
                                <a:pt x="6234" y="99"/>
                              </a:lnTo>
                              <a:lnTo>
                                <a:pt x="6239" y="104"/>
                              </a:lnTo>
                              <a:lnTo>
                                <a:pt x="6241" y="110"/>
                              </a:lnTo>
                              <a:lnTo>
                                <a:pt x="6244" y="117"/>
                              </a:lnTo>
                              <a:lnTo>
                                <a:pt x="6245" y="125"/>
                              </a:lnTo>
                              <a:lnTo>
                                <a:pt x="6244" y="132"/>
                              </a:lnTo>
                              <a:lnTo>
                                <a:pt x="6241" y="140"/>
                              </a:lnTo>
                              <a:lnTo>
                                <a:pt x="6239" y="146"/>
                              </a:lnTo>
                              <a:lnTo>
                                <a:pt x="6234" y="151"/>
                              </a:lnTo>
                              <a:lnTo>
                                <a:pt x="6228" y="156"/>
                              </a:lnTo>
                              <a:lnTo>
                                <a:pt x="6221" y="158"/>
                              </a:lnTo>
                              <a:lnTo>
                                <a:pt x="6215" y="161"/>
                              </a:lnTo>
                              <a:lnTo>
                                <a:pt x="6208" y="162"/>
                              </a:lnTo>
                              <a:lnTo>
                                <a:pt x="6200" y="161"/>
                              </a:lnTo>
                              <a:lnTo>
                                <a:pt x="6193" y="158"/>
                              </a:lnTo>
                              <a:lnTo>
                                <a:pt x="6187" y="156"/>
                              </a:lnTo>
                              <a:lnTo>
                                <a:pt x="6182" y="151"/>
                              </a:lnTo>
                              <a:lnTo>
                                <a:pt x="6177" y="145"/>
                              </a:lnTo>
                              <a:lnTo>
                                <a:pt x="6173" y="139"/>
                              </a:lnTo>
                              <a:lnTo>
                                <a:pt x="6172" y="132"/>
                              </a:lnTo>
                              <a:lnTo>
                                <a:pt x="6170" y="124"/>
                              </a:lnTo>
                              <a:lnTo>
                                <a:pt x="6172" y="117"/>
                              </a:lnTo>
                              <a:lnTo>
                                <a:pt x="6173" y="110"/>
                              </a:lnTo>
                              <a:lnTo>
                                <a:pt x="6177" y="104"/>
                              </a:lnTo>
                              <a:lnTo>
                                <a:pt x="6182" y="99"/>
                              </a:lnTo>
                              <a:lnTo>
                                <a:pt x="6187" y="94"/>
                              </a:lnTo>
                              <a:lnTo>
                                <a:pt x="6193" y="90"/>
                              </a:lnTo>
                              <a:lnTo>
                                <a:pt x="6200" y="89"/>
                              </a:lnTo>
                              <a:lnTo>
                                <a:pt x="6208" y="87"/>
                              </a:lnTo>
                              <a:close/>
                              <a:moveTo>
                                <a:pt x="6206" y="182"/>
                              </a:moveTo>
                              <a:lnTo>
                                <a:pt x="6215" y="183"/>
                              </a:lnTo>
                              <a:lnTo>
                                <a:pt x="6223" y="186"/>
                              </a:lnTo>
                              <a:lnTo>
                                <a:pt x="6230" y="190"/>
                              </a:lnTo>
                              <a:lnTo>
                                <a:pt x="6236" y="195"/>
                              </a:lnTo>
                              <a:lnTo>
                                <a:pt x="6241" y="200"/>
                              </a:lnTo>
                              <a:lnTo>
                                <a:pt x="6245" y="207"/>
                              </a:lnTo>
                              <a:lnTo>
                                <a:pt x="6248" y="215"/>
                              </a:lnTo>
                              <a:lnTo>
                                <a:pt x="6249" y="223"/>
                              </a:lnTo>
                              <a:lnTo>
                                <a:pt x="6248" y="232"/>
                              </a:lnTo>
                              <a:lnTo>
                                <a:pt x="6245" y="239"/>
                              </a:lnTo>
                              <a:lnTo>
                                <a:pt x="6241" y="246"/>
                              </a:lnTo>
                              <a:lnTo>
                                <a:pt x="6236" y="252"/>
                              </a:lnTo>
                              <a:lnTo>
                                <a:pt x="6230" y="257"/>
                              </a:lnTo>
                              <a:lnTo>
                                <a:pt x="6223" y="261"/>
                              </a:lnTo>
                              <a:lnTo>
                                <a:pt x="6215" y="263"/>
                              </a:lnTo>
                              <a:lnTo>
                                <a:pt x="6206" y="264"/>
                              </a:lnTo>
                              <a:lnTo>
                                <a:pt x="6199" y="263"/>
                              </a:lnTo>
                              <a:lnTo>
                                <a:pt x="6190" y="261"/>
                              </a:lnTo>
                              <a:lnTo>
                                <a:pt x="6184" y="257"/>
                              </a:lnTo>
                              <a:lnTo>
                                <a:pt x="6178" y="252"/>
                              </a:lnTo>
                              <a:lnTo>
                                <a:pt x="6173" y="246"/>
                              </a:lnTo>
                              <a:lnTo>
                                <a:pt x="6169" y="239"/>
                              </a:lnTo>
                              <a:lnTo>
                                <a:pt x="6167" y="231"/>
                              </a:lnTo>
                              <a:lnTo>
                                <a:pt x="6165" y="222"/>
                              </a:lnTo>
                              <a:lnTo>
                                <a:pt x="6167" y="215"/>
                              </a:lnTo>
                              <a:lnTo>
                                <a:pt x="6169" y="207"/>
                              </a:lnTo>
                              <a:lnTo>
                                <a:pt x="6173" y="200"/>
                              </a:lnTo>
                              <a:lnTo>
                                <a:pt x="6178" y="195"/>
                              </a:lnTo>
                              <a:lnTo>
                                <a:pt x="6184" y="190"/>
                              </a:lnTo>
                              <a:lnTo>
                                <a:pt x="6190" y="186"/>
                              </a:lnTo>
                              <a:lnTo>
                                <a:pt x="6199" y="183"/>
                              </a:lnTo>
                              <a:lnTo>
                                <a:pt x="6206" y="182"/>
                              </a:lnTo>
                              <a:close/>
                              <a:moveTo>
                                <a:pt x="6356" y="261"/>
                              </a:moveTo>
                              <a:lnTo>
                                <a:pt x="6400" y="211"/>
                              </a:lnTo>
                              <a:lnTo>
                                <a:pt x="6413" y="196"/>
                              </a:lnTo>
                              <a:lnTo>
                                <a:pt x="6423" y="183"/>
                              </a:lnTo>
                              <a:lnTo>
                                <a:pt x="6431" y="172"/>
                              </a:lnTo>
                              <a:lnTo>
                                <a:pt x="6437" y="162"/>
                              </a:lnTo>
                              <a:lnTo>
                                <a:pt x="6442" y="153"/>
                              </a:lnTo>
                              <a:lnTo>
                                <a:pt x="6444" y="146"/>
                              </a:lnTo>
                              <a:lnTo>
                                <a:pt x="6446" y="137"/>
                              </a:lnTo>
                              <a:lnTo>
                                <a:pt x="6446" y="129"/>
                              </a:lnTo>
                              <a:lnTo>
                                <a:pt x="6446" y="122"/>
                              </a:lnTo>
                              <a:lnTo>
                                <a:pt x="6444" y="116"/>
                              </a:lnTo>
                              <a:lnTo>
                                <a:pt x="6443" y="110"/>
                              </a:lnTo>
                              <a:lnTo>
                                <a:pt x="6441" y="104"/>
                              </a:lnTo>
                              <a:lnTo>
                                <a:pt x="6434" y="94"/>
                              </a:lnTo>
                              <a:lnTo>
                                <a:pt x="6427" y="84"/>
                              </a:lnTo>
                              <a:lnTo>
                                <a:pt x="6417" y="76"/>
                              </a:lnTo>
                              <a:lnTo>
                                <a:pt x="6406" y="71"/>
                              </a:lnTo>
                              <a:lnTo>
                                <a:pt x="6400" y="69"/>
                              </a:lnTo>
                              <a:lnTo>
                                <a:pt x="6393" y="68"/>
                              </a:lnTo>
                              <a:lnTo>
                                <a:pt x="6387" y="66"/>
                              </a:lnTo>
                              <a:lnTo>
                                <a:pt x="6380" y="66"/>
                              </a:lnTo>
                              <a:lnTo>
                                <a:pt x="6371" y="66"/>
                              </a:lnTo>
                              <a:lnTo>
                                <a:pt x="6363" y="68"/>
                              </a:lnTo>
                              <a:lnTo>
                                <a:pt x="6355" y="70"/>
                              </a:lnTo>
                              <a:lnTo>
                                <a:pt x="6347" y="74"/>
                              </a:lnTo>
                              <a:lnTo>
                                <a:pt x="6341" y="77"/>
                              </a:lnTo>
                              <a:lnTo>
                                <a:pt x="6335" y="82"/>
                              </a:lnTo>
                              <a:lnTo>
                                <a:pt x="6329" y="89"/>
                              </a:lnTo>
                              <a:lnTo>
                                <a:pt x="6324" y="95"/>
                              </a:lnTo>
                              <a:lnTo>
                                <a:pt x="6320" y="102"/>
                              </a:lnTo>
                              <a:lnTo>
                                <a:pt x="6317" y="110"/>
                              </a:lnTo>
                              <a:lnTo>
                                <a:pt x="6315" y="120"/>
                              </a:lnTo>
                              <a:lnTo>
                                <a:pt x="6314" y="131"/>
                              </a:lnTo>
                              <a:lnTo>
                                <a:pt x="6337" y="131"/>
                              </a:lnTo>
                              <a:lnTo>
                                <a:pt x="6339" y="124"/>
                              </a:lnTo>
                              <a:lnTo>
                                <a:pt x="6340" y="116"/>
                              </a:lnTo>
                              <a:lnTo>
                                <a:pt x="6341" y="111"/>
                              </a:lnTo>
                              <a:lnTo>
                                <a:pt x="6345" y="106"/>
                              </a:lnTo>
                              <a:lnTo>
                                <a:pt x="6347" y="102"/>
                              </a:lnTo>
                              <a:lnTo>
                                <a:pt x="6351" y="99"/>
                              </a:lnTo>
                              <a:lnTo>
                                <a:pt x="6355" y="95"/>
                              </a:lnTo>
                              <a:lnTo>
                                <a:pt x="6360" y="92"/>
                              </a:lnTo>
                              <a:lnTo>
                                <a:pt x="6363" y="90"/>
                              </a:lnTo>
                              <a:lnTo>
                                <a:pt x="6370" y="89"/>
                              </a:lnTo>
                              <a:lnTo>
                                <a:pt x="6375" y="87"/>
                              </a:lnTo>
                              <a:lnTo>
                                <a:pt x="6380" y="87"/>
                              </a:lnTo>
                              <a:lnTo>
                                <a:pt x="6388" y="89"/>
                              </a:lnTo>
                              <a:lnTo>
                                <a:pt x="6397" y="91"/>
                              </a:lnTo>
                              <a:lnTo>
                                <a:pt x="6405" y="95"/>
                              </a:lnTo>
                              <a:lnTo>
                                <a:pt x="6411" y="100"/>
                              </a:lnTo>
                              <a:lnTo>
                                <a:pt x="6416" y="105"/>
                              </a:lnTo>
                              <a:lnTo>
                                <a:pt x="6420" y="112"/>
                              </a:lnTo>
                              <a:lnTo>
                                <a:pt x="6422" y="120"/>
                              </a:lnTo>
                              <a:lnTo>
                                <a:pt x="6423" y="129"/>
                              </a:lnTo>
                              <a:lnTo>
                                <a:pt x="6422" y="135"/>
                              </a:lnTo>
                              <a:lnTo>
                                <a:pt x="6421" y="141"/>
                              </a:lnTo>
                              <a:lnTo>
                                <a:pt x="6418" y="147"/>
                              </a:lnTo>
                              <a:lnTo>
                                <a:pt x="6415" y="155"/>
                              </a:lnTo>
                              <a:lnTo>
                                <a:pt x="6403" y="171"/>
                              </a:lnTo>
                              <a:lnTo>
                                <a:pt x="6386" y="192"/>
                              </a:lnTo>
                              <a:lnTo>
                                <a:pt x="6309" y="283"/>
                              </a:lnTo>
                              <a:lnTo>
                                <a:pt x="6446" y="283"/>
                              </a:lnTo>
                              <a:lnTo>
                                <a:pt x="6446" y="261"/>
                              </a:lnTo>
                              <a:lnTo>
                                <a:pt x="6356" y="261"/>
                              </a:lnTo>
                              <a:close/>
                              <a:moveTo>
                                <a:pt x="6681" y="190"/>
                              </a:moveTo>
                              <a:lnTo>
                                <a:pt x="6702" y="190"/>
                              </a:lnTo>
                              <a:lnTo>
                                <a:pt x="6717" y="188"/>
                              </a:lnTo>
                              <a:lnTo>
                                <a:pt x="6731" y="185"/>
                              </a:lnTo>
                              <a:lnTo>
                                <a:pt x="6736" y="182"/>
                              </a:lnTo>
                              <a:lnTo>
                                <a:pt x="6742" y="180"/>
                              </a:lnTo>
                              <a:lnTo>
                                <a:pt x="6747" y="177"/>
                              </a:lnTo>
                              <a:lnTo>
                                <a:pt x="6752" y="173"/>
                              </a:lnTo>
                              <a:lnTo>
                                <a:pt x="6756" y="168"/>
                              </a:lnTo>
                              <a:lnTo>
                                <a:pt x="6760" y="165"/>
                              </a:lnTo>
                              <a:lnTo>
                                <a:pt x="6762" y="160"/>
                              </a:lnTo>
                              <a:lnTo>
                                <a:pt x="6765" y="155"/>
                              </a:lnTo>
                              <a:lnTo>
                                <a:pt x="6767" y="148"/>
                              </a:lnTo>
                              <a:lnTo>
                                <a:pt x="6768" y="142"/>
                              </a:lnTo>
                              <a:lnTo>
                                <a:pt x="6770" y="136"/>
                              </a:lnTo>
                              <a:lnTo>
                                <a:pt x="6770" y="129"/>
                              </a:lnTo>
                              <a:lnTo>
                                <a:pt x="6770" y="122"/>
                              </a:lnTo>
                              <a:lnTo>
                                <a:pt x="6768" y="116"/>
                              </a:lnTo>
                              <a:lnTo>
                                <a:pt x="6767" y="110"/>
                              </a:lnTo>
                              <a:lnTo>
                                <a:pt x="6765" y="104"/>
                              </a:lnTo>
                              <a:lnTo>
                                <a:pt x="6762" y="99"/>
                              </a:lnTo>
                              <a:lnTo>
                                <a:pt x="6758" y="92"/>
                              </a:lnTo>
                              <a:lnTo>
                                <a:pt x="6755" y="89"/>
                              </a:lnTo>
                              <a:lnTo>
                                <a:pt x="6750" y="84"/>
                              </a:lnTo>
                              <a:lnTo>
                                <a:pt x="6745" y="80"/>
                              </a:lnTo>
                              <a:lnTo>
                                <a:pt x="6740" y="77"/>
                              </a:lnTo>
                              <a:lnTo>
                                <a:pt x="6735" y="75"/>
                              </a:lnTo>
                              <a:lnTo>
                                <a:pt x="6729" y="73"/>
                              </a:lnTo>
                              <a:lnTo>
                                <a:pt x="6714" y="70"/>
                              </a:lnTo>
                              <a:lnTo>
                                <a:pt x="6696" y="69"/>
                              </a:lnTo>
                              <a:lnTo>
                                <a:pt x="6657" y="69"/>
                              </a:lnTo>
                              <a:lnTo>
                                <a:pt x="6657" y="283"/>
                              </a:lnTo>
                              <a:lnTo>
                                <a:pt x="6681" y="283"/>
                              </a:lnTo>
                              <a:lnTo>
                                <a:pt x="6681" y="190"/>
                              </a:lnTo>
                              <a:close/>
                              <a:moveTo>
                                <a:pt x="6681" y="167"/>
                              </a:moveTo>
                              <a:lnTo>
                                <a:pt x="6681" y="91"/>
                              </a:lnTo>
                              <a:lnTo>
                                <a:pt x="6699" y="91"/>
                              </a:lnTo>
                              <a:lnTo>
                                <a:pt x="6711" y="91"/>
                              </a:lnTo>
                              <a:lnTo>
                                <a:pt x="6720" y="94"/>
                              </a:lnTo>
                              <a:lnTo>
                                <a:pt x="6729" y="96"/>
                              </a:lnTo>
                              <a:lnTo>
                                <a:pt x="6735" y="101"/>
                              </a:lnTo>
                              <a:lnTo>
                                <a:pt x="6740" y="106"/>
                              </a:lnTo>
                              <a:lnTo>
                                <a:pt x="6743" y="112"/>
                              </a:lnTo>
                              <a:lnTo>
                                <a:pt x="6746" y="121"/>
                              </a:lnTo>
                              <a:lnTo>
                                <a:pt x="6746" y="129"/>
                              </a:lnTo>
                              <a:lnTo>
                                <a:pt x="6746" y="137"/>
                              </a:lnTo>
                              <a:lnTo>
                                <a:pt x="6743" y="145"/>
                              </a:lnTo>
                              <a:lnTo>
                                <a:pt x="6740" y="152"/>
                              </a:lnTo>
                              <a:lnTo>
                                <a:pt x="6735" y="157"/>
                              </a:lnTo>
                              <a:lnTo>
                                <a:pt x="6727" y="162"/>
                              </a:lnTo>
                              <a:lnTo>
                                <a:pt x="6720" y="165"/>
                              </a:lnTo>
                              <a:lnTo>
                                <a:pt x="6711" y="167"/>
                              </a:lnTo>
                              <a:lnTo>
                                <a:pt x="6700" y="167"/>
                              </a:lnTo>
                              <a:lnTo>
                                <a:pt x="6681" y="167"/>
                              </a:lnTo>
                              <a:close/>
                              <a:moveTo>
                                <a:pt x="6795" y="150"/>
                              </a:moveTo>
                              <a:lnTo>
                                <a:pt x="6795" y="283"/>
                              </a:lnTo>
                              <a:lnTo>
                                <a:pt x="6817" y="283"/>
                              </a:lnTo>
                              <a:lnTo>
                                <a:pt x="6817" y="212"/>
                              </a:lnTo>
                              <a:lnTo>
                                <a:pt x="6817" y="202"/>
                              </a:lnTo>
                              <a:lnTo>
                                <a:pt x="6818" y="193"/>
                              </a:lnTo>
                              <a:lnTo>
                                <a:pt x="6819" y="186"/>
                              </a:lnTo>
                              <a:lnTo>
                                <a:pt x="6822" y="181"/>
                              </a:lnTo>
                              <a:lnTo>
                                <a:pt x="6826" y="176"/>
                              </a:lnTo>
                              <a:lnTo>
                                <a:pt x="6831" y="172"/>
                              </a:lnTo>
                              <a:lnTo>
                                <a:pt x="6837" y="170"/>
                              </a:lnTo>
                              <a:lnTo>
                                <a:pt x="6843" y="168"/>
                              </a:lnTo>
                              <a:lnTo>
                                <a:pt x="6849" y="170"/>
                              </a:lnTo>
                              <a:lnTo>
                                <a:pt x="6857" y="172"/>
                              </a:lnTo>
                              <a:lnTo>
                                <a:pt x="6868" y="152"/>
                              </a:lnTo>
                              <a:lnTo>
                                <a:pt x="6862" y="150"/>
                              </a:lnTo>
                              <a:lnTo>
                                <a:pt x="6857" y="147"/>
                              </a:lnTo>
                              <a:lnTo>
                                <a:pt x="6852" y="147"/>
                              </a:lnTo>
                              <a:lnTo>
                                <a:pt x="6847" y="146"/>
                              </a:lnTo>
                              <a:lnTo>
                                <a:pt x="6839" y="147"/>
                              </a:lnTo>
                              <a:lnTo>
                                <a:pt x="6832" y="150"/>
                              </a:lnTo>
                              <a:lnTo>
                                <a:pt x="6826" y="156"/>
                              </a:lnTo>
                              <a:lnTo>
                                <a:pt x="6817" y="165"/>
                              </a:lnTo>
                              <a:lnTo>
                                <a:pt x="6817" y="150"/>
                              </a:lnTo>
                              <a:lnTo>
                                <a:pt x="6795" y="150"/>
                              </a:lnTo>
                              <a:close/>
                              <a:moveTo>
                                <a:pt x="6983" y="150"/>
                              </a:moveTo>
                              <a:lnTo>
                                <a:pt x="6983" y="168"/>
                              </a:lnTo>
                              <a:lnTo>
                                <a:pt x="6978" y="163"/>
                              </a:lnTo>
                              <a:lnTo>
                                <a:pt x="6973" y="158"/>
                              </a:lnTo>
                              <a:lnTo>
                                <a:pt x="6968" y="155"/>
                              </a:lnTo>
                              <a:lnTo>
                                <a:pt x="6961" y="152"/>
                              </a:lnTo>
                              <a:lnTo>
                                <a:pt x="6955" y="150"/>
                              </a:lnTo>
                              <a:lnTo>
                                <a:pt x="6949" y="147"/>
                              </a:lnTo>
                              <a:lnTo>
                                <a:pt x="6943" y="147"/>
                              </a:lnTo>
                              <a:lnTo>
                                <a:pt x="6937" y="146"/>
                              </a:lnTo>
                              <a:lnTo>
                                <a:pt x="6929" y="147"/>
                              </a:lnTo>
                              <a:lnTo>
                                <a:pt x="6923" y="147"/>
                              </a:lnTo>
                              <a:lnTo>
                                <a:pt x="6917" y="150"/>
                              </a:lnTo>
                              <a:lnTo>
                                <a:pt x="6910" y="152"/>
                              </a:lnTo>
                              <a:lnTo>
                                <a:pt x="6905" y="155"/>
                              </a:lnTo>
                              <a:lnTo>
                                <a:pt x="6900" y="158"/>
                              </a:lnTo>
                              <a:lnTo>
                                <a:pt x="6895" y="162"/>
                              </a:lnTo>
                              <a:lnTo>
                                <a:pt x="6890" y="166"/>
                              </a:lnTo>
                              <a:lnTo>
                                <a:pt x="6887" y="171"/>
                              </a:lnTo>
                              <a:lnTo>
                                <a:pt x="6883" y="176"/>
                              </a:lnTo>
                              <a:lnTo>
                                <a:pt x="6881" y="182"/>
                              </a:lnTo>
                              <a:lnTo>
                                <a:pt x="6878" y="188"/>
                              </a:lnTo>
                              <a:lnTo>
                                <a:pt x="6874" y="201"/>
                              </a:lnTo>
                              <a:lnTo>
                                <a:pt x="6873" y="216"/>
                              </a:lnTo>
                              <a:lnTo>
                                <a:pt x="6873" y="223"/>
                              </a:lnTo>
                              <a:lnTo>
                                <a:pt x="6874" y="231"/>
                              </a:lnTo>
                              <a:lnTo>
                                <a:pt x="6876" y="237"/>
                              </a:lnTo>
                              <a:lnTo>
                                <a:pt x="6878" y="244"/>
                              </a:lnTo>
                              <a:lnTo>
                                <a:pt x="6881" y="251"/>
                              </a:lnTo>
                              <a:lnTo>
                                <a:pt x="6883" y="256"/>
                              </a:lnTo>
                              <a:lnTo>
                                <a:pt x="6887" y="262"/>
                              </a:lnTo>
                              <a:lnTo>
                                <a:pt x="6890" y="267"/>
                              </a:lnTo>
                              <a:lnTo>
                                <a:pt x="6895" y="271"/>
                              </a:lnTo>
                              <a:lnTo>
                                <a:pt x="6900" y="276"/>
                              </a:lnTo>
                              <a:lnTo>
                                <a:pt x="6905" y="278"/>
                              </a:lnTo>
                              <a:lnTo>
                                <a:pt x="6912" y="282"/>
                              </a:lnTo>
                              <a:lnTo>
                                <a:pt x="6917" y="283"/>
                              </a:lnTo>
                              <a:lnTo>
                                <a:pt x="6923" y="286"/>
                              </a:lnTo>
                              <a:lnTo>
                                <a:pt x="6930" y="287"/>
                              </a:lnTo>
                              <a:lnTo>
                                <a:pt x="6937" y="287"/>
                              </a:lnTo>
                              <a:lnTo>
                                <a:pt x="6944" y="287"/>
                              </a:lnTo>
                              <a:lnTo>
                                <a:pt x="6950" y="286"/>
                              </a:lnTo>
                              <a:lnTo>
                                <a:pt x="6957" y="283"/>
                              </a:lnTo>
                              <a:lnTo>
                                <a:pt x="6961" y="281"/>
                              </a:lnTo>
                              <a:lnTo>
                                <a:pt x="6968" y="278"/>
                              </a:lnTo>
                              <a:lnTo>
                                <a:pt x="6973" y="274"/>
                              </a:lnTo>
                              <a:lnTo>
                                <a:pt x="6978" y="269"/>
                              </a:lnTo>
                              <a:lnTo>
                                <a:pt x="6983" y="264"/>
                              </a:lnTo>
                              <a:lnTo>
                                <a:pt x="6983" y="283"/>
                              </a:lnTo>
                              <a:lnTo>
                                <a:pt x="7005" y="283"/>
                              </a:lnTo>
                              <a:lnTo>
                                <a:pt x="7005" y="150"/>
                              </a:lnTo>
                              <a:lnTo>
                                <a:pt x="6983" y="150"/>
                              </a:lnTo>
                              <a:close/>
                              <a:moveTo>
                                <a:pt x="6940" y="167"/>
                              </a:moveTo>
                              <a:lnTo>
                                <a:pt x="6949" y="168"/>
                              </a:lnTo>
                              <a:lnTo>
                                <a:pt x="6958" y="171"/>
                              </a:lnTo>
                              <a:lnTo>
                                <a:pt x="6965" y="175"/>
                              </a:lnTo>
                              <a:lnTo>
                                <a:pt x="6971" y="181"/>
                              </a:lnTo>
                              <a:lnTo>
                                <a:pt x="6976" y="188"/>
                              </a:lnTo>
                              <a:lnTo>
                                <a:pt x="6981" y="196"/>
                              </a:lnTo>
                              <a:lnTo>
                                <a:pt x="6984" y="206"/>
                              </a:lnTo>
                              <a:lnTo>
                                <a:pt x="6984" y="216"/>
                              </a:lnTo>
                              <a:lnTo>
                                <a:pt x="6984" y="227"/>
                              </a:lnTo>
                              <a:lnTo>
                                <a:pt x="6981" y="236"/>
                              </a:lnTo>
                              <a:lnTo>
                                <a:pt x="6976" y="244"/>
                              </a:lnTo>
                              <a:lnTo>
                                <a:pt x="6971" y="252"/>
                              </a:lnTo>
                              <a:lnTo>
                                <a:pt x="6965" y="258"/>
                              </a:lnTo>
                              <a:lnTo>
                                <a:pt x="6958" y="262"/>
                              </a:lnTo>
                              <a:lnTo>
                                <a:pt x="6949" y="264"/>
                              </a:lnTo>
                              <a:lnTo>
                                <a:pt x="6939" y="266"/>
                              </a:lnTo>
                              <a:lnTo>
                                <a:pt x="6930" y="264"/>
                              </a:lnTo>
                              <a:lnTo>
                                <a:pt x="6922" y="262"/>
                              </a:lnTo>
                              <a:lnTo>
                                <a:pt x="6914" y="258"/>
                              </a:lnTo>
                              <a:lnTo>
                                <a:pt x="6908" y="252"/>
                              </a:lnTo>
                              <a:lnTo>
                                <a:pt x="6903" y="244"/>
                              </a:lnTo>
                              <a:lnTo>
                                <a:pt x="6899" y="236"/>
                              </a:lnTo>
                              <a:lnTo>
                                <a:pt x="6897" y="226"/>
                              </a:lnTo>
                              <a:lnTo>
                                <a:pt x="6895" y="216"/>
                              </a:lnTo>
                              <a:lnTo>
                                <a:pt x="6897" y="206"/>
                              </a:lnTo>
                              <a:lnTo>
                                <a:pt x="6899" y="196"/>
                              </a:lnTo>
                              <a:lnTo>
                                <a:pt x="6903" y="188"/>
                              </a:lnTo>
                              <a:lnTo>
                                <a:pt x="6909" y="181"/>
                              </a:lnTo>
                              <a:lnTo>
                                <a:pt x="6915" y="176"/>
                              </a:lnTo>
                              <a:lnTo>
                                <a:pt x="6923" y="171"/>
                              </a:lnTo>
                              <a:lnTo>
                                <a:pt x="6930" y="168"/>
                              </a:lnTo>
                              <a:lnTo>
                                <a:pt x="6940" y="167"/>
                              </a:lnTo>
                              <a:close/>
                              <a:moveTo>
                                <a:pt x="7046" y="49"/>
                              </a:moveTo>
                              <a:lnTo>
                                <a:pt x="7046" y="283"/>
                              </a:lnTo>
                              <a:lnTo>
                                <a:pt x="7069" y="283"/>
                              </a:lnTo>
                              <a:lnTo>
                                <a:pt x="7069" y="216"/>
                              </a:lnTo>
                              <a:lnTo>
                                <a:pt x="7069" y="206"/>
                              </a:lnTo>
                              <a:lnTo>
                                <a:pt x="7070" y="197"/>
                              </a:lnTo>
                              <a:lnTo>
                                <a:pt x="7071" y="190"/>
                              </a:lnTo>
                              <a:lnTo>
                                <a:pt x="7074" y="183"/>
                              </a:lnTo>
                              <a:lnTo>
                                <a:pt x="7079" y="177"/>
                              </a:lnTo>
                              <a:lnTo>
                                <a:pt x="7085" y="172"/>
                              </a:lnTo>
                              <a:lnTo>
                                <a:pt x="7094" y="168"/>
                              </a:lnTo>
                              <a:lnTo>
                                <a:pt x="7102" y="167"/>
                              </a:lnTo>
                              <a:lnTo>
                                <a:pt x="7110" y="168"/>
                              </a:lnTo>
                              <a:lnTo>
                                <a:pt x="7115" y="170"/>
                              </a:lnTo>
                              <a:lnTo>
                                <a:pt x="7120" y="172"/>
                              </a:lnTo>
                              <a:lnTo>
                                <a:pt x="7123" y="176"/>
                              </a:lnTo>
                              <a:lnTo>
                                <a:pt x="7126" y="181"/>
                              </a:lnTo>
                              <a:lnTo>
                                <a:pt x="7128" y="186"/>
                              </a:lnTo>
                              <a:lnTo>
                                <a:pt x="7130" y="193"/>
                              </a:lnTo>
                              <a:lnTo>
                                <a:pt x="7130" y="202"/>
                              </a:lnTo>
                              <a:lnTo>
                                <a:pt x="7130" y="283"/>
                              </a:lnTo>
                              <a:lnTo>
                                <a:pt x="7153" y="283"/>
                              </a:lnTo>
                              <a:lnTo>
                                <a:pt x="7153" y="201"/>
                              </a:lnTo>
                              <a:lnTo>
                                <a:pt x="7152" y="188"/>
                              </a:lnTo>
                              <a:lnTo>
                                <a:pt x="7151" y="180"/>
                              </a:lnTo>
                              <a:lnTo>
                                <a:pt x="7148" y="172"/>
                              </a:lnTo>
                              <a:lnTo>
                                <a:pt x="7145" y="165"/>
                              </a:lnTo>
                              <a:lnTo>
                                <a:pt x="7142" y="161"/>
                              </a:lnTo>
                              <a:lnTo>
                                <a:pt x="7138" y="157"/>
                              </a:lnTo>
                              <a:lnTo>
                                <a:pt x="7133" y="155"/>
                              </a:lnTo>
                              <a:lnTo>
                                <a:pt x="7130" y="152"/>
                              </a:lnTo>
                              <a:lnTo>
                                <a:pt x="7125" y="150"/>
                              </a:lnTo>
                              <a:lnTo>
                                <a:pt x="7118" y="148"/>
                              </a:lnTo>
                              <a:lnTo>
                                <a:pt x="7113" y="147"/>
                              </a:lnTo>
                              <a:lnTo>
                                <a:pt x="7107" y="147"/>
                              </a:lnTo>
                              <a:lnTo>
                                <a:pt x="7096" y="147"/>
                              </a:lnTo>
                              <a:lnTo>
                                <a:pt x="7086" y="151"/>
                              </a:lnTo>
                              <a:lnTo>
                                <a:pt x="7077" y="157"/>
                              </a:lnTo>
                              <a:lnTo>
                                <a:pt x="7069" y="166"/>
                              </a:lnTo>
                              <a:lnTo>
                                <a:pt x="7069" y="49"/>
                              </a:lnTo>
                              <a:lnTo>
                                <a:pt x="7046" y="49"/>
                              </a:lnTo>
                              <a:close/>
                              <a:moveTo>
                                <a:pt x="7295" y="150"/>
                              </a:moveTo>
                              <a:lnTo>
                                <a:pt x="7295" y="168"/>
                              </a:lnTo>
                              <a:lnTo>
                                <a:pt x="7290" y="163"/>
                              </a:lnTo>
                              <a:lnTo>
                                <a:pt x="7284" y="158"/>
                              </a:lnTo>
                              <a:lnTo>
                                <a:pt x="7279" y="155"/>
                              </a:lnTo>
                              <a:lnTo>
                                <a:pt x="7274" y="152"/>
                              </a:lnTo>
                              <a:lnTo>
                                <a:pt x="7268" y="150"/>
                              </a:lnTo>
                              <a:lnTo>
                                <a:pt x="7262" y="147"/>
                              </a:lnTo>
                              <a:lnTo>
                                <a:pt x="7256" y="147"/>
                              </a:lnTo>
                              <a:lnTo>
                                <a:pt x="7248" y="146"/>
                              </a:lnTo>
                              <a:lnTo>
                                <a:pt x="7242" y="147"/>
                              </a:lnTo>
                              <a:lnTo>
                                <a:pt x="7236" y="147"/>
                              </a:lnTo>
                              <a:lnTo>
                                <a:pt x="7229" y="150"/>
                              </a:lnTo>
                              <a:lnTo>
                                <a:pt x="7223" y="152"/>
                              </a:lnTo>
                              <a:lnTo>
                                <a:pt x="7217" y="155"/>
                              </a:lnTo>
                              <a:lnTo>
                                <a:pt x="7212" y="158"/>
                              </a:lnTo>
                              <a:lnTo>
                                <a:pt x="7207" y="162"/>
                              </a:lnTo>
                              <a:lnTo>
                                <a:pt x="7203" y="166"/>
                              </a:lnTo>
                              <a:lnTo>
                                <a:pt x="7199" y="171"/>
                              </a:lnTo>
                              <a:lnTo>
                                <a:pt x="7196" y="176"/>
                              </a:lnTo>
                              <a:lnTo>
                                <a:pt x="7192" y="182"/>
                              </a:lnTo>
                              <a:lnTo>
                                <a:pt x="7189" y="188"/>
                              </a:lnTo>
                              <a:lnTo>
                                <a:pt x="7186" y="201"/>
                              </a:lnTo>
                              <a:lnTo>
                                <a:pt x="7185" y="216"/>
                              </a:lnTo>
                              <a:lnTo>
                                <a:pt x="7186" y="223"/>
                              </a:lnTo>
                              <a:lnTo>
                                <a:pt x="7186" y="231"/>
                              </a:lnTo>
                              <a:lnTo>
                                <a:pt x="7187" y="237"/>
                              </a:lnTo>
                              <a:lnTo>
                                <a:pt x="7189" y="244"/>
                              </a:lnTo>
                              <a:lnTo>
                                <a:pt x="7192" y="251"/>
                              </a:lnTo>
                              <a:lnTo>
                                <a:pt x="7196" y="256"/>
                              </a:lnTo>
                              <a:lnTo>
                                <a:pt x="7199" y="262"/>
                              </a:lnTo>
                              <a:lnTo>
                                <a:pt x="7203" y="267"/>
                              </a:lnTo>
                              <a:lnTo>
                                <a:pt x="7207" y="271"/>
                              </a:lnTo>
                              <a:lnTo>
                                <a:pt x="7212" y="276"/>
                              </a:lnTo>
                              <a:lnTo>
                                <a:pt x="7218" y="278"/>
                              </a:lnTo>
                              <a:lnTo>
                                <a:pt x="7223" y="282"/>
                              </a:lnTo>
                              <a:lnTo>
                                <a:pt x="7229" y="283"/>
                              </a:lnTo>
                              <a:lnTo>
                                <a:pt x="7236" y="286"/>
                              </a:lnTo>
                              <a:lnTo>
                                <a:pt x="7242" y="287"/>
                              </a:lnTo>
                              <a:lnTo>
                                <a:pt x="7249" y="287"/>
                              </a:lnTo>
                              <a:lnTo>
                                <a:pt x="7256" y="287"/>
                              </a:lnTo>
                              <a:lnTo>
                                <a:pt x="7262" y="286"/>
                              </a:lnTo>
                              <a:lnTo>
                                <a:pt x="7268" y="283"/>
                              </a:lnTo>
                              <a:lnTo>
                                <a:pt x="7274" y="281"/>
                              </a:lnTo>
                              <a:lnTo>
                                <a:pt x="7279" y="278"/>
                              </a:lnTo>
                              <a:lnTo>
                                <a:pt x="7285" y="274"/>
                              </a:lnTo>
                              <a:lnTo>
                                <a:pt x="7290" y="269"/>
                              </a:lnTo>
                              <a:lnTo>
                                <a:pt x="7295" y="264"/>
                              </a:lnTo>
                              <a:lnTo>
                                <a:pt x="7295" y="283"/>
                              </a:lnTo>
                              <a:lnTo>
                                <a:pt x="7318" y="283"/>
                              </a:lnTo>
                              <a:lnTo>
                                <a:pt x="7318" y="150"/>
                              </a:lnTo>
                              <a:lnTo>
                                <a:pt x="7295" y="150"/>
                              </a:lnTo>
                              <a:close/>
                              <a:moveTo>
                                <a:pt x="7252" y="167"/>
                              </a:moveTo>
                              <a:lnTo>
                                <a:pt x="7262" y="168"/>
                              </a:lnTo>
                              <a:lnTo>
                                <a:pt x="7270" y="171"/>
                              </a:lnTo>
                              <a:lnTo>
                                <a:pt x="7278" y="175"/>
                              </a:lnTo>
                              <a:lnTo>
                                <a:pt x="7284" y="181"/>
                              </a:lnTo>
                              <a:lnTo>
                                <a:pt x="7289" y="188"/>
                              </a:lnTo>
                              <a:lnTo>
                                <a:pt x="7293" y="196"/>
                              </a:lnTo>
                              <a:lnTo>
                                <a:pt x="7295" y="206"/>
                              </a:lnTo>
                              <a:lnTo>
                                <a:pt x="7297" y="216"/>
                              </a:lnTo>
                              <a:lnTo>
                                <a:pt x="7295" y="227"/>
                              </a:lnTo>
                              <a:lnTo>
                                <a:pt x="7293" y="236"/>
                              </a:lnTo>
                              <a:lnTo>
                                <a:pt x="7289" y="244"/>
                              </a:lnTo>
                              <a:lnTo>
                                <a:pt x="7284" y="252"/>
                              </a:lnTo>
                              <a:lnTo>
                                <a:pt x="7278" y="258"/>
                              </a:lnTo>
                              <a:lnTo>
                                <a:pt x="7270" y="262"/>
                              </a:lnTo>
                              <a:lnTo>
                                <a:pt x="7262" y="264"/>
                              </a:lnTo>
                              <a:lnTo>
                                <a:pt x="7252" y="266"/>
                              </a:lnTo>
                              <a:lnTo>
                                <a:pt x="7243" y="264"/>
                              </a:lnTo>
                              <a:lnTo>
                                <a:pt x="7234" y="262"/>
                              </a:lnTo>
                              <a:lnTo>
                                <a:pt x="7227" y="258"/>
                              </a:lnTo>
                              <a:lnTo>
                                <a:pt x="7221" y="252"/>
                              </a:lnTo>
                              <a:lnTo>
                                <a:pt x="7216" y="244"/>
                              </a:lnTo>
                              <a:lnTo>
                                <a:pt x="7212" y="236"/>
                              </a:lnTo>
                              <a:lnTo>
                                <a:pt x="7209" y="226"/>
                              </a:lnTo>
                              <a:lnTo>
                                <a:pt x="7208" y="216"/>
                              </a:lnTo>
                              <a:lnTo>
                                <a:pt x="7209" y="206"/>
                              </a:lnTo>
                              <a:lnTo>
                                <a:pt x="7212" y="196"/>
                              </a:lnTo>
                              <a:lnTo>
                                <a:pt x="7216" y="188"/>
                              </a:lnTo>
                              <a:lnTo>
                                <a:pt x="7221" y="181"/>
                              </a:lnTo>
                              <a:lnTo>
                                <a:pt x="7227" y="176"/>
                              </a:lnTo>
                              <a:lnTo>
                                <a:pt x="7234" y="171"/>
                              </a:lnTo>
                              <a:lnTo>
                                <a:pt x="7243" y="168"/>
                              </a:lnTo>
                              <a:lnTo>
                                <a:pt x="7252" y="167"/>
                              </a:lnTo>
                              <a:close/>
                              <a:moveTo>
                                <a:pt x="7501" y="91"/>
                              </a:moveTo>
                              <a:lnTo>
                                <a:pt x="7501" y="283"/>
                              </a:lnTo>
                              <a:lnTo>
                                <a:pt x="7525" y="283"/>
                              </a:lnTo>
                              <a:lnTo>
                                <a:pt x="7525" y="69"/>
                              </a:lnTo>
                              <a:lnTo>
                                <a:pt x="7477" y="69"/>
                              </a:lnTo>
                              <a:lnTo>
                                <a:pt x="7465" y="91"/>
                              </a:lnTo>
                              <a:lnTo>
                                <a:pt x="7501" y="91"/>
                              </a:lnTo>
                              <a:close/>
                              <a:moveTo>
                                <a:pt x="7684" y="66"/>
                              </a:moveTo>
                              <a:lnTo>
                                <a:pt x="7677" y="66"/>
                              </a:lnTo>
                              <a:lnTo>
                                <a:pt x="7668" y="68"/>
                              </a:lnTo>
                              <a:lnTo>
                                <a:pt x="7660" y="70"/>
                              </a:lnTo>
                              <a:lnTo>
                                <a:pt x="7654" y="74"/>
                              </a:lnTo>
                              <a:lnTo>
                                <a:pt x="7647" y="79"/>
                              </a:lnTo>
                              <a:lnTo>
                                <a:pt x="7640" y="84"/>
                              </a:lnTo>
                              <a:lnTo>
                                <a:pt x="7636" y="90"/>
                              </a:lnTo>
                              <a:lnTo>
                                <a:pt x="7629" y="97"/>
                              </a:lnTo>
                              <a:lnTo>
                                <a:pt x="7624" y="105"/>
                              </a:lnTo>
                              <a:lnTo>
                                <a:pt x="7621" y="114"/>
                              </a:lnTo>
                              <a:lnTo>
                                <a:pt x="7617" y="122"/>
                              </a:lnTo>
                              <a:lnTo>
                                <a:pt x="7613" y="132"/>
                              </a:lnTo>
                              <a:lnTo>
                                <a:pt x="7611" y="142"/>
                              </a:lnTo>
                              <a:lnTo>
                                <a:pt x="7609" y="152"/>
                              </a:lnTo>
                              <a:lnTo>
                                <a:pt x="7608" y="163"/>
                              </a:lnTo>
                              <a:lnTo>
                                <a:pt x="7607" y="175"/>
                              </a:lnTo>
                              <a:lnTo>
                                <a:pt x="7608" y="186"/>
                              </a:lnTo>
                              <a:lnTo>
                                <a:pt x="7608" y="197"/>
                              </a:lnTo>
                              <a:lnTo>
                                <a:pt x="7611" y="207"/>
                              </a:lnTo>
                              <a:lnTo>
                                <a:pt x="7612" y="217"/>
                              </a:lnTo>
                              <a:lnTo>
                                <a:pt x="7616" y="227"/>
                              </a:lnTo>
                              <a:lnTo>
                                <a:pt x="7619" y="236"/>
                              </a:lnTo>
                              <a:lnTo>
                                <a:pt x="7623" y="244"/>
                              </a:lnTo>
                              <a:lnTo>
                                <a:pt x="7628" y="252"/>
                              </a:lnTo>
                              <a:lnTo>
                                <a:pt x="7633" y="259"/>
                              </a:lnTo>
                              <a:lnTo>
                                <a:pt x="7639" y="267"/>
                              </a:lnTo>
                              <a:lnTo>
                                <a:pt x="7645" y="272"/>
                              </a:lnTo>
                              <a:lnTo>
                                <a:pt x="7653" y="277"/>
                              </a:lnTo>
                              <a:lnTo>
                                <a:pt x="7660" y="281"/>
                              </a:lnTo>
                              <a:lnTo>
                                <a:pt x="7668" y="284"/>
                              </a:lnTo>
                              <a:lnTo>
                                <a:pt x="7677" y="286"/>
                              </a:lnTo>
                              <a:lnTo>
                                <a:pt x="7684" y="287"/>
                              </a:lnTo>
                              <a:lnTo>
                                <a:pt x="7692" y="286"/>
                              </a:lnTo>
                              <a:lnTo>
                                <a:pt x="7699" y="284"/>
                              </a:lnTo>
                              <a:lnTo>
                                <a:pt x="7707" y="281"/>
                              </a:lnTo>
                              <a:lnTo>
                                <a:pt x="7714" y="277"/>
                              </a:lnTo>
                              <a:lnTo>
                                <a:pt x="7721" y="273"/>
                              </a:lnTo>
                              <a:lnTo>
                                <a:pt x="7728" y="267"/>
                              </a:lnTo>
                              <a:lnTo>
                                <a:pt x="7734" y="261"/>
                              </a:lnTo>
                              <a:lnTo>
                                <a:pt x="7739" y="253"/>
                              </a:lnTo>
                              <a:lnTo>
                                <a:pt x="7744" y="246"/>
                              </a:lnTo>
                              <a:lnTo>
                                <a:pt x="7748" y="237"/>
                              </a:lnTo>
                              <a:lnTo>
                                <a:pt x="7751" y="228"/>
                              </a:lnTo>
                              <a:lnTo>
                                <a:pt x="7755" y="218"/>
                              </a:lnTo>
                              <a:lnTo>
                                <a:pt x="7758" y="208"/>
                              </a:lnTo>
                              <a:lnTo>
                                <a:pt x="7759" y="197"/>
                              </a:lnTo>
                              <a:lnTo>
                                <a:pt x="7760" y="187"/>
                              </a:lnTo>
                              <a:lnTo>
                                <a:pt x="7760" y="176"/>
                              </a:lnTo>
                              <a:lnTo>
                                <a:pt x="7760" y="163"/>
                              </a:lnTo>
                              <a:lnTo>
                                <a:pt x="7759" y="152"/>
                              </a:lnTo>
                              <a:lnTo>
                                <a:pt x="7756" y="142"/>
                              </a:lnTo>
                              <a:lnTo>
                                <a:pt x="7754" y="132"/>
                              </a:lnTo>
                              <a:lnTo>
                                <a:pt x="7751" y="122"/>
                              </a:lnTo>
                              <a:lnTo>
                                <a:pt x="7748" y="114"/>
                              </a:lnTo>
                              <a:lnTo>
                                <a:pt x="7743" y="105"/>
                              </a:lnTo>
                              <a:lnTo>
                                <a:pt x="7739" y="97"/>
                              </a:lnTo>
                              <a:lnTo>
                                <a:pt x="7733" y="90"/>
                              </a:lnTo>
                              <a:lnTo>
                                <a:pt x="7728" y="84"/>
                              </a:lnTo>
                              <a:lnTo>
                                <a:pt x="7721" y="79"/>
                              </a:lnTo>
                              <a:lnTo>
                                <a:pt x="7714" y="74"/>
                              </a:lnTo>
                              <a:lnTo>
                                <a:pt x="7708" y="70"/>
                              </a:lnTo>
                              <a:lnTo>
                                <a:pt x="7700" y="68"/>
                              </a:lnTo>
                              <a:lnTo>
                                <a:pt x="7692" y="66"/>
                              </a:lnTo>
                              <a:lnTo>
                                <a:pt x="7684" y="66"/>
                              </a:lnTo>
                              <a:close/>
                              <a:moveTo>
                                <a:pt x="7684" y="87"/>
                              </a:moveTo>
                              <a:lnTo>
                                <a:pt x="7689" y="87"/>
                              </a:lnTo>
                              <a:lnTo>
                                <a:pt x="7694" y="89"/>
                              </a:lnTo>
                              <a:lnTo>
                                <a:pt x="7700" y="91"/>
                              </a:lnTo>
                              <a:lnTo>
                                <a:pt x="7705" y="94"/>
                              </a:lnTo>
                              <a:lnTo>
                                <a:pt x="7709" y="97"/>
                              </a:lnTo>
                              <a:lnTo>
                                <a:pt x="7714" y="102"/>
                              </a:lnTo>
                              <a:lnTo>
                                <a:pt x="7718" y="107"/>
                              </a:lnTo>
                              <a:lnTo>
                                <a:pt x="7721" y="112"/>
                              </a:lnTo>
                              <a:lnTo>
                                <a:pt x="7728" y="126"/>
                              </a:lnTo>
                              <a:lnTo>
                                <a:pt x="7733" y="141"/>
                              </a:lnTo>
                              <a:lnTo>
                                <a:pt x="7736" y="157"/>
                              </a:lnTo>
                              <a:lnTo>
                                <a:pt x="7736" y="176"/>
                              </a:lnTo>
                              <a:lnTo>
                                <a:pt x="7736" y="193"/>
                              </a:lnTo>
                              <a:lnTo>
                                <a:pt x="7733" y="211"/>
                              </a:lnTo>
                              <a:lnTo>
                                <a:pt x="7728" y="226"/>
                              </a:lnTo>
                              <a:lnTo>
                                <a:pt x="7721" y="238"/>
                              </a:lnTo>
                              <a:lnTo>
                                <a:pt x="7718" y="244"/>
                              </a:lnTo>
                              <a:lnTo>
                                <a:pt x="7714" y="249"/>
                              </a:lnTo>
                              <a:lnTo>
                                <a:pt x="7709" y="253"/>
                              </a:lnTo>
                              <a:lnTo>
                                <a:pt x="7705" y="257"/>
                              </a:lnTo>
                              <a:lnTo>
                                <a:pt x="7700" y="261"/>
                              </a:lnTo>
                              <a:lnTo>
                                <a:pt x="7695" y="262"/>
                              </a:lnTo>
                              <a:lnTo>
                                <a:pt x="7689" y="263"/>
                              </a:lnTo>
                              <a:lnTo>
                                <a:pt x="7684" y="264"/>
                              </a:lnTo>
                              <a:lnTo>
                                <a:pt x="7678" y="264"/>
                              </a:lnTo>
                              <a:lnTo>
                                <a:pt x="7673" y="262"/>
                              </a:lnTo>
                              <a:lnTo>
                                <a:pt x="7668" y="261"/>
                              </a:lnTo>
                              <a:lnTo>
                                <a:pt x="7663" y="258"/>
                              </a:lnTo>
                              <a:lnTo>
                                <a:pt x="7658" y="254"/>
                              </a:lnTo>
                              <a:lnTo>
                                <a:pt x="7653" y="249"/>
                              </a:lnTo>
                              <a:lnTo>
                                <a:pt x="7649" y="244"/>
                              </a:lnTo>
                              <a:lnTo>
                                <a:pt x="7645" y="239"/>
                              </a:lnTo>
                              <a:lnTo>
                                <a:pt x="7639" y="226"/>
                              </a:lnTo>
                              <a:lnTo>
                                <a:pt x="7634" y="211"/>
                              </a:lnTo>
                              <a:lnTo>
                                <a:pt x="7632" y="193"/>
                              </a:lnTo>
                              <a:lnTo>
                                <a:pt x="7631" y="176"/>
                              </a:lnTo>
                              <a:lnTo>
                                <a:pt x="7632" y="157"/>
                              </a:lnTo>
                              <a:lnTo>
                                <a:pt x="7634" y="141"/>
                              </a:lnTo>
                              <a:lnTo>
                                <a:pt x="7639" y="126"/>
                              </a:lnTo>
                              <a:lnTo>
                                <a:pt x="7645" y="112"/>
                              </a:lnTo>
                              <a:lnTo>
                                <a:pt x="7649" y="107"/>
                              </a:lnTo>
                              <a:lnTo>
                                <a:pt x="7654" y="102"/>
                              </a:lnTo>
                              <a:lnTo>
                                <a:pt x="7658" y="97"/>
                              </a:lnTo>
                              <a:lnTo>
                                <a:pt x="7663" y="94"/>
                              </a:lnTo>
                              <a:lnTo>
                                <a:pt x="7668" y="91"/>
                              </a:lnTo>
                              <a:lnTo>
                                <a:pt x="7673" y="89"/>
                              </a:lnTo>
                              <a:lnTo>
                                <a:pt x="7678" y="87"/>
                              </a:lnTo>
                              <a:lnTo>
                                <a:pt x="7684" y="87"/>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7C569E7D" id="Group 6"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">
              <v:rect id="Rectangle 7"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8"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9"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" fillcolor="#0071bc" stroked="f"/>
              <v:shape id="Freeform 10"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" fillcolor="#0071bc" stroked="f"/>
              <v:shape id="Freeform 14" o:spid="_x0000_s1034" style="position:absolute;left:2178;top:2129;width:195;height:186;visibility:visible;mso-wrap-style:square;v-text-anchor:top" coordsize="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" path="m197,116l156,236r81,l197,116xm128,309r-24,65l,374,143,,251,,391,374r-104,l263,309r-135,xe" stroked="f">
                <v:path arrowok="t" o:connecttype="custom" o:connectlocs="98,58;78,117;118,117;98,58;64,154;52,186;0,186;71,0;125,0;195,186;143,186;131,154;64,154" o:connectangles="0,0,0,0,0,0,0,0,0,0,0,0,0"/>
                <o:lock v:ext="edit" verticies="t"/>
              </v:shape>
              <v:shape id="Freeform 15" o:spid="_x0000_s1035" style="position:absolute;left:2394;top:2129;width:187;height:186;visibility:visible;mso-wrap-style:square;v-text-anchor:top" coordsize="3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" path="m,l97,,276,229,276,r97,l373,374r-97,l97,146r,228l,374,,xe" stroked="f">
                <v:path arrowok="t" o:connecttype="custom" o:connectlocs="0,0;49,0;138,114;138,0;187,0;187,186;138,186;49,73;49,186;0,186;0,0" o:connectangles="0,0,0,0,0,0,0,0,0,0,0"/>
              </v:shape>
              <v:shape id="Freeform 16" o:spid="_x0000_s1036" style="position:absolute;left:2603;top:2129;width:195;height:186;visibility:visible;mso-wrap-style:square;v-text-anchor:top" coordsize="39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" path="m196,116l155,236r81,l196,116xm128,309r-26,65l,374,143,,249,,390,374r-103,l263,309r-135,xe" stroked="f">
                <v:path arrowok="t" o:connecttype="custom" o:connectlocs="98,58;78,117;118,117;98,58;64,154;51,186;0,186;72,0;125,0;195,186;144,186;132,154;64,154" o:connectangles="0,0,0,0,0,0,0,0,0,0,0,0,0"/>
                <o:lock v:ext="edit" verticies="t"/>
              </v:shape>
              <v:shape id="Freeform 17" o:spid="_x0000_s1037" style="position:absolute;left:2820;top:2129;width:106;height:186;visibility:visible;mso-wrap-style:square;v-text-anchor:top" coordsize="21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" path="m97,292r116,l213,374,,374,,,97,r,292xe" stroked="f">
                <v:path arrowok="t" o:connecttype="custom" o:connectlocs="48,145;106,145;106,186;0,186;0,0;48,0;48,145" o:connectangles="0,0,0,0,0,0,0"/>
              </v:shape>
              <v:shape id="Freeform 18" o:spid="_x0000_s1038" style="position:absolute;left:2909;top:2068;width:187;height:247;visibility:visible;mso-wrap-style:square;v-text-anchor:top" coordsize="3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" path="m188,102l154,69,234,r47,43l188,102xm,121r117,l187,223,255,121r119,l233,316r,179l136,495r,-179l,121xe" stroked="f">
                <v:path arrowok="t" o:connecttype="custom" o:connectlocs="94,51;77,34;117,0;141,21;94,51;0,60;59,60;94,111;128,60;187,60;117,158;117,247;68,247;68,158;0,60" o:connectangles="0,0,0,0,0,0,0,0,0,0,0,0,0,0,0"/>
                <o:lock v:ext="edit" verticies="t"/>
              </v:shape>
              <v:shape id="Freeform 19" o:spid="_x0000_s1039" style="position:absolute;left:3099;top:2129;width:170;height:186;visibility:visible;mso-wrap-style:square;v-text-anchor:top" coordsize="34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" path="m320,292r,82l,374,177,82,30,82,30,,340,,163,292r157,xe" stroked="f">
                <v:path arrowok="t" o:connecttype="custom" o:connectlocs="160,145;160,186;0,186;89,41;15,41;15,0;170,0;82,145;160,145" o:connectangles="0,0,0,0,0,0,0,0,0"/>
              </v:shape>
              <v:shape id="Freeform 20" o:spid="_x0000_s1040" style="position:absolute;left:3278;top:2129;width:195;height:186;visibility:visible;mso-wrap-style:square;v-text-anchor:top" coordsize="3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" path="m197,116l156,236r81,l197,116xm129,309r-27,65l,374,144,,251,,392,374r-105,l263,309r-134,xe" stroked="f">
                <v:path arrowok="t" o:connecttype="custom" o:connectlocs="98,58;78,117;118,117;98,58;64,154;51,186;0,186;72,0;125,0;195,186;143,186;131,154;64,154" o:connectangles="0,0,0,0,0,0,0,0,0,0,0,0,0"/>
                <o:lock v:ext="edit" verticies="t"/>
              </v:shape>
              <v:shape id="Freeform 21" o:spid="_x0000_s1041" style="position:absolute;left:6643;top:1371;width:3880;height:179;visibility:visible;mso-wrap-style:square;v-text-anchor:top" coordsize="776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"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xm1197,171r24,l1221,150r-24,l1197,101r-23,l1174,150r-15,l1159,171r15,l1174,283r23,l1197,171xm1264,150r-22,l1242,283r22,l1264,150xm1253,82r-6,3l1242,87r-4,5l1237,99r1,3l1238,106r1,3l1242,111r2,1l1247,115r3,l1253,116r6,-1l1265,111r3,-5l1269,100r-1,-8l1265,87r-6,-2l1253,82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connecttype="custom" o:connectlocs="76,139;55,44;102,94;164,111;202,114;191,96;444,78;412,134;463,86;531,144;528,84;688,83;648,127;710,75;784,81;783,109;1022,75;1068,41;1160,74;1181,88;1233,78;1271,98;1633,82;1633,135;1729,141;1719,179;1817,73;1824,84;1893,74;1906,84;1995,76;2001,122;2043,74;2047,144;2097,78;2135,98;2180,142;2220,142;2247,94;2352,91;2434,93;2486,46;2443,70;2460,91;2857,126;2891,45;2880,45;3004,123;2987,127;3080,134;3076,51;3103,91;3223,61;3212,65;3341,95;3409,75;3479,142;3523,142;3640,78;3648,142;3751,46;3876,114;3850,131" o:connectangles="0,0,0,0,0,0,0,0,0,0,0,0,0,0,0,0,0,0,0,0,0,0,0,0,0,0,0,0,0,0,0,0,0,0,0,0,0,0,0,0,0,0,0,0,0,0,0,0,0,0,0,0,0,0,0,0,0,0,0,0,0,0,0"/>
                <o:lock v:ext="edit" verticies="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39"/>
    <w:rsid w:val="0000044B"/>
    <w:rsid w:val="00001C9A"/>
    <w:rsid w:val="0000208F"/>
    <w:rsid w:val="00002857"/>
    <w:rsid w:val="00002DDA"/>
    <w:rsid w:val="0000403F"/>
    <w:rsid w:val="00006A93"/>
    <w:rsid w:val="000070E8"/>
    <w:rsid w:val="00011945"/>
    <w:rsid w:val="00012BC2"/>
    <w:rsid w:val="00013757"/>
    <w:rsid w:val="00014904"/>
    <w:rsid w:val="000151DF"/>
    <w:rsid w:val="0001683E"/>
    <w:rsid w:val="00016AA5"/>
    <w:rsid w:val="00016F9F"/>
    <w:rsid w:val="000171C5"/>
    <w:rsid w:val="000171CD"/>
    <w:rsid w:val="000207B9"/>
    <w:rsid w:val="00020D9A"/>
    <w:rsid w:val="0002212C"/>
    <w:rsid w:val="00025278"/>
    <w:rsid w:val="00026950"/>
    <w:rsid w:val="00026DC4"/>
    <w:rsid w:val="000302A6"/>
    <w:rsid w:val="00031A2E"/>
    <w:rsid w:val="00032C87"/>
    <w:rsid w:val="00032E76"/>
    <w:rsid w:val="00035558"/>
    <w:rsid w:val="00035A2B"/>
    <w:rsid w:val="00036709"/>
    <w:rsid w:val="000370D3"/>
    <w:rsid w:val="00037808"/>
    <w:rsid w:val="000408A4"/>
    <w:rsid w:val="00040CEA"/>
    <w:rsid w:val="00041D8C"/>
    <w:rsid w:val="00042640"/>
    <w:rsid w:val="00043656"/>
    <w:rsid w:val="00043BF4"/>
    <w:rsid w:val="00043E0C"/>
    <w:rsid w:val="00045A7A"/>
    <w:rsid w:val="00045F4E"/>
    <w:rsid w:val="00046AB2"/>
    <w:rsid w:val="00047A6C"/>
    <w:rsid w:val="000507CF"/>
    <w:rsid w:val="00055D8F"/>
    <w:rsid w:val="00055EBE"/>
    <w:rsid w:val="0005699E"/>
    <w:rsid w:val="0006007D"/>
    <w:rsid w:val="00060C03"/>
    <w:rsid w:val="00060DD8"/>
    <w:rsid w:val="00061682"/>
    <w:rsid w:val="000633FC"/>
    <w:rsid w:val="000657C6"/>
    <w:rsid w:val="00066E38"/>
    <w:rsid w:val="00067394"/>
    <w:rsid w:val="0007031E"/>
    <w:rsid w:val="0007050D"/>
    <w:rsid w:val="00070DF8"/>
    <w:rsid w:val="00073558"/>
    <w:rsid w:val="00073A99"/>
    <w:rsid w:val="00073B8E"/>
    <w:rsid w:val="00074BF6"/>
    <w:rsid w:val="00075EAF"/>
    <w:rsid w:val="00076404"/>
    <w:rsid w:val="0007692E"/>
    <w:rsid w:val="000771E3"/>
    <w:rsid w:val="00082045"/>
    <w:rsid w:val="00082547"/>
    <w:rsid w:val="00082749"/>
    <w:rsid w:val="000827CE"/>
    <w:rsid w:val="00082B42"/>
    <w:rsid w:val="000843A5"/>
    <w:rsid w:val="0008507E"/>
    <w:rsid w:val="0008521C"/>
    <w:rsid w:val="00087487"/>
    <w:rsid w:val="00087A80"/>
    <w:rsid w:val="00090013"/>
    <w:rsid w:val="00090B9E"/>
    <w:rsid w:val="00092C15"/>
    <w:rsid w:val="00092CCF"/>
    <w:rsid w:val="0009303F"/>
    <w:rsid w:val="00093BCB"/>
    <w:rsid w:val="00096BC2"/>
    <w:rsid w:val="000A09BC"/>
    <w:rsid w:val="000A0B3A"/>
    <w:rsid w:val="000A3200"/>
    <w:rsid w:val="000A5AAC"/>
    <w:rsid w:val="000B090E"/>
    <w:rsid w:val="000B1F66"/>
    <w:rsid w:val="000B3B92"/>
    <w:rsid w:val="000B3CB8"/>
    <w:rsid w:val="000B470E"/>
    <w:rsid w:val="000B4AB2"/>
    <w:rsid w:val="000B5125"/>
    <w:rsid w:val="000B544B"/>
    <w:rsid w:val="000B5EAC"/>
    <w:rsid w:val="000B6F63"/>
    <w:rsid w:val="000B7488"/>
    <w:rsid w:val="000B7652"/>
    <w:rsid w:val="000C07E9"/>
    <w:rsid w:val="000C1D29"/>
    <w:rsid w:val="000C2CA9"/>
    <w:rsid w:val="000C43AA"/>
    <w:rsid w:val="000C6700"/>
    <w:rsid w:val="000C72DE"/>
    <w:rsid w:val="000C7427"/>
    <w:rsid w:val="000D19F9"/>
    <w:rsid w:val="000D267F"/>
    <w:rsid w:val="000D26CD"/>
    <w:rsid w:val="000D3E4F"/>
    <w:rsid w:val="000E03CC"/>
    <w:rsid w:val="000E0DCE"/>
    <w:rsid w:val="000E1C19"/>
    <w:rsid w:val="000F11C8"/>
    <w:rsid w:val="000F1825"/>
    <w:rsid w:val="000F53DF"/>
    <w:rsid w:val="000F5B28"/>
    <w:rsid w:val="000F6917"/>
    <w:rsid w:val="000F6E26"/>
    <w:rsid w:val="000F6F36"/>
    <w:rsid w:val="000F7753"/>
    <w:rsid w:val="000F7F50"/>
    <w:rsid w:val="00100C3E"/>
    <w:rsid w:val="00101622"/>
    <w:rsid w:val="00101C34"/>
    <w:rsid w:val="00102B7E"/>
    <w:rsid w:val="00102BFF"/>
    <w:rsid w:val="00102EAC"/>
    <w:rsid w:val="00104388"/>
    <w:rsid w:val="001050DD"/>
    <w:rsid w:val="00105107"/>
    <w:rsid w:val="00106C6F"/>
    <w:rsid w:val="00107529"/>
    <w:rsid w:val="0010766F"/>
    <w:rsid w:val="001078B8"/>
    <w:rsid w:val="0010796E"/>
    <w:rsid w:val="00107C2A"/>
    <w:rsid w:val="00107E15"/>
    <w:rsid w:val="001171CC"/>
    <w:rsid w:val="00117525"/>
    <w:rsid w:val="00117984"/>
    <w:rsid w:val="00120DF6"/>
    <w:rsid w:val="00121123"/>
    <w:rsid w:val="00121D14"/>
    <w:rsid w:val="0012377A"/>
    <w:rsid w:val="00123848"/>
    <w:rsid w:val="0012384F"/>
    <w:rsid w:val="00123E91"/>
    <w:rsid w:val="001258A6"/>
    <w:rsid w:val="00125D2F"/>
    <w:rsid w:val="00127216"/>
    <w:rsid w:val="0012777D"/>
    <w:rsid w:val="00130931"/>
    <w:rsid w:val="0013159D"/>
    <w:rsid w:val="00131E21"/>
    <w:rsid w:val="00133417"/>
    <w:rsid w:val="001355FF"/>
    <w:rsid w:val="00135967"/>
    <w:rsid w:val="00137535"/>
    <w:rsid w:val="001404AB"/>
    <w:rsid w:val="00142A45"/>
    <w:rsid w:val="0014432B"/>
    <w:rsid w:val="001453D8"/>
    <w:rsid w:val="00145FEE"/>
    <w:rsid w:val="00146931"/>
    <w:rsid w:val="001521A2"/>
    <w:rsid w:val="001526E3"/>
    <w:rsid w:val="00155FA8"/>
    <w:rsid w:val="00156B60"/>
    <w:rsid w:val="001578BA"/>
    <w:rsid w:val="00160DE1"/>
    <w:rsid w:val="00161FAB"/>
    <w:rsid w:val="00165362"/>
    <w:rsid w:val="001658A9"/>
    <w:rsid w:val="0016606A"/>
    <w:rsid w:val="00170938"/>
    <w:rsid w:val="00170C0F"/>
    <w:rsid w:val="00171121"/>
    <w:rsid w:val="0017143B"/>
    <w:rsid w:val="0017145A"/>
    <w:rsid w:val="0017231D"/>
    <w:rsid w:val="0017281B"/>
    <w:rsid w:val="00174391"/>
    <w:rsid w:val="00174EEE"/>
    <w:rsid w:val="00175ABA"/>
    <w:rsid w:val="00176CFE"/>
    <w:rsid w:val="0017753D"/>
    <w:rsid w:val="0017763E"/>
    <w:rsid w:val="001810DC"/>
    <w:rsid w:val="00182418"/>
    <w:rsid w:val="00183219"/>
    <w:rsid w:val="00183259"/>
    <w:rsid w:val="00185D0B"/>
    <w:rsid w:val="001869C8"/>
    <w:rsid w:val="00186D8E"/>
    <w:rsid w:val="001876AB"/>
    <w:rsid w:val="001903B8"/>
    <w:rsid w:val="00191EB3"/>
    <w:rsid w:val="00197A07"/>
    <w:rsid w:val="001A1D78"/>
    <w:rsid w:val="001A1D88"/>
    <w:rsid w:val="001A352A"/>
    <w:rsid w:val="001A3851"/>
    <w:rsid w:val="001A5270"/>
    <w:rsid w:val="001A532E"/>
    <w:rsid w:val="001A5571"/>
    <w:rsid w:val="001A5758"/>
    <w:rsid w:val="001A59BF"/>
    <w:rsid w:val="001A6821"/>
    <w:rsid w:val="001B1CC6"/>
    <w:rsid w:val="001B33C3"/>
    <w:rsid w:val="001B5506"/>
    <w:rsid w:val="001B579F"/>
    <w:rsid w:val="001B5D69"/>
    <w:rsid w:val="001B607F"/>
    <w:rsid w:val="001B62ED"/>
    <w:rsid w:val="001B6452"/>
    <w:rsid w:val="001C0063"/>
    <w:rsid w:val="001C1F2F"/>
    <w:rsid w:val="001C21F4"/>
    <w:rsid w:val="001C3B2C"/>
    <w:rsid w:val="001C3D20"/>
    <w:rsid w:val="001C4AB9"/>
    <w:rsid w:val="001C5644"/>
    <w:rsid w:val="001C6AAC"/>
    <w:rsid w:val="001C7758"/>
    <w:rsid w:val="001C7FEF"/>
    <w:rsid w:val="001D02CC"/>
    <w:rsid w:val="001D11FD"/>
    <w:rsid w:val="001D1530"/>
    <w:rsid w:val="001D1DD7"/>
    <w:rsid w:val="001D2496"/>
    <w:rsid w:val="001D369A"/>
    <w:rsid w:val="001D5F9E"/>
    <w:rsid w:val="001D5FDB"/>
    <w:rsid w:val="001D67BC"/>
    <w:rsid w:val="001D708D"/>
    <w:rsid w:val="001D7172"/>
    <w:rsid w:val="001D7686"/>
    <w:rsid w:val="001E11DD"/>
    <w:rsid w:val="001E249C"/>
    <w:rsid w:val="001E4EFB"/>
    <w:rsid w:val="001F01BB"/>
    <w:rsid w:val="001F1D88"/>
    <w:rsid w:val="001F691A"/>
    <w:rsid w:val="001F6C45"/>
    <w:rsid w:val="001F7B11"/>
    <w:rsid w:val="002002A3"/>
    <w:rsid w:val="002022D4"/>
    <w:rsid w:val="00203B05"/>
    <w:rsid w:val="00203B48"/>
    <w:rsid w:val="00203B5E"/>
    <w:rsid w:val="002070FB"/>
    <w:rsid w:val="00207F7B"/>
    <w:rsid w:val="00210B17"/>
    <w:rsid w:val="00210E73"/>
    <w:rsid w:val="0021146C"/>
    <w:rsid w:val="00212AE2"/>
    <w:rsid w:val="00213729"/>
    <w:rsid w:val="00213ECF"/>
    <w:rsid w:val="00214968"/>
    <w:rsid w:val="002161B2"/>
    <w:rsid w:val="00216AF2"/>
    <w:rsid w:val="00220B84"/>
    <w:rsid w:val="002214D9"/>
    <w:rsid w:val="00222071"/>
    <w:rsid w:val="0022219E"/>
    <w:rsid w:val="00222B76"/>
    <w:rsid w:val="00223B39"/>
    <w:rsid w:val="00225A5C"/>
    <w:rsid w:val="0022766F"/>
    <w:rsid w:val="00227AD7"/>
    <w:rsid w:val="00230086"/>
    <w:rsid w:val="0023054D"/>
    <w:rsid w:val="00233086"/>
    <w:rsid w:val="0023363B"/>
    <w:rsid w:val="002338CE"/>
    <w:rsid w:val="00234585"/>
    <w:rsid w:val="00236EE0"/>
    <w:rsid w:val="002371F1"/>
    <w:rsid w:val="002406FA"/>
    <w:rsid w:val="002421E0"/>
    <w:rsid w:val="002442F7"/>
    <w:rsid w:val="00245D70"/>
    <w:rsid w:val="002461C3"/>
    <w:rsid w:val="002464F8"/>
    <w:rsid w:val="00246793"/>
    <w:rsid w:val="00246917"/>
    <w:rsid w:val="002472F5"/>
    <w:rsid w:val="00247354"/>
    <w:rsid w:val="00247E8D"/>
    <w:rsid w:val="00250BF4"/>
    <w:rsid w:val="00251388"/>
    <w:rsid w:val="00254D66"/>
    <w:rsid w:val="00255F50"/>
    <w:rsid w:val="002562CE"/>
    <w:rsid w:val="0026186F"/>
    <w:rsid w:val="002618A1"/>
    <w:rsid w:val="002630D4"/>
    <w:rsid w:val="00263486"/>
    <w:rsid w:val="002636CE"/>
    <w:rsid w:val="00265A44"/>
    <w:rsid w:val="00270064"/>
    <w:rsid w:val="00270CE3"/>
    <w:rsid w:val="002726C7"/>
    <w:rsid w:val="00273216"/>
    <w:rsid w:val="002733A3"/>
    <w:rsid w:val="002735F1"/>
    <w:rsid w:val="00273EA6"/>
    <w:rsid w:val="00274A90"/>
    <w:rsid w:val="002777B6"/>
    <w:rsid w:val="00280276"/>
    <w:rsid w:val="002805A9"/>
    <w:rsid w:val="0028179A"/>
    <w:rsid w:val="00285689"/>
    <w:rsid w:val="002869E0"/>
    <w:rsid w:val="0028701D"/>
    <w:rsid w:val="0029071A"/>
    <w:rsid w:val="00291F91"/>
    <w:rsid w:val="0029200A"/>
    <w:rsid w:val="00293514"/>
    <w:rsid w:val="002956A8"/>
    <w:rsid w:val="002968EB"/>
    <w:rsid w:val="0029746B"/>
    <w:rsid w:val="002977FE"/>
    <w:rsid w:val="002A27D9"/>
    <w:rsid w:val="002A2E87"/>
    <w:rsid w:val="002A3A03"/>
    <w:rsid w:val="002A54F5"/>
    <w:rsid w:val="002A6710"/>
    <w:rsid w:val="002A6BB7"/>
    <w:rsid w:val="002B14E8"/>
    <w:rsid w:val="002B2425"/>
    <w:rsid w:val="002B2E47"/>
    <w:rsid w:val="002B56A8"/>
    <w:rsid w:val="002B5926"/>
    <w:rsid w:val="002B5CC3"/>
    <w:rsid w:val="002B6288"/>
    <w:rsid w:val="002B67E8"/>
    <w:rsid w:val="002C2BAC"/>
    <w:rsid w:val="002C3203"/>
    <w:rsid w:val="002C363D"/>
    <w:rsid w:val="002C38CA"/>
    <w:rsid w:val="002C4EAA"/>
    <w:rsid w:val="002C666C"/>
    <w:rsid w:val="002C6B5F"/>
    <w:rsid w:val="002C757B"/>
    <w:rsid w:val="002C76B2"/>
    <w:rsid w:val="002D2FAA"/>
    <w:rsid w:val="002D3536"/>
    <w:rsid w:val="002D4DB4"/>
    <w:rsid w:val="002D5909"/>
    <w:rsid w:val="002D6A6C"/>
    <w:rsid w:val="002D6AA2"/>
    <w:rsid w:val="002E4CA7"/>
    <w:rsid w:val="002E5E99"/>
    <w:rsid w:val="002E6E86"/>
    <w:rsid w:val="002E6F00"/>
    <w:rsid w:val="002F0636"/>
    <w:rsid w:val="002F0CAA"/>
    <w:rsid w:val="002F19E2"/>
    <w:rsid w:val="002F21EC"/>
    <w:rsid w:val="002F3F54"/>
    <w:rsid w:val="002F510A"/>
    <w:rsid w:val="003047BF"/>
    <w:rsid w:val="003054E7"/>
    <w:rsid w:val="003057B2"/>
    <w:rsid w:val="00306DD9"/>
    <w:rsid w:val="003071C4"/>
    <w:rsid w:val="00311A7C"/>
    <w:rsid w:val="00312162"/>
    <w:rsid w:val="00312165"/>
    <w:rsid w:val="003149E1"/>
    <w:rsid w:val="00314A1E"/>
    <w:rsid w:val="00315B58"/>
    <w:rsid w:val="00317048"/>
    <w:rsid w:val="003175B7"/>
    <w:rsid w:val="0032007F"/>
    <w:rsid w:val="00321E61"/>
    <w:rsid w:val="00322BAD"/>
    <w:rsid w:val="0032347E"/>
    <w:rsid w:val="003248C3"/>
    <w:rsid w:val="0032577C"/>
    <w:rsid w:val="0032589E"/>
    <w:rsid w:val="00327644"/>
    <w:rsid w:val="003276BE"/>
    <w:rsid w:val="003301A3"/>
    <w:rsid w:val="0033298E"/>
    <w:rsid w:val="00333784"/>
    <w:rsid w:val="00335604"/>
    <w:rsid w:val="00336825"/>
    <w:rsid w:val="00337C71"/>
    <w:rsid w:val="00337EDB"/>
    <w:rsid w:val="00340993"/>
    <w:rsid w:val="00340A26"/>
    <w:rsid w:val="00341577"/>
    <w:rsid w:val="00342EF6"/>
    <w:rsid w:val="00342F7F"/>
    <w:rsid w:val="003460CB"/>
    <w:rsid w:val="00346D76"/>
    <w:rsid w:val="00351213"/>
    <w:rsid w:val="00352168"/>
    <w:rsid w:val="0035298C"/>
    <w:rsid w:val="003538FB"/>
    <w:rsid w:val="00354A44"/>
    <w:rsid w:val="0035520E"/>
    <w:rsid w:val="00355C29"/>
    <w:rsid w:val="00357702"/>
    <w:rsid w:val="003609A7"/>
    <w:rsid w:val="00361733"/>
    <w:rsid w:val="0036199B"/>
    <w:rsid w:val="00361B5E"/>
    <w:rsid w:val="003634AF"/>
    <w:rsid w:val="0036370A"/>
    <w:rsid w:val="00364D0D"/>
    <w:rsid w:val="00366A08"/>
    <w:rsid w:val="00366D80"/>
    <w:rsid w:val="0036777B"/>
    <w:rsid w:val="00371845"/>
    <w:rsid w:val="0037363B"/>
    <w:rsid w:val="00373ED1"/>
    <w:rsid w:val="0037421A"/>
    <w:rsid w:val="0037459C"/>
    <w:rsid w:val="00374EF6"/>
    <w:rsid w:val="003757F0"/>
    <w:rsid w:val="00375A0D"/>
    <w:rsid w:val="00376CF4"/>
    <w:rsid w:val="00377ED2"/>
    <w:rsid w:val="0038007D"/>
    <w:rsid w:val="00380823"/>
    <w:rsid w:val="00380AAD"/>
    <w:rsid w:val="0038282A"/>
    <w:rsid w:val="00385470"/>
    <w:rsid w:val="00385C2B"/>
    <w:rsid w:val="00390134"/>
    <w:rsid w:val="00391917"/>
    <w:rsid w:val="003919D3"/>
    <w:rsid w:val="00391D8D"/>
    <w:rsid w:val="00391E86"/>
    <w:rsid w:val="00393900"/>
    <w:rsid w:val="00393979"/>
    <w:rsid w:val="003955AF"/>
    <w:rsid w:val="003957D1"/>
    <w:rsid w:val="00395DCC"/>
    <w:rsid w:val="00397580"/>
    <w:rsid w:val="003A1794"/>
    <w:rsid w:val="003A34B3"/>
    <w:rsid w:val="003A3C37"/>
    <w:rsid w:val="003A44AD"/>
    <w:rsid w:val="003A45C8"/>
    <w:rsid w:val="003A55A7"/>
    <w:rsid w:val="003A5771"/>
    <w:rsid w:val="003A580D"/>
    <w:rsid w:val="003A5965"/>
    <w:rsid w:val="003A5DC7"/>
    <w:rsid w:val="003B01DC"/>
    <w:rsid w:val="003B05D1"/>
    <w:rsid w:val="003B1584"/>
    <w:rsid w:val="003B2089"/>
    <w:rsid w:val="003B3198"/>
    <w:rsid w:val="003B3260"/>
    <w:rsid w:val="003B3765"/>
    <w:rsid w:val="003B7187"/>
    <w:rsid w:val="003C092E"/>
    <w:rsid w:val="003C094F"/>
    <w:rsid w:val="003C1B23"/>
    <w:rsid w:val="003C2DCF"/>
    <w:rsid w:val="003C3817"/>
    <w:rsid w:val="003C526C"/>
    <w:rsid w:val="003C7494"/>
    <w:rsid w:val="003C7FE7"/>
    <w:rsid w:val="003D0499"/>
    <w:rsid w:val="003D1524"/>
    <w:rsid w:val="003D21DB"/>
    <w:rsid w:val="003D22F2"/>
    <w:rsid w:val="003D388F"/>
    <w:rsid w:val="003D3D9F"/>
    <w:rsid w:val="003D5B03"/>
    <w:rsid w:val="003D6494"/>
    <w:rsid w:val="003D7C0D"/>
    <w:rsid w:val="003E183B"/>
    <w:rsid w:val="003E2A20"/>
    <w:rsid w:val="003E2AD7"/>
    <w:rsid w:val="003E3B40"/>
    <w:rsid w:val="003E47F3"/>
    <w:rsid w:val="003E5F84"/>
    <w:rsid w:val="003E63CD"/>
    <w:rsid w:val="003E7D31"/>
    <w:rsid w:val="003F06AA"/>
    <w:rsid w:val="003F18C0"/>
    <w:rsid w:val="003F2A47"/>
    <w:rsid w:val="003F2E32"/>
    <w:rsid w:val="003F432E"/>
    <w:rsid w:val="003F43E5"/>
    <w:rsid w:val="003F4BDE"/>
    <w:rsid w:val="003F526A"/>
    <w:rsid w:val="003F5414"/>
    <w:rsid w:val="003F5C51"/>
    <w:rsid w:val="003F5CC1"/>
    <w:rsid w:val="003F5D15"/>
    <w:rsid w:val="00401D42"/>
    <w:rsid w:val="00402910"/>
    <w:rsid w:val="00402B0A"/>
    <w:rsid w:val="00403019"/>
    <w:rsid w:val="00403033"/>
    <w:rsid w:val="00403938"/>
    <w:rsid w:val="00405244"/>
    <w:rsid w:val="004065C6"/>
    <w:rsid w:val="004124F0"/>
    <w:rsid w:val="0041257F"/>
    <w:rsid w:val="00412FFB"/>
    <w:rsid w:val="00413AF7"/>
    <w:rsid w:val="004153B8"/>
    <w:rsid w:val="00415ADE"/>
    <w:rsid w:val="004161E2"/>
    <w:rsid w:val="004166A6"/>
    <w:rsid w:val="00416817"/>
    <w:rsid w:val="00417433"/>
    <w:rsid w:val="00417D45"/>
    <w:rsid w:val="004222A3"/>
    <w:rsid w:val="0042259B"/>
    <w:rsid w:val="00426019"/>
    <w:rsid w:val="00426645"/>
    <w:rsid w:val="0042770B"/>
    <w:rsid w:val="00431468"/>
    <w:rsid w:val="004323BD"/>
    <w:rsid w:val="00433C60"/>
    <w:rsid w:val="0043466C"/>
    <w:rsid w:val="00434936"/>
    <w:rsid w:val="0043790B"/>
    <w:rsid w:val="00437B90"/>
    <w:rsid w:val="004403B3"/>
    <w:rsid w:val="004409C1"/>
    <w:rsid w:val="00441887"/>
    <w:rsid w:val="00441FA9"/>
    <w:rsid w:val="004436EE"/>
    <w:rsid w:val="00446302"/>
    <w:rsid w:val="0045547F"/>
    <w:rsid w:val="00455DC5"/>
    <w:rsid w:val="00455E2F"/>
    <w:rsid w:val="00456CCF"/>
    <w:rsid w:val="00457776"/>
    <w:rsid w:val="0045777C"/>
    <w:rsid w:val="00461AA0"/>
    <w:rsid w:val="00462BD9"/>
    <w:rsid w:val="00463075"/>
    <w:rsid w:val="00465ED9"/>
    <w:rsid w:val="00470306"/>
    <w:rsid w:val="00471810"/>
    <w:rsid w:val="00474248"/>
    <w:rsid w:val="00476098"/>
    <w:rsid w:val="00477B3A"/>
    <w:rsid w:val="00480F8F"/>
    <w:rsid w:val="004847D1"/>
    <w:rsid w:val="00484F22"/>
    <w:rsid w:val="0048551D"/>
    <w:rsid w:val="00485A84"/>
    <w:rsid w:val="00486ABD"/>
    <w:rsid w:val="00487978"/>
    <w:rsid w:val="00487F69"/>
    <w:rsid w:val="00490592"/>
    <w:rsid w:val="00491234"/>
    <w:rsid w:val="00491236"/>
    <w:rsid w:val="0049203F"/>
    <w:rsid w:val="004920AD"/>
    <w:rsid w:val="0049268D"/>
    <w:rsid w:val="004942F4"/>
    <w:rsid w:val="004943E1"/>
    <w:rsid w:val="004950F0"/>
    <w:rsid w:val="00495108"/>
    <w:rsid w:val="004951F3"/>
    <w:rsid w:val="00495989"/>
    <w:rsid w:val="00497031"/>
    <w:rsid w:val="004A1FAE"/>
    <w:rsid w:val="004A2C67"/>
    <w:rsid w:val="004A492E"/>
    <w:rsid w:val="004B0F65"/>
    <w:rsid w:val="004B13D2"/>
    <w:rsid w:val="004B14E7"/>
    <w:rsid w:val="004B4671"/>
    <w:rsid w:val="004B631A"/>
    <w:rsid w:val="004B6B61"/>
    <w:rsid w:val="004C0099"/>
    <w:rsid w:val="004C26A0"/>
    <w:rsid w:val="004C3F2E"/>
    <w:rsid w:val="004C5122"/>
    <w:rsid w:val="004C52C6"/>
    <w:rsid w:val="004C63CF"/>
    <w:rsid w:val="004C7829"/>
    <w:rsid w:val="004D05B3"/>
    <w:rsid w:val="004D21CF"/>
    <w:rsid w:val="004D4265"/>
    <w:rsid w:val="004D5280"/>
    <w:rsid w:val="004D5B03"/>
    <w:rsid w:val="004D6743"/>
    <w:rsid w:val="004D73E9"/>
    <w:rsid w:val="004E1F70"/>
    <w:rsid w:val="004E479E"/>
    <w:rsid w:val="004E6B0B"/>
    <w:rsid w:val="004E759A"/>
    <w:rsid w:val="004E75C9"/>
    <w:rsid w:val="004E7E1E"/>
    <w:rsid w:val="004F3483"/>
    <w:rsid w:val="004F78E6"/>
    <w:rsid w:val="00500130"/>
    <w:rsid w:val="00500CB1"/>
    <w:rsid w:val="00501004"/>
    <w:rsid w:val="00501608"/>
    <w:rsid w:val="005017E0"/>
    <w:rsid w:val="005019A7"/>
    <w:rsid w:val="00501B16"/>
    <w:rsid w:val="00502031"/>
    <w:rsid w:val="005024A7"/>
    <w:rsid w:val="005041DE"/>
    <w:rsid w:val="0050484A"/>
    <w:rsid w:val="0050641C"/>
    <w:rsid w:val="0050756B"/>
    <w:rsid w:val="00511C14"/>
    <w:rsid w:val="00512D99"/>
    <w:rsid w:val="0051469C"/>
    <w:rsid w:val="00514883"/>
    <w:rsid w:val="00514960"/>
    <w:rsid w:val="00515E8A"/>
    <w:rsid w:val="00521DD5"/>
    <w:rsid w:val="005237CD"/>
    <w:rsid w:val="0053146A"/>
    <w:rsid w:val="00531DBB"/>
    <w:rsid w:val="005320B3"/>
    <w:rsid w:val="0053225A"/>
    <w:rsid w:val="00532C1D"/>
    <w:rsid w:val="005334AB"/>
    <w:rsid w:val="0053545A"/>
    <w:rsid w:val="005357DB"/>
    <w:rsid w:val="005374DA"/>
    <w:rsid w:val="00541343"/>
    <w:rsid w:val="005416EE"/>
    <w:rsid w:val="005427FC"/>
    <w:rsid w:val="00542C59"/>
    <w:rsid w:val="00543277"/>
    <w:rsid w:val="00544B6D"/>
    <w:rsid w:val="005455AF"/>
    <w:rsid w:val="00545C39"/>
    <w:rsid w:val="00550D6E"/>
    <w:rsid w:val="00551085"/>
    <w:rsid w:val="00551675"/>
    <w:rsid w:val="005521D0"/>
    <w:rsid w:val="005523EC"/>
    <w:rsid w:val="00552BD8"/>
    <w:rsid w:val="005531E2"/>
    <w:rsid w:val="00553DAA"/>
    <w:rsid w:val="00554D35"/>
    <w:rsid w:val="00555F01"/>
    <w:rsid w:val="005566EC"/>
    <w:rsid w:val="00557B94"/>
    <w:rsid w:val="00560026"/>
    <w:rsid w:val="00563D64"/>
    <w:rsid w:val="005646B3"/>
    <w:rsid w:val="005646FC"/>
    <w:rsid w:val="005655D7"/>
    <w:rsid w:val="005665C5"/>
    <w:rsid w:val="005670BE"/>
    <w:rsid w:val="00570ABA"/>
    <w:rsid w:val="0057104A"/>
    <w:rsid w:val="00572072"/>
    <w:rsid w:val="00572A70"/>
    <w:rsid w:val="00573D5F"/>
    <w:rsid w:val="0057433C"/>
    <w:rsid w:val="00574630"/>
    <w:rsid w:val="00574740"/>
    <w:rsid w:val="00575E4D"/>
    <w:rsid w:val="00576430"/>
    <w:rsid w:val="00576E3A"/>
    <w:rsid w:val="005859A8"/>
    <w:rsid w:val="00586CF2"/>
    <w:rsid w:val="005878E1"/>
    <w:rsid w:val="005900E3"/>
    <w:rsid w:val="00590723"/>
    <w:rsid w:val="00590FA3"/>
    <w:rsid w:val="00592257"/>
    <w:rsid w:val="00593318"/>
    <w:rsid w:val="00596EEF"/>
    <w:rsid w:val="005975A7"/>
    <w:rsid w:val="00597BEA"/>
    <w:rsid w:val="005A0668"/>
    <w:rsid w:val="005A0817"/>
    <w:rsid w:val="005A220F"/>
    <w:rsid w:val="005A26D1"/>
    <w:rsid w:val="005A37E0"/>
    <w:rsid w:val="005A443A"/>
    <w:rsid w:val="005A65C5"/>
    <w:rsid w:val="005A719E"/>
    <w:rsid w:val="005A7879"/>
    <w:rsid w:val="005A7AC3"/>
    <w:rsid w:val="005B0A5A"/>
    <w:rsid w:val="005B4F27"/>
    <w:rsid w:val="005B59A3"/>
    <w:rsid w:val="005B6F95"/>
    <w:rsid w:val="005B72C7"/>
    <w:rsid w:val="005C149A"/>
    <w:rsid w:val="005C1BB9"/>
    <w:rsid w:val="005C2AA4"/>
    <w:rsid w:val="005C37A2"/>
    <w:rsid w:val="005C3CF8"/>
    <w:rsid w:val="005C4003"/>
    <w:rsid w:val="005C4014"/>
    <w:rsid w:val="005C46F4"/>
    <w:rsid w:val="005C51E8"/>
    <w:rsid w:val="005C5354"/>
    <w:rsid w:val="005C5729"/>
    <w:rsid w:val="005C676E"/>
    <w:rsid w:val="005C69CF"/>
    <w:rsid w:val="005C69D6"/>
    <w:rsid w:val="005C7FBE"/>
    <w:rsid w:val="005D0714"/>
    <w:rsid w:val="005D0716"/>
    <w:rsid w:val="005D0B33"/>
    <w:rsid w:val="005D21E7"/>
    <w:rsid w:val="005D2C9A"/>
    <w:rsid w:val="005D35F2"/>
    <w:rsid w:val="005D36C7"/>
    <w:rsid w:val="005D42E5"/>
    <w:rsid w:val="005D7869"/>
    <w:rsid w:val="005E09C8"/>
    <w:rsid w:val="005E2616"/>
    <w:rsid w:val="005E3E64"/>
    <w:rsid w:val="005E3EC9"/>
    <w:rsid w:val="005E519B"/>
    <w:rsid w:val="005F1821"/>
    <w:rsid w:val="005F1E2F"/>
    <w:rsid w:val="005F2451"/>
    <w:rsid w:val="005F3961"/>
    <w:rsid w:val="005F3DE2"/>
    <w:rsid w:val="005F455B"/>
    <w:rsid w:val="005F4667"/>
    <w:rsid w:val="005F49EC"/>
    <w:rsid w:val="005F603D"/>
    <w:rsid w:val="005F6782"/>
    <w:rsid w:val="005F699D"/>
    <w:rsid w:val="005F7379"/>
    <w:rsid w:val="005F79FB"/>
    <w:rsid w:val="00600E0E"/>
    <w:rsid w:val="006012B3"/>
    <w:rsid w:val="006041E0"/>
    <w:rsid w:val="00604406"/>
    <w:rsid w:val="006047C1"/>
    <w:rsid w:val="006052D8"/>
    <w:rsid w:val="00605F4A"/>
    <w:rsid w:val="00606826"/>
    <w:rsid w:val="00607822"/>
    <w:rsid w:val="00610355"/>
    <w:rsid w:val="006103AA"/>
    <w:rsid w:val="00611583"/>
    <w:rsid w:val="00612634"/>
    <w:rsid w:val="006133FC"/>
    <w:rsid w:val="00613BBF"/>
    <w:rsid w:val="00613D4C"/>
    <w:rsid w:val="00613EF0"/>
    <w:rsid w:val="00614585"/>
    <w:rsid w:val="0061471F"/>
    <w:rsid w:val="00614A9F"/>
    <w:rsid w:val="00615EB2"/>
    <w:rsid w:val="006171E2"/>
    <w:rsid w:val="006177EB"/>
    <w:rsid w:val="006207D9"/>
    <w:rsid w:val="006220ED"/>
    <w:rsid w:val="00622B80"/>
    <w:rsid w:val="00624989"/>
    <w:rsid w:val="006257C0"/>
    <w:rsid w:val="00625B26"/>
    <w:rsid w:val="006276AF"/>
    <w:rsid w:val="006303F0"/>
    <w:rsid w:val="0063068A"/>
    <w:rsid w:val="00630CF8"/>
    <w:rsid w:val="00631512"/>
    <w:rsid w:val="00633794"/>
    <w:rsid w:val="00633A27"/>
    <w:rsid w:val="0063661A"/>
    <w:rsid w:val="006370C9"/>
    <w:rsid w:val="00637A81"/>
    <w:rsid w:val="0064139A"/>
    <w:rsid w:val="006502A4"/>
    <w:rsid w:val="00652756"/>
    <w:rsid w:val="006538B5"/>
    <w:rsid w:val="00653D59"/>
    <w:rsid w:val="00656651"/>
    <w:rsid w:val="00656A12"/>
    <w:rsid w:val="00656CF8"/>
    <w:rsid w:val="0066101B"/>
    <w:rsid w:val="006616AC"/>
    <w:rsid w:val="00661C54"/>
    <w:rsid w:val="0066266D"/>
    <w:rsid w:val="006626A5"/>
    <w:rsid w:val="00666BE7"/>
    <w:rsid w:val="00666FF0"/>
    <w:rsid w:val="00667E3D"/>
    <w:rsid w:val="006724D0"/>
    <w:rsid w:val="00672CB6"/>
    <w:rsid w:val="00673280"/>
    <w:rsid w:val="0067442E"/>
    <w:rsid w:val="00674BE6"/>
    <w:rsid w:val="00674D43"/>
    <w:rsid w:val="00675702"/>
    <w:rsid w:val="006814AC"/>
    <w:rsid w:val="0068240C"/>
    <w:rsid w:val="00682B34"/>
    <w:rsid w:val="00684601"/>
    <w:rsid w:val="00684E36"/>
    <w:rsid w:val="00685440"/>
    <w:rsid w:val="0068614B"/>
    <w:rsid w:val="006861E3"/>
    <w:rsid w:val="00686231"/>
    <w:rsid w:val="006879E0"/>
    <w:rsid w:val="00687BBE"/>
    <w:rsid w:val="00690F0D"/>
    <w:rsid w:val="00692350"/>
    <w:rsid w:val="006929F3"/>
    <w:rsid w:val="00696C16"/>
    <w:rsid w:val="006A05E8"/>
    <w:rsid w:val="006A3330"/>
    <w:rsid w:val="006A3430"/>
    <w:rsid w:val="006A4091"/>
    <w:rsid w:val="006A4968"/>
    <w:rsid w:val="006A50B6"/>
    <w:rsid w:val="006A766A"/>
    <w:rsid w:val="006A79D4"/>
    <w:rsid w:val="006B1345"/>
    <w:rsid w:val="006B1FB1"/>
    <w:rsid w:val="006B3399"/>
    <w:rsid w:val="006B5A01"/>
    <w:rsid w:val="006B610C"/>
    <w:rsid w:val="006B6B22"/>
    <w:rsid w:val="006B72E4"/>
    <w:rsid w:val="006C09DD"/>
    <w:rsid w:val="006C2E9D"/>
    <w:rsid w:val="006C30C6"/>
    <w:rsid w:val="006C75E5"/>
    <w:rsid w:val="006C7A42"/>
    <w:rsid w:val="006D08B9"/>
    <w:rsid w:val="006D5F4C"/>
    <w:rsid w:val="006D6521"/>
    <w:rsid w:val="006D7932"/>
    <w:rsid w:val="006E024F"/>
    <w:rsid w:val="006E0314"/>
    <w:rsid w:val="006E0595"/>
    <w:rsid w:val="006E1BFB"/>
    <w:rsid w:val="006E3457"/>
    <w:rsid w:val="006E381E"/>
    <w:rsid w:val="006E4E81"/>
    <w:rsid w:val="006E5112"/>
    <w:rsid w:val="006F05E3"/>
    <w:rsid w:val="006F1B5E"/>
    <w:rsid w:val="006F2D0B"/>
    <w:rsid w:val="006F419E"/>
    <w:rsid w:val="006F4339"/>
    <w:rsid w:val="006F43C5"/>
    <w:rsid w:val="006F7CA8"/>
    <w:rsid w:val="007012C8"/>
    <w:rsid w:val="00701DA6"/>
    <w:rsid w:val="00702D2D"/>
    <w:rsid w:val="0070619B"/>
    <w:rsid w:val="00707951"/>
    <w:rsid w:val="00707F7D"/>
    <w:rsid w:val="00710434"/>
    <w:rsid w:val="00711F11"/>
    <w:rsid w:val="00714068"/>
    <w:rsid w:val="007146C8"/>
    <w:rsid w:val="007152CF"/>
    <w:rsid w:val="0071669A"/>
    <w:rsid w:val="00717614"/>
    <w:rsid w:val="00717EC5"/>
    <w:rsid w:val="00720964"/>
    <w:rsid w:val="00720A25"/>
    <w:rsid w:val="00720D9F"/>
    <w:rsid w:val="00722FE7"/>
    <w:rsid w:val="0072356C"/>
    <w:rsid w:val="007243C8"/>
    <w:rsid w:val="00726E4F"/>
    <w:rsid w:val="00727E9A"/>
    <w:rsid w:val="00731693"/>
    <w:rsid w:val="007318A9"/>
    <w:rsid w:val="007326B5"/>
    <w:rsid w:val="00732745"/>
    <w:rsid w:val="007338EE"/>
    <w:rsid w:val="00733AC3"/>
    <w:rsid w:val="0073435F"/>
    <w:rsid w:val="00735B9D"/>
    <w:rsid w:val="00737B80"/>
    <w:rsid w:val="007404F6"/>
    <w:rsid w:val="00741D13"/>
    <w:rsid w:val="00742725"/>
    <w:rsid w:val="00743982"/>
    <w:rsid w:val="00745672"/>
    <w:rsid w:val="007460F1"/>
    <w:rsid w:val="00746BD9"/>
    <w:rsid w:val="00750C6C"/>
    <w:rsid w:val="00751C83"/>
    <w:rsid w:val="00752583"/>
    <w:rsid w:val="00752C5F"/>
    <w:rsid w:val="007537C7"/>
    <w:rsid w:val="00753FD1"/>
    <w:rsid w:val="0075439D"/>
    <w:rsid w:val="00754742"/>
    <w:rsid w:val="0075481D"/>
    <w:rsid w:val="00756FB7"/>
    <w:rsid w:val="0076005F"/>
    <w:rsid w:val="007608AF"/>
    <w:rsid w:val="00762B6E"/>
    <w:rsid w:val="00763254"/>
    <w:rsid w:val="007640A3"/>
    <w:rsid w:val="007651A6"/>
    <w:rsid w:val="00765AF1"/>
    <w:rsid w:val="00766670"/>
    <w:rsid w:val="00766AD8"/>
    <w:rsid w:val="0076719B"/>
    <w:rsid w:val="00771497"/>
    <w:rsid w:val="0077424B"/>
    <w:rsid w:val="00775238"/>
    <w:rsid w:val="00776326"/>
    <w:rsid w:val="007764C0"/>
    <w:rsid w:val="00776506"/>
    <w:rsid w:val="00777139"/>
    <w:rsid w:val="00777576"/>
    <w:rsid w:val="0078195F"/>
    <w:rsid w:val="007820D8"/>
    <w:rsid w:val="007829FD"/>
    <w:rsid w:val="00783F7F"/>
    <w:rsid w:val="0078586F"/>
    <w:rsid w:val="0079023C"/>
    <w:rsid w:val="007909AA"/>
    <w:rsid w:val="00792107"/>
    <w:rsid w:val="0079299A"/>
    <w:rsid w:val="00793148"/>
    <w:rsid w:val="00793D06"/>
    <w:rsid w:val="00794B22"/>
    <w:rsid w:val="00797632"/>
    <w:rsid w:val="007A15DA"/>
    <w:rsid w:val="007A28FC"/>
    <w:rsid w:val="007A57F2"/>
    <w:rsid w:val="007B1333"/>
    <w:rsid w:val="007B24C8"/>
    <w:rsid w:val="007B45C5"/>
    <w:rsid w:val="007B7E54"/>
    <w:rsid w:val="007C044D"/>
    <w:rsid w:val="007C1691"/>
    <w:rsid w:val="007C234D"/>
    <w:rsid w:val="007C36A2"/>
    <w:rsid w:val="007C3BA7"/>
    <w:rsid w:val="007C3D04"/>
    <w:rsid w:val="007C407D"/>
    <w:rsid w:val="007C4CFC"/>
    <w:rsid w:val="007C55AD"/>
    <w:rsid w:val="007D0ACE"/>
    <w:rsid w:val="007D29CC"/>
    <w:rsid w:val="007D3631"/>
    <w:rsid w:val="007D3C4D"/>
    <w:rsid w:val="007D3F60"/>
    <w:rsid w:val="007D5951"/>
    <w:rsid w:val="007D6250"/>
    <w:rsid w:val="007D7EC1"/>
    <w:rsid w:val="007E0412"/>
    <w:rsid w:val="007E0B69"/>
    <w:rsid w:val="007E0FB5"/>
    <w:rsid w:val="007E23A3"/>
    <w:rsid w:val="007E257D"/>
    <w:rsid w:val="007E2A6B"/>
    <w:rsid w:val="007E2D9F"/>
    <w:rsid w:val="007E39B1"/>
    <w:rsid w:val="007E3E1C"/>
    <w:rsid w:val="007E6EC4"/>
    <w:rsid w:val="007F1A39"/>
    <w:rsid w:val="007F1FEE"/>
    <w:rsid w:val="007F264F"/>
    <w:rsid w:val="007F4A89"/>
    <w:rsid w:val="007F4AEB"/>
    <w:rsid w:val="007F5E11"/>
    <w:rsid w:val="007F6239"/>
    <w:rsid w:val="007F75B2"/>
    <w:rsid w:val="007F7F00"/>
    <w:rsid w:val="00801791"/>
    <w:rsid w:val="00803372"/>
    <w:rsid w:val="008043C4"/>
    <w:rsid w:val="00804CD3"/>
    <w:rsid w:val="0080514F"/>
    <w:rsid w:val="00807E1E"/>
    <w:rsid w:val="00807EB8"/>
    <w:rsid w:val="0081082C"/>
    <w:rsid w:val="00811629"/>
    <w:rsid w:val="008124B8"/>
    <w:rsid w:val="00813226"/>
    <w:rsid w:val="00813976"/>
    <w:rsid w:val="00813DFB"/>
    <w:rsid w:val="00815588"/>
    <w:rsid w:val="008157C0"/>
    <w:rsid w:val="00820139"/>
    <w:rsid w:val="00820E8E"/>
    <w:rsid w:val="008221FB"/>
    <w:rsid w:val="008242CC"/>
    <w:rsid w:val="00825070"/>
    <w:rsid w:val="00825477"/>
    <w:rsid w:val="00826BD9"/>
    <w:rsid w:val="00827A91"/>
    <w:rsid w:val="00830309"/>
    <w:rsid w:val="00831B1B"/>
    <w:rsid w:val="00834CC5"/>
    <w:rsid w:val="008354B4"/>
    <w:rsid w:val="008358E0"/>
    <w:rsid w:val="00835F3F"/>
    <w:rsid w:val="00837A3C"/>
    <w:rsid w:val="00840938"/>
    <w:rsid w:val="00840F99"/>
    <w:rsid w:val="00841D76"/>
    <w:rsid w:val="00842032"/>
    <w:rsid w:val="00842A98"/>
    <w:rsid w:val="008434E7"/>
    <w:rsid w:val="00846BC4"/>
    <w:rsid w:val="00847A8C"/>
    <w:rsid w:val="00850AAD"/>
    <w:rsid w:val="008514B8"/>
    <w:rsid w:val="00851858"/>
    <w:rsid w:val="008518E7"/>
    <w:rsid w:val="0085193E"/>
    <w:rsid w:val="008519C6"/>
    <w:rsid w:val="00852098"/>
    <w:rsid w:val="0085235F"/>
    <w:rsid w:val="00852368"/>
    <w:rsid w:val="008538A7"/>
    <w:rsid w:val="00854404"/>
    <w:rsid w:val="00856098"/>
    <w:rsid w:val="00861D0E"/>
    <w:rsid w:val="00861F45"/>
    <w:rsid w:val="00862854"/>
    <w:rsid w:val="0086334D"/>
    <w:rsid w:val="00863D68"/>
    <w:rsid w:val="00864880"/>
    <w:rsid w:val="008656A8"/>
    <w:rsid w:val="00865FA6"/>
    <w:rsid w:val="00866BA8"/>
    <w:rsid w:val="00867569"/>
    <w:rsid w:val="00867807"/>
    <w:rsid w:val="0087060D"/>
    <w:rsid w:val="00870CF3"/>
    <w:rsid w:val="00871086"/>
    <w:rsid w:val="008710C7"/>
    <w:rsid w:val="00872214"/>
    <w:rsid w:val="008727FA"/>
    <w:rsid w:val="00872B8E"/>
    <w:rsid w:val="00874A90"/>
    <w:rsid w:val="00875F5C"/>
    <w:rsid w:val="008804D0"/>
    <w:rsid w:val="0088129D"/>
    <w:rsid w:val="00884029"/>
    <w:rsid w:val="00884BD5"/>
    <w:rsid w:val="00887972"/>
    <w:rsid w:val="008914B7"/>
    <w:rsid w:val="008917B3"/>
    <w:rsid w:val="00891C37"/>
    <w:rsid w:val="00891D95"/>
    <w:rsid w:val="008945F2"/>
    <w:rsid w:val="00897527"/>
    <w:rsid w:val="008A0E8F"/>
    <w:rsid w:val="008A1027"/>
    <w:rsid w:val="008A18A9"/>
    <w:rsid w:val="008A287F"/>
    <w:rsid w:val="008A6342"/>
    <w:rsid w:val="008A6A3B"/>
    <w:rsid w:val="008A750A"/>
    <w:rsid w:val="008B225C"/>
    <w:rsid w:val="008B334E"/>
    <w:rsid w:val="008B4550"/>
    <w:rsid w:val="008B7891"/>
    <w:rsid w:val="008C00A5"/>
    <w:rsid w:val="008C0108"/>
    <w:rsid w:val="008C27B1"/>
    <w:rsid w:val="008C384C"/>
    <w:rsid w:val="008C45BF"/>
    <w:rsid w:val="008C502E"/>
    <w:rsid w:val="008C5E9A"/>
    <w:rsid w:val="008D0F11"/>
    <w:rsid w:val="008D136D"/>
    <w:rsid w:val="008D2561"/>
    <w:rsid w:val="008D3805"/>
    <w:rsid w:val="008D5298"/>
    <w:rsid w:val="008D6ECA"/>
    <w:rsid w:val="008D6F55"/>
    <w:rsid w:val="008E15B5"/>
    <w:rsid w:val="008E29EF"/>
    <w:rsid w:val="008E68EB"/>
    <w:rsid w:val="008E7E4F"/>
    <w:rsid w:val="008F0222"/>
    <w:rsid w:val="008F20C6"/>
    <w:rsid w:val="008F35E4"/>
    <w:rsid w:val="008F4513"/>
    <w:rsid w:val="008F492F"/>
    <w:rsid w:val="008F5309"/>
    <w:rsid w:val="008F73B4"/>
    <w:rsid w:val="008F7E5F"/>
    <w:rsid w:val="00900EDB"/>
    <w:rsid w:val="00900F13"/>
    <w:rsid w:val="009015C7"/>
    <w:rsid w:val="0090404E"/>
    <w:rsid w:val="009049FB"/>
    <w:rsid w:val="009061A5"/>
    <w:rsid w:val="00906ECF"/>
    <w:rsid w:val="0090741A"/>
    <w:rsid w:val="009076B5"/>
    <w:rsid w:val="00907ADB"/>
    <w:rsid w:val="009112BA"/>
    <w:rsid w:val="00911AC8"/>
    <w:rsid w:val="00916073"/>
    <w:rsid w:val="009168C2"/>
    <w:rsid w:val="00917CA6"/>
    <w:rsid w:val="00920317"/>
    <w:rsid w:val="0092081A"/>
    <w:rsid w:val="00920AD4"/>
    <w:rsid w:val="00920D32"/>
    <w:rsid w:val="00922570"/>
    <w:rsid w:val="0092310A"/>
    <w:rsid w:val="00927ADE"/>
    <w:rsid w:val="00927DD9"/>
    <w:rsid w:val="00930B3C"/>
    <w:rsid w:val="00931A52"/>
    <w:rsid w:val="00931B1D"/>
    <w:rsid w:val="00933883"/>
    <w:rsid w:val="00934EFE"/>
    <w:rsid w:val="009357BD"/>
    <w:rsid w:val="00936D58"/>
    <w:rsid w:val="009372DF"/>
    <w:rsid w:val="00937610"/>
    <w:rsid w:val="009405D2"/>
    <w:rsid w:val="00941335"/>
    <w:rsid w:val="009416A7"/>
    <w:rsid w:val="00942BAF"/>
    <w:rsid w:val="00942D88"/>
    <w:rsid w:val="00943AD2"/>
    <w:rsid w:val="00944126"/>
    <w:rsid w:val="00946FC5"/>
    <w:rsid w:val="00947FAB"/>
    <w:rsid w:val="0095227E"/>
    <w:rsid w:val="0095430A"/>
    <w:rsid w:val="009544CC"/>
    <w:rsid w:val="00956495"/>
    <w:rsid w:val="00957441"/>
    <w:rsid w:val="00960186"/>
    <w:rsid w:val="00960BF2"/>
    <w:rsid w:val="00961ECD"/>
    <w:rsid w:val="00962BC7"/>
    <w:rsid w:val="00962C91"/>
    <w:rsid w:val="0096328A"/>
    <w:rsid w:val="00963E6F"/>
    <w:rsid w:val="00964190"/>
    <w:rsid w:val="009678FC"/>
    <w:rsid w:val="009701AB"/>
    <w:rsid w:val="00971D38"/>
    <w:rsid w:val="009729CD"/>
    <w:rsid w:val="00973287"/>
    <w:rsid w:val="00973301"/>
    <w:rsid w:val="009740BF"/>
    <w:rsid w:val="00976B5B"/>
    <w:rsid w:val="00976D97"/>
    <w:rsid w:val="00981238"/>
    <w:rsid w:val="0098149A"/>
    <w:rsid w:val="00982C53"/>
    <w:rsid w:val="00983A9B"/>
    <w:rsid w:val="00984434"/>
    <w:rsid w:val="00984499"/>
    <w:rsid w:val="009844EB"/>
    <w:rsid w:val="00985EE5"/>
    <w:rsid w:val="00986D8D"/>
    <w:rsid w:val="009873F0"/>
    <w:rsid w:val="00987FFE"/>
    <w:rsid w:val="0099050D"/>
    <w:rsid w:val="00991E8D"/>
    <w:rsid w:val="00992601"/>
    <w:rsid w:val="0099409F"/>
    <w:rsid w:val="009950AF"/>
    <w:rsid w:val="009958A1"/>
    <w:rsid w:val="00995DA7"/>
    <w:rsid w:val="009A1871"/>
    <w:rsid w:val="009A218F"/>
    <w:rsid w:val="009A38F9"/>
    <w:rsid w:val="009A3ACE"/>
    <w:rsid w:val="009A4753"/>
    <w:rsid w:val="009A4B79"/>
    <w:rsid w:val="009A5942"/>
    <w:rsid w:val="009A5C79"/>
    <w:rsid w:val="009B16D4"/>
    <w:rsid w:val="009B3B40"/>
    <w:rsid w:val="009B4969"/>
    <w:rsid w:val="009B4EA8"/>
    <w:rsid w:val="009B55B1"/>
    <w:rsid w:val="009B68A7"/>
    <w:rsid w:val="009C0D4F"/>
    <w:rsid w:val="009C15DC"/>
    <w:rsid w:val="009C4150"/>
    <w:rsid w:val="009C60B7"/>
    <w:rsid w:val="009C6103"/>
    <w:rsid w:val="009C7AA7"/>
    <w:rsid w:val="009C7BF5"/>
    <w:rsid w:val="009D055A"/>
    <w:rsid w:val="009D0BD5"/>
    <w:rsid w:val="009D4881"/>
    <w:rsid w:val="009D5E52"/>
    <w:rsid w:val="009D6C0C"/>
    <w:rsid w:val="009E0621"/>
    <w:rsid w:val="009E1BCE"/>
    <w:rsid w:val="009E2AB5"/>
    <w:rsid w:val="009E31D4"/>
    <w:rsid w:val="009E52CF"/>
    <w:rsid w:val="009E617C"/>
    <w:rsid w:val="009F0332"/>
    <w:rsid w:val="009F0A39"/>
    <w:rsid w:val="009F0F8D"/>
    <w:rsid w:val="009F116F"/>
    <w:rsid w:val="009F276D"/>
    <w:rsid w:val="009F2D91"/>
    <w:rsid w:val="009F491A"/>
    <w:rsid w:val="009F5F23"/>
    <w:rsid w:val="009F70EB"/>
    <w:rsid w:val="009F7FD8"/>
    <w:rsid w:val="00A001F0"/>
    <w:rsid w:val="00A01EEF"/>
    <w:rsid w:val="00A0276F"/>
    <w:rsid w:val="00A02E15"/>
    <w:rsid w:val="00A041BC"/>
    <w:rsid w:val="00A0458C"/>
    <w:rsid w:val="00A05534"/>
    <w:rsid w:val="00A07E96"/>
    <w:rsid w:val="00A1071A"/>
    <w:rsid w:val="00A10F29"/>
    <w:rsid w:val="00A13C0B"/>
    <w:rsid w:val="00A14819"/>
    <w:rsid w:val="00A15B50"/>
    <w:rsid w:val="00A15BC6"/>
    <w:rsid w:val="00A15C6C"/>
    <w:rsid w:val="00A171FC"/>
    <w:rsid w:val="00A2003A"/>
    <w:rsid w:val="00A20BED"/>
    <w:rsid w:val="00A2262B"/>
    <w:rsid w:val="00A23096"/>
    <w:rsid w:val="00A230B3"/>
    <w:rsid w:val="00A233AA"/>
    <w:rsid w:val="00A23F1D"/>
    <w:rsid w:val="00A26507"/>
    <w:rsid w:val="00A27991"/>
    <w:rsid w:val="00A30C2D"/>
    <w:rsid w:val="00A312F2"/>
    <w:rsid w:val="00A32891"/>
    <w:rsid w:val="00A33E60"/>
    <w:rsid w:val="00A35CDB"/>
    <w:rsid w:val="00A35F83"/>
    <w:rsid w:val="00A362DC"/>
    <w:rsid w:val="00A37A32"/>
    <w:rsid w:val="00A404D4"/>
    <w:rsid w:val="00A40856"/>
    <w:rsid w:val="00A4248F"/>
    <w:rsid w:val="00A431FA"/>
    <w:rsid w:val="00A4343D"/>
    <w:rsid w:val="00A438DA"/>
    <w:rsid w:val="00A44567"/>
    <w:rsid w:val="00A448C7"/>
    <w:rsid w:val="00A45C7B"/>
    <w:rsid w:val="00A46B64"/>
    <w:rsid w:val="00A46E13"/>
    <w:rsid w:val="00A502F1"/>
    <w:rsid w:val="00A525AF"/>
    <w:rsid w:val="00A53140"/>
    <w:rsid w:val="00A54D7B"/>
    <w:rsid w:val="00A55C4E"/>
    <w:rsid w:val="00A56C80"/>
    <w:rsid w:val="00A60E41"/>
    <w:rsid w:val="00A61BE0"/>
    <w:rsid w:val="00A63DD4"/>
    <w:rsid w:val="00A6428E"/>
    <w:rsid w:val="00A65A70"/>
    <w:rsid w:val="00A662D0"/>
    <w:rsid w:val="00A70A83"/>
    <w:rsid w:val="00A73918"/>
    <w:rsid w:val="00A74120"/>
    <w:rsid w:val="00A7484D"/>
    <w:rsid w:val="00A75F37"/>
    <w:rsid w:val="00A761CF"/>
    <w:rsid w:val="00A7683E"/>
    <w:rsid w:val="00A774B2"/>
    <w:rsid w:val="00A7774A"/>
    <w:rsid w:val="00A80351"/>
    <w:rsid w:val="00A81EB3"/>
    <w:rsid w:val="00A824CF"/>
    <w:rsid w:val="00A826E6"/>
    <w:rsid w:val="00A8291E"/>
    <w:rsid w:val="00A84430"/>
    <w:rsid w:val="00A84C1D"/>
    <w:rsid w:val="00A860F4"/>
    <w:rsid w:val="00A86219"/>
    <w:rsid w:val="00A873BA"/>
    <w:rsid w:val="00A904D9"/>
    <w:rsid w:val="00A90ECE"/>
    <w:rsid w:val="00A92693"/>
    <w:rsid w:val="00A93025"/>
    <w:rsid w:val="00A9504A"/>
    <w:rsid w:val="00A950C7"/>
    <w:rsid w:val="00A961DA"/>
    <w:rsid w:val="00A969A9"/>
    <w:rsid w:val="00A97AD4"/>
    <w:rsid w:val="00A97CA2"/>
    <w:rsid w:val="00AA1B32"/>
    <w:rsid w:val="00AA3711"/>
    <w:rsid w:val="00AA435D"/>
    <w:rsid w:val="00AA439D"/>
    <w:rsid w:val="00AA4ECF"/>
    <w:rsid w:val="00AA6E75"/>
    <w:rsid w:val="00AA73A5"/>
    <w:rsid w:val="00AA7E61"/>
    <w:rsid w:val="00AB09D3"/>
    <w:rsid w:val="00AB208F"/>
    <w:rsid w:val="00AB22E1"/>
    <w:rsid w:val="00AB2399"/>
    <w:rsid w:val="00AB410C"/>
    <w:rsid w:val="00AB594C"/>
    <w:rsid w:val="00AB5CFD"/>
    <w:rsid w:val="00AB5D19"/>
    <w:rsid w:val="00AB73C1"/>
    <w:rsid w:val="00AB7ADF"/>
    <w:rsid w:val="00AC4564"/>
    <w:rsid w:val="00AC5BE0"/>
    <w:rsid w:val="00AC60CC"/>
    <w:rsid w:val="00AC6570"/>
    <w:rsid w:val="00AC6A14"/>
    <w:rsid w:val="00AC72CC"/>
    <w:rsid w:val="00AC72E1"/>
    <w:rsid w:val="00AD09C9"/>
    <w:rsid w:val="00AD4691"/>
    <w:rsid w:val="00AD5C35"/>
    <w:rsid w:val="00AD6519"/>
    <w:rsid w:val="00AD6CA9"/>
    <w:rsid w:val="00AD6D62"/>
    <w:rsid w:val="00AE04A7"/>
    <w:rsid w:val="00AE3964"/>
    <w:rsid w:val="00AE59AB"/>
    <w:rsid w:val="00AE5C88"/>
    <w:rsid w:val="00AE63EF"/>
    <w:rsid w:val="00AE6A84"/>
    <w:rsid w:val="00AF2358"/>
    <w:rsid w:val="00AF2CB6"/>
    <w:rsid w:val="00AF40A6"/>
    <w:rsid w:val="00AF63B0"/>
    <w:rsid w:val="00AF66FA"/>
    <w:rsid w:val="00AF77D3"/>
    <w:rsid w:val="00AF78C1"/>
    <w:rsid w:val="00AF7C8B"/>
    <w:rsid w:val="00B00C1D"/>
    <w:rsid w:val="00B01408"/>
    <w:rsid w:val="00B043D9"/>
    <w:rsid w:val="00B06174"/>
    <w:rsid w:val="00B07CA2"/>
    <w:rsid w:val="00B10B53"/>
    <w:rsid w:val="00B1299C"/>
    <w:rsid w:val="00B13907"/>
    <w:rsid w:val="00B144F0"/>
    <w:rsid w:val="00B15E58"/>
    <w:rsid w:val="00B16115"/>
    <w:rsid w:val="00B16369"/>
    <w:rsid w:val="00B1677F"/>
    <w:rsid w:val="00B16FC6"/>
    <w:rsid w:val="00B179C6"/>
    <w:rsid w:val="00B20108"/>
    <w:rsid w:val="00B20DE0"/>
    <w:rsid w:val="00B20F58"/>
    <w:rsid w:val="00B21CE7"/>
    <w:rsid w:val="00B2435B"/>
    <w:rsid w:val="00B24A8E"/>
    <w:rsid w:val="00B24C95"/>
    <w:rsid w:val="00B26AFC"/>
    <w:rsid w:val="00B26BED"/>
    <w:rsid w:val="00B26C4E"/>
    <w:rsid w:val="00B31464"/>
    <w:rsid w:val="00B328D3"/>
    <w:rsid w:val="00B33194"/>
    <w:rsid w:val="00B3323F"/>
    <w:rsid w:val="00B33880"/>
    <w:rsid w:val="00B33F33"/>
    <w:rsid w:val="00B342F4"/>
    <w:rsid w:val="00B34EDA"/>
    <w:rsid w:val="00B351F5"/>
    <w:rsid w:val="00B365F7"/>
    <w:rsid w:val="00B403FC"/>
    <w:rsid w:val="00B40D47"/>
    <w:rsid w:val="00B42F9B"/>
    <w:rsid w:val="00B435ED"/>
    <w:rsid w:val="00B44ECB"/>
    <w:rsid w:val="00B468DA"/>
    <w:rsid w:val="00B4790F"/>
    <w:rsid w:val="00B47E07"/>
    <w:rsid w:val="00B50A70"/>
    <w:rsid w:val="00B52F87"/>
    <w:rsid w:val="00B53BDE"/>
    <w:rsid w:val="00B54330"/>
    <w:rsid w:val="00B54C52"/>
    <w:rsid w:val="00B55193"/>
    <w:rsid w:val="00B57649"/>
    <w:rsid w:val="00B60120"/>
    <w:rsid w:val="00B60BBA"/>
    <w:rsid w:val="00B61E39"/>
    <w:rsid w:val="00B62E04"/>
    <w:rsid w:val="00B66166"/>
    <w:rsid w:val="00B70ECD"/>
    <w:rsid w:val="00B70FF6"/>
    <w:rsid w:val="00B7235B"/>
    <w:rsid w:val="00B72D2F"/>
    <w:rsid w:val="00B72F7F"/>
    <w:rsid w:val="00B75E48"/>
    <w:rsid w:val="00B76199"/>
    <w:rsid w:val="00B8043F"/>
    <w:rsid w:val="00B80695"/>
    <w:rsid w:val="00B817AE"/>
    <w:rsid w:val="00B822BB"/>
    <w:rsid w:val="00B824E2"/>
    <w:rsid w:val="00B83EC6"/>
    <w:rsid w:val="00B868B8"/>
    <w:rsid w:val="00B920DD"/>
    <w:rsid w:val="00B92E7A"/>
    <w:rsid w:val="00BA0F08"/>
    <w:rsid w:val="00BA439F"/>
    <w:rsid w:val="00BA44EC"/>
    <w:rsid w:val="00BA5834"/>
    <w:rsid w:val="00BA6370"/>
    <w:rsid w:val="00BA6BD0"/>
    <w:rsid w:val="00BA77F0"/>
    <w:rsid w:val="00BB06CA"/>
    <w:rsid w:val="00BB6268"/>
    <w:rsid w:val="00BC09C7"/>
    <w:rsid w:val="00BC1564"/>
    <w:rsid w:val="00BC6747"/>
    <w:rsid w:val="00BC6921"/>
    <w:rsid w:val="00BC692F"/>
    <w:rsid w:val="00BC748B"/>
    <w:rsid w:val="00BD1AEF"/>
    <w:rsid w:val="00BD40CD"/>
    <w:rsid w:val="00BD57B8"/>
    <w:rsid w:val="00BD6F1C"/>
    <w:rsid w:val="00BD71CC"/>
    <w:rsid w:val="00BE0028"/>
    <w:rsid w:val="00BE1CA4"/>
    <w:rsid w:val="00BE1D3B"/>
    <w:rsid w:val="00BE206D"/>
    <w:rsid w:val="00BE210B"/>
    <w:rsid w:val="00BE2A53"/>
    <w:rsid w:val="00BE3302"/>
    <w:rsid w:val="00BE3335"/>
    <w:rsid w:val="00BE550F"/>
    <w:rsid w:val="00BE560B"/>
    <w:rsid w:val="00BE5C4A"/>
    <w:rsid w:val="00BE69B6"/>
    <w:rsid w:val="00BE6D51"/>
    <w:rsid w:val="00BE7C44"/>
    <w:rsid w:val="00BF029D"/>
    <w:rsid w:val="00BF1519"/>
    <w:rsid w:val="00BF2A5A"/>
    <w:rsid w:val="00BF34CC"/>
    <w:rsid w:val="00BF37CC"/>
    <w:rsid w:val="00BF62F1"/>
    <w:rsid w:val="00C00155"/>
    <w:rsid w:val="00C007B6"/>
    <w:rsid w:val="00C0255B"/>
    <w:rsid w:val="00C04EC7"/>
    <w:rsid w:val="00C0500E"/>
    <w:rsid w:val="00C051D5"/>
    <w:rsid w:val="00C054BF"/>
    <w:rsid w:val="00C05AE7"/>
    <w:rsid w:val="00C060B9"/>
    <w:rsid w:val="00C0711F"/>
    <w:rsid w:val="00C10B92"/>
    <w:rsid w:val="00C13B2D"/>
    <w:rsid w:val="00C14FA3"/>
    <w:rsid w:val="00C155D7"/>
    <w:rsid w:val="00C159FA"/>
    <w:rsid w:val="00C17B2C"/>
    <w:rsid w:val="00C2080D"/>
    <w:rsid w:val="00C22415"/>
    <w:rsid w:val="00C2278C"/>
    <w:rsid w:val="00C232B3"/>
    <w:rsid w:val="00C2354F"/>
    <w:rsid w:val="00C24B18"/>
    <w:rsid w:val="00C26525"/>
    <w:rsid w:val="00C269D4"/>
    <w:rsid w:val="00C26D85"/>
    <w:rsid w:val="00C30A81"/>
    <w:rsid w:val="00C3197B"/>
    <w:rsid w:val="00C35652"/>
    <w:rsid w:val="00C35B84"/>
    <w:rsid w:val="00C36722"/>
    <w:rsid w:val="00C36AD6"/>
    <w:rsid w:val="00C4160D"/>
    <w:rsid w:val="00C42CB8"/>
    <w:rsid w:val="00C4301F"/>
    <w:rsid w:val="00C439CF"/>
    <w:rsid w:val="00C43DB8"/>
    <w:rsid w:val="00C45A80"/>
    <w:rsid w:val="00C45B06"/>
    <w:rsid w:val="00C473BF"/>
    <w:rsid w:val="00C47D6A"/>
    <w:rsid w:val="00C50339"/>
    <w:rsid w:val="00C50BEB"/>
    <w:rsid w:val="00C510FD"/>
    <w:rsid w:val="00C5191D"/>
    <w:rsid w:val="00C51B65"/>
    <w:rsid w:val="00C52C3F"/>
    <w:rsid w:val="00C54720"/>
    <w:rsid w:val="00C54EDD"/>
    <w:rsid w:val="00C55504"/>
    <w:rsid w:val="00C558B2"/>
    <w:rsid w:val="00C5698F"/>
    <w:rsid w:val="00C576EC"/>
    <w:rsid w:val="00C57B79"/>
    <w:rsid w:val="00C60451"/>
    <w:rsid w:val="00C60AE0"/>
    <w:rsid w:val="00C61158"/>
    <w:rsid w:val="00C63561"/>
    <w:rsid w:val="00C63A88"/>
    <w:rsid w:val="00C65315"/>
    <w:rsid w:val="00C658B8"/>
    <w:rsid w:val="00C65FAA"/>
    <w:rsid w:val="00C6637E"/>
    <w:rsid w:val="00C67D2D"/>
    <w:rsid w:val="00C72A55"/>
    <w:rsid w:val="00C74370"/>
    <w:rsid w:val="00C743A0"/>
    <w:rsid w:val="00C74A84"/>
    <w:rsid w:val="00C7537C"/>
    <w:rsid w:val="00C7577F"/>
    <w:rsid w:val="00C7585A"/>
    <w:rsid w:val="00C84000"/>
    <w:rsid w:val="00C8406E"/>
    <w:rsid w:val="00C863B6"/>
    <w:rsid w:val="00C864A9"/>
    <w:rsid w:val="00C86BDB"/>
    <w:rsid w:val="00C874BC"/>
    <w:rsid w:val="00C87B18"/>
    <w:rsid w:val="00C91009"/>
    <w:rsid w:val="00C91BB8"/>
    <w:rsid w:val="00C92874"/>
    <w:rsid w:val="00C94419"/>
    <w:rsid w:val="00C947EC"/>
    <w:rsid w:val="00C950A2"/>
    <w:rsid w:val="00C9586C"/>
    <w:rsid w:val="00C95A4D"/>
    <w:rsid w:val="00C95E57"/>
    <w:rsid w:val="00C96169"/>
    <w:rsid w:val="00C96221"/>
    <w:rsid w:val="00C969E1"/>
    <w:rsid w:val="00C97062"/>
    <w:rsid w:val="00CA09D4"/>
    <w:rsid w:val="00CA1B47"/>
    <w:rsid w:val="00CA2A0A"/>
    <w:rsid w:val="00CA2CFD"/>
    <w:rsid w:val="00CA4B6F"/>
    <w:rsid w:val="00CA7469"/>
    <w:rsid w:val="00CB0423"/>
    <w:rsid w:val="00CB088B"/>
    <w:rsid w:val="00CB19EA"/>
    <w:rsid w:val="00CB1D8D"/>
    <w:rsid w:val="00CB2709"/>
    <w:rsid w:val="00CB356D"/>
    <w:rsid w:val="00CB5EA3"/>
    <w:rsid w:val="00CB6F89"/>
    <w:rsid w:val="00CC098E"/>
    <w:rsid w:val="00CC1B27"/>
    <w:rsid w:val="00CC2897"/>
    <w:rsid w:val="00CC410E"/>
    <w:rsid w:val="00CD07B7"/>
    <w:rsid w:val="00CD0981"/>
    <w:rsid w:val="00CD448E"/>
    <w:rsid w:val="00CD547F"/>
    <w:rsid w:val="00CD64C4"/>
    <w:rsid w:val="00CD7418"/>
    <w:rsid w:val="00CD7E6C"/>
    <w:rsid w:val="00CE0364"/>
    <w:rsid w:val="00CE04EA"/>
    <w:rsid w:val="00CE07E7"/>
    <w:rsid w:val="00CE1C49"/>
    <w:rsid w:val="00CE1CC5"/>
    <w:rsid w:val="00CE1E87"/>
    <w:rsid w:val="00CE228C"/>
    <w:rsid w:val="00CE3027"/>
    <w:rsid w:val="00CE3410"/>
    <w:rsid w:val="00CE3CED"/>
    <w:rsid w:val="00CE5DBC"/>
    <w:rsid w:val="00CE615B"/>
    <w:rsid w:val="00CE6C12"/>
    <w:rsid w:val="00CE75DD"/>
    <w:rsid w:val="00CF1CFF"/>
    <w:rsid w:val="00CF1E81"/>
    <w:rsid w:val="00CF22AA"/>
    <w:rsid w:val="00CF2653"/>
    <w:rsid w:val="00CF27B5"/>
    <w:rsid w:val="00CF2886"/>
    <w:rsid w:val="00CF344C"/>
    <w:rsid w:val="00CF37D7"/>
    <w:rsid w:val="00CF3C2E"/>
    <w:rsid w:val="00CF4669"/>
    <w:rsid w:val="00CF507F"/>
    <w:rsid w:val="00CF545B"/>
    <w:rsid w:val="00CF5795"/>
    <w:rsid w:val="00CF707A"/>
    <w:rsid w:val="00D00BE7"/>
    <w:rsid w:val="00D03A5E"/>
    <w:rsid w:val="00D03F01"/>
    <w:rsid w:val="00D0656D"/>
    <w:rsid w:val="00D113B5"/>
    <w:rsid w:val="00D11FF5"/>
    <w:rsid w:val="00D13375"/>
    <w:rsid w:val="00D166AC"/>
    <w:rsid w:val="00D16B34"/>
    <w:rsid w:val="00D16D94"/>
    <w:rsid w:val="00D175AA"/>
    <w:rsid w:val="00D17D3F"/>
    <w:rsid w:val="00D17E82"/>
    <w:rsid w:val="00D20BA5"/>
    <w:rsid w:val="00D20BD0"/>
    <w:rsid w:val="00D21345"/>
    <w:rsid w:val="00D22D06"/>
    <w:rsid w:val="00D25B5F"/>
    <w:rsid w:val="00D26044"/>
    <w:rsid w:val="00D26769"/>
    <w:rsid w:val="00D27B3D"/>
    <w:rsid w:val="00D27D69"/>
    <w:rsid w:val="00D308E8"/>
    <w:rsid w:val="00D30F12"/>
    <w:rsid w:val="00D326BD"/>
    <w:rsid w:val="00D33100"/>
    <w:rsid w:val="00D33DFC"/>
    <w:rsid w:val="00D34949"/>
    <w:rsid w:val="00D34CA3"/>
    <w:rsid w:val="00D432E3"/>
    <w:rsid w:val="00D43488"/>
    <w:rsid w:val="00D44452"/>
    <w:rsid w:val="00D4470F"/>
    <w:rsid w:val="00D448C2"/>
    <w:rsid w:val="00D468F7"/>
    <w:rsid w:val="00D502CF"/>
    <w:rsid w:val="00D50B0A"/>
    <w:rsid w:val="00D573FE"/>
    <w:rsid w:val="00D60BAF"/>
    <w:rsid w:val="00D62931"/>
    <w:rsid w:val="00D657AC"/>
    <w:rsid w:val="00D666C3"/>
    <w:rsid w:val="00D718B9"/>
    <w:rsid w:val="00D71C1C"/>
    <w:rsid w:val="00D72769"/>
    <w:rsid w:val="00D74DBA"/>
    <w:rsid w:val="00D806A3"/>
    <w:rsid w:val="00D80EFF"/>
    <w:rsid w:val="00D80F3C"/>
    <w:rsid w:val="00D819D0"/>
    <w:rsid w:val="00D83BC6"/>
    <w:rsid w:val="00D83EE9"/>
    <w:rsid w:val="00D84C29"/>
    <w:rsid w:val="00D852D4"/>
    <w:rsid w:val="00D85B40"/>
    <w:rsid w:val="00D86734"/>
    <w:rsid w:val="00D87206"/>
    <w:rsid w:val="00D875B2"/>
    <w:rsid w:val="00D9137B"/>
    <w:rsid w:val="00D93B67"/>
    <w:rsid w:val="00D9542B"/>
    <w:rsid w:val="00D959E2"/>
    <w:rsid w:val="00D95EA7"/>
    <w:rsid w:val="00D97040"/>
    <w:rsid w:val="00DA0096"/>
    <w:rsid w:val="00DA05BA"/>
    <w:rsid w:val="00DA0D2D"/>
    <w:rsid w:val="00DA10C1"/>
    <w:rsid w:val="00DA1298"/>
    <w:rsid w:val="00DA2F85"/>
    <w:rsid w:val="00DA3AE5"/>
    <w:rsid w:val="00DA3ED4"/>
    <w:rsid w:val="00DA56DA"/>
    <w:rsid w:val="00DA6116"/>
    <w:rsid w:val="00DA6EE0"/>
    <w:rsid w:val="00DA7747"/>
    <w:rsid w:val="00DA7A94"/>
    <w:rsid w:val="00DB0771"/>
    <w:rsid w:val="00DB0CC6"/>
    <w:rsid w:val="00DB15C4"/>
    <w:rsid w:val="00DB2214"/>
    <w:rsid w:val="00DB3CBA"/>
    <w:rsid w:val="00DB4709"/>
    <w:rsid w:val="00DB4E76"/>
    <w:rsid w:val="00DB60A2"/>
    <w:rsid w:val="00DB7976"/>
    <w:rsid w:val="00DB7C60"/>
    <w:rsid w:val="00DC2BF6"/>
    <w:rsid w:val="00DC4BEF"/>
    <w:rsid w:val="00DC4D30"/>
    <w:rsid w:val="00DC4DBF"/>
    <w:rsid w:val="00DC533E"/>
    <w:rsid w:val="00DC5E7F"/>
    <w:rsid w:val="00DC6E28"/>
    <w:rsid w:val="00DD0AD6"/>
    <w:rsid w:val="00DD0BA9"/>
    <w:rsid w:val="00DD1DC3"/>
    <w:rsid w:val="00DD1EAE"/>
    <w:rsid w:val="00DD1F1F"/>
    <w:rsid w:val="00DD1F40"/>
    <w:rsid w:val="00DD2662"/>
    <w:rsid w:val="00DD4CB4"/>
    <w:rsid w:val="00DD5872"/>
    <w:rsid w:val="00DD6C3A"/>
    <w:rsid w:val="00DE0702"/>
    <w:rsid w:val="00DE0ACA"/>
    <w:rsid w:val="00DE3DA2"/>
    <w:rsid w:val="00DE4A84"/>
    <w:rsid w:val="00DE4D6D"/>
    <w:rsid w:val="00DE4E56"/>
    <w:rsid w:val="00DE6BE6"/>
    <w:rsid w:val="00DF091E"/>
    <w:rsid w:val="00DF1DE4"/>
    <w:rsid w:val="00DF47FE"/>
    <w:rsid w:val="00DF6A83"/>
    <w:rsid w:val="00E00CD4"/>
    <w:rsid w:val="00E014D6"/>
    <w:rsid w:val="00E017FD"/>
    <w:rsid w:val="00E0186F"/>
    <w:rsid w:val="00E1074D"/>
    <w:rsid w:val="00E1126E"/>
    <w:rsid w:val="00E11D10"/>
    <w:rsid w:val="00E11DD0"/>
    <w:rsid w:val="00E12C71"/>
    <w:rsid w:val="00E13EE8"/>
    <w:rsid w:val="00E1614A"/>
    <w:rsid w:val="00E165D2"/>
    <w:rsid w:val="00E16ACA"/>
    <w:rsid w:val="00E20705"/>
    <w:rsid w:val="00E21F33"/>
    <w:rsid w:val="00E2204B"/>
    <w:rsid w:val="00E23803"/>
    <w:rsid w:val="00E23F4A"/>
    <w:rsid w:val="00E2448E"/>
    <w:rsid w:val="00E26081"/>
    <w:rsid w:val="00E260AC"/>
    <w:rsid w:val="00E26704"/>
    <w:rsid w:val="00E2689A"/>
    <w:rsid w:val="00E26A5C"/>
    <w:rsid w:val="00E26E5D"/>
    <w:rsid w:val="00E26E70"/>
    <w:rsid w:val="00E2757D"/>
    <w:rsid w:val="00E2791C"/>
    <w:rsid w:val="00E309BB"/>
    <w:rsid w:val="00E316C8"/>
    <w:rsid w:val="00E3189B"/>
    <w:rsid w:val="00E31980"/>
    <w:rsid w:val="00E330C2"/>
    <w:rsid w:val="00E330F7"/>
    <w:rsid w:val="00E369AB"/>
    <w:rsid w:val="00E3719D"/>
    <w:rsid w:val="00E41272"/>
    <w:rsid w:val="00E41331"/>
    <w:rsid w:val="00E4152F"/>
    <w:rsid w:val="00E41970"/>
    <w:rsid w:val="00E421D3"/>
    <w:rsid w:val="00E424B7"/>
    <w:rsid w:val="00E42E00"/>
    <w:rsid w:val="00E46082"/>
    <w:rsid w:val="00E52B7F"/>
    <w:rsid w:val="00E52E01"/>
    <w:rsid w:val="00E564C0"/>
    <w:rsid w:val="00E571BD"/>
    <w:rsid w:val="00E57C4B"/>
    <w:rsid w:val="00E620E4"/>
    <w:rsid w:val="00E63873"/>
    <w:rsid w:val="00E638E3"/>
    <w:rsid w:val="00E63E1E"/>
    <w:rsid w:val="00E6423C"/>
    <w:rsid w:val="00E64284"/>
    <w:rsid w:val="00E64DE8"/>
    <w:rsid w:val="00E700E6"/>
    <w:rsid w:val="00E70818"/>
    <w:rsid w:val="00E71ED8"/>
    <w:rsid w:val="00E72B57"/>
    <w:rsid w:val="00E7483E"/>
    <w:rsid w:val="00E754BF"/>
    <w:rsid w:val="00E77C6D"/>
    <w:rsid w:val="00E77C90"/>
    <w:rsid w:val="00E8075D"/>
    <w:rsid w:val="00E82FD0"/>
    <w:rsid w:val="00E83134"/>
    <w:rsid w:val="00E83BCC"/>
    <w:rsid w:val="00E83FAB"/>
    <w:rsid w:val="00E8434E"/>
    <w:rsid w:val="00E843B7"/>
    <w:rsid w:val="00E86DC9"/>
    <w:rsid w:val="00E910B6"/>
    <w:rsid w:val="00E9181E"/>
    <w:rsid w:val="00E92F26"/>
    <w:rsid w:val="00E9349A"/>
    <w:rsid w:val="00E93830"/>
    <w:rsid w:val="00E9388E"/>
    <w:rsid w:val="00E93E0E"/>
    <w:rsid w:val="00E94B66"/>
    <w:rsid w:val="00E95136"/>
    <w:rsid w:val="00E95DC1"/>
    <w:rsid w:val="00E976D2"/>
    <w:rsid w:val="00EA0A2C"/>
    <w:rsid w:val="00EA1DBD"/>
    <w:rsid w:val="00EA344F"/>
    <w:rsid w:val="00EA3AFD"/>
    <w:rsid w:val="00EA42D5"/>
    <w:rsid w:val="00EA48C2"/>
    <w:rsid w:val="00EA4C0E"/>
    <w:rsid w:val="00EA65C0"/>
    <w:rsid w:val="00EA7AF3"/>
    <w:rsid w:val="00EA7B94"/>
    <w:rsid w:val="00EA7F86"/>
    <w:rsid w:val="00EB01C0"/>
    <w:rsid w:val="00EB1ED3"/>
    <w:rsid w:val="00EB2E1B"/>
    <w:rsid w:val="00EB3C89"/>
    <w:rsid w:val="00EB4B5C"/>
    <w:rsid w:val="00EB4F8B"/>
    <w:rsid w:val="00EB630F"/>
    <w:rsid w:val="00EB6F45"/>
    <w:rsid w:val="00EC12DA"/>
    <w:rsid w:val="00EC2D51"/>
    <w:rsid w:val="00EC659E"/>
    <w:rsid w:val="00EC6791"/>
    <w:rsid w:val="00EC6D60"/>
    <w:rsid w:val="00EC701E"/>
    <w:rsid w:val="00EC7AEF"/>
    <w:rsid w:val="00ED01DB"/>
    <w:rsid w:val="00ED055F"/>
    <w:rsid w:val="00ED3B49"/>
    <w:rsid w:val="00ED6FE8"/>
    <w:rsid w:val="00ED7B69"/>
    <w:rsid w:val="00EE227D"/>
    <w:rsid w:val="00EE3CBD"/>
    <w:rsid w:val="00EE3D9D"/>
    <w:rsid w:val="00EE4713"/>
    <w:rsid w:val="00EE484C"/>
    <w:rsid w:val="00EE4F33"/>
    <w:rsid w:val="00EE5B06"/>
    <w:rsid w:val="00EE5BCA"/>
    <w:rsid w:val="00EE701D"/>
    <w:rsid w:val="00EF0152"/>
    <w:rsid w:val="00EF05BD"/>
    <w:rsid w:val="00EF38F4"/>
    <w:rsid w:val="00EF3A5B"/>
    <w:rsid w:val="00EF3B9E"/>
    <w:rsid w:val="00EF625A"/>
    <w:rsid w:val="00EF788F"/>
    <w:rsid w:val="00F0005E"/>
    <w:rsid w:val="00F00922"/>
    <w:rsid w:val="00F00AEE"/>
    <w:rsid w:val="00F01B59"/>
    <w:rsid w:val="00F03815"/>
    <w:rsid w:val="00F0500E"/>
    <w:rsid w:val="00F068AE"/>
    <w:rsid w:val="00F1049C"/>
    <w:rsid w:val="00F12768"/>
    <w:rsid w:val="00F12A9A"/>
    <w:rsid w:val="00F13385"/>
    <w:rsid w:val="00F13564"/>
    <w:rsid w:val="00F1369F"/>
    <w:rsid w:val="00F13F05"/>
    <w:rsid w:val="00F169B0"/>
    <w:rsid w:val="00F174C2"/>
    <w:rsid w:val="00F179FE"/>
    <w:rsid w:val="00F21DB3"/>
    <w:rsid w:val="00F220C4"/>
    <w:rsid w:val="00F23E34"/>
    <w:rsid w:val="00F26395"/>
    <w:rsid w:val="00F271A0"/>
    <w:rsid w:val="00F2773E"/>
    <w:rsid w:val="00F2781C"/>
    <w:rsid w:val="00F27EFE"/>
    <w:rsid w:val="00F30003"/>
    <w:rsid w:val="00F32DA4"/>
    <w:rsid w:val="00F35441"/>
    <w:rsid w:val="00F3675B"/>
    <w:rsid w:val="00F40602"/>
    <w:rsid w:val="00F40D9B"/>
    <w:rsid w:val="00F414CB"/>
    <w:rsid w:val="00F41E59"/>
    <w:rsid w:val="00F42BCA"/>
    <w:rsid w:val="00F4347E"/>
    <w:rsid w:val="00F45237"/>
    <w:rsid w:val="00F455DC"/>
    <w:rsid w:val="00F46655"/>
    <w:rsid w:val="00F47127"/>
    <w:rsid w:val="00F476A2"/>
    <w:rsid w:val="00F50BF2"/>
    <w:rsid w:val="00F50C5B"/>
    <w:rsid w:val="00F50CEF"/>
    <w:rsid w:val="00F515A6"/>
    <w:rsid w:val="00F51BBA"/>
    <w:rsid w:val="00F5305C"/>
    <w:rsid w:val="00F5445D"/>
    <w:rsid w:val="00F55946"/>
    <w:rsid w:val="00F56F25"/>
    <w:rsid w:val="00F578B6"/>
    <w:rsid w:val="00F61A0A"/>
    <w:rsid w:val="00F61E35"/>
    <w:rsid w:val="00F62444"/>
    <w:rsid w:val="00F62E57"/>
    <w:rsid w:val="00F6357F"/>
    <w:rsid w:val="00F64042"/>
    <w:rsid w:val="00F6479D"/>
    <w:rsid w:val="00F64C3F"/>
    <w:rsid w:val="00F6760A"/>
    <w:rsid w:val="00F70CF6"/>
    <w:rsid w:val="00F71633"/>
    <w:rsid w:val="00F72354"/>
    <w:rsid w:val="00F7297B"/>
    <w:rsid w:val="00F72F36"/>
    <w:rsid w:val="00F73581"/>
    <w:rsid w:val="00F73A45"/>
    <w:rsid w:val="00F74BE5"/>
    <w:rsid w:val="00F74C26"/>
    <w:rsid w:val="00F77F8B"/>
    <w:rsid w:val="00F81280"/>
    <w:rsid w:val="00F81F79"/>
    <w:rsid w:val="00F82B3B"/>
    <w:rsid w:val="00F84060"/>
    <w:rsid w:val="00F86F7A"/>
    <w:rsid w:val="00F907FA"/>
    <w:rsid w:val="00F90C0B"/>
    <w:rsid w:val="00F91278"/>
    <w:rsid w:val="00F915C2"/>
    <w:rsid w:val="00F91A68"/>
    <w:rsid w:val="00F91C80"/>
    <w:rsid w:val="00F91E77"/>
    <w:rsid w:val="00F92017"/>
    <w:rsid w:val="00F92950"/>
    <w:rsid w:val="00F92F9A"/>
    <w:rsid w:val="00F93F26"/>
    <w:rsid w:val="00F95B02"/>
    <w:rsid w:val="00F96F6C"/>
    <w:rsid w:val="00F97CCA"/>
    <w:rsid w:val="00FA051F"/>
    <w:rsid w:val="00FA2E2F"/>
    <w:rsid w:val="00FA3ABC"/>
    <w:rsid w:val="00FA3D9D"/>
    <w:rsid w:val="00FB0388"/>
    <w:rsid w:val="00FB109A"/>
    <w:rsid w:val="00FB11E5"/>
    <w:rsid w:val="00FB1415"/>
    <w:rsid w:val="00FB3E4B"/>
    <w:rsid w:val="00FB5889"/>
    <w:rsid w:val="00FB6173"/>
    <w:rsid w:val="00FB687C"/>
    <w:rsid w:val="00FB6BCB"/>
    <w:rsid w:val="00FB7E0F"/>
    <w:rsid w:val="00FC0B20"/>
    <w:rsid w:val="00FC5D0B"/>
    <w:rsid w:val="00FD2E7E"/>
    <w:rsid w:val="00FD3187"/>
    <w:rsid w:val="00FD51EB"/>
    <w:rsid w:val="00FD5E47"/>
    <w:rsid w:val="00FD63F3"/>
    <w:rsid w:val="00FD6B25"/>
    <w:rsid w:val="00FD6D15"/>
    <w:rsid w:val="00FD6DEA"/>
    <w:rsid w:val="00FE0B91"/>
    <w:rsid w:val="00FE0C2F"/>
    <w:rsid w:val="00FE14B7"/>
    <w:rsid w:val="00FE1513"/>
    <w:rsid w:val="00FE355C"/>
    <w:rsid w:val="00FE4662"/>
    <w:rsid w:val="00FE5AAD"/>
    <w:rsid w:val="00FF04D9"/>
    <w:rsid w:val="00FF2AEF"/>
    <w:rsid w:val="00FF2D6A"/>
    <w:rsid w:val="00FF301C"/>
    <w:rsid w:val="00FF3DA2"/>
    <w:rsid w:val="00FF465A"/>
    <w:rsid w:val="00FF79E3"/>
    <w:rsid w:val="00FF7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126B5CCA"/>
  <w15:docId w15:val="{9254F918-8816-4AC9-A73A-D5EE998E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Textpoznpodarou">
    <w:name w:val="footnote text"/>
    <w:aliases w:val="Text pozn. pod čarou_martin_ang"/>
    <w:basedOn w:val="Normln"/>
    <w:link w:val="TextpoznpodarouChar"/>
    <w:uiPriority w:val="99"/>
    <w:qFormat/>
    <w:rsid w:val="007F6239"/>
    <w:pPr>
      <w:spacing w:line="240" w:lineRule="auto"/>
      <w:jc w:val="left"/>
    </w:pPr>
    <w:rPr>
      <w:szCs w:val="20"/>
      <w:lang w:eastAsia="cs-CZ"/>
    </w:rPr>
  </w:style>
  <w:style w:type="character" w:customStyle="1" w:styleId="TextpoznpodarouChar">
    <w:name w:val="Text pozn. pod čarou Char"/>
    <w:aliases w:val="Text pozn. pod čarou_martin_ang Char"/>
    <w:basedOn w:val="Standardnpsmoodstavce"/>
    <w:link w:val="Textpoznpodarou"/>
    <w:qFormat/>
    <w:rsid w:val="007F6239"/>
    <w:rPr>
      <w:rFonts w:ascii="Arial" w:hAnsi="Arial"/>
    </w:rPr>
  </w:style>
  <w:style w:type="character" w:styleId="Znakapoznpodarou">
    <w:name w:val="footnote reference"/>
    <w:rsid w:val="007F6239"/>
    <w:rPr>
      <w:rFonts w:cs="Times New Roman"/>
      <w:vertAlign w:val="superscript"/>
    </w:rPr>
  </w:style>
  <w:style w:type="paragraph" w:styleId="Textkomente">
    <w:name w:val="annotation text"/>
    <w:basedOn w:val="Normln"/>
    <w:link w:val="TextkomenteChar"/>
    <w:uiPriority w:val="99"/>
    <w:unhideWhenUsed/>
    <w:rsid w:val="00C65FAA"/>
    <w:pPr>
      <w:spacing w:after="240" w:line="240" w:lineRule="auto"/>
    </w:pPr>
    <w:rPr>
      <w:rFonts w:eastAsia="Times New Roman"/>
      <w:szCs w:val="20"/>
      <w:lang w:eastAsia="cs-CZ"/>
    </w:rPr>
  </w:style>
  <w:style w:type="character" w:customStyle="1" w:styleId="TextkomenteChar">
    <w:name w:val="Text komentáře Char"/>
    <w:basedOn w:val="Standardnpsmoodstavce"/>
    <w:link w:val="Textkomente"/>
    <w:uiPriority w:val="99"/>
    <w:rsid w:val="00C65FAA"/>
    <w:rPr>
      <w:rFonts w:ascii="Arial" w:eastAsia="Times New Roman" w:hAnsi="Arial"/>
    </w:rPr>
  </w:style>
  <w:style w:type="character" w:customStyle="1" w:styleId="odkaz-style-wrapper">
    <w:name w:val="odkaz-style-wrapper"/>
    <w:basedOn w:val="Standardnpsmoodstavce"/>
    <w:rsid w:val="00614585"/>
  </w:style>
  <w:style w:type="character" w:styleId="Odkaznakoment">
    <w:name w:val="annotation reference"/>
    <w:basedOn w:val="Standardnpsmoodstavce"/>
    <w:uiPriority w:val="99"/>
    <w:semiHidden/>
    <w:unhideWhenUsed/>
    <w:rsid w:val="009015C7"/>
    <w:rPr>
      <w:sz w:val="16"/>
      <w:szCs w:val="16"/>
    </w:rPr>
  </w:style>
  <w:style w:type="paragraph" w:styleId="Pedmtkomente">
    <w:name w:val="annotation subject"/>
    <w:basedOn w:val="Textkomente"/>
    <w:next w:val="Textkomente"/>
    <w:link w:val="PedmtkomenteChar"/>
    <w:uiPriority w:val="99"/>
    <w:semiHidden/>
    <w:unhideWhenUsed/>
    <w:rsid w:val="009015C7"/>
    <w:pPr>
      <w:spacing w:after="0"/>
    </w:pPr>
    <w:rPr>
      <w:rFonts w:eastAsia="Calibri"/>
      <w:b/>
      <w:bCs/>
      <w:lang w:eastAsia="en-US"/>
    </w:rPr>
  </w:style>
  <w:style w:type="character" w:customStyle="1" w:styleId="PedmtkomenteChar">
    <w:name w:val="Předmět komentáře Char"/>
    <w:basedOn w:val="TextkomenteChar"/>
    <w:link w:val="Pedmtkomente"/>
    <w:uiPriority w:val="99"/>
    <w:semiHidden/>
    <w:rsid w:val="009015C7"/>
    <w:rPr>
      <w:rFonts w:ascii="Arial" w:eastAsia="Times New Roman" w:hAnsi="Arial"/>
      <w:b/>
      <w:bCs/>
      <w:lang w:eastAsia="en-US"/>
    </w:rPr>
  </w:style>
  <w:style w:type="character" w:styleId="Sledovanodkaz">
    <w:name w:val="FollowedHyperlink"/>
    <w:basedOn w:val="Standardnpsmoodstavce"/>
    <w:uiPriority w:val="99"/>
    <w:semiHidden/>
    <w:unhideWhenUsed/>
    <w:rsid w:val="00DC6E28"/>
    <w:rPr>
      <w:color w:val="800080" w:themeColor="followedHyperlink"/>
      <w:u w:val="single"/>
    </w:rPr>
  </w:style>
  <w:style w:type="paragraph" w:styleId="Revize">
    <w:name w:val="Revision"/>
    <w:hidden/>
    <w:uiPriority w:val="99"/>
    <w:semiHidden/>
    <w:rsid w:val="006B5A01"/>
    <w:rPr>
      <w:rFonts w:ascii="Arial" w:hAnsi="Arial"/>
      <w:szCs w:val="22"/>
      <w:lang w:eastAsia="en-US"/>
    </w:rPr>
  </w:style>
  <w:style w:type="character" w:customStyle="1" w:styleId="Nevyeenzmnka1">
    <w:name w:val="Nevyřešená zmínka1"/>
    <w:basedOn w:val="Standardnpsmoodstavce"/>
    <w:uiPriority w:val="99"/>
    <w:semiHidden/>
    <w:unhideWhenUsed/>
    <w:rsid w:val="001C4AB9"/>
    <w:rPr>
      <w:color w:val="605E5C"/>
      <w:shd w:val="clear" w:color="auto" w:fill="E1DFDD"/>
    </w:rPr>
  </w:style>
  <w:style w:type="character" w:customStyle="1" w:styleId="Nevyeenzmnka2">
    <w:name w:val="Nevyřešená zmínka2"/>
    <w:basedOn w:val="Standardnpsmoodstavce"/>
    <w:uiPriority w:val="99"/>
    <w:semiHidden/>
    <w:unhideWhenUsed/>
    <w:rsid w:val="006A7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96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383722465">
      <w:bodyDiv w:val="1"/>
      <w:marLeft w:val="0"/>
      <w:marRight w:val="0"/>
      <w:marTop w:val="0"/>
      <w:marBottom w:val="0"/>
      <w:divBdr>
        <w:top w:val="none" w:sz="0" w:space="0" w:color="auto"/>
        <w:left w:val="none" w:sz="0" w:space="0" w:color="auto"/>
        <w:bottom w:val="none" w:sz="0" w:space="0" w:color="auto"/>
        <w:right w:val="none" w:sz="0" w:space="0" w:color="auto"/>
      </w:divBdr>
    </w:div>
    <w:div w:id="410586142">
      <w:bodyDiv w:val="1"/>
      <w:marLeft w:val="0"/>
      <w:marRight w:val="0"/>
      <w:marTop w:val="0"/>
      <w:marBottom w:val="0"/>
      <w:divBdr>
        <w:top w:val="none" w:sz="0" w:space="0" w:color="auto"/>
        <w:left w:val="none" w:sz="0" w:space="0" w:color="auto"/>
        <w:bottom w:val="none" w:sz="0" w:space="0" w:color="auto"/>
        <w:right w:val="none" w:sz="0" w:space="0" w:color="auto"/>
      </w:divBdr>
    </w:div>
    <w:div w:id="502598087">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8398313">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82644762">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 w:id="20818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emf"/><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bojnikova31519\AppData\Local\Temp\Anal&#253;za%20CZ.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Anal&#253;za\Sektorov&#233;%20&#250;&#269;ty\2023Q1\grafy_sektorove_uc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Anal&#253;za\Sektorov&#233;%20&#250;&#269;ty\2023Q1\grafy_sektorove_uct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nal&#253;za\Sektorov&#233;%20&#250;&#269;ty\2022Q4\grafy_sektorove_uct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nal&#253;za\Sektorov&#233;%20&#250;&#269;ty\2022Q4\grafy_sektorove_uct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Anal&#253;za\Sektorov&#233;%20&#250;&#269;ty\2023Q1\grafy_sektorove_ucty.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96006416751094E-2"/>
          <c:y val="3.9316672295395698E-2"/>
          <c:w val="0.84196935157041541"/>
          <c:h val="0.75316250140718222"/>
        </c:manualLayout>
      </c:layout>
      <c:barChart>
        <c:barDir val="col"/>
        <c:grouping val="clustered"/>
        <c:varyColors val="0"/>
        <c:ser>
          <c:idx val="0"/>
          <c:order val="0"/>
          <c:tx>
            <c:strRef>
              <c:f>NP!$C$7</c:f>
              <c:strCache>
                <c:ptCount val="1"/>
                <c:pt idx="0">
                  <c:v>HPH</c:v>
                </c:pt>
              </c:strCache>
            </c:strRef>
          </c:tx>
          <c:spPr>
            <a:solidFill>
              <a:srgbClr val="0070C0"/>
            </a:solidFill>
            <a:ln>
              <a:noFill/>
            </a:ln>
            <a:effectLst/>
          </c:spPr>
          <c:invertIfNegative val="0"/>
          <c:cat>
            <c:multiLvlStrRef>
              <c:f>NP!$A$20:$B$44</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NP!$C$20:$C$44</c:f>
              <c:numCache>
                <c:formatCode>0.0</c:formatCode>
                <c:ptCount val="25"/>
                <c:pt idx="0">
                  <c:v>30.613</c:v>
                </c:pt>
                <c:pt idx="1">
                  <c:v>40.911000000000001</c:v>
                </c:pt>
                <c:pt idx="2">
                  <c:v>61.198999999999998</c:v>
                </c:pt>
                <c:pt idx="3">
                  <c:v>49.415999999999997</c:v>
                </c:pt>
                <c:pt idx="4">
                  <c:v>37.255000000000003</c:v>
                </c:pt>
                <c:pt idx="5">
                  <c:v>30.933</c:v>
                </c:pt>
                <c:pt idx="6">
                  <c:v>28.498999999999999</c:v>
                </c:pt>
                <c:pt idx="7">
                  <c:v>36.008000000000003</c:v>
                </c:pt>
                <c:pt idx="8">
                  <c:v>45.710999999999999</c:v>
                </c:pt>
                <c:pt idx="9">
                  <c:v>56.304000000000002</c:v>
                </c:pt>
                <c:pt idx="10">
                  <c:v>69.814999999999998</c:v>
                </c:pt>
                <c:pt idx="11">
                  <c:v>64.856999999999999</c:v>
                </c:pt>
                <c:pt idx="12">
                  <c:v>26.132000000000001</c:v>
                </c:pt>
                <c:pt idx="13">
                  <c:v>-79.585999999999999</c:v>
                </c:pt>
                <c:pt idx="14">
                  <c:v>-22.152999999999999</c:v>
                </c:pt>
                <c:pt idx="15">
                  <c:v>-10.071</c:v>
                </c:pt>
                <c:pt idx="16" formatCode="General">
                  <c:v>12.1</c:v>
                </c:pt>
                <c:pt idx="17" formatCode="General">
                  <c:v>126.651</c:v>
                </c:pt>
                <c:pt idx="18" formatCode="General">
                  <c:v>70.298000000000002</c:v>
                </c:pt>
                <c:pt idx="19" formatCode="General">
                  <c:v>48.523000000000003</c:v>
                </c:pt>
                <c:pt idx="20" formatCode="General">
                  <c:v>94.037000000000006</c:v>
                </c:pt>
                <c:pt idx="21" formatCode="General">
                  <c:v>104.107</c:v>
                </c:pt>
                <c:pt idx="22" formatCode="General">
                  <c:v>134.62299999999999</c:v>
                </c:pt>
                <c:pt idx="23" formatCode="General">
                  <c:v>147.40600000000001</c:v>
                </c:pt>
                <c:pt idx="24" formatCode="General">
                  <c:v>162.435</c:v>
                </c:pt>
              </c:numCache>
            </c:numRef>
          </c:val>
          <c:extLst>
            <c:ext xmlns:c16="http://schemas.microsoft.com/office/drawing/2014/chart" uri="{C3380CC4-5D6E-409C-BE32-E72D297353CC}">
              <c16:uniqueId val="{00000000-053D-41EE-82B4-8EFD198B4AC5}"/>
            </c:ext>
          </c:extLst>
        </c:ser>
        <c:ser>
          <c:idx val="1"/>
          <c:order val="1"/>
          <c:tx>
            <c:strRef>
              <c:f>NP!$D$7</c:f>
              <c:strCache>
                <c:ptCount val="1"/>
                <c:pt idx="0">
                  <c:v>Náhrady zaměstnancům</c:v>
                </c:pt>
              </c:strCache>
            </c:strRef>
          </c:tx>
          <c:spPr>
            <a:solidFill>
              <a:srgbClr val="FF0000"/>
            </a:solidFill>
            <a:ln>
              <a:noFill/>
            </a:ln>
            <a:effectLst/>
          </c:spPr>
          <c:invertIfNegative val="0"/>
          <c:cat>
            <c:multiLvlStrRef>
              <c:f>NP!$A$20:$B$44</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NP!$D$20:$D$44</c:f>
              <c:numCache>
                <c:formatCode>0.0</c:formatCode>
                <c:ptCount val="25"/>
                <c:pt idx="0">
                  <c:v>27.047000000000001</c:v>
                </c:pt>
                <c:pt idx="1">
                  <c:v>37.268999999999998</c:v>
                </c:pt>
                <c:pt idx="2">
                  <c:v>35.341999999999999</c:v>
                </c:pt>
                <c:pt idx="3">
                  <c:v>32.363999999999997</c:v>
                </c:pt>
                <c:pt idx="4">
                  <c:v>35.039000000000001</c:v>
                </c:pt>
                <c:pt idx="5">
                  <c:v>36.268000000000001</c:v>
                </c:pt>
                <c:pt idx="6">
                  <c:v>33.268999999999998</c:v>
                </c:pt>
                <c:pt idx="7">
                  <c:v>40.823</c:v>
                </c:pt>
                <c:pt idx="8">
                  <c:v>32.991</c:v>
                </c:pt>
                <c:pt idx="9">
                  <c:v>32.084000000000003</c:v>
                </c:pt>
                <c:pt idx="10">
                  <c:v>27.997</c:v>
                </c:pt>
                <c:pt idx="11">
                  <c:v>27.196000000000002</c:v>
                </c:pt>
                <c:pt idx="12">
                  <c:v>20.518999999999998</c:v>
                </c:pt>
                <c:pt idx="13">
                  <c:v>-29.218</c:v>
                </c:pt>
                <c:pt idx="14">
                  <c:v>-6.2619999999999996</c:v>
                </c:pt>
                <c:pt idx="15">
                  <c:v>1.2110000000000001</c:v>
                </c:pt>
                <c:pt idx="16" formatCode="General">
                  <c:v>-14.814</c:v>
                </c:pt>
                <c:pt idx="17" formatCode="General">
                  <c:v>47.508000000000003</c:v>
                </c:pt>
                <c:pt idx="18" formatCode="General">
                  <c:v>42.628</c:v>
                </c:pt>
                <c:pt idx="19" formatCode="General">
                  <c:v>38.332999999999998</c:v>
                </c:pt>
                <c:pt idx="20" formatCode="General">
                  <c:v>54.42</c:v>
                </c:pt>
                <c:pt idx="21" formatCode="General">
                  <c:v>53.536999999999999</c:v>
                </c:pt>
                <c:pt idx="22" formatCode="General">
                  <c:v>38.448999999999998</c:v>
                </c:pt>
                <c:pt idx="23" formatCode="General">
                  <c:v>47.076000000000001</c:v>
                </c:pt>
                <c:pt idx="24" formatCode="General">
                  <c:v>52.267000000000003</c:v>
                </c:pt>
              </c:numCache>
            </c:numRef>
          </c:val>
          <c:extLst>
            <c:ext xmlns:c16="http://schemas.microsoft.com/office/drawing/2014/chart" uri="{C3380CC4-5D6E-409C-BE32-E72D297353CC}">
              <c16:uniqueId val="{00000001-053D-41EE-82B4-8EFD198B4AC5}"/>
            </c:ext>
          </c:extLst>
        </c:ser>
        <c:dLbls>
          <c:showLegendKey val="0"/>
          <c:showVal val="0"/>
          <c:showCatName val="0"/>
          <c:showSerName val="0"/>
          <c:showPercent val="0"/>
          <c:showBubbleSize val="0"/>
        </c:dLbls>
        <c:gapWidth val="94"/>
        <c:overlap val="-27"/>
        <c:axId val="779606304"/>
        <c:axId val="779603392"/>
      </c:barChart>
      <c:lineChart>
        <c:grouping val="standard"/>
        <c:varyColors val="0"/>
        <c:ser>
          <c:idx val="2"/>
          <c:order val="2"/>
          <c:tx>
            <c:strRef>
              <c:f>NP!$E$7</c:f>
              <c:strCache>
                <c:ptCount val="1"/>
                <c:pt idx="0">
                  <c:v>Míra zisku</c:v>
                </c:pt>
              </c:strCache>
            </c:strRef>
          </c:tx>
          <c:spPr>
            <a:ln w="28575" cap="rnd">
              <a:solidFill>
                <a:schemeClr val="bg1">
                  <a:lumMod val="65000"/>
                </a:schemeClr>
              </a:solidFill>
              <a:round/>
            </a:ln>
            <a:effectLst/>
          </c:spPr>
          <c:marker>
            <c:symbol val="none"/>
          </c:marker>
          <c:cat>
            <c:multiLvlStrRef>
              <c:f>NP!$A$20:$B$44</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NP!$E$20:$E$44</c:f>
              <c:numCache>
                <c:formatCode>0.0</c:formatCode>
                <c:ptCount val="25"/>
                <c:pt idx="0">
                  <c:v>47.263661621302347</c:v>
                </c:pt>
                <c:pt idx="1">
                  <c:v>47.6096307868333</c:v>
                </c:pt>
                <c:pt idx="2">
                  <c:v>47.444112434627087</c:v>
                </c:pt>
                <c:pt idx="3">
                  <c:v>47.112066680891488</c:v>
                </c:pt>
                <c:pt idx="4">
                  <c:v>45.575359830942972</c:v>
                </c:pt>
                <c:pt idx="5">
                  <c:v>45.105908230491842</c:v>
                </c:pt>
                <c:pt idx="6">
                  <c:v>45.12653273171442</c:v>
                </c:pt>
                <c:pt idx="7">
                  <c:v>44.346020075092426</c:v>
                </c:pt>
                <c:pt idx="8">
                  <c:v>44.501596983559793</c:v>
                </c:pt>
                <c:pt idx="9">
                  <c:v>45.138031040298998</c:v>
                </c:pt>
                <c:pt idx="10">
                  <c:v>45.231975017604015</c:v>
                </c:pt>
                <c:pt idx="11">
                  <c:v>45.363501439031637</c:v>
                </c:pt>
                <c:pt idx="12">
                  <c:v>43.590430688184817</c:v>
                </c:pt>
                <c:pt idx="13" formatCode="General">
                  <c:v>44.547105783354432</c:v>
                </c:pt>
                <c:pt idx="14" formatCode="General">
                  <c:v>45.467092481636421</c:v>
                </c:pt>
                <c:pt idx="15" formatCode="General">
                  <c:v>46.749550246497762</c:v>
                </c:pt>
                <c:pt idx="16" formatCode="General">
                  <c:v>48.582773936579997</c:v>
                </c:pt>
                <c:pt idx="17" formatCode="General">
                  <c:v>47.103435725471151</c:v>
                </c:pt>
                <c:pt idx="18" formatCode="General">
                  <c:v>45.17636628459249</c:v>
                </c:pt>
                <c:pt idx="19" formatCode="General">
                  <c:v>44.398043616016182</c:v>
                </c:pt>
                <c:pt idx="20" formatCode="General">
                  <c:v>45.642432257397395</c:v>
                </c:pt>
                <c:pt idx="21" formatCode="General">
                  <c:v>46.150025045049915</c:v>
                </c:pt>
                <c:pt idx="22" formatCode="General">
                  <c:v>48.125254469408155</c:v>
                </c:pt>
                <c:pt idx="23" formatCode="General">
                  <c:v>48.319786355911631</c:v>
                </c:pt>
                <c:pt idx="24" formatCode="General">
                  <c:v>48.554875853958023</c:v>
                </c:pt>
              </c:numCache>
            </c:numRef>
          </c:val>
          <c:smooth val="0"/>
          <c:extLst>
            <c:ext xmlns:c16="http://schemas.microsoft.com/office/drawing/2014/chart" uri="{C3380CC4-5D6E-409C-BE32-E72D297353CC}">
              <c16:uniqueId val="{00000002-053D-41EE-82B4-8EFD198B4AC5}"/>
            </c:ext>
          </c:extLst>
        </c:ser>
        <c:dLbls>
          <c:showLegendKey val="0"/>
          <c:showVal val="0"/>
          <c:showCatName val="0"/>
          <c:showSerName val="0"/>
          <c:showPercent val="0"/>
          <c:showBubbleSize val="0"/>
        </c:dLbls>
        <c:marker val="1"/>
        <c:smooth val="0"/>
        <c:axId val="787215184"/>
        <c:axId val="787196880"/>
      </c:lineChart>
      <c:catAx>
        <c:axId val="7796063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779603392"/>
        <c:crosses val="autoZero"/>
        <c:auto val="1"/>
        <c:lblAlgn val="ctr"/>
        <c:lblOffset val="100"/>
        <c:noMultiLvlLbl val="0"/>
      </c:catAx>
      <c:valAx>
        <c:axId val="779603392"/>
        <c:scaling>
          <c:orientation val="minMax"/>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en-US"/>
                  <a:t>HPH, </a:t>
                </a:r>
                <a:r>
                  <a:rPr lang="cs-CZ"/>
                  <a:t>ná</a:t>
                </a:r>
                <a:r>
                  <a:rPr lang="en-US"/>
                  <a:t>hrady</a:t>
                </a:r>
                <a:r>
                  <a:rPr lang="cs-CZ"/>
                  <a:t> zaměstnancům (mld. korun)</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779606304"/>
        <c:crosses val="autoZero"/>
        <c:crossBetween val="between"/>
        <c:majorUnit val="30"/>
      </c:valAx>
      <c:valAx>
        <c:axId val="787196880"/>
        <c:scaling>
          <c:orientation val="minMax"/>
          <c:max val="5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cs-CZ"/>
                  <a:t>Míra zisku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787215184"/>
        <c:crosses val="max"/>
        <c:crossBetween val="between"/>
      </c:valAx>
      <c:catAx>
        <c:axId val="787215184"/>
        <c:scaling>
          <c:orientation val="minMax"/>
        </c:scaling>
        <c:delete val="1"/>
        <c:axPos val="b"/>
        <c:numFmt formatCode="General" sourceLinked="1"/>
        <c:majorTickMark val="out"/>
        <c:minorTickMark val="none"/>
        <c:tickLblPos val="nextTo"/>
        <c:crossAx val="787196880"/>
        <c:crosses val="autoZero"/>
        <c:auto val="1"/>
        <c:lblAlgn val="ctr"/>
        <c:lblOffset val="100"/>
        <c:noMultiLvlLbl val="0"/>
      </c:catAx>
      <c:spPr>
        <a:noFill/>
        <a:ln>
          <a:noFill/>
        </a:ln>
        <a:effectLst/>
      </c:spPr>
    </c:plotArea>
    <c:legend>
      <c:legendPos val="b"/>
      <c:layout>
        <c:manualLayout>
          <c:xMode val="edge"/>
          <c:yMode val="edge"/>
          <c:x val="8.1322821681864235E-2"/>
          <c:y val="0.89978976697061808"/>
          <c:w val="0.84271572104018899"/>
          <c:h val="7.876477541371158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478765619723061E-2"/>
          <c:y val="3.9316672295395698E-2"/>
          <c:w val="0.83534806653157723"/>
          <c:h val="0.76456855791962175"/>
        </c:manualLayout>
      </c:layout>
      <c:barChart>
        <c:barDir val="col"/>
        <c:grouping val="clustered"/>
        <c:varyColors val="0"/>
        <c:ser>
          <c:idx val="0"/>
          <c:order val="0"/>
          <c:tx>
            <c:strRef>
              <c:f>'NP2'!$C$6</c:f>
              <c:strCache>
                <c:ptCount val="1"/>
                <c:pt idx="0">
                  <c:v>Tvorba hrubého fixního kapitálu</c:v>
                </c:pt>
              </c:strCache>
            </c:strRef>
          </c:tx>
          <c:spPr>
            <a:solidFill>
              <a:srgbClr val="0070C0"/>
            </a:solidFill>
            <a:ln>
              <a:noFill/>
            </a:ln>
            <a:effectLst/>
          </c:spPr>
          <c:invertIfNegative val="0"/>
          <c:cat>
            <c:multiLvlStrRef>
              <c:f>'NP2'!$A$19:$B$43</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'NP2'!$C$19:$C$43</c:f>
              <c:numCache>
                <c:formatCode>General</c:formatCode>
                <c:ptCount val="25"/>
                <c:pt idx="0">
                  <c:v>8.5790000000000006</c:v>
                </c:pt>
                <c:pt idx="1">
                  <c:v>16.106000000000002</c:v>
                </c:pt>
                <c:pt idx="2">
                  <c:v>18.687000000000001</c:v>
                </c:pt>
                <c:pt idx="3">
                  <c:v>26.071999999999999</c:v>
                </c:pt>
                <c:pt idx="4">
                  <c:v>6.3949999999999996</c:v>
                </c:pt>
                <c:pt idx="5">
                  <c:v>8.6140000000000008</c:v>
                </c:pt>
                <c:pt idx="6">
                  <c:v>7.9569999999999999</c:v>
                </c:pt>
                <c:pt idx="7">
                  <c:v>16.013000000000002</c:v>
                </c:pt>
                <c:pt idx="8">
                  <c:v>17.695</c:v>
                </c:pt>
                <c:pt idx="9">
                  <c:v>13.617000000000001</c:v>
                </c:pt>
                <c:pt idx="10">
                  <c:v>25.163</c:v>
                </c:pt>
                <c:pt idx="11">
                  <c:v>32.338999999999999</c:v>
                </c:pt>
                <c:pt idx="12">
                  <c:v>-3.714</c:v>
                </c:pt>
                <c:pt idx="13">
                  <c:v>-7.29</c:v>
                </c:pt>
                <c:pt idx="14">
                  <c:v>-20.146000000000001</c:v>
                </c:pt>
                <c:pt idx="15">
                  <c:v>-40.325000000000003</c:v>
                </c:pt>
                <c:pt idx="16">
                  <c:v>1.694</c:v>
                </c:pt>
                <c:pt idx="17">
                  <c:v>16.667000000000002</c:v>
                </c:pt>
                <c:pt idx="18">
                  <c:v>12.728999999999999</c:v>
                </c:pt>
                <c:pt idx="19">
                  <c:v>23.949000000000002</c:v>
                </c:pt>
                <c:pt idx="20">
                  <c:v>39.835999999999999</c:v>
                </c:pt>
                <c:pt idx="21">
                  <c:v>50.484999999999999</c:v>
                </c:pt>
                <c:pt idx="22">
                  <c:v>51.237000000000002</c:v>
                </c:pt>
                <c:pt idx="23">
                  <c:v>52.715000000000003</c:v>
                </c:pt>
                <c:pt idx="24">
                  <c:v>18.495999999999999</c:v>
                </c:pt>
              </c:numCache>
            </c:numRef>
          </c:val>
          <c:extLst>
            <c:ext xmlns:c16="http://schemas.microsoft.com/office/drawing/2014/chart" uri="{C3380CC4-5D6E-409C-BE32-E72D297353CC}">
              <c16:uniqueId val="{00000000-0793-4109-8AAD-665B9FA04339}"/>
            </c:ext>
          </c:extLst>
        </c:ser>
        <c:dLbls>
          <c:showLegendKey val="0"/>
          <c:showVal val="0"/>
          <c:showCatName val="0"/>
          <c:showSerName val="0"/>
          <c:showPercent val="0"/>
          <c:showBubbleSize val="0"/>
        </c:dLbls>
        <c:gapWidth val="99"/>
        <c:overlap val="-27"/>
        <c:axId val="787223504"/>
        <c:axId val="787224752"/>
      </c:barChart>
      <c:lineChart>
        <c:grouping val="standard"/>
        <c:varyColors val="0"/>
        <c:ser>
          <c:idx val="1"/>
          <c:order val="1"/>
          <c:tx>
            <c:strRef>
              <c:f>'NP2'!$D$6</c:f>
              <c:strCache>
                <c:ptCount val="1"/>
                <c:pt idx="0">
                  <c:v>Míra investic</c:v>
                </c:pt>
              </c:strCache>
            </c:strRef>
          </c:tx>
          <c:spPr>
            <a:ln w="28575" cap="rnd">
              <a:solidFill>
                <a:schemeClr val="bg1">
                  <a:lumMod val="65000"/>
                </a:schemeClr>
              </a:solidFill>
              <a:round/>
            </a:ln>
            <a:effectLst/>
          </c:spPr>
          <c:marker>
            <c:symbol val="none"/>
          </c:marker>
          <c:cat>
            <c:multiLvlStrRef>
              <c:f>'NP2'!$A$19:$B$43</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'NP2'!$D$19:$D$43</c:f>
              <c:numCache>
                <c:formatCode>General</c:formatCode>
                <c:ptCount val="25"/>
                <c:pt idx="0">
                  <c:v>28.995266207719151</c:v>
                </c:pt>
                <c:pt idx="1">
                  <c:v>28.688831191691605</c:v>
                </c:pt>
                <c:pt idx="2">
                  <c:v>28.873591106841122</c:v>
                </c:pt>
                <c:pt idx="3">
                  <c:v>29.289769136575959</c:v>
                </c:pt>
                <c:pt idx="4">
                  <c:v>28.283175895393274</c:v>
                </c:pt>
                <c:pt idx="5">
                  <c:v>28.752656958852828</c:v>
                </c:pt>
                <c:pt idx="6">
                  <c:v>28.936978189347357</c:v>
                </c:pt>
                <c:pt idx="7">
                  <c:v>29.947346586268885</c:v>
                </c:pt>
                <c:pt idx="8">
                  <c:v>29.236684849266499</c:v>
                </c:pt>
                <c:pt idx="9">
                  <c:v>28.107124221868972</c:v>
                </c:pt>
                <c:pt idx="10">
                  <c:v>30.08651991550072</c:v>
                </c:pt>
                <c:pt idx="11">
                  <c:v>31.10667611977847</c:v>
                </c:pt>
                <c:pt idx="12">
                  <c:v>27.95712999677697</c:v>
                </c:pt>
                <c:pt idx="13">
                  <c:v>29.742087332380823</c:v>
                </c:pt>
                <c:pt idx="14">
                  <c:v>28.243186730245885</c:v>
                </c:pt>
                <c:pt idx="15">
                  <c:v>26.961977431436157</c:v>
                </c:pt>
                <c:pt idx="16">
                  <c:v>27.68586268017873</c:v>
                </c:pt>
                <c:pt idx="17">
                  <c:v>27.692241712055583</c:v>
                </c:pt>
                <c:pt idx="18">
                  <c:v>27.455224782816451</c:v>
                </c:pt>
                <c:pt idx="19">
                  <c:v>28.018703689723722</c:v>
                </c:pt>
                <c:pt idx="20">
                  <c:v>29.723696169189157</c:v>
                </c:pt>
                <c:pt idx="21">
                  <c:v>30.047201085770464</c:v>
                </c:pt>
                <c:pt idx="22">
                  <c:v>28.92853248555214</c:v>
                </c:pt>
                <c:pt idx="23">
                  <c:v>28.49206117989803</c:v>
                </c:pt>
                <c:pt idx="24">
                  <c:v>27.200350142453573</c:v>
                </c:pt>
              </c:numCache>
            </c:numRef>
          </c:val>
          <c:smooth val="0"/>
          <c:extLst>
            <c:ext xmlns:c16="http://schemas.microsoft.com/office/drawing/2014/chart" uri="{C3380CC4-5D6E-409C-BE32-E72D297353CC}">
              <c16:uniqueId val="{00000001-0793-4109-8AAD-665B9FA04339}"/>
            </c:ext>
          </c:extLst>
        </c:ser>
        <c:dLbls>
          <c:showLegendKey val="0"/>
          <c:showVal val="0"/>
          <c:showCatName val="0"/>
          <c:showSerName val="0"/>
          <c:showPercent val="0"/>
          <c:showBubbleSize val="0"/>
        </c:dLbls>
        <c:marker val="1"/>
        <c:smooth val="0"/>
        <c:axId val="787212272"/>
        <c:axId val="787206864"/>
      </c:lineChart>
      <c:catAx>
        <c:axId val="7872235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787224752"/>
        <c:crosses val="autoZero"/>
        <c:auto val="1"/>
        <c:lblAlgn val="ctr"/>
        <c:lblOffset val="100"/>
        <c:noMultiLvlLbl val="0"/>
      </c:catAx>
      <c:valAx>
        <c:axId val="787224752"/>
        <c:scaling>
          <c:orientation val="minMax"/>
          <c:min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en-US"/>
                  <a:t>Tvorba HFK (mld. korun)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787223504"/>
        <c:crosses val="autoZero"/>
        <c:crossBetween val="between"/>
        <c:majorUnit val="15"/>
      </c:valAx>
      <c:valAx>
        <c:axId val="787206864"/>
        <c:scaling>
          <c:orientation val="minMax"/>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en-US"/>
                  <a:t>Míra investic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787212272"/>
        <c:crosses val="max"/>
        <c:crossBetween val="between"/>
      </c:valAx>
      <c:catAx>
        <c:axId val="787212272"/>
        <c:scaling>
          <c:orientation val="minMax"/>
        </c:scaling>
        <c:delete val="1"/>
        <c:axPos val="b"/>
        <c:numFmt formatCode="General" sourceLinked="1"/>
        <c:majorTickMark val="out"/>
        <c:minorTickMark val="none"/>
        <c:tickLblPos val="nextTo"/>
        <c:crossAx val="787206864"/>
        <c:crosses val="autoZero"/>
        <c:auto val="1"/>
        <c:lblAlgn val="ctr"/>
        <c:lblOffset val="100"/>
        <c:noMultiLvlLbl val="0"/>
      </c:catAx>
      <c:spPr>
        <a:noFill/>
        <a:ln>
          <a:noFill/>
        </a:ln>
        <a:effectLst/>
      </c:spPr>
    </c:plotArea>
    <c:legend>
      <c:legendPos val="b"/>
      <c:layout>
        <c:manualLayout>
          <c:xMode val="edge"/>
          <c:yMode val="edge"/>
          <c:x val="8.4501013171225936E-2"/>
          <c:y val="0.92549279522683781"/>
          <c:w val="0.85512390239783864"/>
          <c:h val="5.30617471574918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00869638635598E-2"/>
          <c:y val="4.5653594771241833E-2"/>
          <c:w val="0.89171162613981758"/>
          <c:h val="0.67538431372549024"/>
        </c:manualLayout>
      </c:layout>
      <c:barChart>
        <c:barDir val="col"/>
        <c:grouping val="stacked"/>
        <c:varyColors val="0"/>
        <c:ser>
          <c:idx val="3"/>
          <c:order val="0"/>
          <c:tx>
            <c:strRef>
              <c:f>VI!$F$6</c:f>
              <c:strCache>
                <c:ptCount val="1"/>
                <c:pt idx="0">
                  <c:v>Fondy sociálního zabezpečení (zdravotní pojišťovny)</c:v>
                </c:pt>
              </c:strCache>
            </c:strRef>
          </c:tx>
          <c:spPr>
            <a:solidFill>
              <a:srgbClr val="92D050"/>
            </a:solidFill>
            <a:ln>
              <a:noFill/>
            </a:ln>
            <a:effectLst/>
          </c:spPr>
          <c:invertIfNegative val="0"/>
          <c:cat>
            <c:multiLvlStrRef>
              <c:f>VI!$A$19:$B$43</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VI!$F$19:$F$43</c:f>
              <c:numCache>
                <c:formatCode>General</c:formatCode>
                <c:ptCount val="25"/>
                <c:pt idx="0">
                  <c:v>0.34899999999999998</c:v>
                </c:pt>
                <c:pt idx="1">
                  <c:v>4.6449999999999996</c:v>
                </c:pt>
                <c:pt idx="2">
                  <c:v>6.37</c:v>
                </c:pt>
                <c:pt idx="3">
                  <c:v>-3.1819999999999999</c:v>
                </c:pt>
                <c:pt idx="4">
                  <c:v>3.45</c:v>
                </c:pt>
                <c:pt idx="5">
                  <c:v>4.9660000000000002</c:v>
                </c:pt>
                <c:pt idx="6">
                  <c:v>6.6139999999999999</c:v>
                </c:pt>
                <c:pt idx="7">
                  <c:v>1.6160000000000001</c:v>
                </c:pt>
                <c:pt idx="8">
                  <c:v>3.3359999999999999</c:v>
                </c:pt>
                <c:pt idx="9">
                  <c:v>4.9089999999999998</c:v>
                </c:pt>
                <c:pt idx="10">
                  <c:v>5.3339999999999996</c:v>
                </c:pt>
                <c:pt idx="11">
                  <c:v>-2.1880000000000002</c:v>
                </c:pt>
                <c:pt idx="12">
                  <c:v>-4.07</c:v>
                </c:pt>
                <c:pt idx="13">
                  <c:v>-1.4410000000000001</c:v>
                </c:pt>
                <c:pt idx="14">
                  <c:v>4.4909999999999997</c:v>
                </c:pt>
                <c:pt idx="15">
                  <c:v>-10.641</c:v>
                </c:pt>
                <c:pt idx="16">
                  <c:v>4.1180000000000003</c:v>
                </c:pt>
                <c:pt idx="17">
                  <c:v>9.0719999999999992</c:v>
                </c:pt>
                <c:pt idx="18">
                  <c:v>-12.209</c:v>
                </c:pt>
                <c:pt idx="19">
                  <c:v>-10.253</c:v>
                </c:pt>
                <c:pt idx="20">
                  <c:v>3.1949999999999998</c:v>
                </c:pt>
                <c:pt idx="21">
                  <c:v>7.3520000000000003</c:v>
                </c:pt>
                <c:pt idx="22">
                  <c:v>4.5759999999999996</c:v>
                </c:pt>
                <c:pt idx="23">
                  <c:v>-17.344999999999999</c:v>
                </c:pt>
                <c:pt idx="24">
                  <c:v>0.76700000000000002</c:v>
                </c:pt>
              </c:numCache>
            </c:numRef>
          </c:val>
          <c:extLst>
            <c:ext xmlns:c16="http://schemas.microsoft.com/office/drawing/2014/chart" uri="{C3380CC4-5D6E-409C-BE32-E72D297353CC}">
              <c16:uniqueId val="{00000000-21C2-4183-A4D7-DC4684BB7620}"/>
            </c:ext>
          </c:extLst>
        </c:ser>
        <c:ser>
          <c:idx val="2"/>
          <c:order val="2"/>
          <c:tx>
            <c:strRef>
              <c:f>VI!$E$6</c:f>
              <c:strCache>
                <c:ptCount val="1"/>
                <c:pt idx="0">
                  <c:v>Místní vládní instituce</c:v>
                </c:pt>
              </c:strCache>
            </c:strRef>
          </c:tx>
          <c:spPr>
            <a:solidFill>
              <a:srgbClr val="0070C0"/>
            </a:solidFill>
            <a:ln>
              <a:noFill/>
            </a:ln>
            <a:effectLst/>
          </c:spPr>
          <c:invertIfNegative val="0"/>
          <c:cat>
            <c:multiLvlStrRef>
              <c:f>VI!$A$19:$B$43</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VI!$E$19:$E$43</c:f>
              <c:numCache>
                <c:formatCode>General</c:formatCode>
                <c:ptCount val="25"/>
                <c:pt idx="0">
                  <c:v>16.695</c:v>
                </c:pt>
                <c:pt idx="1">
                  <c:v>26.521000000000001</c:v>
                </c:pt>
                <c:pt idx="2">
                  <c:v>5.6349999999999998</c:v>
                </c:pt>
                <c:pt idx="3">
                  <c:v>-6.9260000000000002</c:v>
                </c:pt>
                <c:pt idx="4">
                  <c:v>15.24</c:v>
                </c:pt>
                <c:pt idx="5">
                  <c:v>24.675000000000001</c:v>
                </c:pt>
                <c:pt idx="6">
                  <c:v>-5.1619999999999999</c:v>
                </c:pt>
                <c:pt idx="7">
                  <c:v>-11.194000000000001</c:v>
                </c:pt>
                <c:pt idx="8">
                  <c:v>20.981000000000002</c:v>
                </c:pt>
                <c:pt idx="9">
                  <c:v>28.152000000000001</c:v>
                </c:pt>
                <c:pt idx="10">
                  <c:v>-1.296</c:v>
                </c:pt>
                <c:pt idx="11">
                  <c:v>-10.241</c:v>
                </c:pt>
                <c:pt idx="12">
                  <c:v>14.45</c:v>
                </c:pt>
                <c:pt idx="13">
                  <c:v>14.35</c:v>
                </c:pt>
                <c:pt idx="14">
                  <c:v>14.858000000000001</c:v>
                </c:pt>
                <c:pt idx="15">
                  <c:v>-17.312000000000001</c:v>
                </c:pt>
                <c:pt idx="16">
                  <c:v>14.379</c:v>
                </c:pt>
                <c:pt idx="17">
                  <c:v>40.017000000000003</c:v>
                </c:pt>
                <c:pt idx="18">
                  <c:v>14.627000000000001</c:v>
                </c:pt>
                <c:pt idx="19">
                  <c:v>-13.222</c:v>
                </c:pt>
                <c:pt idx="20">
                  <c:v>5.0229999999999997</c:v>
                </c:pt>
                <c:pt idx="21">
                  <c:v>62.497</c:v>
                </c:pt>
                <c:pt idx="22">
                  <c:v>4.4480000000000004</c:v>
                </c:pt>
                <c:pt idx="23">
                  <c:v>-19.216000000000001</c:v>
                </c:pt>
                <c:pt idx="24">
                  <c:v>34.969000000000001</c:v>
                </c:pt>
              </c:numCache>
            </c:numRef>
          </c:val>
          <c:extLst>
            <c:ext xmlns:c16="http://schemas.microsoft.com/office/drawing/2014/chart" uri="{C3380CC4-5D6E-409C-BE32-E72D297353CC}">
              <c16:uniqueId val="{00000001-21C2-4183-A4D7-DC4684BB7620}"/>
            </c:ext>
          </c:extLst>
        </c:ser>
        <c:ser>
          <c:idx val="1"/>
          <c:order val="3"/>
          <c:tx>
            <c:strRef>
              <c:f>VI!$D$6</c:f>
              <c:strCache>
                <c:ptCount val="1"/>
                <c:pt idx="0">
                  <c:v>Ústřední vládní instituce</c:v>
                </c:pt>
              </c:strCache>
            </c:strRef>
          </c:tx>
          <c:spPr>
            <a:solidFill>
              <a:srgbClr val="FF0000"/>
            </a:solidFill>
            <a:ln>
              <a:noFill/>
            </a:ln>
            <a:effectLst/>
          </c:spPr>
          <c:invertIfNegative val="0"/>
          <c:cat>
            <c:multiLvlStrRef>
              <c:f>VI!$A$19:$B$43</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VI!$D$19:$D$43</c:f>
              <c:numCache>
                <c:formatCode>General</c:formatCode>
                <c:ptCount val="25"/>
                <c:pt idx="0">
                  <c:v>-15.212999999999999</c:v>
                </c:pt>
                <c:pt idx="1">
                  <c:v>10.332000000000001</c:v>
                </c:pt>
                <c:pt idx="2">
                  <c:v>20.634</c:v>
                </c:pt>
                <c:pt idx="3">
                  <c:v>10.872999999999999</c:v>
                </c:pt>
                <c:pt idx="4">
                  <c:v>-16.704000000000001</c:v>
                </c:pt>
                <c:pt idx="5">
                  <c:v>11.66</c:v>
                </c:pt>
                <c:pt idx="6">
                  <c:v>14.561999999999999</c:v>
                </c:pt>
                <c:pt idx="7">
                  <c:v>-1.431</c:v>
                </c:pt>
                <c:pt idx="8">
                  <c:v>-26.315000000000001</c:v>
                </c:pt>
                <c:pt idx="9">
                  <c:v>-6.0869999999999997</c:v>
                </c:pt>
                <c:pt idx="10">
                  <c:v>12.068</c:v>
                </c:pt>
                <c:pt idx="11">
                  <c:v>-11.944000000000001</c:v>
                </c:pt>
                <c:pt idx="12">
                  <c:v>-60.658000000000001</c:v>
                </c:pt>
                <c:pt idx="13">
                  <c:v>-111.324</c:v>
                </c:pt>
                <c:pt idx="14">
                  <c:v>-62.37</c:v>
                </c:pt>
                <c:pt idx="15">
                  <c:v>-109.54900000000001</c:v>
                </c:pt>
                <c:pt idx="16">
                  <c:v>-149.547</c:v>
                </c:pt>
                <c:pt idx="17">
                  <c:v>-89.224999999999994</c:v>
                </c:pt>
                <c:pt idx="18">
                  <c:v>-45.093000000000004</c:v>
                </c:pt>
                <c:pt idx="19">
                  <c:v>-73.292000000000002</c:v>
                </c:pt>
                <c:pt idx="20">
                  <c:v>-77.22</c:v>
                </c:pt>
                <c:pt idx="21">
                  <c:v>-78.501999999999995</c:v>
                </c:pt>
                <c:pt idx="22">
                  <c:v>-75.018000000000001</c:v>
                </c:pt>
                <c:pt idx="23">
                  <c:v>-67.278999999999996</c:v>
                </c:pt>
                <c:pt idx="24">
                  <c:v>-136.64699999999999</c:v>
                </c:pt>
              </c:numCache>
            </c:numRef>
          </c:val>
          <c:extLst>
            <c:ext xmlns:c16="http://schemas.microsoft.com/office/drawing/2014/chart" uri="{C3380CC4-5D6E-409C-BE32-E72D297353CC}">
              <c16:uniqueId val="{00000002-21C2-4183-A4D7-DC4684BB7620}"/>
            </c:ext>
          </c:extLst>
        </c:ser>
        <c:dLbls>
          <c:showLegendKey val="0"/>
          <c:showVal val="0"/>
          <c:showCatName val="0"/>
          <c:showSerName val="0"/>
          <c:showPercent val="0"/>
          <c:showBubbleSize val="0"/>
        </c:dLbls>
        <c:gapWidth val="90"/>
        <c:overlap val="100"/>
        <c:axId val="1836024223"/>
        <c:axId val="1836025471"/>
      </c:barChart>
      <c:lineChart>
        <c:grouping val="standard"/>
        <c:varyColors val="0"/>
        <c:ser>
          <c:idx val="0"/>
          <c:order val="1"/>
          <c:tx>
            <c:strRef>
              <c:f>VI!$C$6</c:f>
              <c:strCache>
                <c:ptCount val="1"/>
                <c:pt idx="0">
                  <c:v>Celkem</c:v>
                </c:pt>
              </c:strCache>
            </c:strRef>
          </c:tx>
          <c:spPr>
            <a:ln w="28575" cap="rnd">
              <a:solidFill>
                <a:schemeClr val="bg1">
                  <a:lumMod val="50000"/>
                </a:schemeClr>
              </a:solidFill>
              <a:round/>
            </a:ln>
            <a:effectLst/>
          </c:spPr>
          <c:marker>
            <c:symbol val="none"/>
          </c:marker>
          <c:cat>
            <c:multiLvlStrRef>
              <c:f>VI!$A$19:$B$43</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VI!$C$19:$C$43</c:f>
              <c:numCache>
                <c:formatCode>General</c:formatCode>
                <c:ptCount val="25"/>
                <c:pt idx="0">
                  <c:v>1.831</c:v>
                </c:pt>
                <c:pt idx="1">
                  <c:v>41.497999999999998</c:v>
                </c:pt>
                <c:pt idx="2">
                  <c:v>32.639000000000003</c:v>
                </c:pt>
                <c:pt idx="3">
                  <c:v>0.76500000000000001</c:v>
                </c:pt>
                <c:pt idx="4">
                  <c:v>1.986</c:v>
                </c:pt>
                <c:pt idx="5">
                  <c:v>41.301000000000002</c:v>
                </c:pt>
                <c:pt idx="6">
                  <c:v>16.013999999999999</c:v>
                </c:pt>
                <c:pt idx="7">
                  <c:v>-11.009</c:v>
                </c:pt>
                <c:pt idx="8">
                  <c:v>-1.998</c:v>
                </c:pt>
                <c:pt idx="9">
                  <c:v>26.974</c:v>
                </c:pt>
                <c:pt idx="10">
                  <c:v>16.106000000000002</c:v>
                </c:pt>
                <c:pt idx="11">
                  <c:v>-24.373000000000001</c:v>
                </c:pt>
                <c:pt idx="12">
                  <c:v>-50.277999999999999</c:v>
                </c:pt>
                <c:pt idx="13">
                  <c:v>-98.415000000000006</c:v>
                </c:pt>
                <c:pt idx="14">
                  <c:v>-43.021000000000001</c:v>
                </c:pt>
                <c:pt idx="15">
                  <c:v>-137.50200000000001</c:v>
                </c:pt>
                <c:pt idx="16">
                  <c:v>-131.05000000000001</c:v>
                </c:pt>
                <c:pt idx="17">
                  <c:v>-40.136000000000003</c:v>
                </c:pt>
                <c:pt idx="18">
                  <c:v>-42.674999999999997</c:v>
                </c:pt>
                <c:pt idx="19">
                  <c:v>-96.766999999999996</c:v>
                </c:pt>
                <c:pt idx="20">
                  <c:v>-69.001999999999995</c:v>
                </c:pt>
                <c:pt idx="21">
                  <c:v>-8.6530000000000005</c:v>
                </c:pt>
                <c:pt idx="22">
                  <c:v>-65.994</c:v>
                </c:pt>
                <c:pt idx="23">
                  <c:v>-103.84</c:v>
                </c:pt>
                <c:pt idx="24">
                  <c:v>-100.911</c:v>
                </c:pt>
              </c:numCache>
            </c:numRef>
          </c:val>
          <c:smooth val="0"/>
          <c:extLst>
            <c:ext xmlns:c16="http://schemas.microsoft.com/office/drawing/2014/chart" uri="{C3380CC4-5D6E-409C-BE32-E72D297353CC}">
              <c16:uniqueId val="{00000003-21C2-4183-A4D7-DC4684BB7620}"/>
            </c:ext>
          </c:extLst>
        </c:ser>
        <c:dLbls>
          <c:showLegendKey val="0"/>
          <c:showVal val="0"/>
          <c:showCatName val="0"/>
          <c:showSerName val="0"/>
          <c:showPercent val="0"/>
          <c:showBubbleSize val="0"/>
        </c:dLbls>
        <c:marker val="1"/>
        <c:smooth val="0"/>
        <c:axId val="1836024223"/>
        <c:axId val="1836025471"/>
      </c:lineChart>
      <c:catAx>
        <c:axId val="18360242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836025471"/>
        <c:crosses val="autoZero"/>
        <c:auto val="1"/>
        <c:lblAlgn val="ctr"/>
        <c:lblOffset val="100"/>
        <c:noMultiLvlLbl val="0"/>
      </c:catAx>
      <c:valAx>
        <c:axId val="1836025471"/>
        <c:scaling>
          <c:orientation val="minMax"/>
          <c:max val="75"/>
          <c:min val="-1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r>
                  <a:rPr lang="en-US"/>
                  <a:t>Saldo (mld. korun)</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836024223"/>
        <c:crosses val="autoZero"/>
        <c:crossBetween val="between"/>
        <c:majorUnit val="25"/>
      </c:valAx>
      <c:spPr>
        <a:noFill/>
        <a:ln>
          <a:noFill/>
        </a:ln>
        <a:effectLst/>
      </c:spPr>
    </c:plotArea>
    <c:legend>
      <c:legendPos val="b"/>
      <c:layout>
        <c:manualLayout>
          <c:xMode val="edge"/>
          <c:yMode val="edge"/>
          <c:x val="8.1584979736575483E-2"/>
          <c:y val="0.84149411764705884"/>
          <c:w val="0.88776300236406624"/>
          <c:h val="0.146054901960784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04280648429587E-2"/>
          <c:y val="4.5653594771241833E-2"/>
          <c:w val="0.87830821513002355"/>
          <c:h val="0.6760251633986929"/>
        </c:manualLayout>
      </c:layout>
      <c:barChart>
        <c:barDir val="col"/>
        <c:grouping val="stacked"/>
        <c:varyColors val="0"/>
        <c:ser>
          <c:idx val="0"/>
          <c:order val="0"/>
          <c:tx>
            <c:strRef>
              <c:f>'VI2'!$C$5</c:f>
              <c:strCache>
                <c:ptCount val="1"/>
                <c:pt idx="0">
                  <c:v>Dlouhodobé dluhové cenné papíry</c:v>
                </c:pt>
              </c:strCache>
            </c:strRef>
          </c:tx>
          <c:spPr>
            <a:solidFill>
              <a:srgbClr val="FF0000"/>
            </a:solidFill>
            <a:ln>
              <a:noFill/>
            </a:ln>
            <a:effectLst/>
          </c:spPr>
          <c:invertIfNegative val="0"/>
          <c:cat>
            <c:multiLvlStrRef>
              <c:f>'VI2'!$A$18:$B$42</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'VI2'!$C$18:$C$42</c:f>
              <c:numCache>
                <c:formatCode>General</c:formatCode>
                <c:ptCount val="25"/>
                <c:pt idx="0">
                  <c:v>101.614</c:v>
                </c:pt>
                <c:pt idx="1">
                  <c:v>9.9260000000000002</c:v>
                </c:pt>
                <c:pt idx="2">
                  <c:v>-29.707000000000001</c:v>
                </c:pt>
                <c:pt idx="3">
                  <c:v>-30.15</c:v>
                </c:pt>
                <c:pt idx="4">
                  <c:v>-187.25800000000001</c:v>
                </c:pt>
                <c:pt idx="5">
                  <c:v>-61.563000000000002</c:v>
                </c:pt>
                <c:pt idx="6">
                  <c:v>-37.698</c:v>
                </c:pt>
                <c:pt idx="7">
                  <c:v>-8.4459999999999997</c:v>
                </c:pt>
                <c:pt idx="8">
                  <c:v>159.285</c:v>
                </c:pt>
                <c:pt idx="9">
                  <c:v>100.34699999999999</c:v>
                </c:pt>
                <c:pt idx="10">
                  <c:v>88.245999999999995</c:v>
                </c:pt>
                <c:pt idx="11">
                  <c:v>41.860999999999997</c:v>
                </c:pt>
                <c:pt idx="12">
                  <c:v>-24.57</c:v>
                </c:pt>
                <c:pt idx="13">
                  <c:v>303.31900000000002</c:v>
                </c:pt>
                <c:pt idx="14">
                  <c:v>288.69200000000001</c:v>
                </c:pt>
                <c:pt idx="15">
                  <c:v>396.11</c:v>
                </c:pt>
                <c:pt idx="16">
                  <c:v>539.68100000000004</c:v>
                </c:pt>
                <c:pt idx="17">
                  <c:v>310.03300000000002</c:v>
                </c:pt>
                <c:pt idx="18">
                  <c:v>298.214</c:v>
                </c:pt>
                <c:pt idx="19">
                  <c:v>336.65300000000002</c:v>
                </c:pt>
                <c:pt idx="20">
                  <c:v>267.19400000000002</c:v>
                </c:pt>
                <c:pt idx="21">
                  <c:v>182.11500000000001</c:v>
                </c:pt>
                <c:pt idx="22">
                  <c:v>296.947</c:v>
                </c:pt>
                <c:pt idx="23">
                  <c:v>272.63499999999999</c:v>
                </c:pt>
                <c:pt idx="24">
                  <c:v>254.01400000000001</c:v>
                </c:pt>
              </c:numCache>
            </c:numRef>
          </c:val>
          <c:extLst>
            <c:ext xmlns:c16="http://schemas.microsoft.com/office/drawing/2014/chart" uri="{C3380CC4-5D6E-409C-BE32-E72D297353CC}">
              <c16:uniqueId val="{00000000-CA6B-4391-AFCB-5B3392D15658}"/>
            </c:ext>
          </c:extLst>
        </c:ser>
        <c:ser>
          <c:idx val="1"/>
          <c:order val="1"/>
          <c:tx>
            <c:strRef>
              <c:f>'VI2'!$D$5</c:f>
              <c:strCache>
                <c:ptCount val="1"/>
                <c:pt idx="0">
                  <c:v>Krátkodobé dluhové cenné papíry</c:v>
                </c:pt>
              </c:strCache>
            </c:strRef>
          </c:tx>
          <c:spPr>
            <a:solidFill>
              <a:srgbClr val="FE9090"/>
            </a:solidFill>
            <a:ln>
              <a:noFill/>
            </a:ln>
            <a:effectLst/>
          </c:spPr>
          <c:invertIfNegative val="0"/>
          <c:cat>
            <c:multiLvlStrRef>
              <c:f>'VI2'!$A$18:$B$42</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'VI2'!$D$18:$D$42</c:f>
              <c:numCache>
                <c:formatCode>General</c:formatCode>
                <c:ptCount val="25"/>
                <c:pt idx="0">
                  <c:v>-8.9580000000000002</c:v>
                </c:pt>
                <c:pt idx="1">
                  <c:v>89.825000000000003</c:v>
                </c:pt>
                <c:pt idx="2">
                  <c:v>-17.864999999999998</c:v>
                </c:pt>
                <c:pt idx="3">
                  <c:v>39.607999999999997</c:v>
                </c:pt>
                <c:pt idx="4">
                  <c:v>110.06399999999999</c:v>
                </c:pt>
                <c:pt idx="5">
                  <c:v>-73.570999999999998</c:v>
                </c:pt>
                <c:pt idx="6">
                  <c:v>42.71</c:v>
                </c:pt>
                <c:pt idx="7">
                  <c:v>-40.204999999999998</c:v>
                </c:pt>
                <c:pt idx="8">
                  <c:v>-178.68899999999999</c:v>
                </c:pt>
                <c:pt idx="9">
                  <c:v>-72.613</c:v>
                </c:pt>
                <c:pt idx="10">
                  <c:v>-42.478000000000002</c:v>
                </c:pt>
                <c:pt idx="11">
                  <c:v>0.13200000000000001</c:v>
                </c:pt>
                <c:pt idx="12">
                  <c:v>65.55</c:v>
                </c:pt>
                <c:pt idx="13">
                  <c:v>130.24100000000001</c:v>
                </c:pt>
                <c:pt idx="14">
                  <c:v>100.735</c:v>
                </c:pt>
                <c:pt idx="15">
                  <c:v>19.956</c:v>
                </c:pt>
                <c:pt idx="16">
                  <c:v>-42.252000000000002</c:v>
                </c:pt>
                <c:pt idx="17">
                  <c:v>-110.548</c:v>
                </c:pt>
                <c:pt idx="18">
                  <c:v>-85.460999999999999</c:v>
                </c:pt>
                <c:pt idx="19">
                  <c:v>9.3879999999999999</c:v>
                </c:pt>
                <c:pt idx="20">
                  <c:v>12.741</c:v>
                </c:pt>
                <c:pt idx="21">
                  <c:v>28.202000000000002</c:v>
                </c:pt>
                <c:pt idx="22">
                  <c:v>86.478999999999999</c:v>
                </c:pt>
                <c:pt idx="23">
                  <c:v>-33.298000000000002</c:v>
                </c:pt>
                <c:pt idx="24">
                  <c:v>54.351999999999997</c:v>
                </c:pt>
              </c:numCache>
            </c:numRef>
          </c:val>
          <c:extLst>
            <c:ext xmlns:c16="http://schemas.microsoft.com/office/drawing/2014/chart" uri="{C3380CC4-5D6E-409C-BE32-E72D297353CC}">
              <c16:uniqueId val="{00000001-CA6B-4391-AFCB-5B3392D15658}"/>
            </c:ext>
          </c:extLst>
        </c:ser>
        <c:ser>
          <c:idx val="2"/>
          <c:order val="2"/>
          <c:tx>
            <c:strRef>
              <c:f>'VI2'!$E$5</c:f>
              <c:strCache>
                <c:ptCount val="1"/>
                <c:pt idx="0">
                  <c:v>Dlouhodobé půjčky</c:v>
                </c:pt>
              </c:strCache>
            </c:strRef>
          </c:tx>
          <c:spPr>
            <a:solidFill>
              <a:srgbClr val="0070C0"/>
            </a:solidFill>
            <a:ln>
              <a:noFill/>
            </a:ln>
            <a:effectLst/>
          </c:spPr>
          <c:invertIfNegative val="0"/>
          <c:cat>
            <c:multiLvlStrRef>
              <c:f>'VI2'!$A$18:$B$42</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'VI2'!$E$18:$E$42</c:f>
              <c:numCache>
                <c:formatCode>General</c:formatCode>
                <c:ptCount val="25"/>
                <c:pt idx="0">
                  <c:v>-22.443000000000001</c:v>
                </c:pt>
                <c:pt idx="1">
                  <c:v>-21.582999999999998</c:v>
                </c:pt>
                <c:pt idx="2">
                  <c:v>-23.733000000000001</c:v>
                </c:pt>
                <c:pt idx="3">
                  <c:v>-12.262</c:v>
                </c:pt>
                <c:pt idx="4">
                  <c:v>-12.497999999999999</c:v>
                </c:pt>
                <c:pt idx="5">
                  <c:v>-10.695</c:v>
                </c:pt>
                <c:pt idx="6">
                  <c:v>-8.8230000000000004</c:v>
                </c:pt>
                <c:pt idx="7">
                  <c:v>-11.949</c:v>
                </c:pt>
                <c:pt idx="8">
                  <c:v>-9.83</c:v>
                </c:pt>
                <c:pt idx="9">
                  <c:v>-9.6769999999999996</c:v>
                </c:pt>
                <c:pt idx="10">
                  <c:v>-6.806</c:v>
                </c:pt>
                <c:pt idx="11">
                  <c:v>-2.5350000000000001</c:v>
                </c:pt>
                <c:pt idx="12">
                  <c:v>1.1910000000000001</c:v>
                </c:pt>
                <c:pt idx="13">
                  <c:v>2.137</c:v>
                </c:pt>
                <c:pt idx="14">
                  <c:v>8.7710000000000008</c:v>
                </c:pt>
                <c:pt idx="15">
                  <c:v>2.0659999999999998</c:v>
                </c:pt>
                <c:pt idx="16">
                  <c:v>50.624000000000002</c:v>
                </c:pt>
                <c:pt idx="17">
                  <c:v>47.749000000000002</c:v>
                </c:pt>
                <c:pt idx="18">
                  <c:v>46.271000000000001</c:v>
                </c:pt>
                <c:pt idx="19">
                  <c:v>49.628</c:v>
                </c:pt>
                <c:pt idx="20">
                  <c:v>-4.6859999999999999</c:v>
                </c:pt>
                <c:pt idx="21">
                  <c:v>-2.109</c:v>
                </c:pt>
                <c:pt idx="22">
                  <c:v>-6.1980000000000004</c:v>
                </c:pt>
                <c:pt idx="23">
                  <c:v>53.430999999999997</c:v>
                </c:pt>
                <c:pt idx="24">
                  <c:v>52.244</c:v>
                </c:pt>
              </c:numCache>
            </c:numRef>
          </c:val>
          <c:extLst>
            <c:ext xmlns:c16="http://schemas.microsoft.com/office/drawing/2014/chart" uri="{C3380CC4-5D6E-409C-BE32-E72D297353CC}">
              <c16:uniqueId val="{00000002-CA6B-4391-AFCB-5B3392D15658}"/>
            </c:ext>
          </c:extLst>
        </c:ser>
        <c:ser>
          <c:idx val="3"/>
          <c:order val="3"/>
          <c:tx>
            <c:strRef>
              <c:f>'VI2'!$F$5</c:f>
              <c:strCache>
                <c:ptCount val="1"/>
                <c:pt idx="0">
                  <c:v>Krátkodobé půjčky</c:v>
                </c:pt>
              </c:strCache>
            </c:strRef>
          </c:tx>
          <c:spPr>
            <a:solidFill>
              <a:schemeClr val="accent1">
                <a:lumMod val="40000"/>
                <a:lumOff val="60000"/>
              </a:schemeClr>
            </a:solidFill>
            <a:ln>
              <a:noFill/>
            </a:ln>
            <a:effectLst/>
          </c:spPr>
          <c:invertIfNegative val="0"/>
          <c:cat>
            <c:multiLvlStrRef>
              <c:f>'VI2'!$A$18:$B$42</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'VI2'!$F$18:$F$42</c:f>
              <c:numCache>
                <c:formatCode>General</c:formatCode>
                <c:ptCount val="25"/>
                <c:pt idx="0">
                  <c:v>-2.968</c:v>
                </c:pt>
                <c:pt idx="1">
                  <c:v>-1.4670000000000001</c:v>
                </c:pt>
                <c:pt idx="2">
                  <c:v>0.63</c:v>
                </c:pt>
                <c:pt idx="3">
                  <c:v>1.002</c:v>
                </c:pt>
                <c:pt idx="4">
                  <c:v>1.8140000000000001</c:v>
                </c:pt>
                <c:pt idx="5">
                  <c:v>53.356999999999999</c:v>
                </c:pt>
                <c:pt idx="6">
                  <c:v>50.372</c:v>
                </c:pt>
                <c:pt idx="7">
                  <c:v>42.76</c:v>
                </c:pt>
                <c:pt idx="8">
                  <c:v>34.055</c:v>
                </c:pt>
                <c:pt idx="9">
                  <c:v>-27.446000000000002</c:v>
                </c:pt>
                <c:pt idx="10">
                  <c:v>-33.340000000000003</c:v>
                </c:pt>
                <c:pt idx="11">
                  <c:v>-30.263000000000002</c:v>
                </c:pt>
                <c:pt idx="12">
                  <c:v>5.1239999999999997</c:v>
                </c:pt>
                <c:pt idx="13">
                  <c:v>7.8109999999999999</c:v>
                </c:pt>
                <c:pt idx="14">
                  <c:v>-13.019</c:v>
                </c:pt>
                <c:pt idx="15">
                  <c:v>-14.334</c:v>
                </c:pt>
                <c:pt idx="16">
                  <c:v>76.912000000000006</c:v>
                </c:pt>
                <c:pt idx="17">
                  <c:v>0.82799999999999996</c:v>
                </c:pt>
                <c:pt idx="18">
                  <c:v>-4.3040000000000003</c:v>
                </c:pt>
                <c:pt idx="19">
                  <c:v>16.015000000000001</c:v>
                </c:pt>
                <c:pt idx="20">
                  <c:v>-102.806</c:v>
                </c:pt>
                <c:pt idx="21">
                  <c:v>76.260000000000005</c:v>
                </c:pt>
                <c:pt idx="22">
                  <c:v>170.92400000000001</c:v>
                </c:pt>
                <c:pt idx="23">
                  <c:v>131.446</c:v>
                </c:pt>
                <c:pt idx="24">
                  <c:v>39.280999999999999</c:v>
                </c:pt>
              </c:numCache>
            </c:numRef>
          </c:val>
          <c:extLst>
            <c:ext xmlns:c16="http://schemas.microsoft.com/office/drawing/2014/chart" uri="{C3380CC4-5D6E-409C-BE32-E72D297353CC}">
              <c16:uniqueId val="{00000003-CA6B-4391-AFCB-5B3392D15658}"/>
            </c:ext>
          </c:extLst>
        </c:ser>
        <c:ser>
          <c:idx val="4"/>
          <c:order val="4"/>
          <c:tx>
            <c:strRef>
              <c:f>'VI2'!$G$5</c:f>
              <c:strCache>
                <c:ptCount val="1"/>
                <c:pt idx="0">
                  <c:v>Oběživo a vklady</c:v>
                </c:pt>
              </c:strCache>
            </c:strRef>
          </c:tx>
          <c:spPr>
            <a:solidFill>
              <a:srgbClr val="92D050"/>
            </a:solidFill>
            <a:ln>
              <a:noFill/>
            </a:ln>
            <a:effectLst/>
          </c:spPr>
          <c:invertIfNegative val="0"/>
          <c:cat>
            <c:multiLvlStrRef>
              <c:f>'VI2'!$A$18:$B$42</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'VI2'!$G$18:$G$42</c:f>
              <c:numCache>
                <c:formatCode>General</c:formatCode>
                <c:ptCount val="25"/>
                <c:pt idx="0">
                  <c:v>-0.40899999999999997</c:v>
                </c:pt>
                <c:pt idx="1">
                  <c:v>-3.468</c:v>
                </c:pt>
                <c:pt idx="2">
                  <c:v>-1.865</c:v>
                </c:pt>
                <c:pt idx="3">
                  <c:v>-3.258</c:v>
                </c:pt>
                <c:pt idx="4">
                  <c:v>-2.6560000000000001</c:v>
                </c:pt>
                <c:pt idx="5">
                  <c:v>-1.3320000000000001</c:v>
                </c:pt>
                <c:pt idx="6">
                  <c:v>-7.0730000000000004</c:v>
                </c:pt>
                <c:pt idx="7">
                  <c:v>2.7650000000000001</c:v>
                </c:pt>
                <c:pt idx="8">
                  <c:v>-2.7530000000000001</c:v>
                </c:pt>
                <c:pt idx="9">
                  <c:v>-3.827</c:v>
                </c:pt>
                <c:pt idx="10">
                  <c:v>0.35099999999999998</c:v>
                </c:pt>
                <c:pt idx="11">
                  <c:v>-3.5339999999999998</c:v>
                </c:pt>
                <c:pt idx="12">
                  <c:v>6.2709999999999999</c:v>
                </c:pt>
                <c:pt idx="13">
                  <c:v>4.931</c:v>
                </c:pt>
                <c:pt idx="14">
                  <c:v>3.0760000000000001</c:v>
                </c:pt>
                <c:pt idx="15">
                  <c:v>5.7610000000000001</c:v>
                </c:pt>
                <c:pt idx="16">
                  <c:v>-1.653</c:v>
                </c:pt>
                <c:pt idx="17">
                  <c:v>3.8149999999999999</c:v>
                </c:pt>
                <c:pt idx="18">
                  <c:v>5.4320000000000004</c:v>
                </c:pt>
                <c:pt idx="19">
                  <c:v>5.2249999999999996</c:v>
                </c:pt>
                <c:pt idx="20">
                  <c:v>-0.84</c:v>
                </c:pt>
                <c:pt idx="21">
                  <c:v>-7.7539999999999996</c:v>
                </c:pt>
                <c:pt idx="22">
                  <c:v>1.837</c:v>
                </c:pt>
                <c:pt idx="23">
                  <c:v>6.1379999999999999</c:v>
                </c:pt>
                <c:pt idx="24">
                  <c:v>15.385999999999999</c:v>
                </c:pt>
              </c:numCache>
            </c:numRef>
          </c:val>
          <c:extLst>
            <c:ext xmlns:c16="http://schemas.microsoft.com/office/drawing/2014/chart" uri="{C3380CC4-5D6E-409C-BE32-E72D297353CC}">
              <c16:uniqueId val="{00000004-CA6B-4391-AFCB-5B3392D15658}"/>
            </c:ext>
          </c:extLst>
        </c:ser>
        <c:dLbls>
          <c:showLegendKey val="0"/>
          <c:showVal val="0"/>
          <c:showCatName val="0"/>
          <c:showSerName val="0"/>
          <c:showPercent val="0"/>
          <c:showBubbleSize val="0"/>
        </c:dLbls>
        <c:gapWidth val="90"/>
        <c:overlap val="100"/>
        <c:axId val="1700462447"/>
        <c:axId val="1700462863"/>
      </c:barChart>
      <c:lineChart>
        <c:grouping val="standard"/>
        <c:varyColors val="0"/>
        <c:ser>
          <c:idx val="5"/>
          <c:order val="5"/>
          <c:tx>
            <c:strRef>
              <c:f>'VI2'!$H$5</c:f>
              <c:strCache>
                <c:ptCount val="1"/>
                <c:pt idx="0">
                  <c:v>Celkem</c:v>
                </c:pt>
              </c:strCache>
            </c:strRef>
          </c:tx>
          <c:spPr>
            <a:ln w="28575" cap="rnd">
              <a:solidFill>
                <a:schemeClr val="bg1">
                  <a:lumMod val="50000"/>
                </a:schemeClr>
              </a:solidFill>
              <a:round/>
            </a:ln>
            <a:effectLst/>
          </c:spPr>
          <c:marker>
            <c:symbol val="none"/>
          </c:marker>
          <c:cat>
            <c:multiLvlStrRef>
              <c:f>'VI2'!$A$18:$B$42</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'VI2'!$H$18:$H$42</c:f>
              <c:numCache>
                <c:formatCode>General</c:formatCode>
                <c:ptCount val="25"/>
                <c:pt idx="0">
                  <c:v>66.835999999999999</c:v>
                </c:pt>
                <c:pt idx="1">
                  <c:v>73.233000000000004</c:v>
                </c:pt>
                <c:pt idx="2">
                  <c:v>-72.540000000000006</c:v>
                </c:pt>
                <c:pt idx="3">
                  <c:v>-5.0599999999999996</c:v>
                </c:pt>
                <c:pt idx="4">
                  <c:v>-90.534000000000006</c:v>
                </c:pt>
                <c:pt idx="5">
                  <c:v>-93.804000000000002</c:v>
                </c:pt>
                <c:pt idx="6">
                  <c:v>39.488</c:v>
                </c:pt>
                <c:pt idx="7">
                  <c:v>-15.074999999999999</c:v>
                </c:pt>
                <c:pt idx="8">
                  <c:v>2.0680000000000001</c:v>
                </c:pt>
                <c:pt idx="9">
                  <c:v>-13.215999999999999</c:v>
                </c:pt>
                <c:pt idx="10">
                  <c:v>5.9729999999999999</c:v>
                </c:pt>
                <c:pt idx="11">
                  <c:v>5.6609999999999996</c:v>
                </c:pt>
                <c:pt idx="12">
                  <c:v>53.566000000000003</c:v>
                </c:pt>
                <c:pt idx="13">
                  <c:v>448.43900000000002</c:v>
                </c:pt>
                <c:pt idx="14">
                  <c:v>388.255</c:v>
                </c:pt>
                <c:pt idx="15">
                  <c:v>409.55900000000003</c:v>
                </c:pt>
                <c:pt idx="16">
                  <c:v>623.31200000000001</c:v>
                </c:pt>
                <c:pt idx="17">
                  <c:v>251.87700000000001</c:v>
                </c:pt>
                <c:pt idx="18">
                  <c:v>260.15199999999999</c:v>
                </c:pt>
                <c:pt idx="19">
                  <c:v>416.90899999999999</c:v>
                </c:pt>
                <c:pt idx="20">
                  <c:v>171.60300000000001</c:v>
                </c:pt>
                <c:pt idx="21">
                  <c:v>276.714</c:v>
                </c:pt>
                <c:pt idx="22">
                  <c:v>549.98900000000003</c:v>
                </c:pt>
                <c:pt idx="23">
                  <c:v>430.35199999999998</c:v>
                </c:pt>
                <c:pt idx="24">
                  <c:v>415.27699999999999</c:v>
                </c:pt>
              </c:numCache>
            </c:numRef>
          </c:val>
          <c:smooth val="0"/>
          <c:extLst>
            <c:ext xmlns:c16="http://schemas.microsoft.com/office/drawing/2014/chart" uri="{C3380CC4-5D6E-409C-BE32-E72D297353CC}">
              <c16:uniqueId val="{00000005-CA6B-4391-AFCB-5B3392D15658}"/>
            </c:ext>
          </c:extLst>
        </c:ser>
        <c:dLbls>
          <c:showLegendKey val="0"/>
          <c:showVal val="0"/>
          <c:showCatName val="0"/>
          <c:showSerName val="0"/>
          <c:showPercent val="0"/>
          <c:showBubbleSize val="0"/>
        </c:dLbls>
        <c:marker val="1"/>
        <c:smooth val="0"/>
        <c:axId val="1700462447"/>
        <c:axId val="1700462863"/>
      </c:lineChart>
      <c:catAx>
        <c:axId val="170046244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700462863"/>
        <c:crosses val="autoZero"/>
        <c:auto val="1"/>
        <c:lblAlgn val="ctr"/>
        <c:lblOffset val="100"/>
        <c:noMultiLvlLbl val="0"/>
      </c:catAx>
      <c:valAx>
        <c:axId val="1700462863"/>
        <c:scaling>
          <c:orientation val="minMax"/>
          <c:max val="7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r>
                  <a:rPr lang="en-US"/>
                  <a:t>Meziroční změna dluhu (mld. korun)</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700462447"/>
        <c:crosses val="autoZero"/>
        <c:crossBetween val="between"/>
      </c:valAx>
      <c:spPr>
        <a:noFill/>
        <a:ln>
          <a:noFill/>
        </a:ln>
        <a:effectLst/>
      </c:spPr>
    </c:plotArea>
    <c:legend>
      <c:legendPos val="b"/>
      <c:layout>
        <c:manualLayout>
          <c:xMode val="edge"/>
          <c:yMode val="edge"/>
          <c:x val="7.9426925025329276E-2"/>
          <c:y val="0.86288660130718953"/>
          <c:w val="0.89207911178655863"/>
          <c:h val="0.1122114379084967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3962572012441"/>
          <c:y val="4.5653594771241833E-2"/>
          <c:w val="0.8133872645569421"/>
          <c:h val="0.72662254901960788"/>
        </c:manualLayout>
      </c:layout>
      <c:barChart>
        <c:barDir val="col"/>
        <c:grouping val="clustered"/>
        <c:varyColors val="0"/>
        <c:ser>
          <c:idx val="0"/>
          <c:order val="0"/>
          <c:tx>
            <c:strRef>
              <c:f>Dom!$C$4</c:f>
              <c:strCache>
                <c:ptCount val="1"/>
                <c:pt idx="0">
                  <c:v>Výdaje na tvorbu hrubého fixního kapitálu</c:v>
                </c:pt>
              </c:strCache>
            </c:strRef>
          </c:tx>
          <c:spPr>
            <a:solidFill>
              <a:schemeClr val="bg1">
                <a:lumMod val="65000"/>
              </a:schemeClr>
            </a:solidFill>
            <a:ln>
              <a:noFill/>
            </a:ln>
            <a:effectLst/>
          </c:spPr>
          <c:invertIfNegative val="0"/>
          <c:cat>
            <c:multiLvlStrRef>
              <c:f>Dom!$A$17:$B$41</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Dom!$C$17:$C$41</c:f>
              <c:numCache>
                <c:formatCode>General</c:formatCode>
                <c:ptCount val="25"/>
                <c:pt idx="0">
                  <c:v>-3.9460000000000002</c:v>
                </c:pt>
                <c:pt idx="1">
                  <c:v>-5.0069999999999997</c:v>
                </c:pt>
                <c:pt idx="2">
                  <c:v>-2.9910000000000001</c:v>
                </c:pt>
                <c:pt idx="3">
                  <c:v>-9.234</c:v>
                </c:pt>
                <c:pt idx="4">
                  <c:v>9.016</c:v>
                </c:pt>
                <c:pt idx="5">
                  <c:v>10.769</c:v>
                </c:pt>
                <c:pt idx="6">
                  <c:v>14.337999999999999</c:v>
                </c:pt>
                <c:pt idx="7">
                  <c:v>14.686</c:v>
                </c:pt>
                <c:pt idx="8">
                  <c:v>7.1550000000000002</c:v>
                </c:pt>
                <c:pt idx="9">
                  <c:v>7.4320000000000004</c:v>
                </c:pt>
                <c:pt idx="10">
                  <c:v>8.4429999999999996</c:v>
                </c:pt>
                <c:pt idx="11">
                  <c:v>8.8279999999999994</c:v>
                </c:pt>
                <c:pt idx="12">
                  <c:v>1.732</c:v>
                </c:pt>
                <c:pt idx="13">
                  <c:v>1.119</c:v>
                </c:pt>
                <c:pt idx="14">
                  <c:v>-4.2069999999999999</c:v>
                </c:pt>
                <c:pt idx="15">
                  <c:v>5.1470000000000002</c:v>
                </c:pt>
                <c:pt idx="16">
                  <c:v>-2.9239999999999999</c:v>
                </c:pt>
                <c:pt idx="17">
                  <c:v>7.0570000000000004</c:v>
                </c:pt>
                <c:pt idx="18">
                  <c:v>8.093</c:v>
                </c:pt>
                <c:pt idx="19">
                  <c:v>5.0739999999999998</c:v>
                </c:pt>
                <c:pt idx="20">
                  <c:v>10.920999999999999</c:v>
                </c:pt>
                <c:pt idx="21">
                  <c:v>0.42399999999999999</c:v>
                </c:pt>
                <c:pt idx="22">
                  <c:v>-9.2010000000000005</c:v>
                </c:pt>
                <c:pt idx="23">
                  <c:v>-7.399</c:v>
                </c:pt>
                <c:pt idx="24">
                  <c:v>-5.5279999999999996</c:v>
                </c:pt>
              </c:numCache>
            </c:numRef>
          </c:val>
          <c:extLst>
            <c:ext xmlns:c16="http://schemas.microsoft.com/office/drawing/2014/chart" uri="{C3380CC4-5D6E-409C-BE32-E72D297353CC}">
              <c16:uniqueId val="{00000000-81CC-44A4-B59F-B8C3C4E42320}"/>
            </c:ext>
          </c:extLst>
        </c:ser>
        <c:dLbls>
          <c:showLegendKey val="0"/>
          <c:showVal val="0"/>
          <c:showCatName val="0"/>
          <c:showSerName val="0"/>
          <c:showPercent val="0"/>
          <c:showBubbleSize val="0"/>
        </c:dLbls>
        <c:gapWidth val="90"/>
        <c:axId val="2043804271"/>
        <c:axId val="2043808015"/>
      </c:barChart>
      <c:lineChart>
        <c:grouping val="standard"/>
        <c:varyColors val="0"/>
        <c:ser>
          <c:idx val="1"/>
          <c:order val="1"/>
          <c:tx>
            <c:strRef>
              <c:f>Dom!$D$4</c:f>
              <c:strCache>
                <c:ptCount val="1"/>
                <c:pt idx="0">
                  <c:v>Míra úspor</c:v>
                </c:pt>
              </c:strCache>
            </c:strRef>
          </c:tx>
          <c:spPr>
            <a:ln w="28575" cap="rnd">
              <a:solidFill>
                <a:srgbClr val="0070C0"/>
              </a:solidFill>
              <a:round/>
            </a:ln>
            <a:effectLst/>
          </c:spPr>
          <c:marker>
            <c:symbol val="none"/>
          </c:marker>
          <c:cat>
            <c:multiLvlStrRef>
              <c:f>Dom!$A$17:$B$41</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Dom!$D$17:$D$41</c:f>
              <c:numCache>
                <c:formatCode>0.0</c:formatCode>
                <c:ptCount val="25"/>
                <c:pt idx="0">
                  <c:v>11.788161540687412</c:v>
                </c:pt>
                <c:pt idx="1">
                  <c:v>11.860790053279612</c:v>
                </c:pt>
                <c:pt idx="2">
                  <c:v>11.256972473406023</c:v>
                </c:pt>
                <c:pt idx="3">
                  <c:v>11.521437910200111</c:v>
                </c:pt>
                <c:pt idx="4">
                  <c:v>11.796597734097734</c:v>
                </c:pt>
                <c:pt idx="5">
                  <c:v>12.519364806435677</c:v>
                </c:pt>
                <c:pt idx="6">
                  <c:v>11.310779150814565</c:v>
                </c:pt>
                <c:pt idx="7">
                  <c:v>12.853154146590546</c:v>
                </c:pt>
                <c:pt idx="8">
                  <c:v>12.623020625415835</c:v>
                </c:pt>
                <c:pt idx="9">
                  <c:v>13.476335357759584</c:v>
                </c:pt>
                <c:pt idx="10">
                  <c:v>13.177984430470346</c:v>
                </c:pt>
                <c:pt idx="11">
                  <c:v>13.263061152713634</c:v>
                </c:pt>
                <c:pt idx="12">
                  <c:v>15.959866118700797</c:v>
                </c:pt>
                <c:pt idx="13">
                  <c:v>19.882289769317431</c:v>
                </c:pt>
                <c:pt idx="14" formatCode="General">
                  <c:v>18.275009506916359</c:v>
                </c:pt>
                <c:pt idx="15" formatCode="General">
                  <c:v>23.032787495625108</c:v>
                </c:pt>
                <c:pt idx="16" formatCode="General">
                  <c:v>21.677060935023476</c:v>
                </c:pt>
                <c:pt idx="17" formatCode="General">
                  <c:v>19.930848410378427</c:v>
                </c:pt>
                <c:pt idx="18" formatCode="General">
                  <c:v>17.47710598504473</c:v>
                </c:pt>
                <c:pt idx="19" formatCode="General">
                  <c:v>18.704124607643728</c:v>
                </c:pt>
                <c:pt idx="20" formatCode="General">
                  <c:v>15.417454542195774</c:v>
                </c:pt>
                <c:pt idx="21" formatCode="General">
                  <c:v>15.232740199505667</c:v>
                </c:pt>
                <c:pt idx="22" formatCode="General">
                  <c:v>16.611622095805203</c:v>
                </c:pt>
                <c:pt idx="23" formatCode="General">
                  <c:v>18.416489083547088</c:v>
                </c:pt>
                <c:pt idx="24" formatCode="General">
                  <c:v>17.866053278047652</c:v>
                </c:pt>
              </c:numCache>
            </c:numRef>
          </c:val>
          <c:smooth val="0"/>
          <c:extLst>
            <c:ext xmlns:c16="http://schemas.microsoft.com/office/drawing/2014/chart" uri="{C3380CC4-5D6E-409C-BE32-E72D297353CC}">
              <c16:uniqueId val="{00000001-81CC-44A4-B59F-B8C3C4E42320}"/>
            </c:ext>
          </c:extLst>
        </c:ser>
        <c:ser>
          <c:idx val="2"/>
          <c:order val="2"/>
          <c:tx>
            <c:strRef>
              <c:f>Dom!$E$4</c:f>
              <c:strCache>
                <c:ptCount val="1"/>
                <c:pt idx="0">
                  <c:v>Míra investic</c:v>
                </c:pt>
              </c:strCache>
            </c:strRef>
          </c:tx>
          <c:spPr>
            <a:ln w="28575" cap="rnd">
              <a:solidFill>
                <a:srgbClr val="FF0000"/>
              </a:solidFill>
              <a:round/>
            </a:ln>
            <a:effectLst/>
          </c:spPr>
          <c:marker>
            <c:symbol val="none"/>
          </c:marker>
          <c:cat>
            <c:multiLvlStrRef>
              <c:f>Dom!$A$17:$B$41</c:f>
              <c:multiLvlStrCache>
                <c:ptCount val="2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lvl>
                <c:lvl>
                  <c:pt idx="0">
                    <c:v>2017</c:v>
                  </c:pt>
                  <c:pt idx="4">
                    <c:v>2018</c:v>
                  </c:pt>
                  <c:pt idx="8">
                    <c:v>2019</c:v>
                  </c:pt>
                  <c:pt idx="12">
                    <c:v>2020</c:v>
                  </c:pt>
                  <c:pt idx="16">
                    <c:v>2021</c:v>
                  </c:pt>
                  <c:pt idx="20">
                    <c:v>2022</c:v>
                  </c:pt>
                  <c:pt idx="24">
                    <c:v>2023</c:v>
                  </c:pt>
                </c:lvl>
              </c:multiLvlStrCache>
            </c:multiLvlStrRef>
          </c:cat>
          <c:val>
            <c:numRef>
              <c:f>Dom!$E$17:$E$41</c:f>
              <c:numCache>
                <c:formatCode>0.0</c:formatCode>
                <c:ptCount val="25"/>
                <c:pt idx="0">
                  <c:v>7.9640158831879688</c:v>
                </c:pt>
                <c:pt idx="1">
                  <c:v>7.6619451158865095</c:v>
                </c:pt>
                <c:pt idx="2">
                  <c:v>7.708155190975992</c:v>
                </c:pt>
                <c:pt idx="3">
                  <c:v>7.7778212139244696</c:v>
                </c:pt>
                <c:pt idx="4">
                  <c:v>8.5089350714350704</c:v>
                </c:pt>
                <c:pt idx="5">
                  <c:v>8.8789207627012203</c:v>
                </c:pt>
                <c:pt idx="6">
                  <c:v>9.245238105181393</c:v>
                </c:pt>
                <c:pt idx="7">
                  <c:v>9.3427978554084667</c:v>
                </c:pt>
                <c:pt idx="8">
                  <c:v>9.3865602129075185</c:v>
                </c:pt>
                <c:pt idx="9">
                  <c:v>9.436097438728801</c:v>
                </c:pt>
                <c:pt idx="10">
                  <c:v>9.6043707953761643</c:v>
                </c:pt>
                <c:pt idx="11">
                  <c:v>9.4674905592080769</c:v>
                </c:pt>
                <c:pt idx="12">
                  <c:v>9.4391909155970684</c:v>
                </c:pt>
                <c:pt idx="13">
                  <c:v>9.5854083534254944</c:v>
                </c:pt>
                <c:pt idx="14" formatCode="General">
                  <c:v>9.1858921151341271</c:v>
                </c:pt>
                <c:pt idx="15" formatCode="General">
                  <c:v>9.2492063137462228</c:v>
                </c:pt>
                <c:pt idx="16" formatCode="General">
                  <c:v>9.1537625425347411</c:v>
                </c:pt>
                <c:pt idx="17" formatCode="General">
                  <c:v>9.2110486134727108</c:v>
                </c:pt>
                <c:pt idx="18" formatCode="General">
                  <c:v>9.4496625372266365</c:v>
                </c:pt>
                <c:pt idx="19" formatCode="General">
                  <c:v>9.1798447457852923</c:v>
                </c:pt>
                <c:pt idx="20" formatCode="General">
                  <c:v>9.0207640674989023</c:v>
                </c:pt>
                <c:pt idx="21" formatCode="General">
                  <c:v>8.4956765018999771</c:v>
                </c:pt>
                <c:pt idx="22" formatCode="General">
                  <c:v>7.9363070870328043</c:v>
                </c:pt>
                <c:pt idx="23" formatCode="General">
                  <c:v>7.6015220819700264</c:v>
                </c:pt>
                <c:pt idx="24" formatCode="General">
                  <c:v>7.285402258843944</c:v>
                </c:pt>
              </c:numCache>
            </c:numRef>
          </c:val>
          <c:smooth val="0"/>
          <c:extLst>
            <c:ext xmlns:c16="http://schemas.microsoft.com/office/drawing/2014/chart" uri="{C3380CC4-5D6E-409C-BE32-E72D297353CC}">
              <c16:uniqueId val="{00000002-81CC-44A4-B59F-B8C3C4E42320}"/>
            </c:ext>
          </c:extLst>
        </c:ser>
        <c:dLbls>
          <c:showLegendKey val="0"/>
          <c:showVal val="0"/>
          <c:showCatName val="0"/>
          <c:showSerName val="0"/>
          <c:showPercent val="0"/>
          <c:showBubbleSize val="0"/>
        </c:dLbls>
        <c:marker val="1"/>
        <c:smooth val="0"/>
        <c:axId val="161122767"/>
        <c:axId val="161119023"/>
      </c:lineChart>
      <c:catAx>
        <c:axId val="204380427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2043808015"/>
        <c:crosses val="autoZero"/>
        <c:auto val="1"/>
        <c:lblAlgn val="ctr"/>
        <c:lblOffset val="100"/>
        <c:noMultiLvlLbl val="0"/>
      </c:catAx>
      <c:valAx>
        <c:axId val="2043808015"/>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en-US"/>
                  <a:t>Meziroční změna výdajů na tvorbu hrubého fixního kapitálu (mld. korun)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2043804271"/>
        <c:crosses val="autoZero"/>
        <c:crossBetween val="between"/>
      </c:valAx>
      <c:valAx>
        <c:axId val="161119023"/>
        <c:scaling>
          <c:orientation val="minMax"/>
          <c:max val="25"/>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en-US"/>
                  <a:t>Míra investic, míra úspor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61122767"/>
        <c:crosses val="max"/>
        <c:crossBetween val="between"/>
        <c:majorUnit val="3"/>
      </c:valAx>
      <c:catAx>
        <c:axId val="161122767"/>
        <c:scaling>
          <c:orientation val="minMax"/>
        </c:scaling>
        <c:delete val="1"/>
        <c:axPos val="b"/>
        <c:numFmt formatCode="General" sourceLinked="1"/>
        <c:majorTickMark val="out"/>
        <c:minorTickMark val="none"/>
        <c:tickLblPos val="nextTo"/>
        <c:crossAx val="16111902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E57DB-81F6-4291-B8D1-D3F36CF2D627}">
  <ds:schemaRefs>
    <ds:schemaRef ds:uri="http://schemas.openxmlformats.org/officeDocument/2006/bibliography"/>
  </ds:schemaRefs>
</ds:datastoreItem>
</file>

<file path=customXml/itemProps2.xml><?xml version="1.0" encoding="utf-8"?>
<ds:datastoreItem xmlns:ds="http://schemas.openxmlformats.org/officeDocument/2006/customXml" ds:itemID="{CFE683EC-C4A0-4124-91C6-63C92FD7D94B}"/>
</file>

<file path=customXml/itemProps3.xml><?xml version="1.0" encoding="utf-8"?>
<ds:datastoreItem xmlns:ds="http://schemas.openxmlformats.org/officeDocument/2006/customXml" ds:itemID="{19B67371-FBC2-4717-85E0-060A0303E1A9}"/>
</file>

<file path=customXml/itemProps4.xml><?xml version="1.0" encoding="utf-8"?>
<ds:datastoreItem xmlns:ds="http://schemas.openxmlformats.org/officeDocument/2006/customXml" ds:itemID="{8FF5F249-BEFC-431C-BB77-6404662C6EA4}"/>
</file>

<file path=docProps/app.xml><?xml version="1.0" encoding="utf-8"?>
<Properties xmlns="http://schemas.openxmlformats.org/officeDocument/2006/extended-properties" xmlns:vt="http://schemas.openxmlformats.org/officeDocument/2006/docPropsVTypes">
  <Template>Analýza CZ.dotx</Template>
  <TotalTime>1917</TotalTime>
  <Pages>9</Pages>
  <Words>2526</Words>
  <Characters>14907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17399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Zábojníková</dc:creator>
  <cp:lastModifiedBy>Zábojníková Karolína</cp:lastModifiedBy>
  <cp:revision>35</cp:revision>
  <dcterms:created xsi:type="dcterms:W3CDTF">2023-04-24T06:25:00Z</dcterms:created>
  <dcterms:modified xsi:type="dcterms:W3CDTF">2023-07-24T06:12:00Z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ies>
</file>