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FD4" w:rsidRDefault="00F11E12" w:rsidP="00F11E12">
      <w:pPr>
        <w:jc w:val="left"/>
        <w:rPr>
          <w:b/>
          <w:bCs/>
          <w:sz w:val="22"/>
          <w:szCs w:val="22"/>
          <w:lang w:val="en-AU"/>
        </w:rPr>
      </w:pPr>
      <w:r w:rsidRPr="00AF4026">
        <w:rPr>
          <w:b/>
          <w:bCs/>
          <w:sz w:val="22"/>
          <w:szCs w:val="22"/>
          <w:lang w:val="en-AU"/>
        </w:rPr>
        <w:t xml:space="preserve">International trade </w:t>
      </w:r>
      <w:r w:rsidR="00C04808" w:rsidRPr="00AF4026">
        <w:rPr>
          <w:b/>
          <w:bCs/>
          <w:sz w:val="22"/>
          <w:szCs w:val="22"/>
          <w:lang w:val="en-AU"/>
        </w:rPr>
        <w:t>in goods (change of ownership)</w:t>
      </w:r>
      <w:r w:rsidR="00C04808" w:rsidRPr="00AF4026">
        <w:rPr>
          <w:rStyle w:val="Znakapoznpodarou"/>
          <w:b/>
          <w:bCs/>
          <w:sz w:val="22"/>
          <w:szCs w:val="22"/>
          <w:lang w:val="en-AU"/>
        </w:rPr>
        <w:footnoteReference w:id="1"/>
      </w:r>
      <w:r w:rsidR="00C04808" w:rsidRPr="00AF4026">
        <w:rPr>
          <w:b/>
          <w:bCs/>
          <w:sz w:val="22"/>
          <w:szCs w:val="22"/>
          <w:lang w:val="en-AU"/>
        </w:rPr>
        <w:t xml:space="preserve"> </w:t>
      </w:r>
      <w:r w:rsidRPr="00AF4026">
        <w:rPr>
          <w:rFonts w:cs="Arial"/>
          <w:b/>
          <w:sz w:val="22"/>
          <w:szCs w:val="22"/>
          <w:lang w:val="en-AU"/>
        </w:rPr>
        <w:t>of the Czech Republic</w:t>
      </w:r>
      <w:r w:rsidRPr="00AF4026">
        <w:rPr>
          <w:b/>
          <w:bCs/>
          <w:sz w:val="22"/>
          <w:szCs w:val="22"/>
          <w:lang w:val="en-AU"/>
        </w:rPr>
        <w:t xml:space="preserve"> in 20</w:t>
      </w:r>
      <w:r w:rsidR="003D126E" w:rsidRPr="00AF4026">
        <w:rPr>
          <w:b/>
          <w:bCs/>
          <w:sz w:val="22"/>
          <w:szCs w:val="22"/>
          <w:lang w:val="en-AU"/>
        </w:rPr>
        <w:t>2</w:t>
      </w:r>
      <w:r w:rsidR="00D547E9">
        <w:rPr>
          <w:b/>
          <w:bCs/>
          <w:sz w:val="22"/>
          <w:szCs w:val="22"/>
          <w:lang w:val="en-AU"/>
        </w:rPr>
        <w:t>3</w:t>
      </w:r>
      <w:r w:rsidR="003B34AA">
        <w:rPr>
          <w:rStyle w:val="Znakapoznpodarou"/>
          <w:b/>
          <w:bCs/>
          <w:sz w:val="22"/>
          <w:szCs w:val="22"/>
          <w:lang w:val="en-AU"/>
        </w:rPr>
        <w:footnoteReference w:id="2"/>
      </w:r>
    </w:p>
    <w:p w:rsidR="00FC2777" w:rsidRPr="00AF4026" w:rsidRDefault="00FC2777" w:rsidP="00F11E12">
      <w:pPr>
        <w:jc w:val="left"/>
        <w:rPr>
          <w:b/>
          <w:bCs/>
          <w:sz w:val="22"/>
          <w:szCs w:val="22"/>
          <w:lang w:val="en-AU"/>
        </w:rPr>
      </w:pPr>
    </w:p>
    <w:p w:rsidR="000F2FD4" w:rsidRPr="00AF4026" w:rsidRDefault="000F2FD4">
      <w:pPr>
        <w:jc w:val="center"/>
        <w:rPr>
          <w:b/>
          <w:bCs/>
          <w:sz w:val="18"/>
          <w:lang w:val="en-AU"/>
        </w:rPr>
      </w:pPr>
    </w:p>
    <w:p w:rsidR="00D547E9" w:rsidRPr="00D547E9" w:rsidRDefault="00D547E9" w:rsidP="00D547E9">
      <w:pPr>
        <w:spacing w:after="160"/>
        <w:rPr>
          <w:sz w:val="18"/>
          <w:szCs w:val="18"/>
          <w:lang w:val="en-GB"/>
        </w:rPr>
      </w:pPr>
      <w:r w:rsidRPr="00D547E9">
        <w:rPr>
          <w:sz w:val="18"/>
          <w:szCs w:val="18"/>
          <w:lang w:val="en-GB"/>
        </w:rPr>
        <w:t xml:space="preserve">The Czech Republic recorded a year-on-year decline in </w:t>
      </w:r>
      <w:r w:rsidR="00E46F33">
        <w:rPr>
          <w:sz w:val="18"/>
          <w:szCs w:val="18"/>
          <w:lang w:val="en-GB"/>
        </w:rPr>
        <w:t>international trade in goods (change of ownership)</w:t>
      </w:r>
      <w:r w:rsidRPr="00D547E9">
        <w:rPr>
          <w:sz w:val="18"/>
          <w:szCs w:val="18"/>
          <w:lang w:val="en-GB"/>
        </w:rPr>
        <w:t xml:space="preserve"> </w:t>
      </w:r>
      <w:r w:rsidRPr="00E46F33">
        <w:rPr>
          <w:b/>
          <w:sz w:val="18"/>
          <w:szCs w:val="18"/>
          <w:lang w:val="en-GB"/>
        </w:rPr>
        <w:t>turnover</w:t>
      </w:r>
      <w:r w:rsidR="00E46F33">
        <w:rPr>
          <w:sz w:val="18"/>
          <w:szCs w:val="18"/>
          <w:lang w:val="en-GB"/>
        </w:rPr>
        <w:t xml:space="preserve"> in </w:t>
      </w:r>
      <w:r w:rsidRPr="00D547E9">
        <w:rPr>
          <w:sz w:val="18"/>
          <w:szCs w:val="18"/>
          <w:lang w:val="en-GB"/>
        </w:rPr>
        <w:t xml:space="preserve">2023, mainly due to lower imports. </w:t>
      </w:r>
      <w:r w:rsidR="00FC2777" w:rsidRPr="00D547E9">
        <w:rPr>
          <w:sz w:val="18"/>
          <w:szCs w:val="18"/>
          <w:lang w:val="en-GB"/>
        </w:rPr>
        <w:t>According to the final data for 2023, exports g</w:t>
      </w:r>
      <w:r w:rsidR="00597757">
        <w:rPr>
          <w:sz w:val="18"/>
          <w:szCs w:val="18"/>
          <w:lang w:val="en-GB"/>
        </w:rPr>
        <w:t>rew by 0.8% year-on-year to CZK </w:t>
      </w:r>
      <w:r w:rsidR="00FC2777" w:rsidRPr="00D547E9">
        <w:rPr>
          <w:sz w:val="18"/>
          <w:szCs w:val="18"/>
          <w:lang w:val="en-GB"/>
        </w:rPr>
        <w:t>4</w:t>
      </w:r>
      <w:r w:rsidR="00FC2777">
        <w:rPr>
          <w:sz w:val="18"/>
          <w:szCs w:val="18"/>
          <w:lang w:val="en-GB"/>
        </w:rPr>
        <w:t> </w:t>
      </w:r>
      <w:r w:rsidR="00FC2777" w:rsidRPr="00D547E9">
        <w:rPr>
          <w:sz w:val="18"/>
          <w:szCs w:val="18"/>
          <w:lang w:val="en-GB"/>
        </w:rPr>
        <w:t xml:space="preserve">442.4 </w:t>
      </w:r>
      <w:proofErr w:type="spellStart"/>
      <w:r w:rsidR="00FC2777">
        <w:rPr>
          <w:sz w:val="18"/>
          <w:szCs w:val="18"/>
          <w:lang w:val="en-GB"/>
        </w:rPr>
        <w:t>bn</w:t>
      </w:r>
      <w:proofErr w:type="spellEnd"/>
      <w:r w:rsidR="00FC2777" w:rsidRPr="00D547E9">
        <w:rPr>
          <w:sz w:val="18"/>
          <w:szCs w:val="18"/>
          <w:lang w:val="en-GB"/>
        </w:rPr>
        <w:t>, while imports fell by 6.3% to CZK 4</w:t>
      </w:r>
      <w:r w:rsidR="00FC2777">
        <w:rPr>
          <w:sz w:val="18"/>
          <w:szCs w:val="18"/>
          <w:lang w:val="en-GB"/>
        </w:rPr>
        <w:t xml:space="preserve"> </w:t>
      </w:r>
      <w:r w:rsidR="00FC2777" w:rsidRPr="00D547E9">
        <w:rPr>
          <w:sz w:val="18"/>
          <w:szCs w:val="18"/>
          <w:lang w:val="en-GB"/>
        </w:rPr>
        <w:t xml:space="preserve">319.9 </w:t>
      </w:r>
      <w:r w:rsidR="00FC2777">
        <w:rPr>
          <w:sz w:val="18"/>
          <w:szCs w:val="18"/>
          <w:lang w:val="en-GB"/>
        </w:rPr>
        <w:t>bn</w:t>
      </w:r>
      <w:r w:rsidR="00FC2777" w:rsidRPr="00D547E9">
        <w:rPr>
          <w:sz w:val="18"/>
          <w:szCs w:val="18"/>
          <w:lang w:val="en-GB"/>
        </w:rPr>
        <w:t xml:space="preserve">. </w:t>
      </w:r>
      <w:r w:rsidRPr="00D547E9">
        <w:rPr>
          <w:sz w:val="18"/>
          <w:szCs w:val="18"/>
          <w:lang w:val="en-GB"/>
        </w:rPr>
        <w:t xml:space="preserve">Compared to 2022, the </w:t>
      </w:r>
      <w:r w:rsidR="00597757">
        <w:rPr>
          <w:sz w:val="18"/>
          <w:szCs w:val="18"/>
          <w:lang w:val="en-GB"/>
        </w:rPr>
        <w:t>sum of the value of exports and </w:t>
      </w:r>
      <w:r w:rsidRPr="00D547E9">
        <w:rPr>
          <w:sz w:val="18"/>
          <w:szCs w:val="18"/>
          <w:lang w:val="en-GB"/>
        </w:rPr>
        <w:t xml:space="preserve">imports decreased by 2.9%, i.e. by CZK 257.1 </w:t>
      </w:r>
      <w:r w:rsidR="00E46F33">
        <w:rPr>
          <w:sz w:val="18"/>
          <w:szCs w:val="18"/>
          <w:lang w:val="en-GB"/>
        </w:rPr>
        <w:t>bn</w:t>
      </w:r>
      <w:r w:rsidRPr="00D547E9">
        <w:rPr>
          <w:sz w:val="18"/>
          <w:szCs w:val="18"/>
          <w:lang w:val="en-GB"/>
        </w:rPr>
        <w:t xml:space="preserve">. The value of turnover in 2023 reached CZK 8 762.4 </w:t>
      </w:r>
      <w:r w:rsidR="00E46F33">
        <w:rPr>
          <w:sz w:val="18"/>
          <w:szCs w:val="18"/>
          <w:lang w:val="en-GB"/>
        </w:rPr>
        <w:t>bn</w:t>
      </w:r>
      <w:r w:rsidRPr="00D547E9">
        <w:rPr>
          <w:sz w:val="18"/>
          <w:szCs w:val="18"/>
          <w:lang w:val="en-GB"/>
        </w:rPr>
        <w:t>.</w:t>
      </w:r>
    </w:p>
    <w:p w:rsidR="00FC2777" w:rsidRDefault="00D547E9" w:rsidP="00D547E9">
      <w:pPr>
        <w:spacing w:after="160"/>
        <w:rPr>
          <w:sz w:val="18"/>
          <w:szCs w:val="18"/>
          <w:lang w:val="en-GB"/>
        </w:rPr>
      </w:pPr>
      <w:r w:rsidRPr="00E46F33">
        <w:rPr>
          <w:b/>
          <w:sz w:val="18"/>
          <w:szCs w:val="18"/>
          <w:lang w:val="en-GB"/>
        </w:rPr>
        <w:t xml:space="preserve">The balance of </w:t>
      </w:r>
      <w:r w:rsidR="00E46F33" w:rsidRPr="00E46F33">
        <w:rPr>
          <w:b/>
          <w:sz w:val="18"/>
          <w:szCs w:val="18"/>
          <w:lang w:val="en-GB"/>
        </w:rPr>
        <w:t>international trade in goods (change of ownership)</w:t>
      </w:r>
      <w:r w:rsidRPr="00E46F33">
        <w:rPr>
          <w:b/>
          <w:sz w:val="18"/>
          <w:szCs w:val="18"/>
          <w:lang w:val="en-GB"/>
        </w:rPr>
        <w:t xml:space="preserve"> in goods</w:t>
      </w:r>
      <w:r w:rsidRPr="00D547E9">
        <w:rPr>
          <w:sz w:val="18"/>
          <w:szCs w:val="18"/>
          <w:lang w:val="en-GB"/>
        </w:rPr>
        <w:t xml:space="preserve"> at current</w:t>
      </w:r>
      <w:r w:rsidR="00FC2777">
        <w:rPr>
          <w:sz w:val="18"/>
          <w:szCs w:val="18"/>
          <w:lang w:val="en-GB"/>
        </w:rPr>
        <w:t xml:space="preserve"> prices ended with a surplus of </w:t>
      </w:r>
      <w:r w:rsidRPr="00D547E9">
        <w:rPr>
          <w:sz w:val="18"/>
          <w:szCs w:val="18"/>
          <w:lang w:val="en-GB"/>
        </w:rPr>
        <w:t xml:space="preserve">CZK 122.5 </w:t>
      </w:r>
      <w:proofErr w:type="spellStart"/>
      <w:r w:rsidR="00E46F33">
        <w:rPr>
          <w:sz w:val="18"/>
          <w:szCs w:val="18"/>
          <w:lang w:val="en-GB"/>
        </w:rPr>
        <w:t>bn</w:t>
      </w:r>
      <w:proofErr w:type="spellEnd"/>
      <w:r w:rsidRPr="00D547E9">
        <w:rPr>
          <w:sz w:val="18"/>
          <w:szCs w:val="18"/>
          <w:lang w:val="en-GB"/>
        </w:rPr>
        <w:t xml:space="preserve"> compared to a deficit of CZK 204.8 </w:t>
      </w:r>
      <w:proofErr w:type="spellStart"/>
      <w:r w:rsidR="00E46F33">
        <w:rPr>
          <w:sz w:val="18"/>
          <w:szCs w:val="18"/>
          <w:lang w:val="en-GB"/>
        </w:rPr>
        <w:t>bn</w:t>
      </w:r>
      <w:proofErr w:type="spellEnd"/>
      <w:r w:rsidRPr="00D547E9">
        <w:rPr>
          <w:sz w:val="18"/>
          <w:szCs w:val="18"/>
          <w:lang w:val="en-GB"/>
        </w:rPr>
        <w:t xml:space="preserve"> in 2022. </w:t>
      </w:r>
    </w:p>
    <w:p w:rsidR="00D547E9" w:rsidRPr="00D547E9" w:rsidRDefault="00D547E9" w:rsidP="00D547E9">
      <w:pPr>
        <w:spacing w:after="160"/>
        <w:rPr>
          <w:sz w:val="18"/>
          <w:szCs w:val="18"/>
          <w:lang w:val="en-GB"/>
        </w:rPr>
      </w:pPr>
      <w:r w:rsidRPr="0064454B">
        <w:rPr>
          <w:b/>
          <w:sz w:val="18"/>
          <w:szCs w:val="18"/>
          <w:lang w:val="en-GB"/>
        </w:rPr>
        <w:t>Motor vehicles</w:t>
      </w:r>
      <w:r w:rsidRPr="00D547E9">
        <w:rPr>
          <w:sz w:val="18"/>
          <w:szCs w:val="18"/>
          <w:lang w:val="en-GB"/>
        </w:rPr>
        <w:t xml:space="preserve"> (including parts and accessories) in particular had </w:t>
      </w:r>
      <w:r w:rsidRPr="00A624DC">
        <w:rPr>
          <w:b/>
          <w:sz w:val="18"/>
          <w:szCs w:val="18"/>
          <w:lang w:val="en-GB"/>
        </w:rPr>
        <w:t xml:space="preserve">a favourable impact on the </w:t>
      </w:r>
      <w:r w:rsidR="008402B1" w:rsidRPr="00A624DC">
        <w:rPr>
          <w:b/>
          <w:sz w:val="18"/>
          <w:szCs w:val="18"/>
          <w:lang w:val="en-GB"/>
        </w:rPr>
        <w:t>total</w:t>
      </w:r>
      <w:r w:rsidRPr="00A624DC">
        <w:rPr>
          <w:b/>
          <w:sz w:val="18"/>
          <w:szCs w:val="18"/>
          <w:lang w:val="en-GB"/>
        </w:rPr>
        <w:t xml:space="preserve"> balance</w:t>
      </w:r>
      <w:r w:rsidRPr="00D547E9">
        <w:rPr>
          <w:sz w:val="18"/>
          <w:szCs w:val="18"/>
          <w:lang w:val="en-GB"/>
        </w:rPr>
        <w:t xml:space="preserve"> of </w:t>
      </w:r>
      <w:r w:rsidR="00E46F33">
        <w:rPr>
          <w:sz w:val="18"/>
          <w:szCs w:val="18"/>
          <w:lang w:val="en-GB"/>
        </w:rPr>
        <w:t>international trade in goods (change of ownership)</w:t>
      </w:r>
      <w:r w:rsidRPr="00D547E9">
        <w:rPr>
          <w:sz w:val="18"/>
          <w:szCs w:val="18"/>
          <w:lang w:val="en-GB"/>
        </w:rPr>
        <w:t xml:space="preserve">. In 2023, their trade balance ended with a surplus of CZK 574.6 </w:t>
      </w:r>
      <w:proofErr w:type="spellStart"/>
      <w:r w:rsidR="00E46F33">
        <w:rPr>
          <w:sz w:val="18"/>
          <w:szCs w:val="18"/>
          <w:lang w:val="en-GB"/>
        </w:rPr>
        <w:t>bn</w:t>
      </w:r>
      <w:proofErr w:type="spellEnd"/>
      <w:r w:rsidR="00A624DC">
        <w:rPr>
          <w:sz w:val="18"/>
          <w:szCs w:val="18"/>
          <w:lang w:val="en-GB"/>
        </w:rPr>
        <w:t>, an </w:t>
      </w:r>
      <w:bookmarkStart w:id="0" w:name="_GoBack"/>
      <w:bookmarkEnd w:id="0"/>
      <w:r w:rsidRPr="00D547E9">
        <w:rPr>
          <w:sz w:val="18"/>
          <w:szCs w:val="18"/>
          <w:lang w:val="en-GB"/>
        </w:rPr>
        <w:t xml:space="preserve">improvement of CZK 114.0 </w:t>
      </w:r>
      <w:proofErr w:type="spellStart"/>
      <w:r w:rsidR="00E46F33">
        <w:rPr>
          <w:sz w:val="18"/>
          <w:szCs w:val="18"/>
          <w:lang w:val="en-GB"/>
        </w:rPr>
        <w:t>bn</w:t>
      </w:r>
      <w:proofErr w:type="spellEnd"/>
      <w:r w:rsidRPr="00D547E9">
        <w:rPr>
          <w:sz w:val="18"/>
          <w:szCs w:val="18"/>
          <w:lang w:val="en-GB"/>
        </w:rPr>
        <w:t xml:space="preserve"> year-on-year. Exports of these goods from the Czech Republic rose by CZK 186.9 </w:t>
      </w:r>
      <w:proofErr w:type="spellStart"/>
      <w:r w:rsidR="00E46F33">
        <w:rPr>
          <w:sz w:val="18"/>
          <w:szCs w:val="18"/>
          <w:lang w:val="en-GB"/>
        </w:rPr>
        <w:t>bn</w:t>
      </w:r>
      <w:proofErr w:type="spellEnd"/>
      <w:r w:rsidRPr="00D547E9">
        <w:rPr>
          <w:sz w:val="18"/>
          <w:szCs w:val="18"/>
          <w:lang w:val="en-GB"/>
        </w:rPr>
        <w:t xml:space="preserve"> to CZK 1</w:t>
      </w:r>
      <w:r w:rsidR="008402B1">
        <w:rPr>
          <w:sz w:val="18"/>
          <w:szCs w:val="18"/>
          <w:lang w:val="en-GB"/>
        </w:rPr>
        <w:t xml:space="preserve"> </w:t>
      </w:r>
      <w:r w:rsidRPr="00D547E9">
        <w:rPr>
          <w:sz w:val="18"/>
          <w:szCs w:val="18"/>
          <w:lang w:val="en-GB"/>
        </w:rPr>
        <w:t xml:space="preserve">228.8 </w:t>
      </w:r>
      <w:proofErr w:type="spellStart"/>
      <w:r w:rsidR="00E46F33">
        <w:rPr>
          <w:sz w:val="18"/>
          <w:szCs w:val="18"/>
          <w:lang w:val="en-GB"/>
        </w:rPr>
        <w:t>bn</w:t>
      </w:r>
      <w:proofErr w:type="spellEnd"/>
      <w:r w:rsidRPr="00D547E9">
        <w:rPr>
          <w:sz w:val="18"/>
          <w:szCs w:val="18"/>
          <w:lang w:val="en-GB"/>
        </w:rPr>
        <w:t xml:space="preserve"> and imports into the Czech Republic rose by CZK 72.9 </w:t>
      </w:r>
      <w:proofErr w:type="spellStart"/>
      <w:r w:rsidR="00E46F33">
        <w:rPr>
          <w:sz w:val="18"/>
          <w:szCs w:val="18"/>
          <w:lang w:val="en-GB"/>
        </w:rPr>
        <w:t>bn</w:t>
      </w:r>
      <w:proofErr w:type="spellEnd"/>
      <w:r w:rsidRPr="00D547E9">
        <w:rPr>
          <w:sz w:val="18"/>
          <w:szCs w:val="18"/>
          <w:lang w:val="en-GB"/>
        </w:rPr>
        <w:t xml:space="preserve"> to CZK 654.3 </w:t>
      </w:r>
      <w:r w:rsidR="00E46F33">
        <w:rPr>
          <w:sz w:val="18"/>
          <w:szCs w:val="18"/>
          <w:lang w:val="en-GB"/>
        </w:rPr>
        <w:t>bn</w:t>
      </w:r>
      <w:r w:rsidRPr="00D547E9">
        <w:rPr>
          <w:sz w:val="18"/>
          <w:szCs w:val="18"/>
          <w:lang w:val="en-GB"/>
        </w:rPr>
        <w:t>.</w:t>
      </w:r>
    </w:p>
    <w:p w:rsidR="00D547E9" w:rsidRPr="00D547E9" w:rsidRDefault="00D547E9" w:rsidP="00D547E9">
      <w:pPr>
        <w:spacing w:after="160"/>
        <w:rPr>
          <w:sz w:val="18"/>
          <w:szCs w:val="18"/>
          <w:lang w:val="en-GB"/>
        </w:rPr>
      </w:pPr>
      <w:r w:rsidRPr="00D547E9">
        <w:rPr>
          <w:sz w:val="18"/>
          <w:szCs w:val="18"/>
          <w:lang w:val="en-GB"/>
        </w:rPr>
        <w:t xml:space="preserve">The </w:t>
      </w:r>
      <w:r w:rsidR="008402B1">
        <w:rPr>
          <w:sz w:val="18"/>
          <w:szCs w:val="18"/>
          <w:lang w:val="en-GB"/>
        </w:rPr>
        <w:t>total</w:t>
      </w:r>
      <w:r w:rsidRPr="00D547E9">
        <w:rPr>
          <w:sz w:val="18"/>
          <w:szCs w:val="18"/>
          <w:lang w:val="en-GB"/>
        </w:rPr>
        <w:t xml:space="preserve"> balance of </w:t>
      </w:r>
      <w:r w:rsidR="00E46F33">
        <w:rPr>
          <w:sz w:val="18"/>
          <w:szCs w:val="18"/>
          <w:lang w:val="en-GB"/>
        </w:rPr>
        <w:t>international trade in goods</w:t>
      </w:r>
      <w:r w:rsidRPr="00D547E9">
        <w:rPr>
          <w:sz w:val="18"/>
          <w:szCs w:val="18"/>
          <w:lang w:val="en-GB"/>
        </w:rPr>
        <w:t xml:space="preserve"> was further affected by year-on-year smaller balance deficits in </w:t>
      </w:r>
      <w:r w:rsidR="008402B1">
        <w:rPr>
          <w:sz w:val="18"/>
          <w:szCs w:val="18"/>
          <w:lang w:val="en-GB"/>
        </w:rPr>
        <w:t>crude petroleum</w:t>
      </w:r>
      <w:r w:rsidRPr="00D547E9">
        <w:rPr>
          <w:sz w:val="18"/>
          <w:szCs w:val="18"/>
          <w:lang w:val="en-GB"/>
        </w:rPr>
        <w:t xml:space="preserve"> and </w:t>
      </w:r>
      <w:r w:rsidR="008402B1">
        <w:rPr>
          <w:sz w:val="18"/>
          <w:szCs w:val="18"/>
          <w:lang w:val="en-GB"/>
        </w:rPr>
        <w:t xml:space="preserve">natural </w:t>
      </w:r>
      <w:r w:rsidRPr="00D547E9">
        <w:rPr>
          <w:sz w:val="18"/>
          <w:szCs w:val="18"/>
          <w:lang w:val="en-GB"/>
        </w:rPr>
        <w:t xml:space="preserve">gas by CZK 149.3 </w:t>
      </w:r>
      <w:proofErr w:type="spellStart"/>
      <w:r w:rsidR="00E46F33">
        <w:rPr>
          <w:sz w:val="18"/>
          <w:szCs w:val="18"/>
          <w:lang w:val="en-GB"/>
        </w:rPr>
        <w:t>bn</w:t>
      </w:r>
      <w:proofErr w:type="spellEnd"/>
      <w:r w:rsidRPr="00D547E9">
        <w:rPr>
          <w:sz w:val="18"/>
          <w:szCs w:val="18"/>
          <w:lang w:val="en-GB"/>
        </w:rPr>
        <w:t>, bas</w:t>
      </w:r>
      <w:r w:rsidR="008402B1">
        <w:rPr>
          <w:sz w:val="18"/>
          <w:szCs w:val="18"/>
          <w:lang w:val="en-GB"/>
        </w:rPr>
        <w:t>ic</w:t>
      </w:r>
      <w:r w:rsidRPr="00D547E9">
        <w:rPr>
          <w:sz w:val="18"/>
          <w:szCs w:val="18"/>
          <w:lang w:val="en-GB"/>
        </w:rPr>
        <w:t xml:space="preserve"> metals by CZK 26.9 </w:t>
      </w:r>
      <w:proofErr w:type="spellStart"/>
      <w:r w:rsidR="00E46F33">
        <w:rPr>
          <w:sz w:val="18"/>
          <w:szCs w:val="18"/>
          <w:lang w:val="en-GB"/>
        </w:rPr>
        <w:t>bn</w:t>
      </w:r>
      <w:proofErr w:type="spellEnd"/>
      <w:r w:rsidRPr="00D547E9">
        <w:rPr>
          <w:sz w:val="18"/>
          <w:szCs w:val="18"/>
          <w:lang w:val="en-GB"/>
        </w:rPr>
        <w:t xml:space="preserve"> and chemicals and </w:t>
      </w:r>
      <w:r w:rsidR="008402B1">
        <w:rPr>
          <w:sz w:val="18"/>
          <w:szCs w:val="18"/>
          <w:lang w:val="en-GB"/>
        </w:rPr>
        <w:t>chemical products</w:t>
      </w:r>
      <w:r w:rsidR="00FC2777">
        <w:rPr>
          <w:sz w:val="18"/>
          <w:szCs w:val="18"/>
          <w:lang w:val="en-GB"/>
        </w:rPr>
        <w:t xml:space="preserve"> by CZK </w:t>
      </w:r>
      <w:r w:rsidRPr="00D547E9">
        <w:rPr>
          <w:sz w:val="18"/>
          <w:szCs w:val="18"/>
          <w:lang w:val="en-GB"/>
        </w:rPr>
        <w:t xml:space="preserve">20.7 </w:t>
      </w:r>
      <w:r w:rsidR="00E46F33">
        <w:rPr>
          <w:sz w:val="18"/>
          <w:szCs w:val="18"/>
          <w:lang w:val="en-GB"/>
        </w:rPr>
        <w:t>bn</w:t>
      </w:r>
      <w:r w:rsidRPr="00D547E9">
        <w:rPr>
          <w:sz w:val="18"/>
          <w:szCs w:val="18"/>
          <w:lang w:val="en-GB"/>
        </w:rPr>
        <w:t xml:space="preserve">. The trade surplus in machinery and equipment increased by CZK 22.5 </w:t>
      </w:r>
      <w:r w:rsidR="00E46F33">
        <w:rPr>
          <w:sz w:val="18"/>
          <w:szCs w:val="18"/>
          <w:lang w:val="en-GB"/>
        </w:rPr>
        <w:t>bn</w:t>
      </w:r>
      <w:r w:rsidRPr="00D547E9">
        <w:rPr>
          <w:sz w:val="18"/>
          <w:szCs w:val="18"/>
          <w:lang w:val="en-GB"/>
        </w:rPr>
        <w:t>.</w:t>
      </w:r>
    </w:p>
    <w:p w:rsidR="00D547E9" w:rsidRPr="00D547E9" w:rsidRDefault="00D547E9" w:rsidP="00D547E9">
      <w:pPr>
        <w:spacing w:after="160"/>
        <w:rPr>
          <w:sz w:val="18"/>
          <w:szCs w:val="18"/>
          <w:lang w:val="en-GB"/>
        </w:rPr>
      </w:pPr>
      <w:r w:rsidRPr="00D547E9">
        <w:rPr>
          <w:sz w:val="18"/>
          <w:szCs w:val="18"/>
          <w:lang w:val="en-GB"/>
        </w:rPr>
        <w:t xml:space="preserve">The </w:t>
      </w:r>
      <w:r w:rsidR="008402B1">
        <w:rPr>
          <w:sz w:val="18"/>
          <w:szCs w:val="18"/>
          <w:lang w:val="en-GB"/>
        </w:rPr>
        <w:t>total</w:t>
      </w:r>
      <w:r w:rsidRPr="00D547E9">
        <w:rPr>
          <w:sz w:val="18"/>
          <w:szCs w:val="18"/>
          <w:lang w:val="en-GB"/>
        </w:rPr>
        <w:t xml:space="preserve"> balance of </w:t>
      </w:r>
      <w:r w:rsidR="00E46F33">
        <w:rPr>
          <w:sz w:val="18"/>
          <w:szCs w:val="18"/>
          <w:lang w:val="en-GB"/>
        </w:rPr>
        <w:t>international trade in goods</w:t>
      </w:r>
      <w:r w:rsidRPr="00D547E9">
        <w:rPr>
          <w:sz w:val="18"/>
          <w:szCs w:val="18"/>
          <w:lang w:val="en-GB"/>
        </w:rPr>
        <w:t xml:space="preserve"> was </w:t>
      </w:r>
      <w:r w:rsidRPr="00A624DC">
        <w:rPr>
          <w:b/>
          <w:sz w:val="18"/>
          <w:szCs w:val="18"/>
          <w:lang w:val="en-GB"/>
        </w:rPr>
        <w:t>adversely affected</w:t>
      </w:r>
      <w:r w:rsidRPr="00D547E9">
        <w:rPr>
          <w:sz w:val="18"/>
          <w:szCs w:val="18"/>
          <w:lang w:val="en-GB"/>
        </w:rPr>
        <w:t xml:space="preserve"> mainly by a year-on-year decline in the active balance with electricity by CZK 51.9 </w:t>
      </w:r>
      <w:proofErr w:type="spellStart"/>
      <w:r w:rsidR="00E46F33">
        <w:rPr>
          <w:sz w:val="18"/>
          <w:szCs w:val="18"/>
          <w:lang w:val="en-GB"/>
        </w:rPr>
        <w:t>bn</w:t>
      </w:r>
      <w:proofErr w:type="spellEnd"/>
      <w:r w:rsidRPr="00D547E9">
        <w:rPr>
          <w:sz w:val="18"/>
          <w:szCs w:val="18"/>
          <w:lang w:val="en-GB"/>
        </w:rPr>
        <w:t xml:space="preserve"> and with forestry and logging products by CZK 11.1 </w:t>
      </w:r>
      <w:r w:rsidR="00E46F33">
        <w:rPr>
          <w:sz w:val="18"/>
          <w:szCs w:val="18"/>
          <w:lang w:val="en-GB"/>
        </w:rPr>
        <w:t>bn</w:t>
      </w:r>
      <w:r w:rsidRPr="00D547E9">
        <w:rPr>
          <w:sz w:val="18"/>
          <w:szCs w:val="18"/>
          <w:lang w:val="en-GB"/>
        </w:rPr>
        <w:t xml:space="preserve">. Furthermore, the balance of computer, electronic and optical </w:t>
      </w:r>
      <w:r w:rsidR="008402B1">
        <w:rPr>
          <w:sz w:val="18"/>
          <w:szCs w:val="18"/>
          <w:lang w:val="en-GB"/>
        </w:rPr>
        <w:t>products</w:t>
      </w:r>
      <w:r w:rsidRPr="00D547E9">
        <w:rPr>
          <w:sz w:val="18"/>
          <w:szCs w:val="18"/>
          <w:lang w:val="en-GB"/>
        </w:rPr>
        <w:t xml:space="preserve"> became more passive by CZK 16.4 </w:t>
      </w:r>
      <w:r w:rsidR="00E46F33">
        <w:rPr>
          <w:sz w:val="18"/>
          <w:szCs w:val="18"/>
          <w:lang w:val="en-GB"/>
        </w:rPr>
        <w:t>bn</w:t>
      </w:r>
      <w:r w:rsidRPr="00D547E9">
        <w:rPr>
          <w:sz w:val="18"/>
          <w:szCs w:val="18"/>
          <w:lang w:val="en-GB"/>
        </w:rPr>
        <w:t>.</w:t>
      </w:r>
    </w:p>
    <w:p w:rsidR="00D547E9" w:rsidRPr="00D547E9" w:rsidRDefault="00D547E9" w:rsidP="00D547E9">
      <w:pPr>
        <w:spacing w:after="160"/>
        <w:rPr>
          <w:sz w:val="18"/>
          <w:szCs w:val="18"/>
          <w:lang w:val="en-GB"/>
        </w:rPr>
      </w:pPr>
      <w:r w:rsidRPr="00D547E9">
        <w:rPr>
          <w:sz w:val="18"/>
          <w:szCs w:val="18"/>
          <w:lang w:val="en-GB"/>
        </w:rPr>
        <w:t xml:space="preserve">The share of </w:t>
      </w:r>
      <w:r w:rsidR="00E46F33">
        <w:rPr>
          <w:sz w:val="18"/>
          <w:szCs w:val="18"/>
          <w:lang w:val="en-GB"/>
        </w:rPr>
        <w:t>trade</w:t>
      </w:r>
      <w:r w:rsidRPr="00D547E9">
        <w:rPr>
          <w:sz w:val="18"/>
          <w:szCs w:val="18"/>
          <w:lang w:val="en-GB"/>
        </w:rPr>
        <w:t xml:space="preserve"> with EU</w:t>
      </w:r>
      <w:r w:rsidR="00325A62">
        <w:rPr>
          <w:rStyle w:val="Znakapoznpodarou"/>
          <w:sz w:val="18"/>
          <w:szCs w:val="18"/>
          <w:lang w:val="en-GB"/>
        </w:rPr>
        <w:footnoteReference w:id="3"/>
      </w:r>
      <w:r w:rsidRPr="00D547E9">
        <w:rPr>
          <w:sz w:val="18"/>
          <w:szCs w:val="18"/>
          <w:lang w:val="en-GB"/>
        </w:rPr>
        <w:t xml:space="preserve"> countries in the total </w:t>
      </w:r>
      <w:r w:rsidR="00E46F33">
        <w:rPr>
          <w:sz w:val="18"/>
          <w:szCs w:val="18"/>
          <w:lang w:val="en-GB"/>
        </w:rPr>
        <w:t>international trade in goods</w:t>
      </w:r>
      <w:r w:rsidRPr="00D547E9">
        <w:rPr>
          <w:sz w:val="18"/>
          <w:szCs w:val="18"/>
          <w:lang w:val="en-GB"/>
        </w:rPr>
        <w:t xml:space="preserve"> </w:t>
      </w:r>
      <w:r w:rsidRPr="0064454B">
        <w:rPr>
          <w:b/>
          <w:sz w:val="18"/>
          <w:szCs w:val="18"/>
          <w:lang w:val="en-GB"/>
        </w:rPr>
        <w:t>turnover</w:t>
      </w:r>
      <w:r w:rsidRPr="00D547E9">
        <w:rPr>
          <w:sz w:val="18"/>
          <w:szCs w:val="18"/>
          <w:lang w:val="en-GB"/>
        </w:rPr>
        <w:t xml:space="preserve"> of the Czech Republic in 2023 reached 71.3% (CZK 6 250.2 </w:t>
      </w:r>
      <w:proofErr w:type="spellStart"/>
      <w:r w:rsidR="00E46F33">
        <w:rPr>
          <w:sz w:val="18"/>
          <w:szCs w:val="18"/>
          <w:lang w:val="en-GB"/>
        </w:rPr>
        <w:t>bn</w:t>
      </w:r>
      <w:proofErr w:type="spellEnd"/>
      <w:r w:rsidRPr="00D547E9">
        <w:rPr>
          <w:sz w:val="18"/>
          <w:szCs w:val="18"/>
          <w:lang w:val="en-GB"/>
        </w:rPr>
        <w:t>), while trade with non-EU countries a</w:t>
      </w:r>
      <w:r w:rsidR="008402B1">
        <w:rPr>
          <w:sz w:val="18"/>
          <w:szCs w:val="18"/>
          <w:lang w:val="en-GB"/>
        </w:rPr>
        <w:t>ccounted for 28.2% (CZK 2 474.1 </w:t>
      </w:r>
      <w:proofErr w:type="spellStart"/>
      <w:r w:rsidR="00E46F33">
        <w:rPr>
          <w:sz w:val="18"/>
          <w:szCs w:val="18"/>
          <w:lang w:val="en-GB"/>
        </w:rPr>
        <w:t>bn</w:t>
      </w:r>
      <w:proofErr w:type="spellEnd"/>
      <w:r w:rsidRPr="00D547E9">
        <w:rPr>
          <w:sz w:val="18"/>
          <w:szCs w:val="18"/>
          <w:lang w:val="en-GB"/>
        </w:rPr>
        <w:t>)</w:t>
      </w:r>
      <w:r w:rsidR="00325A62" w:rsidRPr="00325A62">
        <w:rPr>
          <w:rStyle w:val="Znakapoznpodarou"/>
          <w:b/>
          <w:sz w:val="18"/>
          <w:szCs w:val="18"/>
          <w:lang w:val="en-GB"/>
        </w:rPr>
        <w:t xml:space="preserve"> </w:t>
      </w:r>
      <w:r w:rsidR="00325A62">
        <w:rPr>
          <w:rStyle w:val="Znakapoznpodarou"/>
          <w:b/>
          <w:sz w:val="18"/>
          <w:szCs w:val="18"/>
          <w:lang w:val="en-GB"/>
        </w:rPr>
        <w:footnoteReference w:id="4"/>
      </w:r>
      <w:r w:rsidRPr="00D547E9">
        <w:rPr>
          <w:sz w:val="18"/>
          <w:szCs w:val="18"/>
          <w:lang w:val="en-GB"/>
        </w:rPr>
        <w:t>.</w:t>
      </w:r>
    </w:p>
    <w:p w:rsidR="00D547E9" w:rsidRPr="00D547E9" w:rsidRDefault="00D547E9" w:rsidP="00D547E9">
      <w:pPr>
        <w:spacing w:after="160"/>
        <w:rPr>
          <w:sz w:val="18"/>
          <w:szCs w:val="18"/>
          <w:lang w:val="en-GB"/>
        </w:rPr>
      </w:pPr>
      <w:r w:rsidRPr="00D547E9">
        <w:rPr>
          <w:sz w:val="18"/>
          <w:szCs w:val="18"/>
          <w:lang w:val="en-GB"/>
        </w:rPr>
        <w:t xml:space="preserve">The surplus of the balance of </w:t>
      </w:r>
      <w:r w:rsidR="00E46F33">
        <w:rPr>
          <w:sz w:val="18"/>
          <w:szCs w:val="18"/>
          <w:lang w:val="en-GB"/>
        </w:rPr>
        <w:t>international trade in goods</w:t>
      </w:r>
      <w:r w:rsidRPr="00D547E9">
        <w:rPr>
          <w:sz w:val="18"/>
          <w:szCs w:val="18"/>
          <w:lang w:val="en-GB"/>
        </w:rPr>
        <w:t xml:space="preserve"> with </w:t>
      </w:r>
      <w:r w:rsidR="000B44AA" w:rsidRPr="000B44AA">
        <w:rPr>
          <w:b/>
          <w:sz w:val="18"/>
          <w:szCs w:val="18"/>
          <w:lang w:val="en-GB"/>
        </w:rPr>
        <w:t>the European Union</w:t>
      </w:r>
      <w:r w:rsidRPr="00D547E9">
        <w:rPr>
          <w:sz w:val="18"/>
          <w:szCs w:val="18"/>
          <w:lang w:val="en-GB"/>
        </w:rPr>
        <w:t xml:space="preserve"> </w:t>
      </w:r>
      <w:r w:rsidR="000B44AA" w:rsidRPr="0064454B">
        <w:rPr>
          <w:b/>
          <w:sz w:val="18"/>
          <w:szCs w:val="18"/>
          <w:lang w:val="en-GB"/>
        </w:rPr>
        <w:t>Member States</w:t>
      </w:r>
      <w:r w:rsidR="00FC2777">
        <w:rPr>
          <w:sz w:val="18"/>
          <w:szCs w:val="18"/>
          <w:lang w:val="en-GB"/>
        </w:rPr>
        <w:t xml:space="preserve"> reached CZK 874.3 </w:t>
      </w:r>
      <w:proofErr w:type="spellStart"/>
      <w:r w:rsidR="00E46F33">
        <w:rPr>
          <w:sz w:val="18"/>
          <w:szCs w:val="18"/>
          <w:lang w:val="en-GB"/>
        </w:rPr>
        <w:t>bn</w:t>
      </w:r>
      <w:proofErr w:type="spellEnd"/>
      <w:r w:rsidRPr="00D547E9">
        <w:rPr>
          <w:sz w:val="18"/>
          <w:szCs w:val="18"/>
          <w:lang w:val="en-GB"/>
        </w:rPr>
        <w:t xml:space="preserve"> </w:t>
      </w:r>
      <w:r w:rsidRPr="008402B1">
        <w:rPr>
          <w:spacing w:val="-4"/>
          <w:sz w:val="18"/>
          <w:szCs w:val="18"/>
          <w:lang w:val="en-GB"/>
        </w:rPr>
        <w:t xml:space="preserve">and was CZK 80.1 </w:t>
      </w:r>
      <w:proofErr w:type="spellStart"/>
      <w:r w:rsidR="00E46F33" w:rsidRPr="008402B1">
        <w:rPr>
          <w:spacing w:val="-4"/>
          <w:sz w:val="18"/>
          <w:szCs w:val="18"/>
          <w:lang w:val="en-GB"/>
        </w:rPr>
        <w:t>bn</w:t>
      </w:r>
      <w:proofErr w:type="spellEnd"/>
      <w:r w:rsidRPr="008402B1">
        <w:rPr>
          <w:spacing w:val="-4"/>
          <w:sz w:val="18"/>
          <w:szCs w:val="18"/>
          <w:lang w:val="en-GB"/>
        </w:rPr>
        <w:t xml:space="preserve"> higher than in 2022. The largest increase in </w:t>
      </w:r>
      <w:r w:rsidR="00FC2777">
        <w:rPr>
          <w:spacing w:val="-4"/>
          <w:sz w:val="18"/>
          <w:szCs w:val="18"/>
          <w:lang w:val="en-GB"/>
        </w:rPr>
        <w:t>surplus</w:t>
      </w:r>
      <w:r w:rsidRPr="008402B1">
        <w:rPr>
          <w:spacing w:val="-4"/>
          <w:sz w:val="18"/>
          <w:szCs w:val="18"/>
          <w:lang w:val="en-GB"/>
        </w:rPr>
        <w:t xml:space="preserve"> was achiev</w:t>
      </w:r>
      <w:r w:rsidR="008402B1" w:rsidRPr="008402B1">
        <w:rPr>
          <w:spacing w:val="-4"/>
          <w:sz w:val="18"/>
          <w:szCs w:val="18"/>
          <w:lang w:val="en-GB"/>
        </w:rPr>
        <w:t xml:space="preserve">ed in trade with </w:t>
      </w:r>
      <w:r w:rsidR="0064454B">
        <w:rPr>
          <w:spacing w:val="-4"/>
          <w:sz w:val="18"/>
          <w:szCs w:val="18"/>
          <w:lang w:val="en-GB"/>
        </w:rPr>
        <w:t>Germany by </w:t>
      </w:r>
      <w:r w:rsidR="008402B1" w:rsidRPr="000B44AA">
        <w:rPr>
          <w:spacing w:val="-4"/>
          <w:sz w:val="18"/>
          <w:szCs w:val="18"/>
          <w:lang w:val="en-GB"/>
        </w:rPr>
        <w:t>CZK </w:t>
      </w:r>
      <w:r w:rsidR="00FC2777">
        <w:rPr>
          <w:spacing w:val="-4"/>
          <w:sz w:val="18"/>
          <w:szCs w:val="18"/>
          <w:lang w:val="en-GB"/>
        </w:rPr>
        <w:t>37.8 </w:t>
      </w:r>
      <w:proofErr w:type="spellStart"/>
      <w:r w:rsidR="00E46F33" w:rsidRPr="000B44AA">
        <w:rPr>
          <w:spacing w:val="-4"/>
          <w:sz w:val="18"/>
          <w:szCs w:val="18"/>
          <w:lang w:val="en-GB"/>
        </w:rPr>
        <w:t>bn</w:t>
      </w:r>
      <w:proofErr w:type="spellEnd"/>
      <w:r w:rsidRPr="000B44AA">
        <w:rPr>
          <w:spacing w:val="-4"/>
          <w:sz w:val="18"/>
          <w:szCs w:val="18"/>
          <w:lang w:val="en-GB"/>
        </w:rPr>
        <w:t xml:space="preserve"> and France by CZK 10.7 </w:t>
      </w:r>
      <w:r w:rsidR="00E46F33" w:rsidRPr="000B44AA">
        <w:rPr>
          <w:spacing w:val="-4"/>
          <w:sz w:val="18"/>
          <w:szCs w:val="18"/>
          <w:lang w:val="en-GB"/>
        </w:rPr>
        <w:t>bn</w:t>
      </w:r>
      <w:r w:rsidRPr="000B44AA">
        <w:rPr>
          <w:spacing w:val="-4"/>
          <w:sz w:val="18"/>
          <w:szCs w:val="18"/>
          <w:lang w:val="en-GB"/>
        </w:rPr>
        <w:t>. In 2023, the positive balance with</w:t>
      </w:r>
      <w:r w:rsidR="000B44AA">
        <w:rPr>
          <w:spacing w:val="-4"/>
          <w:sz w:val="18"/>
          <w:szCs w:val="18"/>
          <w:lang w:val="en-GB"/>
        </w:rPr>
        <w:t xml:space="preserve"> Slovakia decreased by CZK 32.1 </w:t>
      </w:r>
      <w:proofErr w:type="spellStart"/>
      <w:r w:rsidR="00E46F33" w:rsidRPr="000B44AA">
        <w:rPr>
          <w:spacing w:val="-4"/>
          <w:sz w:val="18"/>
          <w:szCs w:val="18"/>
          <w:lang w:val="en-GB"/>
        </w:rPr>
        <w:t>bn</w:t>
      </w:r>
      <w:proofErr w:type="spellEnd"/>
      <w:r w:rsidR="0064454B">
        <w:rPr>
          <w:sz w:val="18"/>
          <w:szCs w:val="18"/>
          <w:lang w:val="en-GB"/>
        </w:rPr>
        <w:t xml:space="preserve"> year</w:t>
      </w:r>
      <w:r w:rsidR="0064454B">
        <w:rPr>
          <w:sz w:val="18"/>
          <w:szCs w:val="18"/>
          <w:lang w:val="en-GB"/>
        </w:rPr>
        <w:noBreakHyphen/>
        <w:t>on</w:t>
      </w:r>
      <w:r w:rsidR="0064454B">
        <w:rPr>
          <w:sz w:val="18"/>
          <w:szCs w:val="18"/>
          <w:lang w:val="en-GB"/>
        </w:rPr>
        <w:noBreakHyphen/>
      </w:r>
      <w:r w:rsidR="00FC2777">
        <w:rPr>
          <w:sz w:val="18"/>
          <w:szCs w:val="18"/>
          <w:lang w:val="en-GB"/>
        </w:rPr>
        <w:t>year, while the </w:t>
      </w:r>
      <w:r w:rsidRPr="00D547E9">
        <w:rPr>
          <w:sz w:val="18"/>
          <w:szCs w:val="18"/>
          <w:lang w:val="en-GB"/>
        </w:rPr>
        <w:t xml:space="preserve">negative balance with Poland decreased by CZK 34.2 </w:t>
      </w:r>
      <w:r w:rsidR="00E46F33">
        <w:rPr>
          <w:sz w:val="18"/>
          <w:szCs w:val="18"/>
          <w:lang w:val="en-GB"/>
        </w:rPr>
        <w:t>bn</w:t>
      </w:r>
      <w:r w:rsidRPr="00D547E9">
        <w:rPr>
          <w:sz w:val="18"/>
          <w:szCs w:val="18"/>
          <w:lang w:val="en-GB"/>
        </w:rPr>
        <w:t>.</w:t>
      </w:r>
    </w:p>
    <w:p w:rsidR="00D547E9" w:rsidRDefault="00D547E9" w:rsidP="00E46F33">
      <w:pPr>
        <w:rPr>
          <w:sz w:val="18"/>
          <w:szCs w:val="18"/>
          <w:lang w:val="en-GB"/>
        </w:rPr>
      </w:pPr>
      <w:r w:rsidRPr="00D547E9">
        <w:rPr>
          <w:sz w:val="18"/>
          <w:szCs w:val="18"/>
          <w:lang w:val="en-GB"/>
        </w:rPr>
        <w:t xml:space="preserve">The deficit in the balance of </w:t>
      </w:r>
      <w:r w:rsidR="00E46F33">
        <w:rPr>
          <w:sz w:val="18"/>
          <w:szCs w:val="18"/>
          <w:lang w:val="en-GB"/>
        </w:rPr>
        <w:t>international trade in goods</w:t>
      </w:r>
      <w:r w:rsidRPr="00D547E9">
        <w:rPr>
          <w:sz w:val="18"/>
          <w:szCs w:val="18"/>
          <w:lang w:val="en-GB"/>
        </w:rPr>
        <w:t xml:space="preserve"> with </w:t>
      </w:r>
      <w:r w:rsidR="000B44AA" w:rsidRPr="000B44AA">
        <w:rPr>
          <w:b/>
          <w:sz w:val="18"/>
          <w:szCs w:val="18"/>
          <w:lang w:val="en-GB"/>
        </w:rPr>
        <w:t xml:space="preserve">non-EU </w:t>
      </w:r>
      <w:r w:rsidRPr="000B44AA">
        <w:rPr>
          <w:b/>
          <w:sz w:val="18"/>
          <w:szCs w:val="18"/>
          <w:lang w:val="en-GB"/>
        </w:rPr>
        <w:t>countries</w:t>
      </w:r>
      <w:r w:rsidRPr="00D547E9">
        <w:rPr>
          <w:sz w:val="18"/>
          <w:szCs w:val="18"/>
          <w:lang w:val="en-GB"/>
        </w:rPr>
        <w:t xml:space="preserve"> </w:t>
      </w:r>
      <w:r w:rsidR="000B44AA">
        <w:rPr>
          <w:sz w:val="18"/>
          <w:szCs w:val="18"/>
          <w:lang w:val="en-GB"/>
        </w:rPr>
        <w:t>decreased by CZK </w:t>
      </w:r>
      <w:r w:rsidRPr="00D547E9">
        <w:rPr>
          <w:sz w:val="18"/>
          <w:szCs w:val="18"/>
          <w:lang w:val="en-GB"/>
        </w:rPr>
        <w:t xml:space="preserve">252.6 </w:t>
      </w:r>
      <w:proofErr w:type="spellStart"/>
      <w:r w:rsidR="00E46F33">
        <w:rPr>
          <w:sz w:val="18"/>
          <w:szCs w:val="18"/>
          <w:lang w:val="en-GB"/>
        </w:rPr>
        <w:t>bn</w:t>
      </w:r>
      <w:proofErr w:type="spellEnd"/>
      <w:r w:rsidRPr="00D547E9">
        <w:rPr>
          <w:sz w:val="18"/>
          <w:szCs w:val="18"/>
          <w:lang w:val="en-GB"/>
        </w:rPr>
        <w:t xml:space="preserve"> year-on-year to CZK 717.9 </w:t>
      </w:r>
      <w:proofErr w:type="spellStart"/>
      <w:r w:rsidR="00E46F33">
        <w:rPr>
          <w:sz w:val="18"/>
          <w:szCs w:val="18"/>
          <w:lang w:val="en-GB"/>
        </w:rPr>
        <w:t>bn</w:t>
      </w:r>
      <w:proofErr w:type="spellEnd"/>
      <w:r w:rsidRPr="00D547E9">
        <w:rPr>
          <w:sz w:val="18"/>
          <w:szCs w:val="18"/>
          <w:lang w:val="en-GB"/>
        </w:rPr>
        <w:t xml:space="preserve">, which significantly affected the </w:t>
      </w:r>
      <w:r w:rsidR="008402B1">
        <w:rPr>
          <w:sz w:val="18"/>
          <w:szCs w:val="18"/>
          <w:lang w:val="en-GB"/>
        </w:rPr>
        <w:t>total</w:t>
      </w:r>
      <w:r w:rsidRPr="00D547E9">
        <w:rPr>
          <w:sz w:val="18"/>
          <w:szCs w:val="18"/>
          <w:lang w:val="en-GB"/>
        </w:rPr>
        <w:t xml:space="preserve"> value of the Czech Republic's tr</w:t>
      </w:r>
      <w:r w:rsidR="00FC2777">
        <w:rPr>
          <w:sz w:val="18"/>
          <w:szCs w:val="18"/>
          <w:lang w:val="en-GB"/>
        </w:rPr>
        <w:t>ade balance. In particular, the </w:t>
      </w:r>
      <w:r w:rsidRPr="00D547E9">
        <w:rPr>
          <w:sz w:val="18"/>
          <w:szCs w:val="18"/>
          <w:lang w:val="en-GB"/>
        </w:rPr>
        <w:t xml:space="preserve">negative balance with the Russian Federation decreased by CZK 174.3 </w:t>
      </w:r>
      <w:proofErr w:type="spellStart"/>
      <w:r w:rsidR="00E46F33">
        <w:rPr>
          <w:sz w:val="18"/>
          <w:szCs w:val="18"/>
          <w:lang w:val="en-GB"/>
        </w:rPr>
        <w:t>bn</w:t>
      </w:r>
      <w:proofErr w:type="spellEnd"/>
      <w:r w:rsidR="000B44AA">
        <w:rPr>
          <w:sz w:val="18"/>
          <w:szCs w:val="18"/>
          <w:lang w:val="en-GB"/>
        </w:rPr>
        <w:t xml:space="preserve"> and with China by </w:t>
      </w:r>
      <w:r w:rsidRPr="00D547E9">
        <w:rPr>
          <w:sz w:val="18"/>
          <w:szCs w:val="18"/>
          <w:lang w:val="en-GB"/>
        </w:rPr>
        <w:t xml:space="preserve">CZK 53.5 </w:t>
      </w:r>
      <w:r w:rsidR="00E46F33">
        <w:rPr>
          <w:sz w:val="18"/>
          <w:szCs w:val="18"/>
          <w:lang w:val="en-GB"/>
        </w:rPr>
        <w:t>bn</w:t>
      </w:r>
      <w:r w:rsidR="0064454B">
        <w:rPr>
          <w:sz w:val="18"/>
          <w:szCs w:val="18"/>
          <w:lang w:val="en-GB"/>
        </w:rPr>
        <w:t>. The trade </w:t>
      </w:r>
      <w:r w:rsidRPr="00D547E9">
        <w:rPr>
          <w:sz w:val="18"/>
          <w:szCs w:val="18"/>
          <w:lang w:val="en-GB"/>
        </w:rPr>
        <w:t xml:space="preserve">deficit with Norway increased by CZK 40.2 </w:t>
      </w:r>
      <w:r w:rsidR="00E46F33">
        <w:rPr>
          <w:sz w:val="18"/>
          <w:szCs w:val="18"/>
          <w:lang w:val="en-GB"/>
        </w:rPr>
        <w:t>bn</w:t>
      </w:r>
      <w:r w:rsidRPr="00D547E9">
        <w:rPr>
          <w:sz w:val="18"/>
          <w:szCs w:val="18"/>
          <w:lang w:val="en-GB"/>
        </w:rPr>
        <w:t>.</w:t>
      </w:r>
    </w:p>
    <w:sectPr w:rsidR="00D547E9">
      <w:footerReference w:type="even" r:id="rId8"/>
      <w:pgSz w:w="11906" w:h="16838"/>
      <w:pgMar w:top="1418" w:right="1134" w:bottom="1418"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76E" w:rsidRDefault="0078376E">
      <w:r>
        <w:separator/>
      </w:r>
    </w:p>
  </w:endnote>
  <w:endnote w:type="continuationSeparator" w:id="0">
    <w:p w:rsidR="0078376E" w:rsidRDefault="00783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FD4" w:rsidRDefault="000F2FD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2FD4" w:rsidRDefault="000F2F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76E" w:rsidRDefault="0078376E">
      <w:r>
        <w:separator/>
      </w:r>
    </w:p>
  </w:footnote>
  <w:footnote w:type="continuationSeparator" w:id="0">
    <w:p w:rsidR="0078376E" w:rsidRDefault="0078376E">
      <w:r>
        <w:continuationSeparator/>
      </w:r>
    </w:p>
  </w:footnote>
  <w:footnote w:id="1">
    <w:p w:rsidR="00C04808" w:rsidRPr="00580779" w:rsidRDefault="00C04808" w:rsidP="003B34AA">
      <w:pPr>
        <w:pStyle w:val="Textpoznpodarou"/>
        <w:spacing w:before="120" w:after="120"/>
        <w:rPr>
          <w:sz w:val="17"/>
          <w:szCs w:val="17"/>
        </w:rPr>
      </w:pPr>
      <w:r w:rsidRPr="00580779">
        <w:rPr>
          <w:rStyle w:val="Znakapoznpodarou"/>
          <w:sz w:val="17"/>
          <w:szCs w:val="17"/>
        </w:rPr>
        <w:footnoteRef/>
      </w:r>
      <w:r w:rsidRPr="00580779">
        <w:rPr>
          <w:sz w:val="17"/>
          <w:szCs w:val="17"/>
        </w:rPr>
        <w:t xml:space="preserve"> </w:t>
      </w:r>
      <w:r w:rsidR="00C11D3C" w:rsidRPr="00580779">
        <w:rPr>
          <w:rStyle w:val="Zdraznn"/>
          <w:rFonts w:cs="Arial"/>
          <w:i w:val="0"/>
          <w:sz w:val="17"/>
          <w:szCs w:val="17"/>
          <w:bdr w:val="none" w:sz="0" w:space="0" w:color="auto" w:frame="1"/>
          <w:shd w:val="clear" w:color="auto" w:fill="FFFFFF"/>
          <w:lang w:val="en-GB"/>
        </w:rPr>
        <w:t>The </w:t>
      </w:r>
      <w:r w:rsidR="00C11D3C" w:rsidRPr="00580779">
        <w:rPr>
          <w:rStyle w:val="Zdraznn"/>
          <w:rFonts w:cs="Arial"/>
          <w:b/>
          <w:bCs/>
          <w:i w:val="0"/>
          <w:sz w:val="17"/>
          <w:szCs w:val="17"/>
          <w:bdr w:val="none" w:sz="0" w:space="0" w:color="auto" w:frame="1"/>
          <w:shd w:val="clear" w:color="auto" w:fill="FFFFFF"/>
          <w:lang w:val="en-GB"/>
        </w:rPr>
        <w:t>international trade in goods (change of ownership)</w:t>
      </w:r>
      <w:r w:rsidR="00C11D3C" w:rsidRPr="00580779">
        <w:rPr>
          <w:rStyle w:val="Zdraznn"/>
          <w:rFonts w:cs="Arial"/>
          <w:i w:val="0"/>
          <w:sz w:val="17"/>
          <w:szCs w:val="17"/>
          <w:bdr w:val="none" w:sz="0" w:space="0" w:color="auto" w:frame="1"/>
          <w:shd w:val="clear" w:color="auto" w:fill="FFFFFF"/>
          <w:lang w:val="en-GB"/>
        </w:rPr>
        <w:t> reflects export and import performance of the Czech economy, i.e. the international trade balance of the Czech Republic as well. It measures real trade in goods carried out between Czech entities and foreign ones, i.e. the change of ownership between residents and non-residents.</w:t>
      </w:r>
    </w:p>
  </w:footnote>
  <w:footnote w:id="2">
    <w:p w:rsidR="003B34AA" w:rsidRPr="00580779" w:rsidRDefault="003B34AA" w:rsidP="003B34AA">
      <w:pPr>
        <w:pStyle w:val="Textpoznpodarou"/>
        <w:spacing w:after="120"/>
        <w:rPr>
          <w:b/>
          <w:sz w:val="17"/>
          <w:szCs w:val="17"/>
        </w:rPr>
      </w:pPr>
      <w:r w:rsidRPr="00580779">
        <w:rPr>
          <w:rStyle w:val="Znakapoznpodarou"/>
          <w:sz w:val="17"/>
          <w:szCs w:val="17"/>
        </w:rPr>
        <w:footnoteRef/>
      </w:r>
      <w:r w:rsidRPr="00580779">
        <w:rPr>
          <w:sz w:val="17"/>
          <w:szCs w:val="17"/>
        </w:rPr>
        <w:t xml:space="preserve"> </w:t>
      </w:r>
      <w:r w:rsidRPr="00580779">
        <w:rPr>
          <w:rFonts w:cs="Arial"/>
          <w:b/>
          <w:bCs/>
          <w:sz w:val="17"/>
          <w:szCs w:val="17"/>
          <w:lang w:val="en-GB"/>
        </w:rPr>
        <w:t>202</w:t>
      </w:r>
      <w:r w:rsidR="00D547E9" w:rsidRPr="00580779">
        <w:rPr>
          <w:rFonts w:cs="Arial"/>
          <w:b/>
          <w:bCs/>
          <w:sz w:val="17"/>
          <w:szCs w:val="17"/>
          <w:lang w:val="en-GB"/>
        </w:rPr>
        <w:t>2</w:t>
      </w:r>
      <w:r w:rsidRPr="00580779">
        <w:rPr>
          <w:rFonts w:cs="Arial"/>
          <w:b/>
          <w:bCs/>
          <w:sz w:val="17"/>
          <w:szCs w:val="17"/>
          <w:lang w:val="en-GB"/>
        </w:rPr>
        <w:t xml:space="preserve"> and 202</w:t>
      </w:r>
      <w:r w:rsidR="00D547E9" w:rsidRPr="00580779">
        <w:rPr>
          <w:rFonts w:cs="Arial"/>
          <w:b/>
          <w:bCs/>
          <w:sz w:val="17"/>
          <w:szCs w:val="17"/>
          <w:lang w:val="en-GB"/>
        </w:rPr>
        <w:t>3</w:t>
      </w:r>
      <w:r w:rsidRPr="00580779">
        <w:rPr>
          <w:rFonts w:cs="Arial"/>
          <w:b/>
          <w:bCs/>
          <w:sz w:val="17"/>
          <w:szCs w:val="17"/>
          <w:lang w:val="en-GB"/>
        </w:rPr>
        <w:t xml:space="preserve"> data are final.</w:t>
      </w:r>
      <w:r w:rsidR="00A909A4" w:rsidRPr="00580779">
        <w:rPr>
          <w:rFonts w:cs="Arial"/>
          <w:b/>
          <w:bCs/>
          <w:sz w:val="17"/>
          <w:szCs w:val="17"/>
          <w:lang w:val="en-GB"/>
        </w:rPr>
        <w:t xml:space="preserve"> </w:t>
      </w:r>
      <w:r w:rsidR="00A909A4" w:rsidRPr="00580779">
        <w:rPr>
          <w:rFonts w:cs="Arial"/>
          <w:b/>
          <w:bCs/>
          <w:iCs/>
          <w:sz w:val="17"/>
          <w:szCs w:val="17"/>
          <w:lang w:val="en-GB"/>
        </w:rPr>
        <w:t>From 2020 onwards, data for International trade in goods (change of ownership) are subject to recalculation using an updated method, based on a higher level of detail.</w:t>
      </w:r>
    </w:p>
  </w:footnote>
  <w:footnote w:id="3">
    <w:p w:rsidR="00325A62" w:rsidRPr="00580779" w:rsidRDefault="00325A62" w:rsidP="00325A62">
      <w:pPr>
        <w:rPr>
          <w:rFonts w:cs="Arial"/>
          <w:sz w:val="17"/>
          <w:szCs w:val="17"/>
          <w:lang w:val="en-GB"/>
        </w:rPr>
      </w:pPr>
      <w:r w:rsidRPr="00580779">
        <w:rPr>
          <w:rStyle w:val="Znakapoznpodarou"/>
          <w:sz w:val="17"/>
          <w:szCs w:val="17"/>
        </w:rPr>
        <w:footnoteRef/>
      </w:r>
      <w:r w:rsidRPr="00580779">
        <w:rPr>
          <w:sz w:val="17"/>
          <w:szCs w:val="17"/>
        </w:rPr>
        <w:t xml:space="preserve"> </w:t>
      </w:r>
      <w:r w:rsidRPr="00580779">
        <w:rPr>
          <w:rFonts w:cs="Arial"/>
          <w:b/>
          <w:sz w:val="17"/>
          <w:szCs w:val="17"/>
          <w:lang w:val="en-GB"/>
        </w:rPr>
        <w:t>EU (European Union) - 27 Member States of the European Union:</w:t>
      </w:r>
      <w:r w:rsidRPr="00580779">
        <w:rPr>
          <w:rFonts w:cs="Arial"/>
          <w:sz w:val="17"/>
          <w:szCs w:val="17"/>
          <w:lang w:val="en-GB"/>
        </w:rPr>
        <w:t xml:space="preserve"> </w:t>
      </w:r>
    </w:p>
    <w:p w:rsidR="00325A62" w:rsidRPr="00580779" w:rsidRDefault="00325A62" w:rsidP="00325A62">
      <w:pPr>
        <w:pStyle w:val="Textpoznpodarou"/>
        <w:spacing w:after="120"/>
        <w:rPr>
          <w:sz w:val="17"/>
          <w:szCs w:val="17"/>
        </w:rPr>
      </w:pPr>
      <w:r w:rsidRPr="00580779">
        <w:rPr>
          <w:rFonts w:cs="Arial"/>
          <w:sz w:val="17"/>
          <w:szCs w:val="17"/>
          <w:lang w:val="en-GB"/>
        </w:rPr>
        <w:t>Austria, Belgium, Bulgaria, Croatia, Cyprus, Czech Republic, Denmark, Estonia, Finland, France, Germany, Greece, Hungary, Ireland, Italy, Latvia, Lithuania, Luxembourg, Malta, Netherlands, Poland, Portugal, Romania, Slovakia, Slovenia, Spain, Sweden.</w:t>
      </w:r>
      <w:r w:rsidRPr="00325A62">
        <w:rPr>
          <w:rFonts w:cs="Arial"/>
          <w:sz w:val="17"/>
          <w:szCs w:val="17"/>
          <w:lang w:val="en-GB"/>
        </w:rPr>
        <w:t xml:space="preserve"> </w:t>
      </w:r>
    </w:p>
  </w:footnote>
  <w:footnote w:id="4">
    <w:p w:rsidR="00325A62" w:rsidRPr="00580779" w:rsidRDefault="00325A62" w:rsidP="00325A62">
      <w:pPr>
        <w:rPr>
          <w:sz w:val="17"/>
          <w:szCs w:val="17"/>
        </w:rPr>
      </w:pPr>
      <w:r w:rsidRPr="00580779">
        <w:rPr>
          <w:rStyle w:val="Znakapoznpodarou"/>
          <w:sz w:val="17"/>
          <w:szCs w:val="17"/>
        </w:rPr>
        <w:footnoteRef/>
      </w:r>
      <w:r w:rsidRPr="00580779">
        <w:rPr>
          <w:sz w:val="17"/>
          <w:szCs w:val="17"/>
        </w:rPr>
        <w:t xml:space="preserve"> </w:t>
      </w:r>
      <w:r w:rsidRPr="00580779">
        <w:rPr>
          <w:rFonts w:cs="Arial"/>
          <w:sz w:val="17"/>
          <w:szCs w:val="17"/>
          <w:lang w:val="en-GB"/>
        </w:rPr>
        <w:t xml:space="preserve">In 2023, share of </w:t>
      </w:r>
      <w:r w:rsidRPr="00580779">
        <w:rPr>
          <w:rFonts w:cs="Arial"/>
          <w:b/>
          <w:sz w:val="17"/>
          <w:szCs w:val="17"/>
          <w:lang w:val="en-GB"/>
        </w:rPr>
        <w:t>unspecified countries</w:t>
      </w:r>
      <w:r w:rsidRPr="00580779">
        <w:rPr>
          <w:rFonts w:cs="Arial"/>
          <w:sz w:val="17"/>
          <w:szCs w:val="17"/>
          <w:lang w:val="en-GB"/>
        </w:rPr>
        <w:t xml:space="preserve"> in total amount of external trade turnover was 0.</w:t>
      </w:r>
      <w:r>
        <w:rPr>
          <w:rFonts w:cs="Arial"/>
          <w:sz w:val="17"/>
          <w:szCs w:val="17"/>
          <w:lang w:val="en-GB"/>
        </w:rPr>
        <w:t>4</w:t>
      </w:r>
      <w:r w:rsidRPr="00580779">
        <w:rPr>
          <w:rFonts w:cs="Arial"/>
          <w:sz w:val="17"/>
          <w:szCs w:val="17"/>
          <w:lang w:val="en-GB"/>
        </w:rPr>
        <w:t>%. Providers of statistical information use the code 'unspecified country' in case when the origin of goods is not known.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E12"/>
    <w:rsid w:val="00012FF2"/>
    <w:rsid w:val="00027F30"/>
    <w:rsid w:val="00041768"/>
    <w:rsid w:val="00057295"/>
    <w:rsid w:val="00083399"/>
    <w:rsid w:val="00087EC3"/>
    <w:rsid w:val="000B00AB"/>
    <w:rsid w:val="000B44AA"/>
    <w:rsid w:val="000C0E1D"/>
    <w:rsid w:val="000F2FD4"/>
    <w:rsid w:val="00143D04"/>
    <w:rsid w:val="00154A5D"/>
    <w:rsid w:val="001C09D9"/>
    <w:rsid w:val="001E09FE"/>
    <w:rsid w:val="001F3066"/>
    <w:rsid w:val="0021026A"/>
    <w:rsid w:val="00213D46"/>
    <w:rsid w:val="002166EE"/>
    <w:rsid w:val="002348EA"/>
    <w:rsid w:val="00255056"/>
    <w:rsid w:val="00256163"/>
    <w:rsid w:val="002746A8"/>
    <w:rsid w:val="0029235D"/>
    <w:rsid w:val="002C7FA9"/>
    <w:rsid w:val="002E00A6"/>
    <w:rsid w:val="00307637"/>
    <w:rsid w:val="003259C0"/>
    <w:rsid w:val="00325A62"/>
    <w:rsid w:val="003404F8"/>
    <w:rsid w:val="00366F60"/>
    <w:rsid w:val="003B34AA"/>
    <w:rsid w:val="003B750A"/>
    <w:rsid w:val="003B7ACD"/>
    <w:rsid w:val="003C23A8"/>
    <w:rsid w:val="003C36A7"/>
    <w:rsid w:val="003D126E"/>
    <w:rsid w:val="003D3915"/>
    <w:rsid w:val="003D53B8"/>
    <w:rsid w:val="003D778E"/>
    <w:rsid w:val="003E2EE3"/>
    <w:rsid w:val="00411A9F"/>
    <w:rsid w:val="00413A9B"/>
    <w:rsid w:val="00427C1B"/>
    <w:rsid w:val="004543E5"/>
    <w:rsid w:val="00473FB4"/>
    <w:rsid w:val="00480C90"/>
    <w:rsid w:val="0049773C"/>
    <w:rsid w:val="004A08D6"/>
    <w:rsid w:val="004A7583"/>
    <w:rsid w:val="004B6BC5"/>
    <w:rsid w:val="004F2DEA"/>
    <w:rsid w:val="005115C0"/>
    <w:rsid w:val="005270B4"/>
    <w:rsid w:val="00562550"/>
    <w:rsid w:val="00571605"/>
    <w:rsid w:val="00580779"/>
    <w:rsid w:val="00597757"/>
    <w:rsid w:val="005E4EFF"/>
    <w:rsid w:val="00621A51"/>
    <w:rsid w:val="0064454B"/>
    <w:rsid w:val="006524B3"/>
    <w:rsid w:val="006534FA"/>
    <w:rsid w:val="00661583"/>
    <w:rsid w:val="006711AD"/>
    <w:rsid w:val="00682C0B"/>
    <w:rsid w:val="00691E8D"/>
    <w:rsid w:val="006B1C01"/>
    <w:rsid w:val="006B3325"/>
    <w:rsid w:val="006C37B1"/>
    <w:rsid w:val="006D3749"/>
    <w:rsid w:val="007052C3"/>
    <w:rsid w:val="00707EB9"/>
    <w:rsid w:val="00733AD8"/>
    <w:rsid w:val="00763570"/>
    <w:rsid w:val="0078376E"/>
    <w:rsid w:val="00794500"/>
    <w:rsid w:val="007A5421"/>
    <w:rsid w:val="007D617D"/>
    <w:rsid w:val="007E4310"/>
    <w:rsid w:val="008000AF"/>
    <w:rsid w:val="0080176F"/>
    <w:rsid w:val="00814700"/>
    <w:rsid w:val="00815BBB"/>
    <w:rsid w:val="00831F39"/>
    <w:rsid w:val="008402B1"/>
    <w:rsid w:val="00884F1B"/>
    <w:rsid w:val="00897C59"/>
    <w:rsid w:val="008B6EB4"/>
    <w:rsid w:val="008F265D"/>
    <w:rsid w:val="009005D8"/>
    <w:rsid w:val="0092363F"/>
    <w:rsid w:val="009500E8"/>
    <w:rsid w:val="009535C4"/>
    <w:rsid w:val="00974AB8"/>
    <w:rsid w:val="0098101F"/>
    <w:rsid w:val="00984802"/>
    <w:rsid w:val="009B1821"/>
    <w:rsid w:val="009E7AA3"/>
    <w:rsid w:val="009F493A"/>
    <w:rsid w:val="00A0123F"/>
    <w:rsid w:val="00A1510F"/>
    <w:rsid w:val="00A15815"/>
    <w:rsid w:val="00A34B53"/>
    <w:rsid w:val="00A35277"/>
    <w:rsid w:val="00A43672"/>
    <w:rsid w:val="00A470F0"/>
    <w:rsid w:val="00A477E6"/>
    <w:rsid w:val="00A529E9"/>
    <w:rsid w:val="00A5562B"/>
    <w:rsid w:val="00A624DC"/>
    <w:rsid w:val="00A745FA"/>
    <w:rsid w:val="00A823A1"/>
    <w:rsid w:val="00A909A4"/>
    <w:rsid w:val="00A97341"/>
    <w:rsid w:val="00AF4026"/>
    <w:rsid w:val="00AF7720"/>
    <w:rsid w:val="00B02486"/>
    <w:rsid w:val="00B14B8F"/>
    <w:rsid w:val="00B3551B"/>
    <w:rsid w:val="00B43616"/>
    <w:rsid w:val="00B56D34"/>
    <w:rsid w:val="00B85E07"/>
    <w:rsid w:val="00BA3331"/>
    <w:rsid w:val="00BA6F2F"/>
    <w:rsid w:val="00BB5083"/>
    <w:rsid w:val="00BD1D09"/>
    <w:rsid w:val="00BD23A2"/>
    <w:rsid w:val="00C04808"/>
    <w:rsid w:val="00C10B08"/>
    <w:rsid w:val="00C11D3C"/>
    <w:rsid w:val="00C16ED4"/>
    <w:rsid w:val="00C70A8D"/>
    <w:rsid w:val="00C80B6F"/>
    <w:rsid w:val="00C81A46"/>
    <w:rsid w:val="00CD348E"/>
    <w:rsid w:val="00CF1E98"/>
    <w:rsid w:val="00D21B4C"/>
    <w:rsid w:val="00D547E9"/>
    <w:rsid w:val="00D73A58"/>
    <w:rsid w:val="00D82529"/>
    <w:rsid w:val="00D903ED"/>
    <w:rsid w:val="00DC4086"/>
    <w:rsid w:val="00DD58D0"/>
    <w:rsid w:val="00DE7AFC"/>
    <w:rsid w:val="00DF06D8"/>
    <w:rsid w:val="00E46F33"/>
    <w:rsid w:val="00E526D2"/>
    <w:rsid w:val="00E65E1D"/>
    <w:rsid w:val="00E83A83"/>
    <w:rsid w:val="00E9708B"/>
    <w:rsid w:val="00EC7101"/>
    <w:rsid w:val="00F11E12"/>
    <w:rsid w:val="00F14AB8"/>
    <w:rsid w:val="00F758D8"/>
    <w:rsid w:val="00F775EE"/>
    <w:rsid w:val="00F9023F"/>
    <w:rsid w:val="00F967DD"/>
    <w:rsid w:val="00F96D95"/>
    <w:rsid w:val="00FA6903"/>
    <w:rsid w:val="00FC2777"/>
    <w:rsid w:val="00FD1AB1"/>
    <w:rsid w:val="00FD1B09"/>
    <w:rsid w:val="00FE7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72811"/>
  <w15:chartTrackingRefBased/>
  <w15:docId w15:val="{7B6CA12B-95B5-4B04-B9FD-5E26D384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paragraph" w:styleId="Nadpis4">
    <w:name w:val="heading 4"/>
    <w:basedOn w:val="Normln"/>
    <w:next w:val="Normln"/>
    <w:qFormat/>
    <w:pPr>
      <w:keepNext/>
      <w:jc w:val="left"/>
      <w:outlineLvl w:val="3"/>
    </w:pPr>
    <w:rPr>
      <w:b/>
      <w:b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
    <w:name w:val="Body Text"/>
    <w:basedOn w:val="Normln"/>
    <w:semiHidden/>
    <w:rPr>
      <w:sz w:val="18"/>
      <w:lang w:val="en-GB"/>
    </w:rPr>
  </w:style>
  <w:style w:type="paragraph" w:styleId="Zkladntext2">
    <w:name w:val="Body Text 2"/>
    <w:basedOn w:val="Normln"/>
    <w:link w:val="Zkladntext2Char"/>
    <w:semiHidden/>
    <w:rPr>
      <w:sz w:val="22"/>
      <w:lang w:val="en-GB"/>
    </w:rPr>
  </w:style>
  <w:style w:type="paragraph" w:styleId="Textpoznpodarou">
    <w:name w:val="footnote text"/>
    <w:basedOn w:val="Normln"/>
    <w:link w:val="TextpoznpodarouChar"/>
    <w:uiPriority w:val="99"/>
    <w:unhideWhenUsed/>
    <w:rsid w:val="00B02486"/>
    <w:rPr>
      <w:szCs w:val="20"/>
    </w:rPr>
  </w:style>
  <w:style w:type="character" w:customStyle="1" w:styleId="TextpoznpodarouChar">
    <w:name w:val="Text pozn. pod čarou Char"/>
    <w:link w:val="Textpoznpodarou"/>
    <w:uiPriority w:val="99"/>
    <w:rsid w:val="00B02486"/>
    <w:rPr>
      <w:rFonts w:ascii="Arial" w:hAnsi="Arial"/>
    </w:rPr>
  </w:style>
  <w:style w:type="character" w:styleId="Znakapoznpodarou">
    <w:name w:val="footnote reference"/>
    <w:uiPriority w:val="99"/>
    <w:semiHidden/>
    <w:unhideWhenUsed/>
    <w:rsid w:val="00B02486"/>
    <w:rPr>
      <w:vertAlign w:val="superscript"/>
    </w:rPr>
  </w:style>
  <w:style w:type="character" w:customStyle="1" w:styleId="st">
    <w:name w:val="st"/>
    <w:rsid w:val="00D73A58"/>
  </w:style>
  <w:style w:type="character" w:styleId="Zdraznn">
    <w:name w:val="Emphasis"/>
    <w:uiPriority w:val="20"/>
    <w:qFormat/>
    <w:rsid w:val="00D73A58"/>
    <w:rPr>
      <w:i/>
      <w:iCs/>
    </w:rPr>
  </w:style>
  <w:style w:type="character" w:customStyle="1" w:styleId="Zkladntext2Char">
    <w:name w:val="Základní text 2 Char"/>
    <w:link w:val="Zkladntext2"/>
    <w:semiHidden/>
    <w:rsid w:val="00C81A46"/>
    <w:rPr>
      <w:rFonts w:ascii="Arial" w:hAnsi="Arial"/>
      <w:sz w:val="22"/>
      <w:szCs w:val="24"/>
      <w:lang w:val="en-GB"/>
    </w:rPr>
  </w:style>
  <w:style w:type="character" w:customStyle="1" w:styleId="spelle">
    <w:name w:val="spelle"/>
    <w:rsid w:val="001C09D9"/>
  </w:style>
  <w:style w:type="character" w:styleId="Siln">
    <w:name w:val="Strong"/>
    <w:basedOn w:val="Standardnpsmoodstavce"/>
    <w:uiPriority w:val="22"/>
    <w:qFormat/>
    <w:rsid w:val="00F758D8"/>
    <w:rPr>
      <w:b/>
      <w:bCs/>
    </w:rPr>
  </w:style>
  <w:style w:type="paragraph" w:styleId="Zhlav">
    <w:name w:val="header"/>
    <w:basedOn w:val="Normln"/>
    <w:link w:val="ZhlavChar"/>
    <w:uiPriority w:val="99"/>
    <w:unhideWhenUsed/>
    <w:rsid w:val="00707EB9"/>
    <w:pPr>
      <w:tabs>
        <w:tab w:val="center" w:pos="4536"/>
        <w:tab w:val="right" w:pos="9072"/>
      </w:tabs>
    </w:pPr>
  </w:style>
  <w:style w:type="character" w:customStyle="1" w:styleId="ZhlavChar">
    <w:name w:val="Záhlaví Char"/>
    <w:basedOn w:val="Standardnpsmoodstavce"/>
    <w:link w:val="Zhlav"/>
    <w:uiPriority w:val="99"/>
    <w:rsid w:val="00707EB9"/>
    <w:rPr>
      <w:rFonts w:ascii="Arial" w:hAnsi="Arial"/>
      <w:szCs w:val="24"/>
    </w:rPr>
  </w:style>
  <w:style w:type="character" w:styleId="Odkaznakoment">
    <w:name w:val="annotation reference"/>
    <w:basedOn w:val="Standardnpsmoodstavce"/>
    <w:uiPriority w:val="99"/>
    <w:semiHidden/>
    <w:unhideWhenUsed/>
    <w:rsid w:val="000B44AA"/>
    <w:rPr>
      <w:sz w:val="16"/>
      <w:szCs w:val="16"/>
    </w:rPr>
  </w:style>
  <w:style w:type="paragraph" w:styleId="Textkomente">
    <w:name w:val="annotation text"/>
    <w:basedOn w:val="Normln"/>
    <w:link w:val="TextkomenteChar"/>
    <w:uiPriority w:val="99"/>
    <w:semiHidden/>
    <w:unhideWhenUsed/>
    <w:rsid w:val="000B44AA"/>
    <w:rPr>
      <w:szCs w:val="20"/>
    </w:rPr>
  </w:style>
  <w:style w:type="character" w:customStyle="1" w:styleId="TextkomenteChar">
    <w:name w:val="Text komentáře Char"/>
    <w:basedOn w:val="Standardnpsmoodstavce"/>
    <w:link w:val="Textkomente"/>
    <w:uiPriority w:val="99"/>
    <w:semiHidden/>
    <w:rsid w:val="000B44AA"/>
    <w:rPr>
      <w:rFonts w:ascii="Arial" w:hAnsi="Arial"/>
    </w:rPr>
  </w:style>
  <w:style w:type="paragraph" w:styleId="Pedmtkomente">
    <w:name w:val="annotation subject"/>
    <w:basedOn w:val="Textkomente"/>
    <w:next w:val="Textkomente"/>
    <w:link w:val="PedmtkomenteChar"/>
    <w:uiPriority w:val="99"/>
    <w:semiHidden/>
    <w:unhideWhenUsed/>
    <w:rsid w:val="000B44AA"/>
    <w:rPr>
      <w:b/>
      <w:bCs/>
    </w:rPr>
  </w:style>
  <w:style w:type="character" w:customStyle="1" w:styleId="PedmtkomenteChar">
    <w:name w:val="Předmět komentáře Char"/>
    <w:basedOn w:val="TextkomenteChar"/>
    <w:link w:val="Pedmtkomente"/>
    <w:uiPriority w:val="99"/>
    <w:semiHidden/>
    <w:rsid w:val="000B44AA"/>
    <w:rPr>
      <w:rFonts w:ascii="Arial" w:hAnsi="Arial"/>
      <w:b/>
      <w:bCs/>
    </w:rPr>
  </w:style>
  <w:style w:type="paragraph" w:styleId="Textbubliny">
    <w:name w:val="Balloon Text"/>
    <w:basedOn w:val="Normln"/>
    <w:link w:val="TextbublinyChar"/>
    <w:uiPriority w:val="99"/>
    <w:semiHidden/>
    <w:unhideWhenUsed/>
    <w:rsid w:val="000B44A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44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DFA03-B258-42B9-BDEE-D1892A8C7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Pages>
  <Words>408</Words>
  <Characters>2410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Commentary</vt:lpstr>
    </vt:vector>
  </TitlesOfParts>
  <Company>CSU</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Commentary</dc:title>
  <dc:subject/>
  <dc:creator>SystemService</dc:creator>
  <cp:keywords/>
  <dc:description/>
  <cp:lastModifiedBy>Bartlová Monika</cp:lastModifiedBy>
  <cp:revision>49</cp:revision>
  <cp:lastPrinted>2009-06-10T09:50:00Z</cp:lastPrinted>
  <dcterms:created xsi:type="dcterms:W3CDTF">2021-09-22T08:33:00Z</dcterms:created>
  <dcterms:modified xsi:type="dcterms:W3CDTF">2024-09-13T08:46:00Z</dcterms:modified>
</cp:coreProperties>
</file>