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E3" w:rsidRDefault="001D2583">
      <w:pPr>
        <w:pStyle w:val="Styl1"/>
        <w:rPr>
          <w:rFonts w:cs="Arial"/>
        </w:rPr>
      </w:pPr>
      <w:r>
        <w:rPr>
          <w:noProof/>
          <w:lang w:eastAsia="cs-CZ"/>
        </w:rPr>
        <w:drawing>
          <wp:anchor distT="0" distB="0" distL="114300" distR="114300" simplePos="0" relativeHeight="251662848" behindDoc="0" locked="0" layoutInCell="1" allowOverlap="1">
            <wp:simplePos x="0" y="0"/>
            <wp:positionH relativeFrom="column">
              <wp:posOffset>-15240</wp:posOffset>
            </wp:positionH>
            <wp:positionV relativeFrom="paragraph">
              <wp:posOffset>-140335</wp:posOffset>
            </wp:positionV>
            <wp:extent cx="2124075" cy="647700"/>
            <wp:effectExtent l="0" t="0" r="9525" b="0"/>
            <wp:wrapSquare wrapText="bothSides"/>
            <wp:docPr id="19" name="Obrázek 19" descr="Výsledek obrázku pro czech statistica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ýsledek obrázku pro czech statistical office"/>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647700"/>
                    </a:xfrm>
                    <a:prstGeom prst="rect">
                      <a:avLst/>
                    </a:prstGeom>
                    <a:noFill/>
                    <a:ln>
                      <a:noFill/>
                    </a:ln>
                  </pic:spPr>
                </pic:pic>
              </a:graphicData>
            </a:graphic>
          </wp:anchor>
        </w:drawing>
      </w:r>
      <w:r w:rsidR="0008769B" w:rsidRPr="0008769B">
        <w:rPr>
          <w:noProof/>
          <w:lang w:eastAsia="cs-CZ"/>
        </w:rPr>
        <w:pict>
          <v:shapetype id="_x0000_t202" coordsize="21600,21600" o:spt="202" path="m,l,21600r21600,l21600,xe">
            <v:stroke joinstyle="miter"/>
            <v:path gradientshapeok="t" o:connecttype="rect"/>
          </v:shapetype>
          <v:shape id="Textové pole 2" o:spid="_x0000_s1035"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" filled="f" stroked="f">
            <v:textbox inset="0,0,0,0">
              <w:txbxContent>
                <w:p w:rsidR="00224123" w:rsidRPr="004E38D2" w:rsidRDefault="00224123" w:rsidP="004F191F">
                  <w:pPr>
                    <w:rPr>
                      <w:lang w:val="en-GB"/>
                    </w:rPr>
                  </w:pPr>
                  <w:r w:rsidRPr="004E38D2">
                    <w:rPr>
                      <w:lang w:val="en-GB"/>
                    </w:rPr>
                    <w:t>Czech Statistical Office, Prague, 2018</w:t>
                  </w:r>
                </w:p>
              </w:txbxContent>
            </v:textbox>
            <w10:wrap anchorx="page" anchory="page"/>
            <w10:anchorlock/>
          </v:shape>
        </w:pict>
      </w:r>
      <w:r w:rsidR="0008769B" w:rsidRPr="0008769B">
        <w:rPr>
          <w:noProof/>
          <w:lang w:eastAsia="cs-CZ"/>
        </w:rPr>
        <w:pict>
          <v:shape id="_x0000_s1034"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" filled="f" stroked="f">
            <v:textbox inset="0,0,0,0">
              <w:txbxContent>
                <w:p w:rsidR="00224123" w:rsidRPr="004E38D2" w:rsidRDefault="00224123" w:rsidP="004E38D2">
                  <w:pPr>
                    <w:pStyle w:val="TL-Identifikace-dole"/>
                    <w:rPr>
                      <w:lang w:val="en-GB"/>
                    </w:rPr>
                  </w:pPr>
                  <w:r w:rsidRPr="004E38D2">
                    <w:rPr>
                      <w:lang w:val="en-GB"/>
                    </w:rPr>
                    <w:t>Prepared by: Office of the President of the CZSO, Compendious Analyses Unit</w:t>
                  </w:r>
                </w:p>
                <w:p w:rsidR="00224123" w:rsidRPr="004E38D2" w:rsidRDefault="00224123" w:rsidP="004F191F">
                  <w:pPr>
                    <w:pStyle w:val="TL-Identifikace-dole"/>
                    <w:rPr>
                      <w:lang w:val="en-GB"/>
                    </w:rPr>
                  </w:pPr>
                  <w:r w:rsidRPr="004E38D2">
                    <w:rPr>
                      <w:lang w:val="en-GB"/>
                    </w:rPr>
                    <w:t>Director: Egor Sidorov, Ph.D.</w:t>
                  </w:r>
                </w:p>
                <w:p w:rsidR="00224123" w:rsidRPr="004E38D2" w:rsidRDefault="00224123" w:rsidP="004F191F">
                  <w:pPr>
                    <w:pStyle w:val="TL-Identifikace-dole"/>
                    <w:rPr>
                      <w:rFonts w:cs="Arial"/>
                      <w:lang w:val="en-GB"/>
                    </w:rPr>
                  </w:pPr>
                  <w:r w:rsidRPr="004E38D2">
                    <w:rPr>
                      <w:lang w:val="en-GB"/>
                    </w:rPr>
                    <w:t>Authors of Publication: Bc. Jiří Kamenický, Mgr. Bc. Karolína Súkupová</w:t>
                  </w:r>
                </w:p>
                <w:p w:rsidR="00224123" w:rsidRPr="000777FF" w:rsidRDefault="00224123" w:rsidP="00225F36">
                  <w:pPr>
                    <w:pStyle w:val="TL-Identifikace-dole"/>
                    <w:rPr>
                      <w:lang w:val="it-IT"/>
                    </w:rPr>
                  </w:pPr>
                  <w:r w:rsidRPr="004E38D2">
                    <w:rPr>
                      <w:lang w:val="en-GB"/>
                    </w:rPr>
                    <w:t xml:space="preserve">Contact person: Bc. </w:t>
                  </w:r>
                  <w:r w:rsidRPr="000777FF">
                    <w:rPr>
                      <w:lang w:val="it-IT"/>
                    </w:rPr>
                    <w:t>Jiří Kamenický, e-mail: jiri.kamenicky@czso.cz,  ph. 274 052 741</w:t>
                  </w:r>
                </w:p>
                <w:p w:rsidR="00224123" w:rsidRDefault="00224123" w:rsidP="004F191F">
                  <w:pPr>
                    <w:pStyle w:val="TL-Identifikace-dole"/>
                  </w:pPr>
                </w:p>
                <w:p w:rsidR="00224123" w:rsidRDefault="00224123" w:rsidP="004F191F">
                  <w:pPr>
                    <w:pStyle w:val="TL-Identifikace-dole"/>
                  </w:pPr>
                  <w:r>
                    <w:t xml:space="preserve">                            e-mail</w:t>
                  </w:r>
                  <w:r w:rsidRPr="006C5577">
                    <w:t>:</w:t>
                  </w:r>
                  <w:r>
                    <w:t xml:space="preserve"> </w:t>
                  </w:r>
                  <w:hyperlink r:id="rId12" w:history="1">
                    <w:r w:rsidRPr="004640D1">
                      <w:rPr>
                        <w:rStyle w:val="Hypertextovodkaz"/>
                      </w:rPr>
                      <w:t>jiri.kamenicky@czso.cz</w:t>
                    </w:r>
                  </w:hyperlink>
                  <w:r>
                    <w:t>, tel: 274 052 741</w:t>
                  </w:r>
                </w:p>
              </w:txbxContent>
            </v:textbox>
            <w10:wrap anchorx="page" anchory="page"/>
            <w10:anchorlock/>
          </v:shape>
        </w:pict>
      </w:r>
      <w:r w:rsidR="0008769B" w:rsidRPr="0008769B">
        <w:rPr>
          <w:noProof/>
          <w:lang w:eastAsia="cs-CZ"/>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potAIAALM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" filled="f" stroked="f">
            <v:textbox inset="0,0,0,0">
              <w:txbxContent>
                <w:p w:rsidR="00224123" w:rsidRPr="00997CDD" w:rsidRDefault="00224123" w:rsidP="009A5003">
                  <w:pPr>
                    <w:pStyle w:val="TL-identifikace-sted"/>
                    <w:rPr>
                      <w:lang w:val="en-GB"/>
                    </w:rPr>
                  </w:pPr>
                  <w:r w:rsidRPr="00997CDD">
                    <w:rPr>
                      <w:lang w:val="en-GB"/>
                    </w:rPr>
                    <w:t xml:space="preserve">Summary data on the Czech Republic </w:t>
                  </w:r>
                </w:p>
                <w:p w:rsidR="00224123" w:rsidRPr="00997CDD" w:rsidRDefault="00224123" w:rsidP="004F191F">
                  <w:pPr>
                    <w:pStyle w:val="TL-identifikace-sted"/>
                    <w:rPr>
                      <w:color w:val="000000"/>
                      <w:lang w:val="en-GB"/>
                    </w:rPr>
                  </w:pPr>
                  <w:r>
                    <w:rPr>
                      <w:color w:val="000000"/>
                      <w:lang w:val="en-GB"/>
                    </w:rPr>
                    <w:t>Prague, 24</w:t>
                  </w:r>
                  <w:r w:rsidRPr="00997CDD">
                    <w:rPr>
                      <w:color w:val="000000"/>
                      <w:vertAlign w:val="superscript"/>
                      <w:lang w:val="en-GB"/>
                    </w:rPr>
                    <w:t>rd</w:t>
                  </w:r>
                  <w:r>
                    <w:rPr>
                      <w:color w:val="000000"/>
                      <w:lang w:val="en-GB"/>
                    </w:rPr>
                    <w:t xml:space="preserve"> April</w:t>
                  </w:r>
                  <w:r w:rsidRPr="00997CDD">
                    <w:rPr>
                      <w:color w:val="000000"/>
                      <w:lang w:val="en-GB"/>
                    </w:rPr>
                    <w:t xml:space="preserve"> 201</w:t>
                  </w:r>
                  <w:r>
                    <w:rPr>
                      <w:color w:val="000000"/>
                      <w:lang w:val="en-GB"/>
                    </w:rPr>
                    <w:t>8</w:t>
                  </w:r>
                </w:p>
                <w:p w:rsidR="00224123" w:rsidRPr="00997CDD" w:rsidRDefault="00224123" w:rsidP="004F191F">
                  <w:pPr>
                    <w:pStyle w:val="TL-identifikace-sted"/>
                    <w:rPr>
                      <w:lang w:val="en-GB"/>
                    </w:rPr>
                  </w:pPr>
                  <w:r>
                    <w:rPr>
                      <w:lang w:val="en-GB"/>
                    </w:rPr>
                    <w:t>Publication code: 320194</w:t>
                  </w:r>
                  <w:r w:rsidRPr="00997CDD">
                    <w:rPr>
                      <w:lang w:val="en-GB"/>
                    </w:rPr>
                    <w:t>-17</w:t>
                  </w:r>
                </w:p>
                <w:p w:rsidR="00224123" w:rsidRPr="00997CDD" w:rsidRDefault="00224123" w:rsidP="00EA1CFB">
                  <w:pPr>
                    <w:spacing w:after="200"/>
                    <w:rPr>
                      <w:rFonts w:eastAsia="Times New Roman" w:cs="Arial"/>
                      <w:sz w:val="24"/>
                      <w:lang w:val="en-GB"/>
                    </w:rPr>
                  </w:pPr>
                  <w:r w:rsidRPr="00997CDD">
                    <w:rPr>
                      <w:rFonts w:cs="Arial"/>
                      <w:color w:val="0D0D0D"/>
                      <w:sz w:val="24"/>
                      <w:lang w:val="en-GB"/>
                    </w:rPr>
                    <w:t xml:space="preserve">Reference No.: </w:t>
                  </w:r>
                  <w:r w:rsidRPr="00997CDD">
                    <w:rPr>
                      <w:rFonts w:cs="Arial"/>
                      <w:sz w:val="24"/>
                      <w:lang w:val="en-GB"/>
                    </w:rPr>
                    <w:t xml:space="preserve">CSU: </w:t>
                  </w:r>
                  <w:r w:rsidRPr="00B606B9">
                    <w:rPr>
                      <w:rFonts w:cs="Arial"/>
                      <w:sz w:val="24"/>
                      <w:lang w:val="en-GB"/>
                    </w:rPr>
                    <w:t>01345/2018</w:t>
                  </w:r>
                </w:p>
                <w:p w:rsidR="00224123" w:rsidRPr="00997CDD" w:rsidRDefault="00224123" w:rsidP="004F191F">
                  <w:pPr>
                    <w:spacing w:after="200"/>
                    <w:rPr>
                      <w:sz w:val="24"/>
                      <w:lang w:val="en-GB"/>
                    </w:rPr>
                  </w:pPr>
                  <w:r>
                    <w:rPr>
                      <w:sz w:val="24"/>
                      <w:lang w:val="en-GB"/>
                    </w:rPr>
                    <w:t>Yearly publication number: 2</w:t>
                  </w:r>
                </w:p>
              </w:txbxContent>
            </v:textbox>
            <w10:wrap anchorx="page" anchory="page"/>
            <w10:anchorlock/>
          </v:shape>
        </w:pict>
      </w:r>
      <w:r w:rsidR="0008769B" w:rsidRPr="0008769B">
        <w:rPr>
          <w:noProof/>
          <w:lang w:eastAsia="cs-CZ"/>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224123" w:rsidRPr="001C357A" w:rsidRDefault="00224123" w:rsidP="001C357A">
                  <w:pPr>
                    <w:pStyle w:val="Podtitul"/>
                    <w:rPr>
                      <w:sz w:val="56"/>
                      <w:szCs w:val="56"/>
                    </w:rPr>
                  </w:pPr>
                  <w:r>
                    <w:rPr>
                      <w:sz w:val="56"/>
                      <w:szCs w:val="56"/>
                    </w:rPr>
                    <w:t>THE CZECH ECONOMY DEVELOPMENT IN 2017</w:t>
                  </w:r>
                </w:p>
                <w:p w:rsidR="00224123" w:rsidRPr="009B04D0" w:rsidRDefault="00224123" w:rsidP="004F191F">
                  <w:pPr>
                    <w:pStyle w:val="Podtitul"/>
                  </w:pPr>
                </w:p>
              </w:txbxContent>
            </v:textbox>
            <w10:wrap anchorx="page" anchory="page"/>
            <w10:anchorlock/>
          </v:shape>
        </w:pict>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autoSpaceDE w:val="0"/>
        <w:autoSpaceDN w:val="0"/>
        <w:adjustRightInd w:val="0"/>
        <w:spacing w:line="240" w:lineRule="auto"/>
        <w:jc w:val="both"/>
        <w:rPr>
          <w:rFonts w:cs="Arial"/>
        </w:rPr>
      </w:pPr>
    </w:p>
    <w:p w:rsidR="00576A3E" w:rsidRPr="00A74192" w:rsidRDefault="0008769B" w:rsidP="00D94859">
      <w:pPr>
        <w:autoSpaceDE w:val="0"/>
        <w:autoSpaceDN w:val="0"/>
        <w:adjustRightInd w:val="0"/>
        <w:spacing w:line="240" w:lineRule="auto"/>
        <w:jc w:val="both"/>
        <w:rPr>
          <w:rFonts w:cs="Arial"/>
          <w:lang w:eastAsia="ar-SA"/>
        </w:rPr>
      </w:pPr>
      <w:r w:rsidRPr="0008769B">
        <w:rPr>
          <w:noProof/>
        </w:rPr>
        <w:pict>
          <v:line id="Přímá spojnice 33" o:spid="_x0000_s1033" style="position:absolute;left:0;text-align:left;z-index:251655680;visibility:visible;mso-wrap-distance-top:-6e-5mm;mso-wrap-distance-bottom:-6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sidRPr="00A74192">
        <w:rPr>
          <w:rFonts w:cs="Arial"/>
        </w:rPr>
        <w:br w:type="page"/>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spacing w:line="240" w:lineRule="auto"/>
        <w:rPr>
          <w:rFonts w:cs="Arial"/>
          <w:lang w:eastAsia="ar-SA"/>
        </w:rPr>
      </w:pPr>
    </w:p>
    <w:p w:rsidR="00576A3E" w:rsidRPr="00A74192" w:rsidRDefault="00576A3E" w:rsidP="00D94859">
      <w:pPr>
        <w:pStyle w:val="Styl1"/>
        <w:rPr>
          <w:rFonts w:cs="Arial"/>
          <w:sz w:val="20"/>
        </w:rPr>
      </w:pPr>
    </w:p>
    <w:p w:rsidR="00576A3E" w:rsidRPr="00A74192" w:rsidRDefault="0008769B" w:rsidP="00D94859">
      <w:pPr>
        <w:pStyle w:val="Styl1"/>
        <w:rPr>
          <w:rFonts w:cs="Arial"/>
          <w:color w:val="7DB41E"/>
          <w:sz w:val="20"/>
          <w:szCs w:val="20"/>
        </w:rPr>
      </w:pPr>
      <w:r w:rsidRPr="0008769B">
        <w:rPr>
          <w:noProof/>
          <w:lang w:eastAsia="cs-CZ"/>
        </w:rPr>
        <w:pict>
          <v:shape id="_x0000_s1030" type="#_x0000_t202" style="position:absolute;margin-left:56.4pt;margin-top:116.35pt;width:488.4pt;height:595.3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" filled="f" stroked="f">
            <v:textbox inset="0,0,0,0">
              <w:txbxContent>
                <w:p w:rsidR="00224123" w:rsidRDefault="00224123" w:rsidP="00BD366B">
                  <w:pPr>
                    <w:spacing w:after="80" w:line="240" w:lineRule="auto"/>
                    <w:rPr>
                      <w:b/>
                      <w:color w:val="BD1B21"/>
                      <w:sz w:val="22"/>
                      <w:szCs w:val="22"/>
                    </w:rPr>
                  </w:pPr>
                  <w:r w:rsidRPr="004E38D2">
                    <w:rPr>
                      <w:b/>
                      <w:color w:val="BD1B21"/>
                      <w:sz w:val="22"/>
                      <w:szCs w:val="22"/>
                    </w:rPr>
                    <w:t xml:space="preserve">CONTACTS IN THE HEADQUARTERS </w:t>
                  </w:r>
                </w:p>
                <w:p w:rsidR="00224123" w:rsidRPr="00EA4153" w:rsidRDefault="00224123" w:rsidP="00BD366B">
                  <w:pPr>
                    <w:spacing w:after="80" w:line="240" w:lineRule="auto"/>
                    <w:rPr>
                      <w:b/>
                      <w:color w:val="0071BC"/>
                    </w:rPr>
                  </w:pPr>
                  <w:r>
                    <w:rPr>
                      <w:b/>
                      <w:color w:val="0071BC"/>
                    </w:rPr>
                    <w:t xml:space="preserve">Czech Statistical Office | </w:t>
                  </w:r>
                  <w:r>
                    <w:t xml:space="preserve">Na padesátém 81, 100 82 Praha 10 | ph.: 274 051 111 | </w:t>
                  </w:r>
                  <w:r w:rsidRPr="00841D9F">
                    <w:rPr>
                      <w:b/>
                      <w:bCs/>
                    </w:rPr>
                    <w:t>www.czso.cz</w:t>
                  </w:r>
                </w:p>
                <w:p w:rsidR="00224123" w:rsidRPr="00B27293" w:rsidRDefault="00224123" w:rsidP="00BD366B">
                  <w:pPr>
                    <w:spacing w:after="80" w:line="240" w:lineRule="auto"/>
                  </w:pPr>
                  <w:r>
                    <w:rPr>
                      <w:b/>
                    </w:rPr>
                    <w:t>Information Services</w:t>
                  </w:r>
                  <w:r w:rsidRPr="00EA4153">
                    <w:t xml:space="preserve"> |</w:t>
                  </w:r>
                  <w:r>
                    <w:rPr>
                      <w:b/>
                    </w:rPr>
                    <w:t xml:space="preserve"> </w:t>
                  </w:r>
                  <w:r>
                    <w:t>ph.: 274 052 304, 274 052 451 | e-mail: infoservis@czso.cz</w:t>
                  </w:r>
                </w:p>
                <w:p w:rsidR="00224123" w:rsidRPr="00EA4153" w:rsidRDefault="00224123" w:rsidP="00BD366B">
                  <w:pPr>
                    <w:spacing w:after="80" w:line="240" w:lineRule="auto"/>
                    <w:rPr>
                      <w:b/>
                    </w:rPr>
                  </w:pPr>
                  <w:r>
                    <w:rPr>
                      <w:b/>
                    </w:rPr>
                    <w:t>CZSO Publication Shop</w:t>
                  </w:r>
                  <w:r>
                    <w:t xml:space="preserve"> | ph.: 274 052 361 | e-mail: prodejna@czso.cz</w:t>
                  </w:r>
                </w:p>
                <w:p w:rsidR="00224123" w:rsidRPr="00EA4153" w:rsidRDefault="00224123" w:rsidP="00BD366B">
                  <w:pPr>
                    <w:spacing w:after="80" w:line="240" w:lineRule="auto"/>
                    <w:rPr>
                      <w:b/>
                    </w:rPr>
                  </w:pPr>
                  <w:r>
                    <w:rPr>
                      <w:b/>
                    </w:rPr>
                    <w:t>European Data (ESDS), international comparison</w:t>
                  </w:r>
                  <w:r>
                    <w:t xml:space="preserve"> | ph.: 274 052 347, 274 052 757 | e-mail: esds@czso.cz</w:t>
                  </w:r>
                </w:p>
                <w:p w:rsidR="00224123" w:rsidRPr="00EA4153" w:rsidRDefault="00224123" w:rsidP="00BD366B">
                  <w:pPr>
                    <w:spacing w:after="80" w:line="240" w:lineRule="auto"/>
                    <w:rPr>
                      <w:b/>
                    </w:rPr>
                  </w:pPr>
                  <w:r>
                    <w:rPr>
                      <w:b/>
                    </w:rPr>
                    <w:t>Central Statistical Library</w:t>
                  </w:r>
                  <w:r>
                    <w:t xml:space="preserve"> | ph.: 274 052 361 | e-mail: knihovna@czso.cz</w:t>
                  </w:r>
                </w:p>
                <w:p w:rsidR="00224123" w:rsidRDefault="00224123" w:rsidP="00BD366B">
                  <w:pPr>
                    <w:spacing w:line="240" w:lineRule="auto"/>
                  </w:pPr>
                </w:p>
                <w:p w:rsidR="00224123" w:rsidRPr="0071229A" w:rsidRDefault="00224123" w:rsidP="004F06F5">
                  <w:pPr>
                    <w:pStyle w:val="TL-Kontakty"/>
                  </w:pPr>
                  <w:r w:rsidRPr="0071229A">
                    <w:t>INFORMA</w:t>
                  </w:r>
                  <w:r>
                    <w:t>TION SERVICES IN THE REGION</w:t>
                  </w:r>
                </w:p>
                <w:p w:rsidR="00224123" w:rsidRDefault="00224123" w:rsidP="00BD366B">
                  <w:pPr>
                    <w:spacing w:line="240" w:lineRule="auto"/>
                  </w:pPr>
                  <w:r>
                    <w:rPr>
                      <w:b/>
                      <w:color w:val="0071BC"/>
                    </w:rPr>
                    <w:t>Capital city Prague</w:t>
                  </w:r>
                  <w:r>
                    <w:t xml:space="preserve"> | Na padesátém 81, 100 82 Praha 10 | ph.: 274 052 673, 274 054 223</w:t>
                  </w:r>
                </w:p>
                <w:p w:rsidR="00224123" w:rsidRPr="00100014" w:rsidRDefault="00224123" w:rsidP="00BD366B">
                  <w:pPr>
                    <w:spacing w:line="240" w:lineRule="auto"/>
                    <w:rPr>
                      <w:b/>
                    </w:rPr>
                  </w:pPr>
                  <w:r>
                    <w:t xml:space="preserve">e-mail: infoservispraha@czso.cz | </w:t>
                  </w:r>
                  <w:r w:rsidRPr="00100014">
                    <w:rPr>
                      <w:b/>
                    </w:rPr>
                    <w:t>www.praha.czso.cz</w:t>
                  </w:r>
                </w:p>
                <w:p w:rsidR="00224123" w:rsidRDefault="00224123" w:rsidP="00BD366B">
                  <w:pPr>
                    <w:spacing w:line="240" w:lineRule="auto"/>
                  </w:pPr>
                </w:p>
                <w:p w:rsidR="00224123" w:rsidRPr="00B27293" w:rsidRDefault="00224123" w:rsidP="00BD366B">
                  <w:pPr>
                    <w:spacing w:line="240" w:lineRule="auto"/>
                    <w:rPr>
                      <w:b/>
                      <w:color w:val="0071BC"/>
                    </w:rPr>
                  </w:pPr>
                  <w:r>
                    <w:rPr>
                      <w:b/>
                      <w:color w:val="0071BC"/>
                    </w:rPr>
                    <w:t xml:space="preserve">Central Bohemia </w:t>
                  </w:r>
                  <w:r>
                    <w:t>| Na padesátém 81, 100 82 Praha 10</w:t>
                  </w:r>
                  <w:r w:rsidRPr="00B27293">
                    <w:t xml:space="preserve"> |</w:t>
                  </w:r>
                  <w:r w:rsidRPr="00B27293">
                    <w:rPr>
                      <w:b/>
                    </w:rPr>
                    <w:t xml:space="preserve"> </w:t>
                  </w:r>
                  <w:r>
                    <w:t>ph.: 274 054 175</w:t>
                  </w:r>
                </w:p>
                <w:p w:rsidR="00224123" w:rsidRPr="00B27293" w:rsidRDefault="00224123" w:rsidP="00BD366B">
                  <w:pPr>
                    <w:spacing w:line="240" w:lineRule="auto"/>
                  </w:pPr>
                  <w:r>
                    <w:t xml:space="preserve">e-mail: infoservisstc@czso.cz | </w:t>
                  </w:r>
                  <w:r w:rsidRPr="00100014">
                    <w:rPr>
                      <w:b/>
                    </w:rPr>
                    <w:t>www.stredocesky.czso.cz</w:t>
                  </w:r>
                </w:p>
                <w:p w:rsidR="00224123" w:rsidRDefault="00224123" w:rsidP="00BD366B">
                  <w:pPr>
                    <w:spacing w:line="240" w:lineRule="auto"/>
                  </w:pPr>
                </w:p>
                <w:p w:rsidR="00224123" w:rsidRPr="00B27293" w:rsidRDefault="00224123" w:rsidP="00BD366B">
                  <w:pPr>
                    <w:spacing w:line="240" w:lineRule="auto"/>
                    <w:rPr>
                      <w:b/>
                      <w:color w:val="0071BC"/>
                    </w:rPr>
                  </w:pPr>
                  <w:r w:rsidRPr="00100014">
                    <w:rPr>
                      <w:b/>
                      <w:color w:val="0071BC"/>
                    </w:rPr>
                    <w:t>České Budějovice</w:t>
                  </w:r>
                  <w:r>
                    <w:t xml:space="preserve"> | Žižkova 1, 370 77 České Budějovice | ph.: 386 718 440</w:t>
                  </w:r>
                </w:p>
                <w:p w:rsidR="00224123" w:rsidRPr="00B27293" w:rsidRDefault="00224123" w:rsidP="00BD366B">
                  <w:pPr>
                    <w:spacing w:line="240" w:lineRule="auto"/>
                  </w:pPr>
                  <w:r>
                    <w:t xml:space="preserve">e-mail: infoserviscb@czso.cz | </w:t>
                  </w:r>
                  <w:r w:rsidRPr="00100014">
                    <w:rPr>
                      <w:b/>
                    </w:rPr>
                    <w:t>www.cbudejovice.czso.cz</w:t>
                  </w:r>
                </w:p>
                <w:p w:rsidR="00224123" w:rsidRDefault="00224123" w:rsidP="00BD366B">
                  <w:pPr>
                    <w:spacing w:line="240" w:lineRule="auto"/>
                  </w:pPr>
                </w:p>
                <w:p w:rsidR="00224123" w:rsidRPr="00B27293" w:rsidRDefault="00224123" w:rsidP="00BD366B">
                  <w:pPr>
                    <w:spacing w:line="240" w:lineRule="auto"/>
                    <w:rPr>
                      <w:b/>
                      <w:color w:val="0071BC"/>
                    </w:rPr>
                  </w:pPr>
                  <w:r w:rsidRPr="0071229A">
                    <w:rPr>
                      <w:b/>
                      <w:color w:val="0071BC"/>
                    </w:rPr>
                    <w:t>Plzeň</w:t>
                  </w:r>
                  <w:r>
                    <w:t xml:space="preserve"> | Slovanská alej 36, 326 64 Plzeň | ph.: 377 612 108, 377 612 249</w:t>
                  </w:r>
                </w:p>
                <w:p w:rsidR="00224123" w:rsidRPr="00B27293" w:rsidRDefault="00224123" w:rsidP="00BD366B">
                  <w:pPr>
                    <w:spacing w:line="240" w:lineRule="auto"/>
                  </w:pPr>
                  <w:r>
                    <w:t xml:space="preserve">e-mail: infoservisplzen@czso.cz | </w:t>
                  </w:r>
                  <w:r w:rsidRPr="0071229A">
                    <w:rPr>
                      <w:b/>
                    </w:rPr>
                    <w:t>www.plzen.czso.cz</w:t>
                  </w:r>
                </w:p>
                <w:p w:rsidR="00224123" w:rsidRDefault="00224123" w:rsidP="00BD366B">
                  <w:pPr>
                    <w:spacing w:line="240" w:lineRule="auto"/>
                  </w:pPr>
                </w:p>
                <w:p w:rsidR="00224123" w:rsidRPr="00B27293" w:rsidRDefault="00224123" w:rsidP="00BD366B">
                  <w:pPr>
                    <w:spacing w:line="240" w:lineRule="auto"/>
                    <w:rPr>
                      <w:b/>
                      <w:color w:val="0071BC"/>
                    </w:rPr>
                  </w:pPr>
                  <w:r w:rsidRPr="0071229A">
                    <w:rPr>
                      <w:b/>
                      <w:color w:val="0071BC"/>
                    </w:rPr>
                    <w:t>Karlovy Vary</w:t>
                  </w:r>
                  <w:r>
                    <w:t xml:space="preserve"> | Závodní 360/94, 360 06 Karlovy Vary | ph.: 353 114 529, 353 114 525</w:t>
                  </w:r>
                </w:p>
                <w:p w:rsidR="00224123" w:rsidRDefault="00224123" w:rsidP="00BD366B">
                  <w:pPr>
                    <w:spacing w:line="240" w:lineRule="auto"/>
                    <w:rPr>
                      <w:b/>
                    </w:rPr>
                  </w:pPr>
                  <w:r>
                    <w:t xml:space="preserve">e-mail: infoserviskv@czso.cz | </w:t>
                  </w:r>
                  <w:r>
                    <w:rPr>
                      <w:b/>
                    </w:rPr>
                    <w:t>www.kvary.czso.cz</w:t>
                  </w:r>
                </w:p>
                <w:p w:rsidR="00224123" w:rsidRDefault="00224123" w:rsidP="00BD366B">
                  <w:pPr>
                    <w:spacing w:line="240" w:lineRule="auto"/>
                  </w:pPr>
                </w:p>
                <w:p w:rsidR="00224123" w:rsidRPr="00B27293" w:rsidRDefault="00224123"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Pr>
                      <w:bCs/>
                    </w:rPr>
                    <w:t>ph</w:t>
                  </w:r>
                  <w:r w:rsidRPr="0071229A">
                    <w:rPr>
                      <w:bCs/>
                    </w:rPr>
                    <w:t>.: 472 706 176, 472 706 121</w:t>
                  </w:r>
                </w:p>
                <w:p w:rsidR="00224123" w:rsidRPr="00B27293" w:rsidRDefault="00224123" w:rsidP="00BD366B">
                  <w:pPr>
                    <w:spacing w:line="240" w:lineRule="auto"/>
                    <w:rPr>
                      <w:bCs/>
                    </w:rPr>
                  </w:pPr>
                  <w:r w:rsidRPr="0071229A">
                    <w:rPr>
                      <w:bCs/>
                    </w:rPr>
                    <w:t>e-mail: infoservisul@czso.cz</w:t>
                  </w:r>
                  <w:r>
                    <w:t xml:space="preserve"> | </w:t>
                  </w:r>
                  <w:r w:rsidRPr="0071229A">
                    <w:rPr>
                      <w:b/>
                      <w:bCs/>
                    </w:rPr>
                    <w:t>www.ustinadlabem.czso.cz</w:t>
                  </w:r>
                </w:p>
                <w:p w:rsidR="00224123" w:rsidRPr="0071229A" w:rsidRDefault="00224123" w:rsidP="00BD366B">
                  <w:pPr>
                    <w:spacing w:line="240" w:lineRule="auto"/>
                    <w:rPr>
                      <w:bCs/>
                    </w:rPr>
                  </w:pPr>
                </w:p>
                <w:p w:rsidR="00224123" w:rsidRPr="00B27293" w:rsidRDefault="00224123" w:rsidP="00BD366B">
                  <w:pPr>
                    <w:spacing w:line="240" w:lineRule="auto"/>
                    <w:rPr>
                      <w:b/>
                      <w:bCs/>
                      <w:color w:val="0071BC"/>
                    </w:rPr>
                  </w:pPr>
                  <w:r w:rsidRPr="0071229A">
                    <w:rPr>
                      <w:b/>
                      <w:bCs/>
                      <w:color w:val="0071BC"/>
                    </w:rPr>
                    <w:t>Liberec</w:t>
                  </w:r>
                  <w:r>
                    <w:t xml:space="preserve"> | </w:t>
                  </w:r>
                  <w:r>
                    <w:rPr>
                      <w:bCs/>
                    </w:rPr>
                    <w:t>n</w:t>
                  </w:r>
                  <w:r w:rsidRPr="0071229A">
                    <w:rPr>
                      <w:bCs/>
                    </w:rPr>
                    <w:t>ám. Dr. Edvarda Beneše 585/26, 460 01 Liberec 1</w:t>
                  </w:r>
                  <w:r>
                    <w:t xml:space="preserve"> | </w:t>
                  </w:r>
                  <w:r>
                    <w:rPr>
                      <w:bCs/>
                    </w:rPr>
                    <w:t>ph</w:t>
                  </w:r>
                  <w:r w:rsidRPr="0071229A">
                    <w:rPr>
                      <w:bCs/>
                    </w:rPr>
                    <w:t>.: 485 238 811</w:t>
                  </w:r>
                </w:p>
                <w:p w:rsidR="00224123" w:rsidRPr="00B27293" w:rsidRDefault="00224123" w:rsidP="00BD366B">
                  <w:pPr>
                    <w:spacing w:line="240" w:lineRule="auto"/>
                    <w:rPr>
                      <w:bCs/>
                    </w:rPr>
                  </w:pPr>
                  <w:r w:rsidRPr="0071229A">
                    <w:rPr>
                      <w:bCs/>
                    </w:rPr>
                    <w:t>e-mail: infoservislbc@czso.cz</w:t>
                  </w:r>
                  <w:r>
                    <w:t xml:space="preserve"> | </w:t>
                  </w:r>
                  <w:r w:rsidRPr="0071229A">
                    <w:rPr>
                      <w:b/>
                      <w:bCs/>
                    </w:rPr>
                    <w:t>www.liberec.czso.cz</w:t>
                  </w:r>
                </w:p>
                <w:p w:rsidR="00224123" w:rsidRPr="0071229A" w:rsidRDefault="00224123" w:rsidP="00BD366B">
                  <w:pPr>
                    <w:spacing w:line="240" w:lineRule="auto"/>
                    <w:rPr>
                      <w:bCs/>
                    </w:rPr>
                  </w:pPr>
                </w:p>
                <w:p w:rsidR="00224123" w:rsidRPr="00B27293" w:rsidRDefault="00224123"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ph</w:t>
                  </w:r>
                  <w:r w:rsidRPr="0071229A">
                    <w:rPr>
                      <w:bCs/>
                    </w:rPr>
                    <w:t>.: 495 762 322, 495 762 317</w:t>
                  </w:r>
                </w:p>
                <w:p w:rsidR="00224123" w:rsidRPr="00B27293" w:rsidRDefault="00224123" w:rsidP="00BD366B">
                  <w:pPr>
                    <w:spacing w:line="240" w:lineRule="auto"/>
                    <w:rPr>
                      <w:bCs/>
                    </w:rPr>
                  </w:pPr>
                  <w:r w:rsidRPr="0071229A">
                    <w:rPr>
                      <w:bCs/>
                    </w:rPr>
                    <w:t>e-mail: infoservishk@czso.cz</w:t>
                  </w:r>
                  <w:r>
                    <w:t xml:space="preserve"> | </w:t>
                  </w:r>
                  <w:r w:rsidRPr="0071229A">
                    <w:rPr>
                      <w:b/>
                      <w:bCs/>
                    </w:rPr>
                    <w:t>www.hradeckralove.czso.cz</w:t>
                  </w:r>
                </w:p>
                <w:p w:rsidR="00224123" w:rsidRPr="0071229A" w:rsidRDefault="00224123" w:rsidP="00BD366B">
                  <w:pPr>
                    <w:spacing w:line="240" w:lineRule="auto"/>
                    <w:rPr>
                      <w:bCs/>
                    </w:rPr>
                  </w:pPr>
                </w:p>
                <w:p w:rsidR="00224123" w:rsidRPr="00B27293" w:rsidRDefault="00224123"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Pr>
                      <w:bCs/>
                    </w:rPr>
                    <w:t>ph</w:t>
                  </w:r>
                  <w:r w:rsidRPr="0071229A">
                    <w:rPr>
                      <w:bCs/>
                    </w:rPr>
                    <w:t>.: 466 743 480, 466 743 418</w:t>
                  </w:r>
                </w:p>
                <w:p w:rsidR="00224123" w:rsidRPr="00B27293" w:rsidRDefault="00224123" w:rsidP="00BD366B">
                  <w:pPr>
                    <w:spacing w:line="240" w:lineRule="auto"/>
                    <w:rPr>
                      <w:bCs/>
                    </w:rPr>
                  </w:pPr>
                  <w:r w:rsidRPr="0071229A">
                    <w:rPr>
                      <w:bCs/>
                    </w:rPr>
                    <w:t>e-mail: infoservispa@czso.cz</w:t>
                  </w:r>
                  <w:r>
                    <w:t xml:space="preserve"> | </w:t>
                  </w:r>
                  <w:r w:rsidRPr="0071229A">
                    <w:rPr>
                      <w:b/>
                      <w:bCs/>
                    </w:rPr>
                    <w:t>www.pardubice.czso.cz</w:t>
                  </w:r>
                </w:p>
                <w:p w:rsidR="00224123" w:rsidRPr="0071229A" w:rsidRDefault="00224123" w:rsidP="00BD366B">
                  <w:pPr>
                    <w:spacing w:line="240" w:lineRule="auto"/>
                    <w:rPr>
                      <w:bCs/>
                    </w:rPr>
                  </w:pPr>
                </w:p>
                <w:p w:rsidR="00224123" w:rsidRPr="00B27293" w:rsidRDefault="00224123"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ph</w:t>
                  </w:r>
                  <w:r w:rsidRPr="0071229A">
                    <w:rPr>
                      <w:bCs/>
                    </w:rPr>
                    <w:t>.: 567 109 062, 567 109 080</w:t>
                  </w:r>
                </w:p>
                <w:p w:rsidR="00224123" w:rsidRPr="00B27293" w:rsidRDefault="00224123" w:rsidP="00BD366B">
                  <w:pPr>
                    <w:spacing w:line="240" w:lineRule="auto"/>
                    <w:rPr>
                      <w:bCs/>
                    </w:rPr>
                  </w:pPr>
                  <w:r w:rsidRPr="0071229A">
                    <w:rPr>
                      <w:bCs/>
                    </w:rPr>
                    <w:t>e-mail: infoservisvys@czso.cz</w:t>
                  </w:r>
                  <w:r>
                    <w:t xml:space="preserve"> | </w:t>
                  </w:r>
                  <w:r w:rsidRPr="0071229A">
                    <w:rPr>
                      <w:b/>
                      <w:bCs/>
                    </w:rPr>
                    <w:t>www.jihlava.czso.cz</w:t>
                  </w:r>
                </w:p>
                <w:p w:rsidR="00224123" w:rsidRPr="0071229A" w:rsidRDefault="00224123" w:rsidP="00BD366B">
                  <w:pPr>
                    <w:spacing w:line="240" w:lineRule="auto"/>
                    <w:rPr>
                      <w:bCs/>
                    </w:rPr>
                  </w:pPr>
                </w:p>
                <w:p w:rsidR="00224123" w:rsidRPr="00B27293" w:rsidRDefault="00224123" w:rsidP="00BD366B">
                  <w:pPr>
                    <w:spacing w:line="240" w:lineRule="auto"/>
                    <w:rPr>
                      <w:b/>
                      <w:bCs/>
                    </w:rPr>
                  </w:pPr>
                  <w:r w:rsidRPr="0071229A">
                    <w:rPr>
                      <w:b/>
                      <w:bCs/>
                      <w:color w:val="0071BC"/>
                    </w:rPr>
                    <w:t>Brno</w:t>
                  </w:r>
                  <w:r>
                    <w:t xml:space="preserve"> | </w:t>
                  </w:r>
                  <w:r w:rsidRPr="0071229A">
                    <w:rPr>
                      <w:bCs/>
                    </w:rPr>
                    <w:t>Jezuitská 2, 601 59 Brno</w:t>
                  </w:r>
                  <w:r>
                    <w:t xml:space="preserve"> | ph</w:t>
                  </w:r>
                  <w:r w:rsidRPr="0071229A">
                    <w:rPr>
                      <w:bCs/>
                    </w:rPr>
                    <w:t>.: 542 528 115, 542 528 105</w:t>
                  </w:r>
                </w:p>
                <w:p w:rsidR="00224123" w:rsidRPr="00B27293" w:rsidRDefault="00224123" w:rsidP="00BD366B">
                  <w:pPr>
                    <w:spacing w:line="240" w:lineRule="auto"/>
                    <w:rPr>
                      <w:bCs/>
                    </w:rPr>
                  </w:pPr>
                  <w:r w:rsidRPr="0071229A">
                    <w:rPr>
                      <w:bCs/>
                    </w:rPr>
                    <w:t>e-mail: infoservisbrno@czso.cz</w:t>
                  </w:r>
                  <w:r>
                    <w:t xml:space="preserve"> | </w:t>
                  </w:r>
                  <w:r w:rsidRPr="0071229A">
                    <w:rPr>
                      <w:b/>
                      <w:bCs/>
                    </w:rPr>
                    <w:t>www.brno.czso.cz</w:t>
                  </w:r>
                </w:p>
                <w:p w:rsidR="00224123" w:rsidRPr="0071229A" w:rsidRDefault="00224123" w:rsidP="00BD366B">
                  <w:pPr>
                    <w:spacing w:line="240" w:lineRule="auto"/>
                    <w:rPr>
                      <w:bCs/>
                    </w:rPr>
                  </w:pPr>
                </w:p>
                <w:p w:rsidR="00224123" w:rsidRPr="00B27293" w:rsidRDefault="00224123"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Pr>
                      <w:bCs/>
                    </w:rPr>
                    <w:t>ph</w:t>
                  </w:r>
                  <w:r w:rsidRPr="0071229A">
                    <w:rPr>
                      <w:bCs/>
                    </w:rPr>
                    <w:t>.: 585 731 516, 585 731 509</w:t>
                  </w:r>
                </w:p>
                <w:p w:rsidR="00224123" w:rsidRPr="00B27293" w:rsidRDefault="00224123" w:rsidP="00BD366B">
                  <w:pPr>
                    <w:spacing w:line="240" w:lineRule="auto"/>
                    <w:rPr>
                      <w:bCs/>
                    </w:rPr>
                  </w:pPr>
                  <w:r w:rsidRPr="0071229A">
                    <w:rPr>
                      <w:bCs/>
                    </w:rPr>
                    <w:t>e-mail: infoservisolom@czso.cz</w:t>
                  </w:r>
                  <w:r>
                    <w:t xml:space="preserve"> | </w:t>
                  </w:r>
                  <w:r w:rsidRPr="0071229A">
                    <w:rPr>
                      <w:b/>
                      <w:bCs/>
                    </w:rPr>
                    <w:t>www.olomouc.czso.cz</w:t>
                  </w:r>
                </w:p>
                <w:p w:rsidR="00224123" w:rsidRPr="0071229A" w:rsidRDefault="00224123" w:rsidP="00BD366B">
                  <w:pPr>
                    <w:spacing w:line="240" w:lineRule="auto"/>
                    <w:rPr>
                      <w:bCs/>
                    </w:rPr>
                  </w:pPr>
                </w:p>
                <w:p w:rsidR="00224123" w:rsidRPr="00B27293" w:rsidRDefault="00224123"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Pr>
                      <w:bCs/>
                    </w:rPr>
                    <w:t>ph</w:t>
                  </w:r>
                  <w:r w:rsidRPr="0071229A">
                    <w:rPr>
                      <w:bCs/>
                    </w:rPr>
                    <w:t>.: 595 131 230, 595 131 232</w:t>
                  </w:r>
                </w:p>
                <w:p w:rsidR="00224123" w:rsidRPr="00B27293" w:rsidRDefault="00224123" w:rsidP="00BD366B">
                  <w:pPr>
                    <w:spacing w:line="240" w:lineRule="auto"/>
                    <w:rPr>
                      <w:bCs/>
                    </w:rPr>
                  </w:pPr>
                  <w:r w:rsidRPr="0071229A">
                    <w:rPr>
                      <w:bCs/>
                    </w:rPr>
                    <w:t>e-mail: infoservis_ov@czso.cz</w:t>
                  </w:r>
                  <w:r>
                    <w:t xml:space="preserve"> | </w:t>
                  </w:r>
                  <w:r w:rsidRPr="0071229A">
                    <w:rPr>
                      <w:b/>
                      <w:bCs/>
                    </w:rPr>
                    <w:t>www.ostrava.czso.cz</w:t>
                  </w:r>
                </w:p>
                <w:p w:rsidR="00224123" w:rsidRPr="0071229A" w:rsidRDefault="00224123" w:rsidP="00BD366B">
                  <w:pPr>
                    <w:spacing w:line="240" w:lineRule="auto"/>
                    <w:rPr>
                      <w:bCs/>
                    </w:rPr>
                  </w:pPr>
                </w:p>
                <w:p w:rsidR="00224123" w:rsidRPr="0071229A" w:rsidRDefault="00224123"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Pr>
                      <w:bCs/>
                    </w:rPr>
                    <w:t>ph</w:t>
                  </w:r>
                  <w:r w:rsidRPr="0071229A">
                    <w:rPr>
                      <w:bCs/>
                    </w:rPr>
                    <w:t>.: 577 004 931, 577 004 935</w:t>
                  </w:r>
                </w:p>
                <w:p w:rsidR="00224123" w:rsidRPr="00B27293" w:rsidRDefault="00224123" w:rsidP="00BD366B">
                  <w:pPr>
                    <w:spacing w:line="240" w:lineRule="auto"/>
                    <w:rPr>
                      <w:bCs/>
                    </w:rPr>
                  </w:pPr>
                  <w:r w:rsidRPr="0071229A">
                    <w:rPr>
                      <w:bCs/>
                    </w:rPr>
                    <w:t>e-mail: infoservis-zl@czso.cz</w:t>
                  </w:r>
                  <w:r>
                    <w:t xml:space="preserve"> | </w:t>
                  </w:r>
                  <w:r w:rsidRPr="0071229A">
                    <w:rPr>
                      <w:b/>
                      <w:bCs/>
                    </w:rPr>
                    <w:t>www.zlin.czso.cz</w:t>
                  </w:r>
                </w:p>
                <w:p w:rsidR="00224123" w:rsidRPr="00B27293" w:rsidRDefault="00224123" w:rsidP="00BD366B">
                  <w:pPr>
                    <w:spacing w:line="240" w:lineRule="auto"/>
                  </w:pPr>
                </w:p>
              </w:txbxContent>
            </v:textbox>
            <w10:wrap anchorx="page" anchory="page"/>
            <w10:anchorlock/>
          </v:shape>
        </w:pict>
      </w:r>
      <w:r w:rsidRPr="0008769B">
        <w:rPr>
          <w:noProof/>
          <w:lang w:eastAsia="cs-CZ"/>
        </w:rPr>
        <w:pict>
          <v:shape id="_x0000_s1031" type="#_x0000_t202" style="position:absolute;margin-left:56.4pt;margin-top:56.4pt;width:497.05pt;height:33.1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" filled="f" stroked="f">
            <v:textbox style="mso-fit-shape-to-text:t" inset="0,0,0,0">
              <w:txbxContent>
                <w:p w:rsidR="00224123" w:rsidRPr="004E38D2" w:rsidRDefault="00224123" w:rsidP="0060487F">
                  <w:pPr>
                    <w:rPr>
                      <w:b/>
                      <w:bCs/>
                      <w:sz w:val="24"/>
                      <w:lang w:val="en-GB"/>
                    </w:rPr>
                  </w:pPr>
                  <w:r w:rsidRPr="004E38D2">
                    <w:rPr>
                      <w:b/>
                      <w:color w:val="0071BC"/>
                      <w:sz w:val="24"/>
                      <w:lang w:val="en-GB"/>
                    </w:rPr>
                    <w:t xml:space="preserve">Are you interested in the latest data connected with inflation, GDP, population, average wages and much more? You can find them on the CZSO web page: </w:t>
                  </w:r>
                  <w:r w:rsidRPr="004E38D2">
                    <w:rPr>
                      <w:b/>
                      <w:sz w:val="24"/>
                      <w:lang w:val="en-GB"/>
                    </w:rPr>
                    <w:t>www.czso.cz</w:t>
                  </w:r>
                  <w:r w:rsidRPr="004E38D2">
                    <w:rPr>
                      <w:b/>
                      <w:color w:val="0071BC"/>
                      <w:sz w:val="24"/>
                      <w:lang w:val="en-GB"/>
                    </w:rPr>
                    <w:t>.</w:t>
                  </w:r>
                </w:p>
              </w:txbxContent>
            </v:textbox>
            <w10:wrap anchorx="page" anchory="page"/>
            <w10:anchorlock/>
          </v:shape>
        </w:pict>
      </w:r>
      <w:r w:rsidRPr="0008769B">
        <w:rPr>
          <w:noProof/>
          <w:lang w:eastAsia="cs-CZ"/>
        </w:rPr>
        <w:pict>
          <v:shape id="_x0000_s1032" type="#_x0000_t202" style="position:absolute;margin-left:56.35pt;margin-top:747pt;width:481.9pt;height:28.3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224123" w:rsidRPr="00841D9F" w:rsidRDefault="00224123" w:rsidP="004F06F5"/>
                <w:p w:rsidR="00224123" w:rsidRPr="00AF2852" w:rsidRDefault="00224123" w:rsidP="004F06F5">
                  <w:r w:rsidRPr="00841D9F">
                    <w:t xml:space="preserve">© </w:t>
                  </w:r>
                  <w:r w:rsidRPr="000777FF">
                    <w:rPr>
                      <w:lang w:val="en-GB"/>
                    </w:rPr>
                    <w:t>Czech Statistical</w:t>
                  </w:r>
                  <w:r>
                    <w:t xml:space="preserve"> Office, Prague, 2018</w:t>
                  </w:r>
                </w:p>
              </w:txbxContent>
            </v:textbox>
            <w10:wrap anchorx="page" anchory="page"/>
            <w10:anchorlock/>
          </v:shape>
        </w:pict>
      </w:r>
    </w:p>
    <w:p w:rsidR="00576A3E" w:rsidRPr="00A74192" w:rsidRDefault="00576A3E" w:rsidP="00D94859">
      <w:pPr>
        <w:pStyle w:val="Zkladnodstavec"/>
        <w:spacing w:after="240"/>
        <w:rPr>
          <w:rFonts w:ascii="Arial" w:hAnsi="Arial" w:cs="Arial"/>
          <w:b/>
          <w:color w:val="A5007B"/>
          <w:sz w:val="32"/>
          <w:szCs w:val="32"/>
        </w:rPr>
      </w:pPr>
    </w:p>
    <w:p w:rsidR="00576A3E" w:rsidRPr="00A74192" w:rsidRDefault="00576A3E" w:rsidP="00D94859">
      <w:pPr>
        <w:rPr>
          <w:rFonts w:cs="Arial"/>
          <w:b/>
          <w:color w:val="A5007B"/>
          <w:sz w:val="32"/>
          <w:szCs w:val="32"/>
        </w:rPr>
        <w:sectPr w:rsidR="00576A3E" w:rsidRPr="00A74192" w:rsidSect="00E83DAB">
          <w:pgSz w:w="11906" w:h="16838" w:code="9"/>
          <w:pgMar w:top="1134" w:right="1134" w:bottom="1418" w:left="1134" w:header="709" w:footer="709" w:gutter="0"/>
          <w:cols w:space="708"/>
          <w:titlePg/>
          <w:docGrid w:linePitch="360"/>
        </w:sectPr>
      </w:pPr>
    </w:p>
    <w:p w:rsidR="00576A3E" w:rsidRDefault="006C20A0" w:rsidP="00D94859">
      <w:pPr>
        <w:pStyle w:val="Nadpis1"/>
      </w:pPr>
      <w:bookmarkStart w:id="0" w:name="_Toc412459447"/>
      <w:bookmarkStart w:id="1" w:name="_Toc469299928"/>
      <w:bookmarkStart w:id="2" w:name="_Toc493683632"/>
      <w:r>
        <w:lastRenderedPageBreak/>
        <w:t>Contents</w:t>
      </w:r>
      <w:bookmarkEnd w:id="0"/>
      <w:bookmarkEnd w:id="1"/>
      <w:bookmarkEnd w:id="2"/>
    </w:p>
    <w:p w:rsidR="00DD0726" w:rsidRDefault="0008769B">
      <w:pPr>
        <w:pStyle w:val="Obsah1"/>
        <w:rPr>
          <w:rFonts w:asciiTheme="minorHAnsi" w:eastAsiaTheme="minorEastAsia" w:hAnsiTheme="minorHAnsi" w:cstheme="minorBidi"/>
          <w:b w:val="0"/>
          <w:sz w:val="22"/>
          <w:szCs w:val="22"/>
          <w:lang w:eastAsia="cs-CZ"/>
        </w:rPr>
      </w:pPr>
      <w:r w:rsidRPr="0008769B">
        <w:fldChar w:fldCharType="begin"/>
      </w:r>
      <w:r w:rsidR="00576A3E" w:rsidRPr="00A74192">
        <w:instrText xml:space="preserve"> TOC \o "1-3" \h \z \u </w:instrText>
      </w:r>
      <w:r w:rsidRPr="0008769B">
        <w:fldChar w:fldCharType="separate"/>
      </w:r>
      <w:hyperlink w:anchor="_Toc493683633" w:history="1">
        <w:r w:rsidR="00DD0726" w:rsidRPr="00261951">
          <w:rPr>
            <w:rStyle w:val="Hypertextovodkaz"/>
          </w:rPr>
          <w:t>1.</w:t>
        </w:r>
        <w:r w:rsidR="00DD0726">
          <w:rPr>
            <w:rFonts w:asciiTheme="minorHAnsi" w:eastAsiaTheme="minorEastAsia" w:hAnsiTheme="minorHAnsi" w:cstheme="minorBidi"/>
            <w:b w:val="0"/>
            <w:sz w:val="22"/>
            <w:szCs w:val="22"/>
            <w:lang w:eastAsia="cs-CZ"/>
          </w:rPr>
          <w:tab/>
        </w:r>
        <w:r w:rsidR="00DD0726" w:rsidRPr="00261951">
          <w:rPr>
            <w:rStyle w:val="Hypertextovodkaz"/>
          </w:rPr>
          <w:t>S</w:t>
        </w:r>
        <w:r w:rsidR="000777FF">
          <w:rPr>
            <w:rStyle w:val="Hypertextovodkaz"/>
          </w:rPr>
          <w:t>ummary</w:t>
        </w:r>
        <w:r w:rsidR="00DD0726">
          <w:rPr>
            <w:webHidden/>
          </w:rPr>
          <w:tab/>
        </w:r>
        <w:r>
          <w:rPr>
            <w:webHidden/>
          </w:rPr>
          <w:fldChar w:fldCharType="begin"/>
        </w:r>
        <w:r w:rsidR="00DD0726">
          <w:rPr>
            <w:webHidden/>
          </w:rPr>
          <w:instrText xml:space="preserve"> PAGEREF _Toc493683633 \h </w:instrText>
        </w:r>
        <w:r>
          <w:rPr>
            <w:webHidden/>
          </w:rPr>
        </w:r>
        <w:r>
          <w:rPr>
            <w:webHidden/>
          </w:rPr>
          <w:fldChar w:fldCharType="separate"/>
        </w:r>
        <w:r w:rsidR="00B83CFE">
          <w:rPr>
            <w:webHidden/>
          </w:rPr>
          <w:t>4</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4" w:history="1">
        <w:r w:rsidR="00DD0726" w:rsidRPr="00261951">
          <w:rPr>
            <w:rStyle w:val="Hypertextovodkaz"/>
          </w:rPr>
          <w:t>2.</w:t>
        </w:r>
        <w:r w:rsidR="00DD0726">
          <w:rPr>
            <w:rFonts w:asciiTheme="minorHAnsi" w:eastAsiaTheme="minorEastAsia" w:hAnsiTheme="minorHAnsi" w:cstheme="minorBidi"/>
            <w:b w:val="0"/>
            <w:sz w:val="22"/>
            <w:szCs w:val="22"/>
            <w:lang w:eastAsia="cs-CZ"/>
          </w:rPr>
          <w:tab/>
        </w:r>
        <w:r w:rsidR="000777FF">
          <w:rPr>
            <w:rStyle w:val="Hypertextovodkaz"/>
          </w:rPr>
          <w:t>Overall Economic Performance</w:t>
        </w:r>
        <w:r w:rsidR="00DD0726">
          <w:rPr>
            <w:webHidden/>
          </w:rPr>
          <w:tab/>
        </w:r>
        <w:r>
          <w:rPr>
            <w:webHidden/>
          </w:rPr>
          <w:fldChar w:fldCharType="begin"/>
        </w:r>
        <w:r w:rsidR="00DD0726">
          <w:rPr>
            <w:webHidden/>
          </w:rPr>
          <w:instrText xml:space="preserve"> PAGEREF _Toc493683634 \h </w:instrText>
        </w:r>
        <w:r>
          <w:rPr>
            <w:webHidden/>
          </w:rPr>
        </w:r>
        <w:r>
          <w:rPr>
            <w:webHidden/>
          </w:rPr>
          <w:fldChar w:fldCharType="separate"/>
        </w:r>
        <w:r w:rsidR="00B83CFE">
          <w:rPr>
            <w:webHidden/>
          </w:rPr>
          <w:t>5</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5" w:history="1">
        <w:r w:rsidR="00DD0726" w:rsidRPr="00261951">
          <w:rPr>
            <w:rStyle w:val="Hypertextovodkaz"/>
          </w:rPr>
          <w:t>3.</w:t>
        </w:r>
        <w:r w:rsidR="00DD0726">
          <w:rPr>
            <w:rFonts w:asciiTheme="minorHAnsi" w:eastAsiaTheme="minorEastAsia" w:hAnsiTheme="minorHAnsi" w:cstheme="minorBidi"/>
            <w:b w:val="0"/>
            <w:sz w:val="22"/>
            <w:szCs w:val="22"/>
            <w:lang w:eastAsia="cs-CZ"/>
          </w:rPr>
          <w:tab/>
        </w:r>
        <w:r w:rsidR="000777FF">
          <w:rPr>
            <w:rStyle w:val="Hypertextovodkaz"/>
          </w:rPr>
          <w:t>Branches Performance</w:t>
        </w:r>
        <w:r w:rsidR="00DD0726">
          <w:rPr>
            <w:webHidden/>
          </w:rPr>
          <w:tab/>
        </w:r>
        <w:r>
          <w:rPr>
            <w:webHidden/>
          </w:rPr>
          <w:fldChar w:fldCharType="begin"/>
        </w:r>
        <w:r w:rsidR="00DD0726">
          <w:rPr>
            <w:webHidden/>
          </w:rPr>
          <w:instrText xml:space="preserve"> PAGEREF _Toc493683635 \h </w:instrText>
        </w:r>
        <w:r>
          <w:rPr>
            <w:webHidden/>
          </w:rPr>
        </w:r>
        <w:r>
          <w:rPr>
            <w:webHidden/>
          </w:rPr>
          <w:fldChar w:fldCharType="separate"/>
        </w:r>
        <w:r w:rsidR="00B83CFE">
          <w:rPr>
            <w:webHidden/>
          </w:rPr>
          <w:t>9</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6" w:history="1">
        <w:r w:rsidR="00DD0726" w:rsidRPr="00261951">
          <w:rPr>
            <w:rStyle w:val="Hypertextovodkaz"/>
          </w:rPr>
          <w:t>4.</w:t>
        </w:r>
        <w:r w:rsidR="00DD0726">
          <w:rPr>
            <w:rFonts w:asciiTheme="minorHAnsi" w:eastAsiaTheme="minorEastAsia" w:hAnsiTheme="minorHAnsi" w:cstheme="minorBidi"/>
            <w:b w:val="0"/>
            <w:sz w:val="22"/>
            <w:szCs w:val="22"/>
            <w:lang w:eastAsia="cs-CZ"/>
          </w:rPr>
          <w:tab/>
        </w:r>
        <w:r w:rsidR="000777FF">
          <w:rPr>
            <w:rStyle w:val="Hypertextovodkaz"/>
          </w:rPr>
          <w:t>External Economic Relations</w:t>
        </w:r>
        <w:r w:rsidR="00DD0726">
          <w:rPr>
            <w:webHidden/>
          </w:rPr>
          <w:tab/>
        </w:r>
        <w:r>
          <w:rPr>
            <w:webHidden/>
          </w:rPr>
          <w:fldChar w:fldCharType="begin"/>
        </w:r>
        <w:r w:rsidR="00DD0726">
          <w:rPr>
            <w:webHidden/>
          </w:rPr>
          <w:instrText xml:space="preserve"> PAGEREF _Toc493683636 \h </w:instrText>
        </w:r>
        <w:r>
          <w:rPr>
            <w:webHidden/>
          </w:rPr>
        </w:r>
        <w:r>
          <w:rPr>
            <w:webHidden/>
          </w:rPr>
          <w:fldChar w:fldCharType="separate"/>
        </w:r>
        <w:r w:rsidR="00B83CFE">
          <w:rPr>
            <w:webHidden/>
          </w:rPr>
          <w:t>14</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7" w:history="1">
        <w:r w:rsidR="00DD0726" w:rsidRPr="00261951">
          <w:rPr>
            <w:rStyle w:val="Hypertextovodkaz"/>
          </w:rPr>
          <w:t>5.</w:t>
        </w:r>
        <w:r w:rsidR="00DD0726">
          <w:rPr>
            <w:rFonts w:asciiTheme="minorHAnsi" w:eastAsiaTheme="minorEastAsia" w:hAnsiTheme="minorHAnsi" w:cstheme="minorBidi"/>
            <w:b w:val="0"/>
            <w:sz w:val="22"/>
            <w:szCs w:val="22"/>
            <w:lang w:eastAsia="cs-CZ"/>
          </w:rPr>
          <w:tab/>
        </w:r>
        <w:r w:rsidR="000777FF">
          <w:rPr>
            <w:rStyle w:val="Hypertextovodkaz"/>
          </w:rPr>
          <w:t>Prices</w:t>
        </w:r>
        <w:r w:rsidR="00DD0726">
          <w:rPr>
            <w:webHidden/>
          </w:rPr>
          <w:tab/>
        </w:r>
        <w:r>
          <w:rPr>
            <w:webHidden/>
          </w:rPr>
          <w:fldChar w:fldCharType="begin"/>
        </w:r>
        <w:r w:rsidR="00DD0726">
          <w:rPr>
            <w:webHidden/>
          </w:rPr>
          <w:instrText xml:space="preserve"> PAGEREF _Toc493683637 \h </w:instrText>
        </w:r>
        <w:r>
          <w:rPr>
            <w:webHidden/>
          </w:rPr>
        </w:r>
        <w:r>
          <w:rPr>
            <w:webHidden/>
          </w:rPr>
          <w:fldChar w:fldCharType="separate"/>
        </w:r>
        <w:r w:rsidR="00B83CFE">
          <w:rPr>
            <w:webHidden/>
          </w:rPr>
          <w:t>17</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8" w:history="1">
        <w:r w:rsidR="00DD0726" w:rsidRPr="00261951">
          <w:rPr>
            <w:rStyle w:val="Hypertextovodkaz"/>
          </w:rPr>
          <w:t>6.</w:t>
        </w:r>
        <w:r w:rsidR="00DD0726">
          <w:rPr>
            <w:rFonts w:asciiTheme="minorHAnsi" w:eastAsiaTheme="minorEastAsia" w:hAnsiTheme="minorHAnsi" w:cstheme="minorBidi"/>
            <w:b w:val="0"/>
            <w:sz w:val="22"/>
            <w:szCs w:val="22"/>
            <w:lang w:eastAsia="cs-CZ"/>
          </w:rPr>
          <w:tab/>
        </w:r>
        <w:r w:rsidR="000777FF">
          <w:rPr>
            <w:rStyle w:val="Hypertextovodkaz"/>
          </w:rPr>
          <w:t>Labour Market</w:t>
        </w:r>
        <w:r w:rsidR="00DD0726">
          <w:rPr>
            <w:webHidden/>
          </w:rPr>
          <w:tab/>
        </w:r>
        <w:r>
          <w:rPr>
            <w:webHidden/>
          </w:rPr>
          <w:fldChar w:fldCharType="begin"/>
        </w:r>
        <w:r w:rsidR="00DD0726">
          <w:rPr>
            <w:webHidden/>
          </w:rPr>
          <w:instrText xml:space="preserve"> PAGEREF _Toc493683638 \h </w:instrText>
        </w:r>
        <w:r>
          <w:rPr>
            <w:webHidden/>
          </w:rPr>
        </w:r>
        <w:r>
          <w:rPr>
            <w:webHidden/>
          </w:rPr>
          <w:fldChar w:fldCharType="separate"/>
        </w:r>
        <w:r w:rsidR="00B83CFE">
          <w:rPr>
            <w:webHidden/>
          </w:rPr>
          <w:t>21</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39" w:history="1">
        <w:r w:rsidR="00DD0726" w:rsidRPr="00261951">
          <w:rPr>
            <w:rStyle w:val="Hypertextovodkaz"/>
          </w:rPr>
          <w:t>7.</w:t>
        </w:r>
        <w:r w:rsidR="00DD0726">
          <w:rPr>
            <w:rFonts w:asciiTheme="minorHAnsi" w:eastAsiaTheme="minorEastAsia" w:hAnsiTheme="minorHAnsi" w:cstheme="minorBidi"/>
            <w:b w:val="0"/>
            <w:sz w:val="22"/>
            <w:szCs w:val="22"/>
            <w:lang w:eastAsia="cs-CZ"/>
          </w:rPr>
          <w:tab/>
        </w:r>
        <w:r w:rsidR="00DD0726" w:rsidRPr="00261951">
          <w:rPr>
            <w:rStyle w:val="Hypertextovodkaz"/>
          </w:rPr>
          <w:t>M</w:t>
        </w:r>
        <w:r w:rsidR="000777FF">
          <w:rPr>
            <w:rStyle w:val="Hypertextovodkaz"/>
          </w:rPr>
          <w:t>onetary Conditions</w:t>
        </w:r>
        <w:r w:rsidR="00DD0726">
          <w:rPr>
            <w:webHidden/>
          </w:rPr>
          <w:tab/>
        </w:r>
        <w:r>
          <w:rPr>
            <w:webHidden/>
          </w:rPr>
          <w:fldChar w:fldCharType="begin"/>
        </w:r>
        <w:r w:rsidR="00DD0726">
          <w:rPr>
            <w:webHidden/>
          </w:rPr>
          <w:instrText xml:space="preserve"> PAGEREF _Toc493683639 \h </w:instrText>
        </w:r>
        <w:r>
          <w:rPr>
            <w:webHidden/>
          </w:rPr>
        </w:r>
        <w:r>
          <w:rPr>
            <w:webHidden/>
          </w:rPr>
          <w:fldChar w:fldCharType="separate"/>
        </w:r>
        <w:r w:rsidR="00B83CFE">
          <w:rPr>
            <w:webHidden/>
          </w:rPr>
          <w:t>24</w:t>
        </w:r>
        <w:r>
          <w:rPr>
            <w:webHidden/>
          </w:rPr>
          <w:fldChar w:fldCharType="end"/>
        </w:r>
      </w:hyperlink>
    </w:p>
    <w:p w:rsidR="00DD0726" w:rsidRDefault="0008769B">
      <w:pPr>
        <w:pStyle w:val="Obsah1"/>
        <w:rPr>
          <w:rFonts w:asciiTheme="minorHAnsi" w:eastAsiaTheme="minorEastAsia" w:hAnsiTheme="minorHAnsi" w:cstheme="minorBidi"/>
          <w:b w:val="0"/>
          <w:sz w:val="22"/>
          <w:szCs w:val="22"/>
          <w:lang w:eastAsia="cs-CZ"/>
        </w:rPr>
      </w:pPr>
      <w:hyperlink w:anchor="_Toc493683640" w:history="1">
        <w:r w:rsidR="00DD0726" w:rsidRPr="00261951">
          <w:rPr>
            <w:rStyle w:val="Hypertextovodkaz"/>
          </w:rPr>
          <w:t>8.</w:t>
        </w:r>
        <w:r w:rsidR="00DD0726">
          <w:rPr>
            <w:rFonts w:asciiTheme="minorHAnsi" w:eastAsiaTheme="minorEastAsia" w:hAnsiTheme="minorHAnsi" w:cstheme="minorBidi"/>
            <w:b w:val="0"/>
            <w:sz w:val="22"/>
            <w:szCs w:val="22"/>
            <w:lang w:eastAsia="cs-CZ"/>
          </w:rPr>
          <w:tab/>
        </w:r>
        <w:r w:rsidR="00DD0726" w:rsidRPr="00261951">
          <w:rPr>
            <w:rStyle w:val="Hypertextovodkaz"/>
          </w:rPr>
          <w:t>St</w:t>
        </w:r>
        <w:r w:rsidR="000777FF">
          <w:rPr>
            <w:rStyle w:val="Hypertextovodkaz"/>
          </w:rPr>
          <w:t>ate Budget</w:t>
        </w:r>
        <w:r w:rsidR="00DD0726">
          <w:rPr>
            <w:webHidden/>
          </w:rPr>
          <w:tab/>
        </w:r>
        <w:r>
          <w:rPr>
            <w:webHidden/>
          </w:rPr>
          <w:fldChar w:fldCharType="begin"/>
        </w:r>
        <w:r w:rsidR="00DD0726">
          <w:rPr>
            <w:webHidden/>
          </w:rPr>
          <w:instrText xml:space="preserve"> PAGEREF _Toc493683640 \h </w:instrText>
        </w:r>
        <w:r>
          <w:rPr>
            <w:webHidden/>
          </w:rPr>
        </w:r>
        <w:r>
          <w:rPr>
            <w:webHidden/>
          </w:rPr>
          <w:fldChar w:fldCharType="separate"/>
        </w:r>
        <w:r w:rsidR="00B83CFE">
          <w:rPr>
            <w:webHidden/>
          </w:rPr>
          <w:t>26</w:t>
        </w:r>
        <w:r>
          <w:rPr>
            <w:webHidden/>
          </w:rPr>
          <w:fldChar w:fldCharType="end"/>
        </w:r>
      </w:hyperlink>
    </w:p>
    <w:p w:rsidR="00576A3E" w:rsidRPr="00A74192" w:rsidRDefault="0008769B" w:rsidP="00D94859">
      <w:pPr>
        <w:pStyle w:val="Nadpis1"/>
        <w:spacing w:before="200"/>
        <w:rPr>
          <w:rFonts w:cs="Arial"/>
          <w:sz w:val="20"/>
          <w:szCs w:val="20"/>
        </w:rPr>
      </w:pPr>
      <w:r w:rsidRPr="00A74192">
        <w:fldChar w:fldCharType="end"/>
      </w:r>
    </w:p>
    <w:p w:rsidR="00576A3E" w:rsidRPr="000777FF" w:rsidRDefault="000777FF" w:rsidP="00D94859">
      <w:pPr>
        <w:rPr>
          <w:rFonts w:cs="Arial"/>
          <w:b/>
          <w:lang w:val="en-GB"/>
        </w:rPr>
      </w:pPr>
      <w:r w:rsidRPr="000777FF">
        <w:rPr>
          <w:rFonts w:cs="Arial"/>
          <w:b/>
          <w:lang w:val="en-GB"/>
        </w:rPr>
        <w:t>Chapters prepared by</w:t>
      </w:r>
      <w:r w:rsidR="00576A3E" w:rsidRPr="000777FF">
        <w:rPr>
          <w:rFonts w:cs="Arial"/>
          <w:b/>
          <w:lang w:val="en-GB"/>
        </w:rPr>
        <w:t>:</w:t>
      </w:r>
    </w:p>
    <w:p w:rsidR="00576A3E" w:rsidRPr="000777FF" w:rsidRDefault="00576A3E" w:rsidP="00D94859">
      <w:pPr>
        <w:rPr>
          <w:rFonts w:cs="Arial"/>
          <w:lang w:val="en-GB"/>
        </w:rPr>
      </w:pPr>
    </w:p>
    <w:p w:rsidR="00466AAE" w:rsidRPr="000777FF" w:rsidRDefault="00466AAE" w:rsidP="00D94859">
      <w:pPr>
        <w:spacing w:after="120" w:line="276" w:lineRule="auto"/>
        <w:rPr>
          <w:rFonts w:cs="Arial"/>
          <w:lang w:val="en-GB"/>
        </w:rPr>
      </w:pPr>
      <w:r w:rsidRPr="000777FF">
        <w:rPr>
          <w:rFonts w:cs="Arial"/>
          <w:lang w:val="en-GB"/>
        </w:rPr>
        <w:t>Jiří Kamenický</w:t>
      </w:r>
      <w:r w:rsidRPr="000777FF">
        <w:rPr>
          <w:rFonts w:cs="Arial"/>
          <w:lang w:val="en-GB"/>
        </w:rPr>
        <w:tab/>
      </w:r>
      <w:r w:rsidRPr="000777FF">
        <w:rPr>
          <w:rFonts w:cs="Arial"/>
          <w:lang w:val="en-GB"/>
        </w:rPr>
        <w:tab/>
      </w:r>
      <w:r w:rsidR="000777FF" w:rsidRPr="000777FF">
        <w:rPr>
          <w:rFonts w:cs="Arial"/>
          <w:lang w:val="en-GB"/>
        </w:rPr>
        <w:t xml:space="preserve">Summary </w:t>
      </w:r>
      <w:r w:rsidRPr="000777FF">
        <w:rPr>
          <w:rFonts w:cs="Arial"/>
          <w:lang w:val="en-GB"/>
        </w:rPr>
        <w:t>(</w:t>
      </w:r>
      <w:r w:rsidR="000777FF" w:rsidRPr="000777FF">
        <w:rPr>
          <w:rFonts w:cs="Arial"/>
          <w:lang w:val="en-GB"/>
        </w:rPr>
        <w:t>Chap</w:t>
      </w:r>
      <w:r w:rsidRPr="000777FF">
        <w:rPr>
          <w:rFonts w:cs="Arial"/>
          <w:lang w:val="en-GB"/>
        </w:rPr>
        <w:t xml:space="preserve">. 1), </w:t>
      </w:r>
      <w:r w:rsidR="000777FF" w:rsidRPr="000777FF">
        <w:rPr>
          <w:rFonts w:cs="Arial"/>
          <w:lang w:val="en-GB"/>
        </w:rPr>
        <w:t>Chap</w:t>
      </w:r>
      <w:r w:rsidRPr="000777FF">
        <w:rPr>
          <w:rFonts w:cs="Arial"/>
          <w:color w:val="000000"/>
          <w:lang w:val="en-GB"/>
        </w:rPr>
        <w:t>. 3,</w:t>
      </w:r>
      <w:r w:rsidRPr="000777FF">
        <w:rPr>
          <w:rFonts w:cs="Arial"/>
          <w:lang w:val="en-GB"/>
        </w:rPr>
        <w:t xml:space="preserve"> </w:t>
      </w:r>
      <w:r w:rsidR="000777FF" w:rsidRPr="000777FF">
        <w:rPr>
          <w:rFonts w:cs="Arial"/>
          <w:lang w:val="en-GB"/>
        </w:rPr>
        <w:t>Chap</w:t>
      </w:r>
      <w:r w:rsidRPr="000777FF">
        <w:rPr>
          <w:rFonts w:cs="Arial"/>
          <w:lang w:val="en-GB"/>
        </w:rPr>
        <w:t xml:space="preserve">. 6, </w:t>
      </w:r>
      <w:r w:rsidR="000777FF" w:rsidRPr="000777FF">
        <w:rPr>
          <w:rFonts w:cs="Arial"/>
          <w:lang w:val="en-GB"/>
        </w:rPr>
        <w:t>Chap</w:t>
      </w:r>
      <w:r w:rsidRPr="000777FF">
        <w:rPr>
          <w:rFonts w:cs="Arial"/>
          <w:lang w:val="en-GB"/>
        </w:rPr>
        <w:t>. 8</w:t>
      </w:r>
    </w:p>
    <w:p w:rsidR="00466AAE" w:rsidRPr="000777FF" w:rsidRDefault="004A7670" w:rsidP="00D94859">
      <w:pPr>
        <w:spacing w:after="120" w:line="276" w:lineRule="auto"/>
        <w:rPr>
          <w:rFonts w:cs="Arial"/>
          <w:lang w:val="en-GB"/>
        </w:rPr>
      </w:pPr>
      <w:r w:rsidRPr="000777FF">
        <w:rPr>
          <w:rFonts w:cs="Arial"/>
          <w:lang w:val="en-GB"/>
        </w:rPr>
        <w:t>Karolína Súkupová</w:t>
      </w:r>
      <w:r w:rsidRPr="000777FF">
        <w:rPr>
          <w:rFonts w:cs="Arial"/>
          <w:lang w:val="en-GB"/>
        </w:rPr>
        <w:tab/>
      </w:r>
      <w:r w:rsidR="00466AAE" w:rsidRPr="000777FF">
        <w:rPr>
          <w:rFonts w:cs="Arial"/>
          <w:lang w:val="en-GB"/>
        </w:rPr>
        <w:t>S</w:t>
      </w:r>
      <w:r w:rsidR="000777FF" w:rsidRPr="000777FF">
        <w:rPr>
          <w:rFonts w:cs="Arial"/>
          <w:lang w:val="en-GB"/>
        </w:rPr>
        <w:t>ummary</w:t>
      </w:r>
      <w:r w:rsidR="00466AAE" w:rsidRPr="000777FF">
        <w:rPr>
          <w:rFonts w:cs="Arial"/>
          <w:lang w:val="en-GB"/>
        </w:rPr>
        <w:t xml:space="preserve"> (</w:t>
      </w:r>
      <w:r w:rsidR="000777FF" w:rsidRPr="000777FF">
        <w:rPr>
          <w:rFonts w:cs="Arial"/>
          <w:lang w:val="en-GB"/>
        </w:rPr>
        <w:t>Chap</w:t>
      </w:r>
      <w:r w:rsidR="00466AAE" w:rsidRPr="000777FF">
        <w:rPr>
          <w:rFonts w:cs="Arial"/>
          <w:lang w:val="en-GB"/>
        </w:rPr>
        <w:t xml:space="preserve">. 1), </w:t>
      </w:r>
      <w:r w:rsidR="000777FF" w:rsidRPr="000777FF">
        <w:rPr>
          <w:rFonts w:cs="Arial"/>
          <w:lang w:val="en-GB"/>
        </w:rPr>
        <w:t>Chap</w:t>
      </w:r>
      <w:r w:rsidR="00466AAE" w:rsidRPr="000777FF">
        <w:rPr>
          <w:rFonts w:cs="Arial"/>
          <w:lang w:val="en-GB"/>
        </w:rPr>
        <w:t>. 2</w:t>
      </w:r>
      <w:r w:rsidRPr="000777FF">
        <w:rPr>
          <w:rFonts w:cs="Arial"/>
          <w:lang w:val="en-GB"/>
        </w:rPr>
        <w:t xml:space="preserve">, </w:t>
      </w:r>
      <w:r w:rsidR="000777FF" w:rsidRPr="000777FF">
        <w:rPr>
          <w:rFonts w:cs="Arial"/>
          <w:lang w:val="en-GB"/>
        </w:rPr>
        <w:t>Chap</w:t>
      </w:r>
      <w:r w:rsidRPr="000777FF">
        <w:rPr>
          <w:rFonts w:cs="Arial"/>
          <w:lang w:val="en-GB"/>
        </w:rPr>
        <w:t xml:space="preserve">. 4, </w:t>
      </w:r>
      <w:r w:rsidR="000777FF" w:rsidRPr="000777FF">
        <w:rPr>
          <w:rFonts w:cs="Arial"/>
          <w:lang w:val="en-GB"/>
        </w:rPr>
        <w:t>Chap</w:t>
      </w:r>
      <w:r w:rsidRPr="000777FF">
        <w:rPr>
          <w:rFonts w:cs="Arial"/>
          <w:lang w:val="en-GB"/>
        </w:rPr>
        <w:t xml:space="preserve">. 5, </w:t>
      </w:r>
      <w:r w:rsidR="000777FF" w:rsidRPr="000777FF">
        <w:rPr>
          <w:rFonts w:cs="Arial"/>
          <w:lang w:val="en-GB"/>
        </w:rPr>
        <w:t>Chap</w:t>
      </w:r>
      <w:r w:rsidRPr="000777FF">
        <w:rPr>
          <w:rFonts w:cs="Arial"/>
          <w:lang w:val="en-GB"/>
        </w:rPr>
        <w:t>. 7</w:t>
      </w:r>
    </w:p>
    <w:p w:rsidR="00466AAE" w:rsidRDefault="00466AA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Pr="00F73150" w:rsidRDefault="000777FF" w:rsidP="008A03DE">
      <w:pPr>
        <w:pStyle w:val="Textpoznpodarou"/>
        <w:jc w:val="both"/>
        <w:rPr>
          <w:rFonts w:cs="Arial"/>
          <w:color w:val="000000"/>
          <w:lang w:val="en-GB"/>
        </w:rPr>
      </w:pPr>
      <w:r w:rsidRPr="00F73150">
        <w:rPr>
          <w:rFonts w:cs="Arial"/>
          <w:color w:val="000000"/>
          <w:lang w:val="en-GB"/>
        </w:rPr>
        <w:t xml:space="preserve">Sources of data </w:t>
      </w:r>
      <w:r w:rsidR="00F73150" w:rsidRPr="00F73150">
        <w:rPr>
          <w:rFonts w:cs="Arial"/>
          <w:color w:val="000000"/>
          <w:lang w:val="en-GB"/>
        </w:rPr>
        <w:t>in the whole analysis: Czech Statistical Office (CZSO), Czech National Bank (CNB), Ministry of Finance (MF CR), Ministry of Labour and Social Affairs (MLSA), Czech Social Security Administration (CSSA), Eurostat, CZSO calculations.</w:t>
      </w:r>
    </w:p>
    <w:p w:rsidR="004A7670" w:rsidRPr="00F73150" w:rsidRDefault="00F73150" w:rsidP="008A03DE">
      <w:pPr>
        <w:pStyle w:val="Textpoznpodarou"/>
        <w:jc w:val="both"/>
        <w:rPr>
          <w:rFonts w:cs="Arial"/>
          <w:color w:val="000000"/>
          <w:lang w:val="en-GB"/>
        </w:rPr>
      </w:pPr>
      <w:r w:rsidRPr="00F73150">
        <w:rPr>
          <w:rFonts w:cs="Arial"/>
          <w:color w:val="000000"/>
          <w:lang w:val="en-GB"/>
        </w:rPr>
        <w:t xml:space="preserve">Latest information provided in this report has been dated the 16th March </w:t>
      </w:r>
      <w:r w:rsidR="008A03DE" w:rsidRPr="00F73150">
        <w:rPr>
          <w:rFonts w:cs="Arial"/>
          <w:color w:val="000000"/>
          <w:lang w:val="en-GB"/>
        </w:rPr>
        <w:t>201</w:t>
      </w:r>
      <w:r w:rsidR="00A63517" w:rsidRPr="00F73150">
        <w:rPr>
          <w:rFonts w:cs="Arial"/>
          <w:color w:val="000000"/>
          <w:lang w:val="en-GB"/>
        </w:rPr>
        <w:t>8</w:t>
      </w:r>
      <w:r w:rsidR="008A03DE" w:rsidRPr="00F73150">
        <w:rPr>
          <w:rFonts w:cs="Arial"/>
          <w:color w:val="000000"/>
          <w:lang w:val="en-GB"/>
        </w:rPr>
        <w:t>.</w:t>
      </w:r>
    </w:p>
    <w:p w:rsidR="00576A3E" w:rsidRPr="00A74192" w:rsidRDefault="00576A3E" w:rsidP="00D94859">
      <w:pPr>
        <w:sectPr w:rsidR="00576A3E" w:rsidRPr="00A74192" w:rsidSect="00E83DAB">
          <w:headerReference w:type="even" r:id="rId13"/>
          <w:headerReference w:type="default" r:id="rId14"/>
          <w:footerReference w:type="default" r:id="rId15"/>
          <w:pgSz w:w="11906" w:h="16838" w:code="9"/>
          <w:pgMar w:top="1134" w:right="1134" w:bottom="1418" w:left="1134" w:header="680" w:footer="680" w:gutter="0"/>
          <w:cols w:space="708"/>
          <w:docGrid w:linePitch="360"/>
        </w:sectPr>
      </w:pPr>
    </w:p>
    <w:p w:rsidR="00576A3E" w:rsidRPr="00A74192" w:rsidRDefault="00576A3E" w:rsidP="00D94859"/>
    <w:p w:rsidR="000C60D8" w:rsidRDefault="00960769" w:rsidP="000C60D8">
      <w:pPr>
        <w:pStyle w:val="Nadpis1"/>
        <w:numPr>
          <w:ilvl w:val="0"/>
          <w:numId w:val="12"/>
        </w:numPr>
        <w:ind w:left="709"/>
      </w:pPr>
      <w:bookmarkStart w:id="3" w:name="_Toc469299929"/>
      <w:bookmarkStart w:id="4" w:name="_Toc493683633"/>
      <w:r w:rsidRPr="00A74192">
        <w:lastRenderedPageBreak/>
        <w:t>S</w:t>
      </w:r>
      <w:r w:rsidR="00F73150">
        <w:t>ummary</w:t>
      </w:r>
      <w:bookmarkEnd w:id="3"/>
      <w:bookmarkEnd w:id="4"/>
    </w:p>
    <w:p w:rsidR="0074240C" w:rsidRPr="001921B5" w:rsidRDefault="002A5DF2" w:rsidP="00DD0726">
      <w:pPr>
        <w:pStyle w:val="Odstavecseseznamem"/>
        <w:numPr>
          <w:ilvl w:val="0"/>
          <w:numId w:val="18"/>
        </w:numPr>
        <w:spacing w:line="240" w:lineRule="auto"/>
        <w:ind w:left="426"/>
        <w:contextualSpacing/>
        <w:jc w:val="both"/>
        <w:rPr>
          <w:rFonts w:cs="Arial"/>
          <w:spacing w:val="-4"/>
          <w:szCs w:val="20"/>
          <w:lang w:val="en-GB"/>
        </w:rPr>
      </w:pPr>
      <w:r w:rsidRPr="001921B5">
        <w:rPr>
          <w:rFonts w:cs="Arial"/>
          <w:spacing w:val="-4"/>
          <w:szCs w:val="20"/>
          <w:lang w:val="en-GB"/>
        </w:rPr>
        <w:t xml:space="preserve">The gross domestic product </w:t>
      </w:r>
      <w:r w:rsidR="00A72CA4" w:rsidRPr="001921B5">
        <w:rPr>
          <w:rFonts w:cs="Arial"/>
          <w:spacing w:val="-4"/>
          <w:szCs w:val="20"/>
          <w:lang w:val="en-GB"/>
        </w:rPr>
        <w:t>(</w:t>
      </w:r>
      <w:r w:rsidRPr="001921B5">
        <w:rPr>
          <w:rFonts w:cs="Arial"/>
          <w:spacing w:val="-4"/>
          <w:szCs w:val="20"/>
          <w:lang w:val="en-GB"/>
        </w:rPr>
        <w:t>GDP</w:t>
      </w:r>
      <w:r w:rsidR="00A72CA4" w:rsidRPr="001921B5">
        <w:rPr>
          <w:rFonts w:cs="Arial"/>
          <w:spacing w:val="-4"/>
          <w:szCs w:val="20"/>
          <w:lang w:val="en-GB"/>
        </w:rPr>
        <w:t xml:space="preserve">) </w:t>
      </w:r>
      <w:r w:rsidRPr="001921B5">
        <w:rPr>
          <w:rFonts w:cs="Arial"/>
          <w:spacing w:val="-4"/>
          <w:szCs w:val="20"/>
          <w:lang w:val="en-GB"/>
        </w:rPr>
        <w:t xml:space="preserve">expanded by 4.5% in </w:t>
      </w:r>
      <w:r w:rsidR="00A72CA4" w:rsidRPr="001921B5">
        <w:rPr>
          <w:rFonts w:cs="Arial"/>
          <w:spacing w:val="-4"/>
          <w:szCs w:val="20"/>
          <w:lang w:val="en-GB"/>
        </w:rPr>
        <w:t>2017</w:t>
      </w:r>
      <w:r w:rsidR="00A72CA4" w:rsidRPr="001921B5">
        <w:rPr>
          <w:rStyle w:val="Znakapoznpodarou"/>
          <w:spacing w:val="-4"/>
          <w:szCs w:val="20"/>
          <w:lang w:val="en-GB"/>
        </w:rPr>
        <w:footnoteReference w:id="1"/>
      </w:r>
      <w:r w:rsidR="00A72CA4" w:rsidRPr="001921B5">
        <w:rPr>
          <w:rFonts w:cs="Arial"/>
          <w:spacing w:val="-4"/>
          <w:szCs w:val="20"/>
          <w:lang w:val="en-GB"/>
        </w:rPr>
        <w:t xml:space="preserve">. </w:t>
      </w:r>
      <w:r w:rsidR="008F062F">
        <w:rPr>
          <w:rFonts w:cs="Arial"/>
          <w:spacing w:val="-4"/>
          <w:szCs w:val="20"/>
          <w:lang w:val="en-GB"/>
        </w:rPr>
        <w:t xml:space="preserve">Significant acceleration was achieved by cooperation of all GDP components. </w:t>
      </w:r>
      <w:r w:rsidRPr="001921B5">
        <w:rPr>
          <w:rFonts w:cs="Arial"/>
          <w:spacing w:val="-4"/>
          <w:szCs w:val="20"/>
          <w:lang w:val="en-GB"/>
        </w:rPr>
        <w:t>The growth was supported by the domestic consumption and foreign demand in the first half of the year,</w:t>
      </w:r>
      <w:r w:rsidR="00A72CA4" w:rsidRPr="001921B5">
        <w:rPr>
          <w:rFonts w:cs="Arial"/>
          <w:spacing w:val="-4"/>
          <w:szCs w:val="20"/>
          <w:lang w:val="en-GB"/>
        </w:rPr>
        <w:t xml:space="preserve"> </w:t>
      </w:r>
      <w:r w:rsidRPr="001921B5">
        <w:rPr>
          <w:rFonts w:cs="Arial"/>
          <w:spacing w:val="-4"/>
          <w:szCs w:val="20"/>
          <w:lang w:val="en-GB"/>
        </w:rPr>
        <w:t xml:space="preserve">the investment activity joined these factors in the second half of the year. </w:t>
      </w:r>
      <w:r w:rsidR="000516F5" w:rsidRPr="001921B5">
        <w:rPr>
          <w:rFonts w:cs="Arial"/>
          <w:spacing w:val="-4"/>
          <w:szCs w:val="20"/>
          <w:lang w:val="en-GB"/>
        </w:rPr>
        <w:t xml:space="preserve">The year-on-year rate of GDP growth was </w:t>
      </w:r>
      <w:r w:rsidR="008F062F">
        <w:rPr>
          <w:rFonts w:cs="Arial"/>
          <w:spacing w:val="-4"/>
          <w:szCs w:val="20"/>
          <w:lang w:val="en-GB"/>
        </w:rPr>
        <w:t>rising</w:t>
      </w:r>
      <w:r w:rsidR="000516F5" w:rsidRPr="001921B5">
        <w:rPr>
          <w:rFonts w:cs="Arial"/>
          <w:spacing w:val="-4"/>
          <w:szCs w:val="20"/>
          <w:lang w:val="en-GB"/>
        </w:rPr>
        <w:t xml:space="preserve"> during the year </w:t>
      </w:r>
      <w:r w:rsidR="00A72CA4" w:rsidRPr="001921B5">
        <w:rPr>
          <w:rFonts w:cs="Arial"/>
          <w:spacing w:val="-4"/>
          <w:szCs w:val="20"/>
          <w:lang w:val="en-GB"/>
        </w:rPr>
        <w:t>2017</w:t>
      </w:r>
      <w:r w:rsidR="000516F5" w:rsidRPr="001921B5">
        <w:rPr>
          <w:rFonts w:cs="Arial"/>
          <w:spacing w:val="-4"/>
          <w:szCs w:val="20"/>
          <w:lang w:val="en-GB"/>
        </w:rPr>
        <w:t xml:space="preserve">. Domestic consumption was </w:t>
      </w:r>
      <w:r w:rsidR="004C0009">
        <w:rPr>
          <w:rFonts w:cs="Arial"/>
          <w:spacing w:val="-4"/>
          <w:szCs w:val="20"/>
          <w:lang w:val="en-GB"/>
        </w:rPr>
        <w:t>fuelled</w:t>
      </w:r>
      <w:r w:rsidR="000516F5" w:rsidRPr="001921B5">
        <w:rPr>
          <w:rFonts w:cs="Arial"/>
          <w:spacing w:val="-4"/>
          <w:szCs w:val="20"/>
          <w:lang w:val="en-GB"/>
        </w:rPr>
        <w:t xml:space="preserve"> by a considerable </w:t>
      </w:r>
      <w:r w:rsidR="008F062F">
        <w:rPr>
          <w:rFonts w:cs="Arial"/>
          <w:spacing w:val="-4"/>
          <w:szCs w:val="20"/>
          <w:lang w:val="en-GB"/>
        </w:rPr>
        <w:t>r</w:t>
      </w:r>
      <w:r w:rsidR="001D53CB">
        <w:rPr>
          <w:rFonts w:cs="Arial"/>
          <w:spacing w:val="-4"/>
          <w:szCs w:val="20"/>
          <w:lang w:val="en-GB"/>
        </w:rPr>
        <w:t>ise</w:t>
      </w:r>
      <w:r w:rsidR="008F062F">
        <w:rPr>
          <w:rFonts w:cs="Arial"/>
          <w:spacing w:val="-4"/>
          <w:szCs w:val="20"/>
          <w:lang w:val="en-GB"/>
        </w:rPr>
        <w:t xml:space="preserve"> of </w:t>
      </w:r>
      <w:r w:rsidR="000516F5" w:rsidRPr="001921B5">
        <w:rPr>
          <w:rFonts w:cs="Arial"/>
          <w:spacing w:val="-4"/>
          <w:szCs w:val="20"/>
          <w:lang w:val="en-GB"/>
        </w:rPr>
        <w:t xml:space="preserve">earnings </w:t>
      </w:r>
      <w:r w:rsidR="00626576">
        <w:rPr>
          <w:rFonts w:cs="Arial"/>
          <w:spacing w:val="-4"/>
          <w:szCs w:val="20"/>
          <w:lang w:val="en-GB"/>
        </w:rPr>
        <w:t>of households.</w:t>
      </w:r>
      <w:r w:rsidR="004C0009">
        <w:rPr>
          <w:rFonts w:cs="Arial"/>
          <w:spacing w:val="-4"/>
          <w:szCs w:val="20"/>
          <w:lang w:val="en-GB"/>
        </w:rPr>
        <w:t xml:space="preserve"> </w:t>
      </w:r>
      <w:r w:rsidR="000516F5" w:rsidRPr="001921B5">
        <w:rPr>
          <w:rFonts w:cs="Arial"/>
          <w:spacing w:val="-4"/>
          <w:szCs w:val="20"/>
          <w:lang w:val="en-GB"/>
        </w:rPr>
        <w:t>Expenditure</w:t>
      </w:r>
      <w:r w:rsidR="00F069AC">
        <w:rPr>
          <w:rFonts w:cs="Arial"/>
          <w:spacing w:val="-4"/>
          <w:szCs w:val="20"/>
          <w:lang w:val="en-GB"/>
        </w:rPr>
        <w:t>s</w:t>
      </w:r>
      <w:r w:rsidR="000516F5" w:rsidRPr="001921B5">
        <w:rPr>
          <w:rFonts w:cs="Arial"/>
          <w:spacing w:val="-4"/>
          <w:szCs w:val="20"/>
          <w:lang w:val="en-GB"/>
        </w:rPr>
        <w:t xml:space="preserve"> on domestic consumption contributed 1.7 </w:t>
      </w:r>
      <w:r w:rsidR="0030607B">
        <w:rPr>
          <w:rFonts w:cs="Arial"/>
          <w:spacing w:val="-4"/>
          <w:szCs w:val="20"/>
          <w:lang w:val="en-GB"/>
        </w:rPr>
        <w:t>p.p.</w:t>
      </w:r>
      <w:r w:rsidR="000516F5" w:rsidRPr="001921B5">
        <w:rPr>
          <w:rFonts w:cs="Arial"/>
          <w:spacing w:val="-4"/>
          <w:szCs w:val="20"/>
          <w:lang w:val="en-GB"/>
        </w:rPr>
        <w:t xml:space="preserve"> </w:t>
      </w:r>
      <w:r w:rsidR="004C0009">
        <w:rPr>
          <w:rFonts w:cs="Arial"/>
          <w:spacing w:val="-4"/>
          <w:szCs w:val="20"/>
          <w:lang w:val="en-GB"/>
        </w:rPr>
        <w:t>to the GDP growth last year</w:t>
      </w:r>
      <w:r w:rsidR="00A72CA4" w:rsidRPr="001921B5">
        <w:rPr>
          <w:rFonts w:cs="Arial"/>
          <w:spacing w:val="-4"/>
          <w:szCs w:val="20"/>
          <w:lang w:val="en-GB"/>
        </w:rPr>
        <w:t>.</w:t>
      </w:r>
      <w:r w:rsidR="00F76F35" w:rsidRPr="001921B5">
        <w:rPr>
          <w:rStyle w:val="Znakapoznpodarou"/>
          <w:spacing w:val="-4"/>
          <w:szCs w:val="20"/>
          <w:lang w:val="en-GB"/>
        </w:rPr>
        <w:footnoteReference w:id="2"/>
      </w:r>
      <w:r w:rsidR="00A72CA4" w:rsidRPr="001921B5">
        <w:rPr>
          <w:rFonts w:cs="Arial"/>
          <w:spacing w:val="-4"/>
          <w:szCs w:val="20"/>
          <w:lang w:val="en-GB"/>
        </w:rPr>
        <w:t xml:space="preserve"> </w:t>
      </w:r>
      <w:r w:rsidR="00F069AC">
        <w:rPr>
          <w:rFonts w:cs="Arial"/>
          <w:spacing w:val="-4"/>
          <w:szCs w:val="20"/>
          <w:lang w:val="en-GB"/>
        </w:rPr>
        <w:t>The view on the type classification of gross fixed capital formation indirectly implies</w:t>
      </w:r>
      <w:r w:rsidR="00A72CA4" w:rsidRPr="001921B5">
        <w:rPr>
          <w:rFonts w:cs="Arial"/>
          <w:spacing w:val="-4"/>
          <w:szCs w:val="20"/>
          <w:lang w:val="en-GB"/>
        </w:rPr>
        <w:t xml:space="preserve">, </w:t>
      </w:r>
      <w:r w:rsidR="00AC49B5" w:rsidRPr="001921B5">
        <w:rPr>
          <w:rFonts w:cs="Arial"/>
          <w:spacing w:val="-4"/>
          <w:szCs w:val="20"/>
          <w:lang w:val="en-GB"/>
        </w:rPr>
        <w:t xml:space="preserve">that households and businesses were the more active investors. Resulting contribution of the gross capital formation to growth arrived at </w:t>
      </w:r>
      <w:r w:rsidR="00F76F35" w:rsidRPr="001921B5">
        <w:rPr>
          <w:rFonts w:cs="Arial"/>
          <w:spacing w:val="-4"/>
          <w:szCs w:val="20"/>
          <w:lang w:val="en-GB"/>
        </w:rPr>
        <w:t>1</w:t>
      </w:r>
      <w:r w:rsidR="00AC49B5" w:rsidRPr="001921B5">
        <w:rPr>
          <w:rFonts w:cs="Arial"/>
          <w:spacing w:val="-4"/>
          <w:szCs w:val="20"/>
          <w:lang w:val="en-GB"/>
        </w:rPr>
        <w:t>.</w:t>
      </w:r>
      <w:r w:rsidR="00F76F35" w:rsidRPr="001921B5">
        <w:rPr>
          <w:rFonts w:cs="Arial"/>
          <w:spacing w:val="-4"/>
          <w:szCs w:val="20"/>
          <w:lang w:val="en-GB"/>
        </w:rPr>
        <w:t xml:space="preserve">0 </w:t>
      </w:r>
      <w:r w:rsidR="0030607B">
        <w:rPr>
          <w:rFonts w:cs="Arial"/>
          <w:spacing w:val="-4"/>
          <w:szCs w:val="20"/>
          <w:lang w:val="en-GB"/>
        </w:rPr>
        <w:t>p.p.</w:t>
      </w:r>
      <w:r w:rsidR="00F76F35" w:rsidRPr="001921B5">
        <w:rPr>
          <w:rFonts w:cs="Arial"/>
          <w:spacing w:val="-4"/>
          <w:szCs w:val="20"/>
          <w:lang w:val="en-GB"/>
        </w:rPr>
        <w:t xml:space="preserve"> </w:t>
      </w:r>
      <w:r w:rsidR="001921B5" w:rsidRPr="001921B5">
        <w:rPr>
          <w:rFonts w:cs="Arial"/>
          <w:spacing w:val="-4"/>
          <w:szCs w:val="20"/>
          <w:lang w:val="en-GB"/>
        </w:rPr>
        <w:t xml:space="preserve">Contribution of the foreign demand has been the highest since year </w:t>
      </w:r>
      <w:r w:rsidR="00F76F35" w:rsidRPr="001921B5">
        <w:rPr>
          <w:rFonts w:cs="Arial"/>
          <w:spacing w:val="-4"/>
          <w:szCs w:val="20"/>
          <w:lang w:val="en-GB"/>
        </w:rPr>
        <w:t>2012 a</w:t>
      </w:r>
      <w:r w:rsidR="001921B5" w:rsidRPr="001921B5">
        <w:rPr>
          <w:rFonts w:cs="Arial"/>
          <w:spacing w:val="-4"/>
          <w:szCs w:val="20"/>
          <w:lang w:val="en-GB"/>
        </w:rPr>
        <w:t xml:space="preserve">nd reached </w:t>
      </w:r>
      <w:r w:rsidR="00F76F35" w:rsidRPr="001921B5">
        <w:rPr>
          <w:rFonts w:cs="Arial"/>
          <w:spacing w:val="-4"/>
          <w:szCs w:val="20"/>
          <w:lang w:val="en-GB"/>
        </w:rPr>
        <w:t>1</w:t>
      </w:r>
      <w:r w:rsidR="001921B5" w:rsidRPr="001921B5">
        <w:rPr>
          <w:rFonts w:cs="Arial"/>
          <w:spacing w:val="-4"/>
          <w:szCs w:val="20"/>
          <w:lang w:val="en-GB"/>
        </w:rPr>
        <w:t>.</w:t>
      </w:r>
      <w:r w:rsidR="00F76F35" w:rsidRPr="001921B5">
        <w:rPr>
          <w:rFonts w:cs="Arial"/>
          <w:spacing w:val="-4"/>
          <w:szCs w:val="20"/>
          <w:lang w:val="en-GB"/>
        </w:rPr>
        <w:t xml:space="preserve">8 </w:t>
      </w:r>
      <w:r w:rsidR="0030607B">
        <w:rPr>
          <w:rFonts w:cs="Arial"/>
          <w:spacing w:val="-4"/>
          <w:szCs w:val="20"/>
          <w:lang w:val="en-GB"/>
        </w:rPr>
        <w:t>p.p.</w:t>
      </w:r>
      <w:r w:rsidR="00A72CA4" w:rsidRPr="001921B5">
        <w:rPr>
          <w:rFonts w:cs="Arial"/>
          <w:spacing w:val="-4"/>
          <w:szCs w:val="20"/>
          <w:lang w:val="en-GB"/>
        </w:rPr>
        <w:t xml:space="preserve">   </w:t>
      </w:r>
    </w:p>
    <w:p w:rsidR="00134DFD" w:rsidRPr="001921B5" w:rsidRDefault="00134DFD" w:rsidP="00EB29CA">
      <w:pPr>
        <w:spacing w:line="240" w:lineRule="auto"/>
        <w:ind w:left="66"/>
        <w:contextualSpacing/>
        <w:jc w:val="both"/>
        <w:rPr>
          <w:rFonts w:cs="Arial"/>
          <w:spacing w:val="-4"/>
          <w:sz w:val="14"/>
          <w:szCs w:val="14"/>
          <w:highlight w:val="yellow"/>
          <w:lang w:val="en-GB"/>
        </w:rPr>
      </w:pPr>
    </w:p>
    <w:p w:rsidR="00356CAE" w:rsidRPr="00A06B3D" w:rsidRDefault="000F7F49" w:rsidP="0060091A">
      <w:pPr>
        <w:pStyle w:val="Odstavecseseznamem"/>
        <w:numPr>
          <w:ilvl w:val="0"/>
          <w:numId w:val="18"/>
        </w:numPr>
        <w:spacing w:line="240" w:lineRule="auto"/>
        <w:ind w:left="426"/>
        <w:contextualSpacing/>
        <w:jc w:val="both"/>
        <w:rPr>
          <w:rFonts w:cs="Arial"/>
          <w:color w:val="0D0D0D" w:themeColor="text1" w:themeTint="F2"/>
          <w:spacing w:val="-5"/>
          <w:szCs w:val="20"/>
          <w:lang w:val="en-GB"/>
        </w:rPr>
      </w:pPr>
      <w:r w:rsidRPr="00A06B3D">
        <w:rPr>
          <w:rFonts w:cs="Arial"/>
          <w:spacing w:val="-5"/>
          <w:szCs w:val="20"/>
          <w:lang w:val="en-GB"/>
        </w:rPr>
        <w:t xml:space="preserve">The gross value added </w:t>
      </w:r>
      <w:r w:rsidR="00F069AC" w:rsidRPr="00A06B3D">
        <w:rPr>
          <w:rFonts w:cs="Arial"/>
          <w:spacing w:val="-5"/>
          <w:szCs w:val="20"/>
          <w:lang w:val="en-GB"/>
        </w:rPr>
        <w:t xml:space="preserve">increased by 4.5% in </w:t>
      </w:r>
      <w:r w:rsidR="00837566" w:rsidRPr="00A06B3D">
        <w:rPr>
          <w:rFonts w:cs="Arial"/>
          <w:spacing w:val="-5"/>
          <w:szCs w:val="20"/>
          <w:lang w:val="en-GB"/>
        </w:rPr>
        <w:t>2017</w:t>
      </w:r>
      <w:r w:rsidR="00F069AC" w:rsidRPr="00A06B3D">
        <w:rPr>
          <w:rFonts w:cs="Arial"/>
          <w:spacing w:val="-5"/>
          <w:szCs w:val="20"/>
          <w:lang w:val="en-GB"/>
        </w:rPr>
        <w:t xml:space="preserve">, which presents a nearly double pace compared to the previous year. Both manufacturing and services sector assisted the last year´s growth by a similar portion, with the weight of the services sector </w:t>
      </w:r>
      <w:r w:rsidR="00A06B3D" w:rsidRPr="00A06B3D">
        <w:rPr>
          <w:rFonts w:cs="Arial"/>
          <w:spacing w:val="-5"/>
          <w:szCs w:val="20"/>
          <w:lang w:val="en-GB"/>
        </w:rPr>
        <w:t>strengthening</w:t>
      </w:r>
      <w:r w:rsidR="00F069AC" w:rsidRPr="00A06B3D">
        <w:rPr>
          <w:rFonts w:cs="Arial"/>
          <w:spacing w:val="-5"/>
          <w:szCs w:val="20"/>
          <w:lang w:val="en-GB"/>
        </w:rPr>
        <w:t xml:space="preserve"> in the course of the year. Manufacturing was </w:t>
      </w:r>
      <w:r w:rsidR="00A06B3D" w:rsidRPr="00A06B3D">
        <w:rPr>
          <w:rFonts w:cs="Arial"/>
          <w:spacing w:val="-5"/>
          <w:szCs w:val="20"/>
          <w:lang w:val="en-GB"/>
        </w:rPr>
        <w:t xml:space="preserve">pulled by the </w:t>
      </w:r>
      <w:r w:rsidR="00A06B3D" w:rsidRPr="00A06B3D">
        <w:rPr>
          <w:rFonts w:cs="Arial"/>
          <w:spacing w:val="-2"/>
          <w:lang w:val="en-GB"/>
        </w:rPr>
        <w:t xml:space="preserve">manufacturing of motor vehicles incl. the subcontractor fields, machinery also prospered and the renewal of the production capacities in the chemical industry and energetics also had a positive effect. </w:t>
      </w:r>
      <w:r w:rsidR="00EA3BF6">
        <w:rPr>
          <w:rFonts w:cs="Arial"/>
          <w:spacing w:val="-2"/>
          <w:lang w:val="en-GB"/>
        </w:rPr>
        <w:t xml:space="preserve">The financial and insurance activities remained the most dynamic branch of services similarly to year </w:t>
      </w:r>
      <w:r w:rsidR="00722985" w:rsidRPr="00A06B3D">
        <w:rPr>
          <w:spacing w:val="-5"/>
          <w:lang w:val="en-GB"/>
        </w:rPr>
        <w:t>2016</w:t>
      </w:r>
      <w:r w:rsidR="00B606B9">
        <w:rPr>
          <w:spacing w:val="-5"/>
          <w:lang w:val="en-GB"/>
        </w:rPr>
        <w:t xml:space="preserve">. Positive confidence indicator </w:t>
      </w:r>
      <w:r w:rsidR="00EA3BF6">
        <w:rPr>
          <w:spacing w:val="-5"/>
          <w:lang w:val="en-GB"/>
        </w:rPr>
        <w:t>of consumers supported by the development of the disposabl</w:t>
      </w:r>
      <w:r w:rsidR="00B606B9">
        <w:rPr>
          <w:spacing w:val="-5"/>
          <w:lang w:val="en-GB"/>
        </w:rPr>
        <w:t>e incomes of households led to</w:t>
      </w:r>
      <w:r w:rsidR="00EA3BF6">
        <w:rPr>
          <w:spacing w:val="-5"/>
          <w:lang w:val="en-GB"/>
        </w:rPr>
        <w:t xml:space="preserve"> the growth of the retail sales for the non-food goods</w:t>
      </w:r>
      <w:r w:rsidR="00B606B9">
        <w:rPr>
          <w:spacing w:val="-5"/>
          <w:lang w:val="en-GB"/>
        </w:rPr>
        <w:t xml:space="preserve"> – it reached </w:t>
      </w:r>
      <w:r w:rsidR="00EA3BF6">
        <w:rPr>
          <w:spacing w:val="-5"/>
          <w:lang w:val="en-GB"/>
        </w:rPr>
        <w:t xml:space="preserve">a ten-year maximum </w:t>
      </w:r>
      <w:r w:rsidR="001814AE" w:rsidRPr="00A06B3D">
        <w:rPr>
          <w:spacing w:val="-5"/>
          <w:lang w:val="en-GB"/>
        </w:rPr>
        <w:t>(8</w:t>
      </w:r>
      <w:r w:rsidR="00EA3BF6">
        <w:rPr>
          <w:spacing w:val="-5"/>
          <w:lang w:val="en-GB"/>
        </w:rPr>
        <w:t>.</w:t>
      </w:r>
      <w:r w:rsidR="007B2F37" w:rsidRPr="00A06B3D">
        <w:rPr>
          <w:spacing w:val="-5"/>
          <w:lang w:val="en-GB"/>
        </w:rPr>
        <w:t>8</w:t>
      </w:r>
      <w:r w:rsidR="001814AE" w:rsidRPr="00A06B3D">
        <w:rPr>
          <w:spacing w:val="-5"/>
          <w:lang w:val="en-GB"/>
        </w:rPr>
        <w:t>%)</w:t>
      </w:r>
      <w:r w:rsidR="000B2729" w:rsidRPr="00A06B3D">
        <w:rPr>
          <w:spacing w:val="-5"/>
          <w:lang w:val="en-GB"/>
        </w:rPr>
        <w:t xml:space="preserve"> a</w:t>
      </w:r>
      <w:r w:rsidR="00B606B9">
        <w:rPr>
          <w:spacing w:val="-5"/>
          <w:lang w:val="en-GB"/>
        </w:rPr>
        <w:t xml:space="preserve">nd simultaneously </w:t>
      </w:r>
      <w:r w:rsidR="00EA3BF6">
        <w:rPr>
          <w:spacing w:val="-5"/>
          <w:lang w:val="en-GB"/>
        </w:rPr>
        <w:t xml:space="preserve">the fifth rank among the EU states. </w:t>
      </w:r>
    </w:p>
    <w:p w:rsidR="00134DFD" w:rsidRPr="00A06B3D" w:rsidRDefault="00134DFD" w:rsidP="0037290D">
      <w:pPr>
        <w:spacing w:line="240" w:lineRule="auto"/>
        <w:jc w:val="both"/>
        <w:rPr>
          <w:rFonts w:cs="Arial"/>
          <w:spacing w:val="-4"/>
          <w:sz w:val="14"/>
          <w:szCs w:val="14"/>
          <w:highlight w:val="yellow"/>
          <w:lang w:val="en-GB"/>
        </w:rPr>
      </w:pPr>
    </w:p>
    <w:p w:rsidR="007E4996" w:rsidRPr="00A06B3D" w:rsidRDefault="000F7F49" w:rsidP="006C586D">
      <w:pPr>
        <w:pStyle w:val="Odstavecseseznamem"/>
        <w:numPr>
          <w:ilvl w:val="0"/>
          <w:numId w:val="18"/>
        </w:numPr>
        <w:spacing w:line="240" w:lineRule="auto"/>
        <w:ind w:left="426"/>
        <w:contextualSpacing/>
        <w:jc w:val="both"/>
        <w:rPr>
          <w:rFonts w:cs="Arial"/>
          <w:spacing w:val="-4"/>
          <w:szCs w:val="20"/>
          <w:lang w:val="en-GB"/>
        </w:rPr>
      </w:pPr>
      <w:r w:rsidRPr="00A06B3D">
        <w:rPr>
          <w:rFonts w:cs="Arial"/>
          <w:spacing w:val="-4"/>
          <w:szCs w:val="20"/>
          <w:lang w:val="en-GB"/>
        </w:rPr>
        <w:t xml:space="preserve">Positive balance of the </w:t>
      </w:r>
      <w:r w:rsidR="004B314A">
        <w:rPr>
          <w:rFonts w:cs="Arial"/>
          <w:spacing w:val="-4"/>
          <w:szCs w:val="20"/>
          <w:lang w:val="en-GB"/>
        </w:rPr>
        <w:t>trade with goods and services e</w:t>
      </w:r>
      <w:r w:rsidRPr="00A06B3D">
        <w:rPr>
          <w:rFonts w:cs="Arial"/>
          <w:spacing w:val="-4"/>
          <w:szCs w:val="20"/>
          <w:lang w:val="en-GB"/>
        </w:rPr>
        <w:t>nsured the positive surplus of current account of balance of payments. It amounted to 5</w:t>
      </w:r>
      <w:r w:rsidR="007273DC" w:rsidRPr="00A06B3D">
        <w:rPr>
          <w:rFonts w:cs="Arial"/>
          <w:spacing w:val="-4"/>
          <w:szCs w:val="20"/>
          <w:lang w:val="en-GB"/>
        </w:rPr>
        <w:t>4</w:t>
      </w:r>
      <w:r w:rsidRPr="00A06B3D">
        <w:rPr>
          <w:rFonts w:cs="Arial"/>
          <w:spacing w:val="-4"/>
          <w:szCs w:val="20"/>
          <w:lang w:val="en-GB"/>
        </w:rPr>
        <w:t>.</w:t>
      </w:r>
      <w:r w:rsidR="007273DC" w:rsidRPr="00A06B3D">
        <w:rPr>
          <w:rFonts w:cs="Arial"/>
          <w:spacing w:val="-4"/>
          <w:szCs w:val="20"/>
          <w:lang w:val="en-GB"/>
        </w:rPr>
        <w:t>2</w:t>
      </w:r>
      <w:r w:rsidRPr="00A06B3D">
        <w:rPr>
          <w:rFonts w:cs="Arial"/>
          <w:spacing w:val="-4"/>
          <w:szCs w:val="20"/>
          <w:lang w:val="en-GB"/>
        </w:rPr>
        <w:t xml:space="preserve"> CZK bn</w:t>
      </w:r>
      <w:r w:rsidR="00F76F35" w:rsidRPr="00A06B3D">
        <w:rPr>
          <w:rFonts w:cs="Arial"/>
          <w:spacing w:val="-4"/>
          <w:szCs w:val="20"/>
          <w:lang w:val="en-GB"/>
        </w:rPr>
        <w:t xml:space="preserve">. </w:t>
      </w:r>
      <w:r w:rsidRPr="00A06B3D">
        <w:rPr>
          <w:rFonts w:cs="Arial"/>
          <w:spacing w:val="-4"/>
          <w:szCs w:val="20"/>
          <w:lang w:val="en-GB"/>
        </w:rPr>
        <w:t>The Czech export</w:t>
      </w:r>
      <w:r w:rsidR="004B314A">
        <w:rPr>
          <w:rFonts w:cs="Arial"/>
          <w:spacing w:val="-4"/>
          <w:szCs w:val="20"/>
          <w:lang w:val="en-GB"/>
        </w:rPr>
        <w:t xml:space="preserve"> </w:t>
      </w:r>
      <w:r w:rsidR="0015323B">
        <w:rPr>
          <w:rFonts w:cs="Arial"/>
          <w:spacing w:val="-4"/>
          <w:szCs w:val="20"/>
          <w:lang w:val="en-GB"/>
        </w:rPr>
        <w:t xml:space="preserve">attained </w:t>
      </w:r>
      <w:r w:rsidR="00454921" w:rsidRPr="00A06B3D">
        <w:rPr>
          <w:rFonts w:cs="Arial"/>
          <w:spacing w:val="-4"/>
          <w:szCs w:val="20"/>
          <w:lang w:val="en-GB"/>
        </w:rPr>
        <w:t>3</w:t>
      </w:r>
      <w:r w:rsidR="0015323B">
        <w:rPr>
          <w:rFonts w:cs="Arial"/>
          <w:spacing w:val="-4"/>
          <w:szCs w:val="20"/>
          <w:lang w:val="en-GB"/>
        </w:rPr>
        <w:t> </w:t>
      </w:r>
      <w:r w:rsidR="00454921" w:rsidRPr="00A06B3D">
        <w:rPr>
          <w:rFonts w:cs="Arial"/>
          <w:spacing w:val="-4"/>
          <w:szCs w:val="20"/>
          <w:lang w:val="en-GB"/>
        </w:rPr>
        <w:t>489</w:t>
      </w:r>
      <w:r w:rsidR="0015323B">
        <w:rPr>
          <w:rFonts w:cs="Arial"/>
          <w:spacing w:val="-4"/>
          <w:szCs w:val="20"/>
          <w:lang w:val="en-GB"/>
        </w:rPr>
        <w:t>.</w:t>
      </w:r>
      <w:r w:rsidR="00454921" w:rsidRPr="00A06B3D">
        <w:rPr>
          <w:rFonts w:cs="Arial"/>
          <w:spacing w:val="-4"/>
          <w:szCs w:val="20"/>
          <w:lang w:val="en-GB"/>
        </w:rPr>
        <w:t xml:space="preserve">1 </w:t>
      </w:r>
      <w:r w:rsidR="0015323B">
        <w:rPr>
          <w:rFonts w:cs="Arial"/>
          <w:spacing w:val="-4"/>
          <w:szCs w:val="20"/>
          <w:lang w:val="en-GB"/>
        </w:rPr>
        <w:t>CZK bn and</w:t>
      </w:r>
      <w:r w:rsidR="00454921" w:rsidRPr="00A06B3D">
        <w:rPr>
          <w:rFonts w:cs="Arial"/>
          <w:spacing w:val="-4"/>
          <w:szCs w:val="20"/>
          <w:lang w:val="en-GB"/>
        </w:rPr>
        <w:t xml:space="preserve"> </w:t>
      </w:r>
      <w:r w:rsidR="0015323B">
        <w:rPr>
          <w:rFonts w:cs="Arial"/>
          <w:spacing w:val="-4"/>
          <w:szCs w:val="20"/>
          <w:lang w:val="en-GB"/>
        </w:rPr>
        <w:t xml:space="preserve">increased year-on-year by </w:t>
      </w:r>
      <w:r w:rsidR="00454921" w:rsidRPr="00A06B3D">
        <w:rPr>
          <w:rFonts w:cs="Arial"/>
          <w:spacing w:val="-4"/>
          <w:szCs w:val="20"/>
          <w:lang w:val="en-GB"/>
        </w:rPr>
        <w:t>5</w:t>
      </w:r>
      <w:r w:rsidR="0015323B">
        <w:rPr>
          <w:rFonts w:cs="Arial"/>
          <w:spacing w:val="-4"/>
          <w:szCs w:val="20"/>
          <w:lang w:val="en-GB"/>
        </w:rPr>
        <w:t>.</w:t>
      </w:r>
      <w:r w:rsidR="00454921" w:rsidRPr="00A06B3D">
        <w:rPr>
          <w:rFonts w:cs="Arial"/>
          <w:spacing w:val="-4"/>
          <w:szCs w:val="20"/>
          <w:lang w:val="en-GB"/>
        </w:rPr>
        <w:t>8%.</w:t>
      </w:r>
      <w:r w:rsidR="007E4996" w:rsidRPr="00A06B3D">
        <w:rPr>
          <w:rFonts w:cs="Arial"/>
          <w:spacing w:val="-4"/>
          <w:szCs w:val="20"/>
          <w:lang w:val="en-GB"/>
        </w:rPr>
        <w:t xml:space="preserve"> </w:t>
      </w:r>
      <w:r w:rsidR="00A529C8">
        <w:rPr>
          <w:rFonts w:cs="Arial"/>
          <w:spacing w:val="-4"/>
          <w:szCs w:val="20"/>
          <w:lang w:val="en-GB"/>
        </w:rPr>
        <w:t xml:space="preserve">The exporters of the most significant articles of the Czech export prospered – exporters of motor vehicles, machinery and equipment and electrical appliances. </w:t>
      </w:r>
      <w:r w:rsidRPr="00A06B3D">
        <w:rPr>
          <w:rFonts w:cs="Arial"/>
          <w:spacing w:val="-4"/>
          <w:szCs w:val="20"/>
          <w:lang w:val="en-GB"/>
        </w:rPr>
        <w:t xml:space="preserve">Value of goods imported into the CR increased by </w:t>
      </w:r>
      <w:r w:rsidR="007E4996" w:rsidRPr="00A06B3D">
        <w:rPr>
          <w:rFonts w:cs="Arial"/>
          <w:spacing w:val="-4"/>
          <w:szCs w:val="20"/>
          <w:lang w:val="en-GB"/>
        </w:rPr>
        <w:t>6</w:t>
      </w:r>
      <w:r w:rsidRPr="00A06B3D">
        <w:rPr>
          <w:rFonts w:cs="Arial"/>
          <w:spacing w:val="-4"/>
          <w:szCs w:val="20"/>
          <w:lang w:val="en-GB"/>
        </w:rPr>
        <w:t>.</w:t>
      </w:r>
      <w:r w:rsidR="007E4996" w:rsidRPr="00A06B3D">
        <w:rPr>
          <w:rFonts w:cs="Arial"/>
          <w:spacing w:val="-4"/>
          <w:szCs w:val="20"/>
          <w:lang w:val="en-GB"/>
        </w:rPr>
        <w:t xml:space="preserve">6%. </w:t>
      </w:r>
      <w:r w:rsidRPr="00A06B3D">
        <w:rPr>
          <w:rFonts w:cs="Arial"/>
          <w:spacing w:val="-4"/>
          <w:szCs w:val="20"/>
          <w:lang w:val="en-GB"/>
        </w:rPr>
        <w:t>Faster dynamics of import</w:t>
      </w:r>
      <w:r w:rsidR="00A529C8">
        <w:rPr>
          <w:rFonts w:cs="Arial"/>
          <w:spacing w:val="-4"/>
          <w:szCs w:val="20"/>
          <w:lang w:val="en-GB"/>
        </w:rPr>
        <w:t>s</w:t>
      </w:r>
      <w:r w:rsidRPr="00A06B3D">
        <w:rPr>
          <w:rFonts w:cs="Arial"/>
          <w:spacing w:val="-4"/>
          <w:szCs w:val="20"/>
          <w:lang w:val="en-GB"/>
        </w:rPr>
        <w:t xml:space="preserve"> was among other things the result of the growth of prices of oil, natural gas and basic metals. </w:t>
      </w:r>
    </w:p>
    <w:p w:rsidR="00F76F35" w:rsidRPr="00A06B3D" w:rsidRDefault="00F76F35" w:rsidP="007E4996">
      <w:pPr>
        <w:spacing w:line="240" w:lineRule="auto"/>
        <w:contextualSpacing/>
        <w:jc w:val="both"/>
        <w:rPr>
          <w:rFonts w:cs="Arial"/>
          <w:spacing w:val="-4"/>
          <w:sz w:val="14"/>
          <w:szCs w:val="14"/>
          <w:lang w:val="en-GB"/>
        </w:rPr>
      </w:pPr>
    </w:p>
    <w:p w:rsidR="007E4996" w:rsidRPr="00A529C8" w:rsidRDefault="001921B5" w:rsidP="00DD1DC1">
      <w:pPr>
        <w:pStyle w:val="Odstavecseseznamem"/>
        <w:numPr>
          <w:ilvl w:val="0"/>
          <w:numId w:val="18"/>
        </w:numPr>
        <w:spacing w:line="240" w:lineRule="auto"/>
        <w:ind w:left="426"/>
        <w:contextualSpacing/>
        <w:jc w:val="both"/>
        <w:rPr>
          <w:rFonts w:cs="Arial"/>
          <w:spacing w:val="-4"/>
          <w:szCs w:val="20"/>
          <w:lang w:val="en-GB"/>
        </w:rPr>
      </w:pPr>
      <w:r w:rsidRPr="00A529C8">
        <w:rPr>
          <w:rFonts w:cs="Arial"/>
          <w:spacing w:val="-4"/>
          <w:szCs w:val="20"/>
          <w:lang w:val="en-GB"/>
        </w:rPr>
        <w:t xml:space="preserve">The consumer prices rose by </w:t>
      </w:r>
      <w:r w:rsidR="007A74B4" w:rsidRPr="00A529C8">
        <w:rPr>
          <w:rFonts w:cs="Arial"/>
          <w:spacing w:val="-4"/>
          <w:szCs w:val="20"/>
          <w:lang w:val="en-GB"/>
        </w:rPr>
        <w:t>2</w:t>
      </w:r>
      <w:r w:rsidRPr="00A529C8">
        <w:rPr>
          <w:rFonts w:cs="Arial"/>
          <w:spacing w:val="-4"/>
          <w:szCs w:val="20"/>
          <w:lang w:val="en-GB"/>
        </w:rPr>
        <w:t>.</w:t>
      </w:r>
      <w:r w:rsidR="007A74B4" w:rsidRPr="00A529C8">
        <w:rPr>
          <w:rFonts w:cs="Arial"/>
          <w:spacing w:val="-4"/>
          <w:szCs w:val="20"/>
          <w:lang w:val="en-GB"/>
        </w:rPr>
        <w:t>5%</w:t>
      </w:r>
      <w:r w:rsidRPr="00A529C8">
        <w:rPr>
          <w:rFonts w:cs="Arial"/>
          <w:spacing w:val="-4"/>
          <w:szCs w:val="20"/>
          <w:lang w:val="en-GB"/>
        </w:rPr>
        <w:t xml:space="preserve"> in 2017</w:t>
      </w:r>
      <w:r w:rsidR="007A74B4" w:rsidRPr="00A529C8">
        <w:rPr>
          <w:rFonts w:cs="Arial"/>
          <w:spacing w:val="-4"/>
          <w:szCs w:val="20"/>
          <w:lang w:val="en-GB"/>
        </w:rPr>
        <w:t xml:space="preserve">, </w:t>
      </w:r>
      <w:r w:rsidRPr="00A529C8">
        <w:rPr>
          <w:rFonts w:cs="Arial"/>
          <w:spacing w:val="-4"/>
          <w:szCs w:val="20"/>
          <w:lang w:val="en-GB"/>
        </w:rPr>
        <w:t xml:space="preserve">the most since year </w:t>
      </w:r>
      <w:r w:rsidR="007A74B4" w:rsidRPr="00A529C8">
        <w:rPr>
          <w:rFonts w:cs="Arial"/>
          <w:spacing w:val="-4"/>
          <w:szCs w:val="20"/>
          <w:lang w:val="en-GB"/>
        </w:rPr>
        <w:t xml:space="preserve">2012. </w:t>
      </w:r>
      <w:r w:rsidR="00A529C8" w:rsidRPr="00A529C8">
        <w:rPr>
          <w:rFonts w:cs="Arial"/>
          <w:spacing w:val="-4"/>
          <w:szCs w:val="20"/>
          <w:lang w:val="en-GB"/>
        </w:rPr>
        <w:t xml:space="preserve">Food </w:t>
      </w:r>
      <w:r w:rsidR="001D53CB">
        <w:rPr>
          <w:rFonts w:cs="Arial"/>
          <w:spacing w:val="-4"/>
          <w:szCs w:val="20"/>
          <w:lang w:val="en-GB"/>
        </w:rPr>
        <w:t xml:space="preserve">and non-alcoholic beverages </w:t>
      </w:r>
      <w:r w:rsidR="00A529C8" w:rsidRPr="00A529C8">
        <w:rPr>
          <w:rFonts w:cs="Arial"/>
          <w:spacing w:val="-4"/>
          <w:szCs w:val="20"/>
          <w:lang w:val="en-GB"/>
        </w:rPr>
        <w:t xml:space="preserve">was the fastest growing segment of the consumer basket, contributing 0.9 </w:t>
      </w:r>
      <w:r w:rsidR="0030607B">
        <w:rPr>
          <w:rFonts w:cs="Arial"/>
          <w:spacing w:val="-4"/>
          <w:szCs w:val="20"/>
          <w:lang w:val="en-GB"/>
        </w:rPr>
        <w:t>p.p.</w:t>
      </w:r>
      <w:r w:rsidR="00A529C8" w:rsidRPr="00A529C8">
        <w:rPr>
          <w:rFonts w:cs="Arial"/>
          <w:spacing w:val="-4"/>
          <w:szCs w:val="20"/>
          <w:lang w:val="en-GB"/>
        </w:rPr>
        <w:t xml:space="preserve"> to the total growth of prices. </w:t>
      </w:r>
      <w:r w:rsidR="001A5A2F">
        <w:rPr>
          <w:rFonts w:cs="Arial"/>
          <w:spacing w:val="-4"/>
          <w:szCs w:val="20"/>
          <w:lang w:val="en-GB"/>
        </w:rPr>
        <w:t xml:space="preserve">Higher prices of housing and energies and transport also markedly contributed. The industrial producer index also rose by 1.8% after years of declines, however its year-on-year dynamics weakened over the year. On the contrary, the prices of agricultural producers achieved a high growth of </w:t>
      </w:r>
      <w:r w:rsidR="007A74B4" w:rsidRPr="00A529C8">
        <w:rPr>
          <w:rFonts w:cs="Arial"/>
          <w:spacing w:val="-4"/>
          <w:szCs w:val="20"/>
          <w:lang w:val="en-GB"/>
        </w:rPr>
        <w:t>8</w:t>
      </w:r>
      <w:r w:rsidR="001A5A2F">
        <w:rPr>
          <w:rFonts w:cs="Arial"/>
          <w:spacing w:val="-4"/>
          <w:szCs w:val="20"/>
          <w:lang w:val="en-GB"/>
        </w:rPr>
        <w:t>.</w:t>
      </w:r>
      <w:r w:rsidR="007A74B4" w:rsidRPr="00A529C8">
        <w:rPr>
          <w:rFonts w:cs="Arial"/>
          <w:spacing w:val="-4"/>
          <w:szCs w:val="20"/>
          <w:lang w:val="en-GB"/>
        </w:rPr>
        <w:t xml:space="preserve">0%. </w:t>
      </w:r>
      <w:r w:rsidR="001A5A2F">
        <w:rPr>
          <w:rFonts w:cs="Arial"/>
          <w:spacing w:val="-4"/>
          <w:szCs w:val="20"/>
          <w:lang w:val="en-GB"/>
        </w:rPr>
        <w:t xml:space="preserve">Prices of exports and imports were to a considerable extent impacted by the appreciating koruna foreign exchange. </w:t>
      </w:r>
    </w:p>
    <w:p w:rsidR="007E4996" w:rsidRPr="00A529C8" w:rsidRDefault="007E4996" w:rsidP="007E4996">
      <w:pPr>
        <w:pStyle w:val="Odstavecseseznamem"/>
        <w:rPr>
          <w:rFonts w:cs="Arial"/>
          <w:spacing w:val="-4"/>
          <w:sz w:val="14"/>
          <w:szCs w:val="14"/>
          <w:lang w:val="en-GB"/>
        </w:rPr>
      </w:pPr>
    </w:p>
    <w:p w:rsidR="00B461D6" w:rsidRPr="006A288C" w:rsidRDefault="00DD21F1" w:rsidP="00DD1DC1">
      <w:pPr>
        <w:pStyle w:val="Odstavecseseznamem"/>
        <w:numPr>
          <w:ilvl w:val="0"/>
          <w:numId w:val="18"/>
        </w:numPr>
        <w:spacing w:line="240" w:lineRule="auto"/>
        <w:ind w:left="426"/>
        <w:contextualSpacing/>
        <w:jc w:val="both"/>
        <w:rPr>
          <w:rFonts w:cs="Arial"/>
          <w:spacing w:val="-4"/>
          <w:szCs w:val="20"/>
          <w:lang w:val="en-GB"/>
        </w:rPr>
      </w:pPr>
      <w:r w:rsidRPr="006A288C">
        <w:rPr>
          <w:rFonts w:cs="Arial"/>
          <w:spacing w:val="-4"/>
          <w:szCs w:val="20"/>
          <w:lang w:val="en-GB"/>
        </w:rPr>
        <w:t xml:space="preserve">Year </w:t>
      </w:r>
      <w:r w:rsidR="00B461D6" w:rsidRPr="006A288C">
        <w:rPr>
          <w:rFonts w:cs="Arial"/>
          <w:spacing w:val="-4"/>
          <w:szCs w:val="20"/>
          <w:lang w:val="en-GB"/>
        </w:rPr>
        <w:t>2017</w:t>
      </w:r>
      <w:r w:rsidRPr="006A288C">
        <w:rPr>
          <w:rFonts w:cs="Arial"/>
          <w:spacing w:val="-4"/>
          <w:szCs w:val="20"/>
          <w:lang w:val="en-GB"/>
        </w:rPr>
        <w:t xml:space="preserve"> saw several significant changes in the set</w:t>
      </w:r>
      <w:r w:rsidR="00FA23C1" w:rsidRPr="006A288C">
        <w:rPr>
          <w:rFonts w:cs="Arial"/>
          <w:spacing w:val="-4"/>
          <w:szCs w:val="20"/>
          <w:lang w:val="en-GB"/>
        </w:rPr>
        <w:t xml:space="preserve">ting </w:t>
      </w:r>
      <w:r w:rsidRPr="006A288C">
        <w:rPr>
          <w:rFonts w:cs="Arial"/>
          <w:spacing w:val="-4"/>
          <w:szCs w:val="20"/>
          <w:lang w:val="en-GB"/>
        </w:rPr>
        <w:t>of the monetary policy.</w:t>
      </w:r>
      <w:r w:rsidR="00B461D6" w:rsidRPr="006A288C">
        <w:rPr>
          <w:rFonts w:cs="Arial"/>
          <w:spacing w:val="-4"/>
          <w:szCs w:val="20"/>
          <w:lang w:val="en-GB"/>
        </w:rPr>
        <w:t xml:space="preserve"> </w:t>
      </w:r>
      <w:r w:rsidR="007A684C">
        <w:rPr>
          <w:rFonts w:cs="Arial"/>
          <w:spacing w:val="-4"/>
          <w:szCs w:val="20"/>
          <w:lang w:val="en-GB"/>
        </w:rPr>
        <w:t>Initially</w:t>
      </w:r>
      <w:r w:rsidR="00FA23C1" w:rsidRPr="006A288C">
        <w:rPr>
          <w:rFonts w:cs="Arial"/>
          <w:spacing w:val="-4"/>
          <w:szCs w:val="20"/>
          <w:lang w:val="en-GB"/>
        </w:rPr>
        <w:t xml:space="preserve">, the CNB ended the forex interventions in April. Subsequently, two increases of the monetary policy-relevant rates occurred </w:t>
      </w:r>
      <w:r w:rsidR="00B461D6" w:rsidRPr="006A288C">
        <w:rPr>
          <w:rFonts w:cs="Arial"/>
          <w:spacing w:val="-4"/>
          <w:szCs w:val="20"/>
          <w:lang w:val="en-GB"/>
        </w:rPr>
        <w:t>(</w:t>
      </w:r>
      <w:r w:rsidR="00FA23C1" w:rsidRPr="006A288C">
        <w:rPr>
          <w:rFonts w:cs="Arial"/>
          <w:spacing w:val="-4"/>
          <w:szCs w:val="20"/>
          <w:lang w:val="en-GB"/>
        </w:rPr>
        <w:t xml:space="preserve">for the first time since </w:t>
      </w:r>
      <w:r w:rsidR="00B461D6" w:rsidRPr="006A288C">
        <w:rPr>
          <w:rFonts w:cs="Arial"/>
          <w:spacing w:val="-4"/>
          <w:szCs w:val="20"/>
          <w:lang w:val="en-GB"/>
        </w:rPr>
        <w:t>2008)</w:t>
      </w:r>
      <w:r w:rsidR="00FA23C1" w:rsidRPr="006A288C">
        <w:rPr>
          <w:rFonts w:cs="Arial"/>
          <w:spacing w:val="-4"/>
          <w:szCs w:val="20"/>
          <w:lang w:val="en-GB"/>
        </w:rPr>
        <w:t xml:space="preserve"> in the second half of the year</w:t>
      </w:r>
      <w:r w:rsidR="00B461D6" w:rsidRPr="006A288C">
        <w:rPr>
          <w:rFonts w:cs="Arial"/>
          <w:spacing w:val="-4"/>
          <w:szCs w:val="20"/>
          <w:lang w:val="en-GB"/>
        </w:rPr>
        <w:t xml:space="preserve">. </w:t>
      </w:r>
      <w:r w:rsidR="00FA23C1" w:rsidRPr="006A288C">
        <w:rPr>
          <w:rFonts w:cs="Arial"/>
          <w:spacing w:val="-4"/>
          <w:szCs w:val="20"/>
          <w:lang w:val="en-GB"/>
        </w:rPr>
        <w:t xml:space="preserve">It impacted the </w:t>
      </w:r>
      <w:r w:rsidR="007A684C" w:rsidRPr="006A288C">
        <w:rPr>
          <w:rFonts w:cs="Arial"/>
          <w:spacing w:val="-4"/>
          <w:szCs w:val="20"/>
          <w:lang w:val="en-GB"/>
        </w:rPr>
        <w:t>interbank</w:t>
      </w:r>
      <w:r w:rsidR="00FA23C1" w:rsidRPr="006A288C">
        <w:rPr>
          <w:rFonts w:cs="Arial"/>
          <w:spacing w:val="-4"/>
          <w:szCs w:val="20"/>
          <w:lang w:val="en-GB"/>
        </w:rPr>
        <w:t xml:space="preserve"> interest rates, which also started to rise, but the interests on the accounts of households and businesses did not change </w:t>
      </w:r>
      <w:r w:rsidR="006A288C" w:rsidRPr="006A288C">
        <w:rPr>
          <w:rFonts w:cs="Arial"/>
          <w:spacing w:val="-4"/>
          <w:szCs w:val="20"/>
          <w:lang w:val="en-GB"/>
        </w:rPr>
        <w:t>to any noticeable extent. Interest rates on mortgages experienced the highest shifts</w:t>
      </w:r>
      <w:r w:rsidR="00104F55">
        <w:rPr>
          <w:rFonts w:cs="Arial"/>
          <w:spacing w:val="-4"/>
          <w:szCs w:val="20"/>
          <w:lang w:val="en-GB"/>
        </w:rPr>
        <w:t>;</w:t>
      </w:r>
      <w:r w:rsidR="006A288C" w:rsidRPr="006A288C">
        <w:rPr>
          <w:rFonts w:cs="Arial"/>
          <w:spacing w:val="-4"/>
          <w:szCs w:val="20"/>
          <w:lang w:val="en-GB"/>
        </w:rPr>
        <w:t xml:space="preserve"> they mildly grow since </w:t>
      </w:r>
      <w:r w:rsidR="00510C81">
        <w:rPr>
          <w:rFonts w:cs="Arial"/>
          <w:spacing w:val="-4"/>
          <w:szCs w:val="20"/>
          <w:lang w:val="en-GB"/>
        </w:rPr>
        <w:t xml:space="preserve">the end of </w:t>
      </w:r>
      <w:r w:rsidR="00A22210" w:rsidRPr="006A288C">
        <w:rPr>
          <w:rFonts w:cs="Arial"/>
          <w:spacing w:val="-4"/>
          <w:szCs w:val="20"/>
          <w:lang w:val="en-GB"/>
        </w:rPr>
        <w:t>2016.</w:t>
      </w:r>
      <w:r w:rsidR="00B461D6" w:rsidRPr="006A288C">
        <w:rPr>
          <w:rFonts w:cs="Arial"/>
          <w:spacing w:val="-4"/>
          <w:szCs w:val="20"/>
          <w:lang w:val="en-GB"/>
        </w:rPr>
        <w:t xml:space="preserve"> </w:t>
      </w:r>
    </w:p>
    <w:p w:rsidR="00B461D6" w:rsidRPr="006A288C" w:rsidRDefault="00B461D6" w:rsidP="00B461D6">
      <w:pPr>
        <w:pStyle w:val="Odstavecseseznamem"/>
        <w:rPr>
          <w:rFonts w:cs="Arial"/>
          <w:spacing w:val="-4"/>
          <w:sz w:val="14"/>
          <w:szCs w:val="14"/>
          <w:highlight w:val="yellow"/>
          <w:lang w:val="en-GB"/>
        </w:rPr>
      </w:pPr>
    </w:p>
    <w:p w:rsidR="008B77D1" w:rsidRPr="006A288C" w:rsidRDefault="007A684C" w:rsidP="00AB75A7">
      <w:pPr>
        <w:pStyle w:val="Odstavecseseznamem"/>
        <w:numPr>
          <w:ilvl w:val="0"/>
          <w:numId w:val="18"/>
        </w:numPr>
        <w:spacing w:line="240" w:lineRule="auto"/>
        <w:ind w:left="426"/>
        <w:contextualSpacing/>
        <w:jc w:val="both"/>
        <w:rPr>
          <w:rFonts w:cs="Arial"/>
          <w:spacing w:val="-4"/>
          <w:szCs w:val="20"/>
          <w:lang w:val="en-GB"/>
        </w:rPr>
      </w:pPr>
      <w:r>
        <w:rPr>
          <w:rFonts w:cs="Arial"/>
          <w:spacing w:val="-4"/>
          <w:szCs w:val="20"/>
          <w:lang w:val="en-GB"/>
        </w:rPr>
        <w:t>Favourable tendencies prevailed on the labour market, especially the persons in the employee positions enjoyed their benefits. The number of workers</w:t>
      </w:r>
      <w:r w:rsidR="00CF243E" w:rsidRPr="006A288C">
        <w:rPr>
          <w:rStyle w:val="Znakapoznpodarou"/>
          <w:spacing w:val="-4"/>
          <w:szCs w:val="20"/>
          <w:lang w:val="en-GB"/>
        </w:rPr>
        <w:footnoteReference w:id="3"/>
      </w:r>
      <w:r w:rsidR="00CF243E" w:rsidRPr="006A288C">
        <w:rPr>
          <w:rFonts w:cs="Arial"/>
          <w:spacing w:val="-4"/>
          <w:szCs w:val="20"/>
          <w:lang w:val="en-GB"/>
        </w:rPr>
        <w:t xml:space="preserve"> </w:t>
      </w:r>
      <w:r>
        <w:rPr>
          <w:rFonts w:cs="Arial"/>
          <w:spacing w:val="-4"/>
          <w:szCs w:val="20"/>
          <w:lang w:val="en-GB"/>
        </w:rPr>
        <w:t xml:space="preserve">increased by 1.6% for the whole year, the most since </w:t>
      </w:r>
      <w:r w:rsidR="00CF243E" w:rsidRPr="006A288C">
        <w:rPr>
          <w:rFonts w:cs="Arial"/>
          <w:spacing w:val="-4"/>
          <w:szCs w:val="20"/>
          <w:lang w:val="en-GB"/>
        </w:rPr>
        <w:t xml:space="preserve">2008. </w:t>
      </w:r>
      <w:r w:rsidR="00D155E4">
        <w:rPr>
          <w:rFonts w:cs="Arial"/>
          <w:spacing w:val="-4"/>
          <w:szCs w:val="20"/>
          <w:lang w:val="en-GB"/>
        </w:rPr>
        <w:t xml:space="preserve">The highest number of persons held a job in the history of the independent CR. Higher number of </w:t>
      </w:r>
      <w:r w:rsidR="00374546">
        <w:rPr>
          <w:rFonts w:cs="Arial"/>
          <w:spacing w:val="-4"/>
          <w:szCs w:val="20"/>
          <w:lang w:val="en-GB"/>
        </w:rPr>
        <w:t>entrepreneurs</w:t>
      </w:r>
      <w:r w:rsidR="00D155E4">
        <w:rPr>
          <w:rFonts w:cs="Arial"/>
          <w:spacing w:val="-4"/>
          <w:szCs w:val="20"/>
          <w:lang w:val="en-GB"/>
        </w:rPr>
        <w:t xml:space="preserve"> also contributed to the </w:t>
      </w:r>
      <w:r w:rsidR="00374546">
        <w:rPr>
          <w:rFonts w:cs="Arial"/>
          <w:spacing w:val="-4"/>
          <w:szCs w:val="20"/>
          <w:lang w:val="en-GB"/>
        </w:rPr>
        <w:t>employment</w:t>
      </w:r>
      <w:r w:rsidR="00D155E4">
        <w:rPr>
          <w:rFonts w:cs="Arial"/>
          <w:spacing w:val="-4"/>
          <w:szCs w:val="20"/>
          <w:lang w:val="en-GB"/>
        </w:rPr>
        <w:t xml:space="preserve"> growth, from the point of view of branches then </w:t>
      </w:r>
      <w:r w:rsidR="00D7383E">
        <w:rPr>
          <w:rFonts w:cs="Arial"/>
          <w:spacing w:val="-4"/>
          <w:szCs w:val="20"/>
          <w:lang w:val="en-GB"/>
        </w:rPr>
        <w:t xml:space="preserve">especially </w:t>
      </w:r>
      <w:r w:rsidR="00D155E4">
        <w:rPr>
          <w:rFonts w:cs="Arial"/>
          <w:spacing w:val="-4"/>
          <w:szCs w:val="20"/>
          <w:lang w:val="en-GB"/>
        </w:rPr>
        <w:t xml:space="preserve">trade, transportation, accommodation and food service </w:t>
      </w:r>
      <w:r w:rsidR="00374546">
        <w:rPr>
          <w:rFonts w:cs="Arial"/>
          <w:spacing w:val="-4"/>
          <w:szCs w:val="20"/>
          <w:lang w:val="en-GB"/>
        </w:rPr>
        <w:t>activities</w:t>
      </w:r>
      <w:r w:rsidR="00D155E4">
        <w:rPr>
          <w:rFonts w:cs="Arial"/>
          <w:spacing w:val="-4"/>
          <w:szCs w:val="20"/>
          <w:lang w:val="en-GB"/>
        </w:rPr>
        <w:t xml:space="preserve">, but also other areas of services. General unemployment rate reached 2.0% for males and 2.9% for females in December. The number of long-term unemployed persons totalled only 40 thousand persons in Q4. </w:t>
      </w:r>
      <w:r w:rsidR="004514C2">
        <w:rPr>
          <w:rFonts w:cs="Arial"/>
          <w:spacing w:val="-4"/>
          <w:szCs w:val="20"/>
          <w:lang w:val="en-GB"/>
        </w:rPr>
        <w:t xml:space="preserve">The supply of </w:t>
      </w:r>
      <w:r w:rsidR="00E3405E">
        <w:rPr>
          <w:rFonts w:cs="Arial"/>
          <w:spacing w:val="-4"/>
          <w:szCs w:val="20"/>
          <w:lang w:val="en-GB"/>
        </w:rPr>
        <w:t xml:space="preserve">job </w:t>
      </w:r>
      <w:r w:rsidR="004514C2">
        <w:rPr>
          <w:rFonts w:cs="Arial"/>
          <w:spacing w:val="-4"/>
          <w:szCs w:val="20"/>
          <w:lang w:val="en-GB"/>
        </w:rPr>
        <w:t>vacan</w:t>
      </w:r>
      <w:r w:rsidR="00E3405E">
        <w:rPr>
          <w:rFonts w:cs="Arial"/>
          <w:spacing w:val="-4"/>
          <w:szCs w:val="20"/>
          <w:lang w:val="en-GB"/>
        </w:rPr>
        <w:t xml:space="preserve">cies </w:t>
      </w:r>
      <w:r w:rsidR="004514C2">
        <w:rPr>
          <w:rFonts w:cs="Arial"/>
          <w:spacing w:val="-4"/>
          <w:szCs w:val="20"/>
          <w:lang w:val="en-GB"/>
        </w:rPr>
        <w:t xml:space="preserve">registered in the labour offices accelerated, three quarters of the year-on-year addition of positions however consisted of positions requiring a minimal qualification. Intensifying tension on the labour market was also reflected in the dynamic growth of wages. </w:t>
      </w:r>
      <w:r w:rsidR="003E0261" w:rsidRPr="006A288C">
        <w:rPr>
          <w:rFonts w:cs="Arial"/>
          <w:bCs/>
          <w:iCs/>
          <w:color w:val="0D0D0D" w:themeColor="text1" w:themeTint="F2"/>
          <w:spacing w:val="-4"/>
          <w:szCs w:val="20"/>
          <w:lang w:val="en-GB"/>
        </w:rPr>
        <w:t xml:space="preserve">The average gross monthly wage crossed the 30 thousand boundary in Q4 2017 for the first time in history and </w:t>
      </w:r>
      <w:r w:rsidR="004514C2">
        <w:rPr>
          <w:rFonts w:cs="Arial"/>
          <w:bCs/>
          <w:iCs/>
          <w:color w:val="0D0D0D" w:themeColor="text1" w:themeTint="F2"/>
          <w:spacing w:val="-4"/>
          <w:szCs w:val="20"/>
          <w:lang w:val="en-GB"/>
        </w:rPr>
        <w:t xml:space="preserve">strengthened by 8.0% year-on-year. The highest relative growth was concentrated in the branches with a low level of earnings, which became evident from the moderate lowering of the wage differentiation. Despite the growing inflation, the purchasing power of wages </w:t>
      </w:r>
      <w:r w:rsidR="00D7383E">
        <w:rPr>
          <w:rFonts w:cs="Arial"/>
          <w:bCs/>
          <w:iCs/>
          <w:color w:val="0D0D0D" w:themeColor="text1" w:themeTint="F2"/>
          <w:spacing w:val="-4"/>
          <w:szCs w:val="20"/>
          <w:lang w:val="en-GB"/>
        </w:rPr>
        <w:t xml:space="preserve">in 2017 </w:t>
      </w:r>
      <w:r w:rsidR="004514C2">
        <w:rPr>
          <w:rFonts w:cs="Arial"/>
          <w:bCs/>
          <w:iCs/>
          <w:color w:val="0D0D0D" w:themeColor="text1" w:themeTint="F2"/>
          <w:spacing w:val="-4"/>
          <w:szCs w:val="20"/>
          <w:lang w:val="en-GB"/>
        </w:rPr>
        <w:t xml:space="preserve">strengthened. </w:t>
      </w:r>
      <w:r w:rsidR="003E0261" w:rsidRPr="006A288C">
        <w:rPr>
          <w:rFonts w:cs="Arial"/>
          <w:color w:val="0D0D0D" w:themeColor="text1" w:themeTint="F2"/>
          <w:spacing w:val="-4"/>
          <w:lang w:val="en-GB"/>
        </w:rPr>
        <w:t xml:space="preserve">The real wage </w:t>
      </w:r>
      <w:r w:rsidR="004514C2">
        <w:rPr>
          <w:rFonts w:cs="Arial"/>
          <w:color w:val="0D0D0D" w:themeColor="text1" w:themeTint="F2"/>
          <w:spacing w:val="-4"/>
          <w:lang w:val="en-GB"/>
        </w:rPr>
        <w:t xml:space="preserve">was raised by 4.4%, the most following the year </w:t>
      </w:r>
      <w:r w:rsidR="005743B4" w:rsidRPr="006A288C">
        <w:rPr>
          <w:rFonts w:cs="Arial"/>
          <w:color w:val="0D0D0D" w:themeColor="text1" w:themeTint="F2"/>
          <w:spacing w:val="-4"/>
          <w:lang w:val="en-GB"/>
        </w:rPr>
        <w:t>2003.</w:t>
      </w:r>
    </w:p>
    <w:p w:rsidR="00EB29CA" w:rsidRPr="006A288C" w:rsidRDefault="00EB29CA" w:rsidP="00EB29CA">
      <w:pPr>
        <w:spacing w:line="240" w:lineRule="auto"/>
        <w:contextualSpacing/>
        <w:jc w:val="both"/>
        <w:rPr>
          <w:rFonts w:cs="Arial"/>
          <w:spacing w:val="-4"/>
          <w:sz w:val="14"/>
          <w:szCs w:val="14"/>
          <w:lang w:val="en-GB"/>
        </w:rPr>
      </w:pPr>
    </w:p>
    <w:p w:rsidR="00C17AB1" w:rsidRPr="00526A54" w:rsidRDefault="003E0261" w:rsidP="00C17AB1">
      <w:pPr>
        <w:pStyle w:val="Bezmezer"/>
        <w:numPr>
          <w:ilvl w:val="0"/>
          <w:numId w:val="18"/>
        </w:numPr>
        <w:ind w:left="425" w:hanging="357"/>
        <w:rPr>
          <w:rFonts w:cs="Arial"/>
          <w:spacing w:val="-4"/>
          <w:szCs w:val="20"/>
          <w:lang w:val="en-GB"/>
        </w:rPr>
      </w:pPr>
      <w:r w:rsidRPr="00526A54">
        <w:rPr>
          <w:rFonts w:cs="Arial"/>
          <w:spacing w:val="-4"/>
          <w:szCs w:val="20"/>
          <w:lang w:val="en-GB"/>
        </w:rPr>
        <w:lastRenderedPageBreak/>
        <w:t xml:space="preserve">State budget (SB) ended </w:t>
      </w:r>
      <w:r w:rsidR="00D7383E">
        <w:rPr>
          <w:rFonts w:cs="Arial"/>
          <w:spacing w:val="-4"/>
          <w:szCs w:val="20"/>
          <w:lang w:val="en-GB"/>
        </w:rPr>
        <w:t>(</w:t>
      </w:r>
      <w:r w:rsidRPr="00526A54">
        <w:rPr>
          <w:rFonts w:cs="Arial"/>
          <w:spacing w:val="-4"/>
          <w:szCs w:val="20"/>
          <w:lang w:val="en-GB"/>
        </w:rPr>
        <w:t xml:space="preserve">based on the cash fulfilment </w:t>
      </w:r>
      <w:r w:rsidR="00D7383E">
        <w:rPr>
          <w:rFonts w:cs="Arial"/>
          <w:spacing w:val="-4"/>
          <w:szCs w:val="20"/>
          <w:lang w:val="en-GB"/>
        </w:rPr>
        <w:t>approach) in 2017 in mild deficit</w:t>
      </w:r>
      <w:r w:rsidRPr="00526A54">
        <w:rPr>
          <w:rFonts w:cs="Arial"/>
          <w:spacing w:val="-4"/>
          <w:szCs w:val="20"/>
          <w:lang w:val="en-GB"/>
        </w:rPr>
        <w:t xml:space="preserve"> </w:t>
      </w:r>
      <w:r w:rsidR="00D7383E">
        <w:rPr>
          <w:rFonts w:cs="Arial"/>
          <w:spacing w:val="-4"/>
          <w:szCs w:val="20"/>
          <w:lang w:val="en-GB"/>
        </w:rPr>
        <w:t>(</w:t>
      </w:r>
      <w:r w:rsidR="00DA649A" w:rsidRPr="00526A54">
        <w:rPr>
          <w:rFonts w:cs="Arial"/>
          <w:spacing w:val="-4"/>
          <w:szCs w:val="20"/>
          <w:lang w:val="en-GB"/>
        </w:rPr>
        <w:t xml:space="preserve">6.2 CZK </w:t>
      </w:r>
      <w:proofErr w:type="spellStart"/>
      <w:r w:rsidR="00DA649A" w:rsidRPr="00526A54">
        <w:rPr>
          <w:rFonts w:cs="Arial"/>
          <w:spacing w:val="-4"/>
          <w:szCs w:val="20"/>
          <w:lang w:val="en-GB"/>
        </w:rPr>
        <w:t>bn</w:t>
      </w:r>
      <w:proofErr w:type="spellEnd"/>
      <w:r w:rsidR="00D7383E">
        <w:rPr>
          <w:rFonts w:cs="Arial"/>
          <w:spacing w:val="-4"/>
          <w:szCs w:val="20"/>
          <w:lang w:val="en-GB"/>
        </w:rPr>
        <w:t>)</w:t>
      </w:r>
      <w:r w:rsidR="00DA649A" w:rsidRPr="00526A54">
        <w:rPr>
          <w:rFonts w:cs="Arial"/>
          <w:spacing w:val="-4"/>
          <w:szCs w:val="20"/>
          <w:lang w:val="en-GB"/>
        </w:rPr>
        <w:t xml:space="preserve">. It presented the second most favourable result after year </w:t>
      </w:r>
      <w:r w:rsidR="00A57E77" w:rsidRPr="00526A54">
        <w:rPr>
          <w:rFonts w:cs="Arial"/>
          <w:color w:val="0D0D0D" w:themeColor="text1" w:themeTint="F2"/>
          <w:spacing w:val="-4"/>
          <w:lang w:val="en-GB"/>
        </w:rPr>
        <w:t xml:space="preserve">1996. </w:t>
      </w:r>
      <w:r w:rsidR="00DA649A" w:rsidRPr="00526A54">
        <w:rPr>
          <w:rFonts w:cs="Arial"/>
          <w:color w:val="0D0D0D" w:themeColor="text1" w:themeTint="F2"/>
          <w:spacing w:val="-4"/>
          <w:lang w:val="en-GB"/>
        </w:rPr>
        <w:t xml:space="preserve">Both revenues and expenditures of the SB were, similarly to year 2016, notably affected </w:t>
      </w:r>
      <w:r w:rsidR="00654E14" w:rsidRPr="00526A54">
        <w:rPr>
          <w:rFonts w:cs="Arial"/>
          <w:color w:val="0D0D0D" w:themeColor="text1" w:themeTint="F2"/>
          <w:spacing w:val="-4"/>
          <w:lang w:val="en-GB"/>
        </w:rPr>
        <w:t>by the</w:t>
      </w:r>
      <w:r w:rsidR="00DA649A" w:rsidRPr="00526A54">
        <w:rPr>
          <w:rFonts w:cs="Arial"/>
          <w:color w:val="0D0D0D" w:themeColor="text1" w:themeTint="F2"/>
          <w:spacing w:val="-4"/>
          <w:lang w:val="en-GB"/>
        </w:rPr>
        <w:t xml:space="preserve"> irregularities in the drawing on funds form the EU budget. The share of investment on the total SB expenditures reached </w:t>
      </w:r>
      <w:r w:rsidR="00C47EB6" w:rsidRPr="00526A54">
        <w:rPr>
          <w:rFonts w:cs="Arial"/>
          <w:color w:val="000000" w:themeColor="text1"/>
          <w:spacing w:val="-4"/>
          <w:lang w:val="en-GB"/>
        </w:rPr>
        <w:t>6</w:t>
      </w:r>
      <w:r w:rsidR="00DA649A" w:rsidRPr="00526A54">
        <w:rPr>
          <w:rFonts w:cs="Arial"/>
          <w:color w:val="000000" w:themeColor="text1"/>
          <w:spacing w:val="-4"/>
          <w:lang w:val="en-GB"/>
        </w:rPr>
        <w:t>.</w:t>
      </w:r>
      <w:r w:rsidR="00C47EB6" w:rsidRPr="00526A54">
        <w:rPr>
          <w:rFonts w:cs="Arial"/>
          <w:color w:val="000000" w:themeColor="text1"/>
          <w:spacing w:val="-4"/>
          <w:lang w:val="en-GB"/>
        </w:rPr>
        <w:t>4</w:t>
      </w:r>
      <w:r w:rsidR="00C47EB6" w:rsidRPr="00526A54">
        <w:rPr>
          <w:rFonts w:cs="Arial"/>
          <w:color w:val="0D0D0D" w:themeColor="text1" w:themeTint="F2"/>
          <w:spacing w:val="-4"/>
          <w:lang w:val="en-GB"/>
        </w:rPr>
        <w:t>%</w:t>
      </w:r>
      <w:r w:rsidR="00C47EB6" w:rsidRPr="00526A54">
        <w:rPr>
          <w:rFonts w:cs="Arial"/>
          <w:color w:val="000000" w:themeColor="text1"/>
          <w:spacing w:val="-4"/>
          <w:lang w:val="en-GB"/>
        </w:rPr>
        <w:t xml:space="preserve">, </w:t>
      </w:r>
      <w:r w:rsidR="00DA649A" w:rsidRPr="00526A54">
        <w:rPr>
          <w:rFonts w:cs="Arial"/>
          <w:color w:val="000000" w:themeColor="text1"/>
          <w:spacing w:val="-4"/>
          <w:lang w:val="en-GB"/>
        </w:rPr>
        <w:t>which was the least since year 1</w:t>
      </w:r>
      <w:r w:rsidR="00C47EB6" w:rsidRPr="00526A54">
        <w:rPr>
          <w:rFonts w:cs="Arial"/>
          <w:color w:val="000000" w:themeColor="text1"/>
          <w:spacing w:val="-4"/>
          <w:lang w:val="en-GB"/>
        </w:rPr>
        <w:t>998.</w:t>
      </w:r>
      <w:r w:rsidR="00864F00" w:rsidRPr="00526A54">
        <w:rPr>
          <w:rFonts w:cs="Arial"/>
          <w:color w:val="000000" w:themeColor="text1"/>
          <w:spacing w:val="-4"/>
          <w:lang w:val="en-GB"/>
        </w:rPr>
        <w:t xml:space="preserve"> </w:t>
      </w:r>
      <w:r w:rsidR="00C336DD" w:rsidRPr="00526A54">
        <w:rPr>
          <w:rFonts w:cs="Arial"/>
          <w:color w:val="000000" w:themeColor="text1"/>
          <w:spacing w:val="-4"/>
          <w:lang w:val="en-GB"/>
        </w:rPr>
        <w:t xml:space="preserve">Strengthening economic growth was mirrored in the savings of some types of social benefits, in the 7.3% growth of the state-wide tax revenues, but also in the higher collection of insurance. The pension account thus for the first time in nine years extricated itself from the deficits. The state debt noticeably fluctuated due to the effect of extraordinary factors in the course of </w:t>
      </w:r>
      <w:r w:rsidR="00864F00" w:rsidRPr="00526A54">
        <w:rPr>
          <w:rFonts w:cs="Arial"/>
          <w:color w:val="0D0D0D" w:themeColor="text1" w:themeTint="F2"/>
          <w:spacing w:val="-4"/>
          <w:lang w:val="en-GB"/>
        </w:rPr>
        <w:t>2017</w:t>
      </w:r>
      <w:r w:rsidR="00C336DD" w:rsidRPr="00526A54">
        <w:rPr>
          <w:rFonts w:cs="Arial"/>
          <w:color w:val="0D0D0D" w:themeColor="text1" w:themeTint="F2"/>
          <w:spacing w:val="-4"/>
          <w:lang w:val="en-GB"/>
        </w:rPr>
        <w:t>. It amounted to 1 625 CZK bn at the end o</w:t>
      </w:r>
      <w:r w:rsidR="00C17AB1" w:rsidRPr="00526A54">
        <w:rPr>
          <w:rFonts w:cs="Arial"/>
          <w:color w:val="0D0D0D" w:themeColor="text1" w:themeTint="F2"/>
          <w:spacing w:val="-4"/>
          <w:lang w:val="en-GB"/>
        </w:rPr>
        <w:t>f</w:t>
      </w:r>
      <w:r w:rsidR="00C336DD" w:rsidRPr="00526A54">
        <w:rPr>
          <w:rFonts w:cs="Arial"/>
          <w:color w:val="0D0D0D" w:themeColor="text1" w:themeTint="F2"/>
          <w:spacing w:val="-4"/>
          <w:lang w:val="en-GB"/>
        </w:rPr>
        <w:t xml:space="preserve"> December</w:t>
      </w:r>
      <w:r w:rsidR="00C76425">
        <w:rPr>
          <w:rFonts w:cs="Arial"/>
          <w:color w:val="0D0D0D" w:themeColor="text1" w:themeTint="F2"/>
          <w:spacing w:val="-4"/>
          <w:lang w:val="en-GB"/>
        </w:rPr>
        <w:t xml:space="preserve"> and </w:t>
      </w:r>
      <w:r w:rsidR="00C336DD" w:rsidRPr="00526A54">
        <w:rPr>
          <w:rFonts w:cs="Arial"/>
          <w:color w:val="0D0D0D" w:themeColor="text1" w:themeTint="F2"/>
          <w:spacing w:val="-4"/>
          <w:lang w:val="en-GB"/>
        </w:rPr>
        <w:t xml:space="preserve">stagnated year-on-year. </w:t>
      </w:r>
      <w:r w:rsidR="00C17AB1" w:rsidRPr="00526A54">
        <w:rPr>
          <w:rFonts w:cs="Arial"/>
          <w:color w:val="0D0D0D" w:themeColor="text1" w:themeTint="F2"/>
          <w:spacing w:val="-4"/>
          <w:lang w:val="en-GB"/>
        </w:rPr>
        <w:t>The rate of indebtedness of the whole sector of government institutions attained 35.1% of GDP in Q3</w:t>
      </w:r>
      <w:r w:rsidR="00C2613A">
        <w:rPr>
          <w:rFonts w:cs="Arial"/>
          <w:color w:val="0D0D0D" w:themeColor="text1" w:themeTint="F2"/>
          <w:spacing w:val="-4"/>
          <w:lang w:val="en-GB"/>
        </w:rPr>
        <w:t xml:space="preserve"> 2017</w:t>
      </w:r>
      <w:r w:rsidR="00C17AB1" w:rsidRPr="00526A54">
        <w:rPr>
          <w:rFonts w:cs="Arial"/>
          <w:color w:val="0D0D0D" w:themeColor="text1" w:themeTint="F2"/>
          <w:spacing w:val="-4"/>
          <w:lang w:val="en-GB"/>
        </w:rPr>
        <w:t xml:space="preserve">, it lowered by nearly one tenth year-on-year. </w:t>
      </w:r>
    </w:p>
    <w:p w:rsidR="00C17AB1" w:rsidRPr="00C336DD" w:rsidRDefault="00C17AB1" w:rsidP="00C17AB1">
      <w:pPr>
        <w:pStyle w:val="Bezmezer"/>
        <w:ind w:left="425"/>
        <w:rPr>
          <w:rFonts w:cs="Arial"/>
          <w:spacing w:val="-4"/>
          <w:szCs w:val="20"/>
          <w:lang w:val="en-GB"/>
        </w:rPr>
      </w:pPr>
    </w:p>
    <w:p w:rsidR="00DD0726" w:rsidRPr="00C336DD" w:rsidRDefault="00383FD2" w:rsidP="00DD0726">
      <w:pPr>
        <w:pStyle w:val="Nadpis1"/>
        <w:numPr>
          <w:ilvl w:val="0"/>
          <w:numId w:val="12"/>
        </w:numPr>
        <w:ind w:left="709"/>
        <w:jc w:val="both"/>
        <w:rPr>
          <w:lang w:val="en-GB"/>
        </w:rPr>
      </w:pPr>
      <w:bookmarkStart w:id="5" w:name="_Toc469299930"/>
      <w:bookmarkStart w:id="6" w:name="_Toc493683634"/>
      <w:bookmarkStart w:id="7" w:name="_Toc454185150"/>
      <w:r>
        <w:rPr>
          <w:lang w:val="en-GB"/>
        </w:rPr>
        <w:t>Overall Economic Performance</w:t>
      </w:r>
      <w:bookmarkEnd w:id="5"/>
      <w:bookmarkEnd w:id="6"/>
    </w:p>
    <w:p w:rsidR="00DD0726" w:rsidRPr="00C336DD" w:rsidRDefault="005D1EDA" w:rsidP="00DD0726">
      <w:pPr>
        <w:pStyle w:val="Textpoznpodarou"/>
        <w:jc w:val="both"/>
        <w:rPr>
          <w:sz w:val="2"/>
          <w:szCs w:val="2"/>
          <w:lang w:val="en-GB"/>
        </w:rPr>
      </w:pPr>
      <w:r>
        <w:rPr>
          <w:sz w:val="2"/>
          <w:szCs w:val="2"/>
          <w:lang w:val="en-GB"/>
        </w:rPr>
        <w:t>=%</w:t>
      </w:r>
    </w:p>
    <w:tbl>
      <w:tblPr>
        <w:tblW w:w="5000" w:type="pct"/>
        <w:tblInd w:w="108" w:type="dxa"/>
        <w:tblLayout w:type="fixed"/>
        <w:tblLook w:val="00A0"/>
      </w:tblPr>
      <w:tblGrid>
        <w:gridCol w:w="1985"/>
        <w:gridCol w:w="284"/>
        <w:gridCol w:w="1133"/>
        <w:gridCol w:w="5104"/>
        <w:gridCol w:w="1348"/>
      </w:tblGrid>
      <w:tr w:rsidR="00C10B3B" w:rsidRPr="00C336DD" w:rsidTr="006C3DC1">
        <w:tc>
          <w:tcPr>
            <w:tcW w:w="1007" w:type="pct"/>
          </w:tcPr>
          <w:p w:rsidR="00C10B3B" w:rsidRPr="00C336DD" w:rsidRDefault="00153FED" w:rsidP="00153FED">
            <w:pPr>
              <w:spacing w:line="240" w:lineRule="auto"/>
              <w:rPr>
                <w:rFonts w:cs="Arial"/>
                <w:sz w:val="16"/>
                <w:szCs w:val="16"/>
                <w:lang w:val="en-GB"/>
              </w:rPr>
            </w:pPr>
            <w:r>
              <w:rPr>
                <w:rFonts w:cs="Arial"/>
                <w:sz w:val="16"/>
                <w:szCs w:val="16"/>
                <w:lang w:val="en-GB"/>
              </w:rPr>
              <w:t>Year-on-year dynamics of the gross domestic product was exceeding 5% in H2</w:t>
            </w:r>
            <w:r w:rsidR="00C10B3B" w:rsidRPr="00C336DD">
              <w:rPr>
                <w:rFonts w:cs="Arial"/>
                <w:sz w:val="16"/>
                <w:szCs w:val="16"/>
                <w:lang w:val="en-GB"/>
              </w:rPr>
              <w:t xml:space="preserve">. </w:t>
            </w:r>
          </w:p>
        </w:tc>
        <w:tc>
          <w:tcPr>
            <w:tcW w:w="144" w:type="pct"/>
          </w:tcPr>
          <w:p w:rsidR="00C10B3B" w:rsidRPr="00C336DD" w:rsidRDefault="00C10B3B" w:rsidP="006E4368">
            <w:pPr>
              <w:pStyle w:val="Textpoznpodarou"/>
              <w:ind w:left="-132" w:firstLine="132"/>
              <w:rPr>
                <w:rFonts w:cs="Arial"/>
                <w:lang w:val="en-GB"/>
              </w:rPr>
            </w:pPr>
          </w:p>
        </w:tc>
        <w:tc>
          <w:tcPr>
            <w:tcW w:w="3849" w:type="pct"/>
            <w:gridSpan w:val="3"/>
          </w:tcPr>
          <w:p w:rsidR="00C10B3B" w:rsidRPr="004F0B25" w:rsidRDefault="005D1EDA" w:rsidP="006E4368">
            <w:pPr>
              <w:pStyle w:val="Bezmezer"/>
              <w:rPr>
                <w:lang w:val="en-GB"/>
              </w:rPr>
            </w:pPr>
            <w:r>
              <w:rPr>
                <w:lang w:val="en-GB"/>
              </w:rPr>
              <w:t xml:space="preserve">The gross domestic product </w:t>
            </w:r>
            <w:r w:rsidR="00C10B3B" w:rsidRPr="00C336DD">
              <w:rPr>
                <w:lang w:val="en-GB"/>
              </w:rPr>
              <w:t>(</w:t>
            </w:r>
            <w:r>
              <w:rPr>
                <w:lang w:val="en-GB"/>
              </w:rPr>
              <w:t>GDP</w:t>
            </w:r>
            <w:r w:rsidR="00C10B3B" w:rsidRPr="00C336DD">
              <w:rPr>
                <w:lang w:val="en-GB"/>
              </w:rPr>
              <w:t xml:space="preserve">) </w:t>
            </w:r>
            <w:r>
              <w:rPr>
                <w:lang w:val="en-GB"/>
              </w:rPr>
              <w:t>expanded by 4.5%</w:t>
            </w:r>
            <w:r w:rsidR="00C10B3B" w:rsidRPr="00C336DD">
              <w:rPr>
                <w:rStyle w:val="Znakapoznpodarou"/>
                <w:rFonts w:cs="Arial"/>
                <w:lang w:val="en-GB"/>
              </w:rPr>
              <w:footnoteReference w:id="4"/>
            </w:r>
            <w:r>
              <w:rPr>
                <w:lang w:val="en-GB"/>
              </w:rPr>
              <w:t xml:space="preserve"> in 2017</w:t>
            </w:r>
            <w:r w:rsidR="00C10B3B" w:rsidRPr="00C336DD">
              <w:rPr>
                <w:lang w:val="en-GB"/>
              </w:rPr>
              <w:t xml:space="preserve">. </w:t>
            </w:r>
            <w:r w:rsidR="00E14A98" w:rsidRPr="00C336DD">
              <w:rPr>
                <w:lang w:val="en-GB"/>
              </w:rPr>
              <w:t xml:space="preserve">It represents the second highest value since the </w:t>
            </w:r>
            <w:r w:rsidR="00C268AD">
              <w:rPr>
                <w:lang w:val="en-GB"/>
              </w:rPr>
              <w:t xml:space="preserve">expansion </w:t>
            </w:r>
            <w:r w:rsidR="00E14A98" w:rsidRPr="00C336DD">
              <w:rPr>
                <w:lang w:val="en-GB"/>
              </w:rPr>
              <w:t xml:space="preserve">year </w:t>
            </w:r>
            <w:r w:rsidR="00C10B3B" w:rsidRPr="00C336DD">
              <w:rPr>
                <w:lang w:val="en-GB"/>
              </w:rPr>
              <w:t xml:space="preserve">2007. </w:t>
            </w:r>
            <w:r w:rsidR="00E14A98" w:rsidRPr="00C336DD">
              <w:rPr>
                <w:lang w:val="en-GB"/>
              </w:rPr>
              <w:t xml:space="preserve">The economic growth was higher only in </w:t>
            </w:r>
            <w:r w:rsidR="00C10B3B" w:rsidRPr="00C336DD">
              <w:rPr>
                <w:lang w:val="en-GB"/>
              </w:rPr>
              <w:t xml:space="preserve">2015, </w:t>
            </w:r>
            <w:r>
              <w:rPr>
                <w:lang w:val="en-GB"/>
              </w:rPr>
              <w:t>when the economy was considerably stimulated by the finalisation of drawing of resources from the European funds. The year-on-</w:t>
            </w:r>
            <w:r w:rsidR="00654E14">
              <w:rPr>
                <w:lang w:val="en-GB"/>
              </w:rPr>
              <w:t>year dynamics</w:t>
            </w:r>
            <w:r>
              <w:rPr>
                <w:lang w:val="en-GB"/>
              </w:rPr>
              <w:t xml:space="preserve"> was strengthening in the course of the last year. </w:t>
            </w:r>
            <w:r w:rsidR="00AF398B">
              <w:rPr>
                <w:lang w:val="en-GB"/>
              </w:rPr>
              <w:t>Acceleration manifested in comparison to year 2016 alread</w:t>
            </w:r>
            <w:r w:rsidR="00DE5AD3">
              <w:rPr>
                <w:lang w:val="en-GB"/>
              </w:rPr>
              <w:t>y</w:t>
            </w:r>
            <w:r w:rsidR="00AF398B">
              <w:rPr>
                <w:lang w:val="en-GB"/>
              </w:rPr>
              <w:t xml:space="preserve"> in H</w:t>
            </w:r>
            <w:r w:rsidR="00C10B3B" w:rsidRPr="00C336DD">
              <w:rPr>
                <w:lang w:val="en-GB"/>
              </w:rPr>
              <w:t>1</w:t>
            </w:r>
            <w:r w:rsidR="00AF398B">
              <w:rPr>
                <w:lang w:val="en-GB"/>
              </w:rPr>
              <w:t xml:space="preserve"> </w:t>
            </w:r>
            <w:r w:rsidR="00C10B3B" w:rsidRPr="00C336DD">
              <w:rPr>
                <w:lang w:val="en-GB"/>
              </w:rPr>
              <w:t>(3</w:t>
            </w:r>
            <w:r w:rsidR="00AF398B">
              <w:rPr>
                <w:lang w:val="en-GB"/>
              </w:rPr>
              <w:t>.</w:t>
            </w:r>
            <w:r w:rsidR="00C10B3B" w:rsidRPr="00C336DD">
              <w:rPr>
                <w:lang w:val="en-GB"/>
              </w:rPr>
              <w:t>0%</w:t>
            </w:r>
            <w:r w:rsidR="00AF398B">
              <w:rPr>
                <w:lang w:val="en-GB"/>
              </w:rPr>
              <w:t xml:space="preserve"> in Q</w:t>
            </w:r>
            <w:r w:rsidR="00C10B3B" w:rsidRPr="00C336DD">
              <w:rPr>
                <w:lang w:val="en-GB"/>
              </w:rPr>
              <w:t>1, 4</w:t>
            </w:r>
            <w:r w:rsidR="00AF398B">
              <w:rPr>
                <w:lang w:val="en-GB"/>
              </w:rPr>
              <w:t>.</w:t>
            </w:r>
            <w:r w:rsidR="00C10B3B" w:rsidRPr="00C336DD">
              <w:rPr>
                <w:lang w:val="en-GB"/>
              </w:rPr>
              <w:t xml:space="preserve">6% </w:t>
            </w:r>
            <w:r w:rsidR="00AF398B">
              <w:rPr>
                <w:lang w:val="en-GB"/>
              </w:rPr>
              <w:t>in Q</w:t>
            </w:r>
            <w:r w:rsidR="00C10B3B" w:rsidRPr="00C336DD">
              <w:rPr>
                <w:lang w:val="en-GB"/>
              </w:rPr>
              <w:t xml:space="preserve">2). </w:t>
            </w:r>
            <w:r w:rsidR="00DE5AD3">
              <w:rPr>
                <w:lang w:val="en-GB"/>
              </w:rPr>
              <w:t>The year-on-year growth was 5.1% in Q</w:t>
            </w:r>
            <w:r w:rsidR="00C10B3B" w:rsidRPr="00C336DD">
              <w:rPr>
                <w:lang w:val="en-GB"/>
              </w:rPr>
              <w:t>3</w:t>
            </w:r>
            <w:r w:rsidR="00DE5AD3">
              <w:rPr>
                <w:lang w:val="en-GB"/>
              </w:rPr>
              <w:t xml:space="preserve"> and 5.2% in Q</w:t>
            </w:r>
            <w:r w:rsidR="00C10B3B" w:rsidRPr="00C336DD">
              <w:rPr>
                <w:lang w:val="en-GB"/>
              </w:rPr>
              <w:t xml:space="preserve">4. </w:t>
            </w:r>
            <w:r w:rsidR="00145AF9">
              <w:rPr>
                <w:lang w:val="en-GB"/>
              </w:rPr>
              <w:t xml:space="preserve">All GDP components shared in the high year-on-year increase. The growth was supported in a stable manner by the large contribution of the domestic consumption (especially households) as well as the </w:t>
            </w:r>
            <w:r w:rsidR="004F0B25">
              <w:rPr>
                <w:lang w:val="en-GB"/>
              </w:rPr>
              <w:t>foreign</w:t>
            </w:r>
            <w:r w:rsidR="00145AF9">
              <w:rPr>
                <w:lang w:val="en-GB"/>
              </w:rPr>
              <w:t xml:space="preserve"> demand over the whole year. </w:t>
            </w:r>
            <w:r w:rsidR="004F0B25">
              <w:rPr>
                <w:lang w:val="en-GB"/>
              </w:rPr>
              <w:t xml:space="preserve">On these foundations, a growing contribution of the investment activity could </w:t>
            </w:r>
            <w:r w:rsidR="00654E14">
              <w:rPr>
                <w:lang w:val="en-GB"/>
              </w:rPr>
              <w:t>have built</w:t>
            </w:r>
            <w:r w:rsidR="004F0B25">
              <w:rPr>
                <w:lang w:val="en-GB"/>
              </w:rPr>
              <w:t xml:space="preserve"> in the second half of the year. The quarter-on-quarter dynamics differed from the year-on-year one. The GDP attained the highest quarter-on-quarter additions in Q1 and 2 </w:t>
            </w:r>
            <w:r w:rsidR="00C10B3B" w:rsidRPr="00C336DD">
              <w:rPr>
                <w:lang w:val="en-GB"/>
              </w:rPr>
              <w:t>(1</w:t>
            </w:r>
            <w:r w:rsidR="004F0B25">
              <w:rPr>
                <w:lang w:val="en-GB"/>
              </w:rPr>
              <w:t>.</w:t>
            </w:r>
            <w:r w:rsidR="00C10B3B" w:rsidRPr="00C336DD">
              <w:rPr>
                <w:lang w:val="en-GB"/>
              </w:rPr>
              <w:t>5% a</w:t>
            </w:r>
            <w:r w:rsidR="004F0B25">
              <w:rPr>
                <w:lang w:val="en-GB"/>
              </w:rPr>
              <w:t>nd</w:t>
            </w:r>
            <w:r w:rsidR="00C10B3B" w:rsidRPr="00C336DD">
              <w:rPr>
                <w:lang w:val="en-GB"/>
              </w:rPr>
              <w:t> 2</w:t>
            </w:r>
            <w:r w:rsidR="004F0B25">
              <w:rPr>
                <w:lang w:val="en-GB"/>
              </w:rPr>
              <w:t>.</w:t>
            </w:r>
            <w:r w:rsidR="00C10B3B" w:rsidRPr="00C336DD">
              <w:rPr>
                <w:lang w:val="en-GB"/>
              </w:rPr>
              <w:t>4%)</w:t>
            </w:r>
            <w:proofErr w:type="gramStart"/>
            <w:r w:rsidR="00C10B3B" w:rsidRPr="00C336DD">
              <w:rPr>
                <w:lang w:val="en-GB"/>
              </w:rPr>
              <w:t>,</w:t>
            </w:r>
            <w:proofErr w:type="gramEnd"/>
            <w:r w:rsidR="00C10B3B" w:rsidRPr="00C336DD">
              <w:rPr>
                <w:lang w:val="en-GB"/>
              </w:rPr>
              <w:t xml:space="preserve"> </w:t>
            </w:r>
            <w:r w:rsidR="004F0B25">
              <w:rPr>
                <w:lang w:val="en-GB"/>
              </w:rPr>
              <w:t xml:space="preserve">the pace slackened to 0.6% and 0.5% in individual quarters in the second half of the year. The gross value added (GVA) increased by 4.5% in 2017. </w:t>
            </w:r>
            <w:r w:rsidR="00AD31B8">
              <w:rPr>
                <w:lang w:val="en-GB"/>
              </w:rPr>
              <w:t xml:space="preserve">The year-on-year growth of GVA somewhat exceeded the GDP addition in Q4 itself, when it reached </w:t>
            </w:r>
            <w:r w:rsidR="00C10B3B" w:rsidRPr="00C336DD">
              <w:rPr>
                <w:lang w:val="en-GB"/>
              </w:rPr>
              <w:t>5</w:t>
            </w:r>
            <w:r w:rsidR="00AD31B8">
              <w:rPr>
                <w:lang w:val="en-GB"/>
              </w:rPr>
              <w:t>.</w:t>
            </w:r>
            <w:r w:rsidR="00C10B3B" w:rsidRPr="00C336DD">
              <w:rPr>
                <w:lang w:val="en-GB"/>
              </w:rPr>
              <w:t>4%.</w:t>
            </w:r>
          </w:p>
          <w:p w:rsidR="00C10B3B" w:rsidRPr="00C336DD" w:rsidRDefault="00C10B3B" w:rsidP="006E4368">
            <w:pPr>
              <w:pStyle w:val="Bezmezer"/>
              <w:rPr>
                <w:sz w:val="16"/>
                <w:szCs w:val="16"/>
                <w:lang w:val="en-GB"/>
              </w:rPr>
            </w:pP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575" w:type="pct"/>
          </w:tcPr>
          <w:p w:rsidR="00DD0726" w:rsidRPr="00E14A98" w:rsidRDefault="00E14A98" w:rsidP="006C3DC1">
            <w:pPr>
              <w:pStyle w:val="Textpoznpodarou"/>
              <w:jc w:val="both"/>
              <w:rPr>
                <w:rFonts w:cs="Arial"/>
                <w:lang w:val="en-GB"/>
              </w:rPr>
            </w:pPr>
            <w:r w:rsidRPr="00E14A98">
              <w:rPr>
                <w:rFonts w:cs="Arial"/>
                <w:lang w:val="en-GB"/>
              </w:rPr>
              <w:t>Chart</w:t>
            </w:r>
            <w:r w:rsidR="00DD0726" w:rsidRPr="00E14A98">
              <w:rPr>
                <w:rFonts w:cs="Arial"/>
                <w:lang w:val="en-GB"/>
              </w:rPr>
              <w:t xml:space="preserve"> 1</w:t>
            </w:r>
          </w:p>
        </w:tc>
        <w:tc>
          <w:tcPr>
            <w:tcW w:w="3274" w:type="pct"/>
            <w:gridSpan w:val="2"/>
          </w:tcPr>
          <w:p w:rsidR="00DD0726" w:rsidRPr="00E14A98" w:rsidRDefault="00E14A98" w:rsidP="00E14A98">
            <w:pPr>
              <w:pStyle w:val="Textpoznpodarou"/>
              <w:spacing w:after="60"/>
              <w:jc w:val="both"/>
              <w:rPr>
                <w:rFonts w:cs="Arial"/>
                <w:lang w:val="en-GB"/>
              </w:rPr>
            </w:pPr>
            <w:r w:rsidRPr="00E14A98">
              <w:rPr>
                <w:rFonts w:cs="Arial"/>
                <w:b/>
                <w:lang w:val="en-GB" w:eastAsia="en-US"/>
              </w:rPr>
              <w:t>GDP</w:t>
            </w:r>
            <w:r w:rsidR="00DD0726" w:rsidRPr="00E14A98">
              <w:rPr>
                <w:rFonts w:cs="Arial"/>
                <w:b/>
                <w:lang w:val="en-GB" w:eastAsia="en-US"/>
              </w:rPr>
              <w:t xml:space="preserve"> </w:t>
            </w:r>
            <w:r w:rsidR="00DD0726" w:rsidRPr="002A7A78">
              <w:rPr>
                <w:rFonts w:cs="Arial"/>
                <w:spacing w:val="-2"/>
                <w:lang w:val="en-GB" w:eastAsia="en-US"/>
              </w:rPr>
              <w:t>(</w:t>
            </w:r>
            <w:r w:rsidRPr="002A7A78">
              <w:rPr>
                <w:rFonts w:cs="Arial"/>
                <w:spacing w:val="-2"/>
                <w:lang w:val="en-GB" w:eastAsia="en-US"/>
              </w:rPr>
              <w:t>volume indices</w:t>
            </w:r>
            <w:r w:rsidR="00DD0726" w:rsidRPr="002A7A78">
              <w:rPr>
                <w:rFonts w:cs="Arial"/>
                <w:spacing w:val="-2"/>
                <w:lang w:val="en-GB" w:eastAsia="en-US"/>
              </w:rPr>
              <w:t xml:space="preserve">, </w:t>
            </w:r>
            <w:r w:rsidRPr="002A7A78">
              <w:rPr>
                <w:rFonts w:cs="Arial"/>
                <w:spacing w:val="-2"/>
                <w:lang w:val="en-GB" w:eastAsia="en-US"/>
              </w:rPr>
              <w:t>adjusted for seasonal and calendar effects</w:t>
            </w:r>
            <w:r w:rsidR="00DD0726" w:rsidRPr="002A7A78">
              <w:rPr>
                <w:rFonts w:cs="Arial"/>
                <w:spacing w:val="-2"/>
                <w:lang w:val="en-GB" w:eastAsia="en-US"/>
              </w:rPr>
              <w:t xml:space="preserve">, </w:t>
            </w:r>
            <w:r w:rsidRPr="002A7A78">
              <w:rPr>
                <w:rFonts w:cs="Arial"/>
                <w:spacing w:val="-2"/>
                <w:lang w:val="en-GB" w:eastAsia="en-US"/>
              </w:rPr>
              <w:t>in</w:t>
            </w:r>
            <w:r w:rsidR="00DD0726" w:rsidRPr="002A7A78">
              <w:rPr>
                <w:rFonts w:cs="Arial"/>
                <w:spacing w:val="-2"/>
                <w:lang w:val="en-GB" w:eastAsia="en-US"/>
              </w:rPr>
              <w:t xml:space="preserve"> %)</w:t>
            </w: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Default="001D53CB" w:rsidP="006C3DC1">
            <w:pPr>
              <w:pStyle w:val="Textpoznpodarou"/>
              <w:rPr>
                <w:rFonts w:cs="Arial"/>
                <w:sz w:val="14"/>
                <w:szCs w:val="14"/>
              </w:rPr>
            </w:pPr>
            <w:r w:rsidRPr="001D53CB">
              <w:rPr>
                <w:rFonts w:cs="Arial"/>
                <w:noProof/>
                <w:sz w:val="14"/>
                <w:szCs w:val="14"/>
              </w:rPr>
              <w:drawing>
                <wp:inline distT="0" distB="0" distL="0" distR="0">
                  <wp:extent cx="4734105" cy="3420000"/>
                  <wp:effectExtent l="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0726" w:rsidRPr="002E4069" w:rsidRDefault="00AD31B8" w:rsidP="004570DE">
            <w:pPr>
              <w:pStyle w:val="Textpoznpodarou"/>
              <w:jc w:val="right"/>
              <w:rPr>
                <w:rFonts w:cs="Arial"/>
                <w:sz w:val="14"/>
                <w:szCs w:val="14"/>
              </w:rPr>
            </w:pPr>
            <w:proofErr w:type="spellStart"/>
            <w:r>
              <w:rPr>
                <w:rFonts w:cs="Arial"/>
                <w:sz w:val="14"/>
                <w:szCs w:val="14"/>
              </w:rPr>
              <w:t>Source</w:t>
            </w:r>
            <w:proofErr w:type="spellEnd"/>
            <w:r w:rsidR="00DD0726" w:rsidRPr="002E4069">
              <w:rPr>
                <w:rFonts w:cs="Arial"/>
                <w:sz w:val="14"/>
                <w:szCs w:val="14"/>
              </w:rPr>
              <w:t xml:space="preserve">: </w:t>
            </w:r>
            <w:r>
              <w:rPr>
                <w:rFonts w:cs="Arial"/>
                <w:sz w:val="14"/>
                <w:szCs w:val="14"/>
              </w:rPr>
              <w:t>CZSO</w:t>
            </w:r>
            <w:r w:rsidR="00DD0726" w:rsidRPr="002E4069">
              <w:rPr>
                <w:rFonts w:cs="Arial"/>
                <w:sz w:val="14"/>
                <w:szCs w:val="14"/>
              </w:rPr>
              <w:t xml:space="preserve">, </w:t>
            </w:r>
            <w:proofErr w:type="spellStart"/>
            <w:r w:rsidR="00DD0726" w:rsidRPr="002E4069">
              <w:rPr>
                <w:rFonts w:cs="Arial"/>
                <w:sz w:val="14"/>
                <w:szCs w:val="14"/>
              </w:rPr>
              <w:t>Eurostat</w:t>
            </w:r>
            <w:proofErr w:type="spellEnd"/>
          </w:p>
        </w:tc>
      </w:tr>
      <w:tr w:rsidR="00C10B3B" w:rsidRPr="00A74192" w:rsidTr="006C3DC1">
        <w:tblPrEx>
          <w:tblCellMar>
            <w:left w:w="70" w:type="dxa"/>
            <w:right w:w="70" w:type="dxa"/>
          </w:tblCellMar>
        </w:tblPrEx>
        <w:tc>
          <w:tcPr>
            <w:tcW w:w="1007" w:type="pct"/>
          </w:tcPr>
          <w:p w:rsidR="00C10B3B" w:rsidRPr="00E4164E" w:rsidRDefault="00526A54" w:rsidP="00526A54">
            <w:pPr>
              <w:spacing w:line="240" w:lineRule="auto"/>
              <w:rPr>
                <w:rFonts w:cs="Arial"/>
                <w:sz w:val="16"/>
                <w:szCs w:val="16"/>
                <w:lang w:val="en-GB"/>
              </w:rPr>
            </w:pPr>
            <w:r w:rsidRPr="00E4164E">
              <w:rPr>
                <w:rFonts w:cs="Arial"/>
                <w:sz w:val="16"/>
                <w:szCs w:val="16"/>
                <w:lang w:val="en-GB"/>
              </w:rPr>
              <w:lastRenderedPageBreak/>
              <w:t xml:space="preserve">The European economy also prospered. </w:t>
            </w:r>
          </w:p>
        </w:tc>
        <w:tc>
          <w:tcPr>
            <w:tcW w:w="144" w:type="pct"/>
          </w:tcPr>
          <w:p w:rsidR="00C10B3B" w:rsidRPr="00E4164E" w:rsidRDefault="00C10B3B" w:rsidP="006E4368">
            <w:pPr>
              <w:pStyle w:val="Textpoznpodarou"/>
              <w:ind w:left="-132" w:firstLine="132"/>
              <w:rPr>
                <w:rFonts w:cs="Arial"/>
                <w:lang w:val="en-GB"/>
              </w:rPr>
            </w:pPr>
          </w:p>
        </w:tc>
        <w:tc>
          <w:tcPr>
            <w:tcW w:w="3849" w:type="pct"/>
            <w:gridSpan w:val="3"/>
          </w:tcPr>
          <w:p w:rsidR="00C10B3B" w:rsidRPr="00E4164E" w:rsidRDefault="00E4164E" w:rsidP="00420D92">
            <w:pPr>
              <w:pStyle w:val="Textpoznpodarou"/>
              <w:jc w:val="both"/>
              <w:rPr>
                <w:rFonts w:cs="Arial"/>
                <w:sz w:val="16"/>
                <w:szCs w:val="16"/>
                <w:lang w:val="en-GB" w:eastAsia="en-US"/>
              </w:rPr>
            </w:pPr>
            <w:r>
              <w:rPr>
                <w:rFonts w:cs="Arial"/>
                <w:lang w:val="en-GB" w:eastAsia="en-US"/>
              </w:rPr>
              <w:t>The year-on-year GDP growth gained pace compared to year 2016 in the European Union as well. The GDP expanded by 2.4%</w:t>
            </w:r>
            <w:r w:rsidR="00C10B3B" w:rsidRPr="00E4164E">
              <w:rPr>
                <w:rStyle w:val="Znakapoznpodarou"/>
                <w:spacing w:val="-2"/>
                <w:lang w:val="en-GB"/>
              </w:rPr>
              <w:footnoteReference w:id="5"/>
            </w:r>
            <w:r>
              <w:rPr>
                <w:rFonts w:cs="Arial"/>
                <w:lang w:val="en-GB" w:eastAsia="en-US"/>
              </w:rPr>
              <w:t xml:space="preserve"> in the EU last year</w:t>
            </w:r>
            <w:r w:rsidR="00C10B3B" w:rsidRPr="00E4164E">
              <w:rPr>
                <w:rFonts w:cs="Arial"/>
                <w:lang w:val="en-GB" w:eastAsia="en-US"/>
              </w:rPr>
              <w:t xml:space="preserve">. </w:t>
            </w:r>
            <w:r>
              <w:rPr>
                <w:rFonts w:cs="Arial"/>
                <w:lang w:val="en-GB" w:eastAsia="en-US"/>
              </w:rPr>
              <w:t xml:space="preserve">It moderated to 2.6% year-on-year in Q4 itself. </w:t>
            </w:r>
            <w:r w:rsidR="00C2412D">
              <w:rPr>
                <w:rFonts w:cs="Arial"/>
                <w:lang w:val="en-GB" w:eastAsia="en-US"/>
              </w:rPr>
              <w:t xml:space="preserve">Romania achieved the highest GDP increase based on the available data in </w:t>
            </w:r>
            <w:r w:rsidR="00C10B3B" w:rsidRPr="00E4164E">
              <w:rPr>
                <w:rFonts w:cs="Arial"/>
                <w:lang w:val="en-GB" w:eastAsia="en-US"/>
              </w:rPr>
              <w:t>2017</w:t>
            </w:r>
            <w:r w:rsidR="00C2412D">
              <w:rPr>
                <w:rFonts w:cs="Arial"/>
                <w:lang w:val="en-GB" w:eastAsia="en-US"/>
              </w:rPr>
              <w:t xml:space="preserve">, specifically </w:t>
            </w:r>
            <w:r w:rsidR="00CD1A5C" w:rsidRPr="00E4164E">
              <w:rPr>
                <w:rFonts w:cs="Arial"/>
                <w:lang w:val="en-GB" w:eastAsia="en-US"/>
              </w:rPr>
              <w:t>7</w:t>
            </w:r>
            <w:r w:rsidR="00C2412D">
              <w:rPr>
                <w:rFonts w:cs="Arial"/>
                <w:lang w:val="en-GB" w:eastAsia="en-US"/>
              </w:rPr>
              <w:t>.</w:t>
            </w:r>
            <w:r w:rsidR="00CD1A5C" w:rsidRPr="00E4164E">
              <w:rPr>
                <w:rFonts w:cs="Arial"/>
                <w:lang w:val="en-GB" w:eastAsia="en-US"/>
              </w:rPr>
              <w:t xml:space="preserve">0%. </w:t>
            </w:r>
            <w:r w:rsidR="00C2412D">
              <w:rPr>
                <w:rFonts w:cs="Arial"/>
                <w:lang w:val="en-GB" w:eastAsia="en-US"/>
              </w:rPr>
              <w:t xml:space="preserve">Malta (6.6%) and Slovenia (5.0%) were other strongly growing economies. According to data for Q1 to Q3, Ireland will likely be placed on the position of the fastest growing economy or tightly below, where the year-on-year dynamics was manifesting even </w:t>
            </w:r>
            <w:r w:rsidR="00654E14">
              <w:rPr>
                <w:rFonts w:cs="Arial"/>
                <w:lang w:val="en-GB" w:eastAsia="en-US"/>
              </w:rPr>
              <w:t>double-digit</w:t>
            </w:r>
            <w:r w:rsidR="00C2412D">
              <w:rPr>
                <w:rFonts w:cs="Arial"/>
                <w:lang w:val="en-GB" w:eastAsia="en-US"/>
              </w:rPr>
              <w:t xml:space="preserve"> values. Economies of Italy (1.5%, still the highest growth since 2010), Belgium (1.7%), Great Britain (1.7%) and France (1.8%) had to face less than </w:t>
            </w:r>
            <w:r w:rsidR="00CD1A5C" w:rsidRPr="00E4164E">
              <w:rPr>
                <w:rFonts w:cs="Arial"/>
                <w:lang w:val="en-GB" w:eastAsia="en-US"/>
              </w:rPr>
              <w:t xml:space="preserve">2% </w:t>
            </w:r>
            <w:r w:rsidR="00C2412D">
              <w:rPr>
                <w:rFonts w:cs="Arial"/>
                <w:lang w:val="en-GB" w:eastAsia="en-US"/>
              </w:rPr>
              <w:t xml:space="preserve">growth. Countries neighbouring the </w:t>
            </w:r>
            <w:r w:rsidR="00654E14">
              <w:rPr>
                <w:rFonts w:cs="Arial"/>
                <w:lang w:val="en-GB" w:eastAsia="en-US"/>
              </w:rPr>
              <w:t>Czech Republic</w:t>
            </w:r>
            <w:r w:rsidR="00C2412D">
              <w:rPr>
                <w:rFonts w:cs="Arial"/>
                <w:lang w:val="en-GB" w:eastAsia="en-US"/>
              </w:rPr>
              <w:t xml:space="preserve"> also enjoyed a successful year, which was in the end favourably mirrored in the performance of the domestic economy via foreign trade. </w:t>
            </w:r>
            <w:r w:rsidR="00B6136C">
              <w:rPr>
                <w:rFonts w:cs="Arial"/>
                <w:lang w:val="en-GB" w:eastAsia="en-US"/>
              </w:rPr>
              <w:t xml:space="preserve">German economy increased pace and its GDP rose by 2.2% in 2017 here, Slovakia strengthened by 3.4%, Poland experienced </w:t>
            </w:r>
            <w:proofErr w:type="gramStart"/>
            <w:r w:rsidR="00B6136C">
              <w:rPr>
                <w:rFonts w:cs="Arial"/>
                <w:lang w:val="en-GB" w:eastAsia="en-US"/>
              </w:rPr>
              <w:t>a jump</w:t>
            </w:r>
            <w:proofErr w:type="gramEnd"/>
            <w:r w:rsidR="00B6136C">
              <w:rPr>
                <w:rFonts w:cs="Arial"/>
                <w:lang w:val="en-GB" w:eastAsia="en-US"/>
              </w:rPr>
              <w:t xml:space="preserve"> </w:t>
            </w:r>
            <w:r w:rsidR="00AE5270">
              <w:rPr>
                <w:rFonts w:cs="Arial"/>
                <w:lang w:val="en-GB" w:eastAsia="en-US"/>
              </w:rPr>
              <w:t>acceleration</w:t>
            </w:r>
            <w:r w:rsidR="00B6136C">
              <w:rPr>
                <w:rFonts w:cs="Arial"/>
                <w:lang w:val="en-GB" w:eastAsia="en-US"/>
              </w:rPr>
              <w:t xml:space="preserve"> to 4.6% and Austria also nearly doubled its growth (2.9%)</w:t>
            </w:r>
            <w:r w:rsidR="00AE5270">
              <w:rPr>
                <w:rFonts w:cs="Arial"/>
                <w:lang w:val="en-GB" w:eastAsia="en-US"/>
              </w:rPr>
              <w:t xml:space="preserve"> compared to year 2016. Quarter-on-quarter dynamics of the GDP growth in the EU crossed the 0.5% boundary in </w:t>
            </w:r>
            <w:r w:rsidR="00C10B3B" w:rsidRPr="00E4164E">
              <w:rPr>
                <w:rFonts w:cs="Arial"/>
                <w:lang w:val="en-GB" w:eastAsia="en-US"/>
              </w:rPr>
              <w:t>2017</w:t>
            </w:r>
            <w:r w:rsidR="00AE5270">
              <w:rPr>
                <w:rFonts w:cs="Arial"/>
                <w:lang w:val="en-GB" w:eastAsia="en-US"/>
              </w:rPr>
              <w:t xml:space="preserve"> </w:t>
            </w:r>
            <w:r w:rsidR="00C10B3B" w:rsidRPr="00E4164E">
              <w:rPr>
                <w:rFonts w:cs="Arial"/>
                <w:lang w:val="en-GB" w:eastAsia="en-US"/>
              </w:rPr>
              <w:t>(0</w:t>
            </w:r>
            <w:r w:rsidR="00AE5270">
              <w:rPr>
                <w:rFonts w:cs="Arial"/>
                <w:lang w:val="en-GB" w:eastAsia="en-US"/>
              </w:rPr>
              <w:t>.</w:t>
            </w:r>
            <w:r w:rsidR="00C10B3B" w:rsidRPr="00E4164E">
              <w:rPr>
                <w:rFonts w:cs="Arial"/>
                <w:lang w:val="en-GB" w:eastAsia="en-US"/>
              </w:rPr>
              <w:t>6%, 0</w:t>
            </w:r>
            <w:r w:rsidR="00AE5270">
              <w:rPr>
                <w:rFonts w:cs="Arial"/>
                <w:lang w:val="en-GB" w:eastAsia="en-US"/>
              </w:rPr>
              <w:t>.</w:t>
            </w:r>
            <w:r w:rsidR="00C10B3B" w:rsidRPr="00E4164E">
              <w:rPr>
                <w:rFonts w:cs="Arial"/>
                <w:lang w:val="en-GB" w:eastAsia="en-US"/>
              </w:rPr>
              <w:t>7%, 0</w:t>
            </w:r>
            <w:r w:rsidR="00AE5270">
              <w:rPr>
                <w:rFonts w:cs="Arial"/>
                <w:lang w:val="en-GB" w:eastAsia="en-US"/>
              </w:rPr>
              <w:t>.</w:t>
            </w:r>
            <w:r w:rsidR="00C10B3B" w:rsidRPr="00E4164E">
              <w:rPr>
                <w:rFonts w:cs="Arial"/>
                <w:lang w:val="en-GB" w:eastAsia="en-US"/>
              </w:rPr>
              <w:t>7% a</w:t>
            </w:r>
            <w:r w:rsidR="00AE5270">
              <w:rPr>
                <w:rFonts w:cs="Arial"/>
                <w:lang w:val="en-GB" w:eastAsia="en-US"/>
              </w:rPr>
              <w:t>nd</w:t>
            </w:r>
            <w:r w:rsidR="00C10B3B" w:rsidRPr="00E4164E">
              <w:rPr>
                <w:rFonts w:cs="Arial"/>
                <w:lang w:val="en-GB" w:eastAsia="en-US"/>
              </w:rPr>
              <w:t xml:space="preserve"> 0</w:t>
            </w:r>
            <w:r w:rsidR="00AE5270">
              <w:rPr>
                <w:rFonts w:cs="Arial"/>
                <w:lang w:val="en-GB" w:eastAsia="en-US"/>
              </w:rPr>
              <w:t>.</w:t>
            </w:r>
            <w:r w:rsidR="00C10B3B" w:rsidRPr="00E4164E">
              <w:rPr>
                <w:rFonts w:cs="Arial"/>
                <w:lang w:val="en-GB" w:eastAsia="en-US"/>
              </w:rPr>
              <w:t xml:space="preserve">6% </w:t>
            </w:r>
            <w:r w:rsidR="00AE5270">
              <w:rPr>
                <w:rFonts w:cs="Arial"/>
                <w:lang w:val="en-GB" w:eastAsia="en-US"/>
              </w:rPr>
              <w:t>in individual quarters</w:t>
            </w:r>
            <w:r w:rsidR="00C10B3B" w:rsidRPr="00E4164E">
              <w:rPr>
                <w:rFonts w:cs="Arial"/>
                <w:lang w:val="en-GB" w:eastAsia="en-US"/>
              </w:rPr>
              <w:t>).</w:t>
            </w:r>
          </w:p>
          <w:p w:rsidR="00420D92" w:rsidRPr="00E4164E" w:rsidRDefault="00420D92" w:rsidP="00420D92">
            <w:pPr>
              <w:pStyle w:val="Textpoznpodarou"/>
              <w:jc w:val="both"/>
              <w:rPr>
                <w:rFonts w:cs="Arial"/>
                <w:sz w:val="16"/>
                <w:szCs w:val="16"/>
                <w:lang w:val="en-GB" w:eastAsia="en-US"/>
              </w:rPr>
            </w:pPr>
          </w:p>
        </w:tc>
      </w:tr>
      <w:tr w:rsidR="00DD0726" w:rsidRPr="00A6766C" w:rsidTr="006C3DC1">
        <w:tc>
          <w:tcPr>
            <w:tcW w:w="1007" w:type="pct"/>
          </w:tcPr>
          <w:p w:rsidR="00DD0726" w:rsidRPr="00A6766C" w:rsidRDefault="00DD0726" w:rsidP="006C3DC1">
            <w:pPr>
              <w:spacing w:line="240" w:lineRule="auto"/>
              <w:jc w:val="center"/>
              <w:rPr>
                <w:rFonts w:cs="Arial"/>
                <w:szCs w:val="20"/>
              </w:rPr>
            </w:pPr>
          </w:p>
        </w:tc>
        <w:tc>
          <w:tcPr>
            <w:tcW w:w="144" w:type="pct"/>
          </w:tcPr>
          <w:p w:rsidR="00DD0726" w:rsidRPr="00A6766C" w:rsidRDefault="00DD0726" w:rsidP="006C3DC1">
            <w:pPr>
              <w:pStyle w:val="Textpoznpodarou"/>
              <w:jc w:val="both"/>
              <w:rPr>
                <w:rFonts w:cs="Arial"/>
              </w:rPr>
            </w:pPr>
          </w:p>
        </w:tc>
        <w:tc>
          <w:tcPr>
            <w:tcW w:w="575" w:type="pct"/>
          </w:tcPr>
          <w:p w:rsidR="00DD0726" w:rsidRPr="00A6766C" w:rsidRDefault="0084535E" w:rsidP="0084535E">
            <w:pPr>
              <w:pStyle w:val="Textpoznpodarou"/>
              <w:jc w:val="both"/>
              <w:rPr>
                <w:rFonts w:cs="Arial"/>
              </w:rPr>
            </w:pPr>
            <w:r>
              <w:rPr>
                <w:rFonts w:cs="Arial"/>
                <w:lang w:eastAsia="en-US"/>
              </w:rPr>
              <w:t xml:space="preserve">Chart </w:t>
            </w:r>
            <w:r w:rsidR="00DD0726" w:rsidRPr="00A6766C">
              <w:rPr>
                <w:rFonts w:cs="Arial"/>
                <w:lang w:eastAsia="en-US"/>
              </w:rPr>
              <w:t>2</w:t>
            </w:r>
          </w:p>
        </w:tc>
        <w:tc>
          <w:tcPr>
            <w:tcW w:w="3274" w:type="pct"/>
            <w:gridSpan w:val="2"/>
          </w:tcPr>
          <w:p w:rsidR="00DD0726" w:rsidRPr="000B5746" w:rsidRDefault="0084535E" w:rsidP="000B5746">
            <w:pPr>
              <w:pStyle w:val="Textpoznpodarou"/>
              <w:jc w:val="both"/>
              <w:rPr>
                <w:rFonts w:cs="Arial"/>
                <w:lang w:val="en-GB" w:eastAsia="en-US"/>
              </w:rPr>
            </w:pPr>
            <w:r w:rsidRPr="000B5746">
              <w:rPr>
                <w:rFonts w:cs="Arial"/>
                <w:b/>
                <w:lang w:val="en-GB" w:eastAsia="en-US"/>
              </w:rPr>
              <w:t>GDP</w:t>
            </w:r>
            <w:r w:rsidR="00DD0726" w:rsidRPr="000B5746">
              <w:rPr>
                <w:rFonts w:cs="Arial"/>
                <w:b/>
                <w:lang w:val="en-GB" w:eastAsia="en-US"/>
              </w:rPr>
              <w:t xml:space="preserve"> </w:t>
            </w:r>
            <w:r w:rsidR="00DD0726" w:rsidRPr="000B5746">
              <w:rPr>
                <w:rFonts w:cs="Arial"/>
                <w:lang w:val="en-GB" w:eastAsia="en-US"/>
              </w:rPr>
              <w:t>(</w:t>
            </w:r>
            <w:r w:rsidR="000B5746" w:rsidRPr="000B5746">
              <w:rPr>
                <w:rFonts w:cs="Arial"/>
                <w:lang w:val="en-GB" w:eastAsia="en-US"/>
              </w:rPr>
              <w:t>volume indices</w:t>
            </w:r>
            <w:r w:rsidR="00DD0726" w:rsidRPr="000B5746">
              <w:rPr>
                <w:rFonts w:cs="Arial"/>
                <w:lang w:val="en-GB" w:eastAsia="en-US"/>
              </w:rPr>
              <w:t xml:space="preserve">, </w:t>
            </w:r>
            <w:r w:rsidR="000B5746" w:rsidRPr="000B5746">
              <w:rPr>
                <w:rFonts w:cs="Arial"/>
                <w:lang w:val="en-GB" w:eastAsia="en-US"/>
              </w:rPr>
              <w:t>adjusted for seasonal and calendar effects</w:t>
            </w:r>
            <w:r w:rsidR="00DD0726" w:rsidRPr="000B5746">
              <w:rPr>
                <w:rFonts w:cs="Arial"/>
                <w:lang w:val="en-GB" w:eastAsia="en-US"/>
              </w:rPr>
              <w:t xml:space="preserve">, </w:t>
            </w:r>
            <w:r w:rsidR="000B5746" w:rsidRPr="000B5746">
              <w:rPr>
                <w:rFonts w:cs="Arial"/>
                <w:lang w:val="en-GB" w:eastAsia="en-US"/>
              </w:rPr>
              <w:t xml:space="preserve">year-on-year in </w:t>
            </w:r>
            <w:r w:rsidR="00DD0726" w:rsidRPr="000B5746">
              <w:rPr>
                <w:rFonts w:cs="Arial"/>
                <w:lang w:val="en-GB" w:eastAsia="en-US"/>
              </w:rPr>
              <w:t xml:space="preserve">%, </w:t>
            </w:r>
            <w:r w:rsidR="000B5746" w:rsidRPr="000B5746">
              <w:rPr>
                <w:rFonts w:cs="Arial"/>
                <w:lang w:val="en-GB" w:eastAsia="en-US"/>
              </w:rPr>
              <w:t>right axis</w:t>
            </w:r>
            <w:r w:rsidR="00DD0726" w:rsidRPr="000B5746">
              <w:rPr>
                <w:rFonts w:cs="Arial"/>
                <w:lang w:val="en-GB" w:eastAsia="en-US"/>
              </w:rPr>
              <w:t xml:space="preserve">) </w:t>
            </w:r>
            <w:r w:rsidR="00DD0726" w:rsidRPr="000B5746">
              <w:rPr>
                <w:rFonts w:cs="Arial"/>
                <w:b/>
                <w:lang w:val="en-GB" w:eastAsia="en-US"/>
              </w:rPr>
              <w:t>a</w:t>
            </w:r>
            <w:r w:rsidR="000B5746" w:rsidRPr="000B5746">
              <w:rPr>
                <w:rFonts w:cs="Arial"/>
                <w:b/>
                <w:lang w:val="en-GB" w:eastAsia="en-US"/>
              </w:rPr>
              <w:t xml:space="preserve">nd confidence indicators </w:t>
            </w:r>
            <w:r w:rsidR="00DD0726" w:rsidRPr="000B5746">
              <w:rPr>
                <w:rFonts w:cs="Arial"/>
                <w:lang w:val="en-GB" w:eastAsia="en-US"/>
              </w:rPr>
              <w:t>(2005=100, le</w:t>
            </w:r>
            <w:r w:rsidR="000B5746" w:rsidRPr="000B5746">
              <w:rPr>
                <w:rFonts w:cs="Arial"/>
                <w:lang w:val="en-GB" w:eastAsia="en-US"/>
              </w:rPr>
              <w:t>ft axis</w:t>
            </w:r>
            <w:r w:rsidR="00DD0726" w:rsidRPr="000B5746">
              <w:rPr>
                <w:rFonts w:cs="Arial"/>
                <w:lang w:val="en-GB" w:eastAsia="en-US"/>
              </w:rPr>
              <w:t>)</w:t>
            </w:r>
          </w:p>
        </w:tc>
      </w:tr>
      <w:tr w:rsidR="00DD0726" w:rsidRPr="00A74192" w:rsidTr="006C3DC1">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Pr="000B5746" w:rsidRDefault="001D53CB" w:rsidP="006C3DC1">
            <w:pPr>
              <w:pStyle w:val="Textpoznpodarou"/>
              <w:ind w:left="-94"/>
              <w:jc w:val="both"/>
              <w:rPr>
                <w:rFonts w:cs="Arial"/>
                <w:lang w:val="en-GB"/>
              </w:rPr>
            </w:pPr>
            <w:r w:rsidRPr="001D53CB">
              <w:rPr>
                <w:rFonts w:cs="Arial"/>
                <w:noProof/>
              </w:rPr>
              <w:drawing>
                <wp:inline distT="0" distB="0" distL="0" distR="0">
                  <wp:extent cx="4735901" cy="3420000"/>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0726" w:rsidRDefault="0084535E" w:rsidP="001D53CB">
            <w:pPr>
              <w:pStyle w:val="Textpoznpodarou"/>
              <w:ind w:left="-94"/>
              <w:jc w:val="right"/>
              <w:rPr>
                <w:rFonts w:cs="Arial"/>
                <w:sz w:val="14"/>
                <w:szCs w:val="14"/>
                <w:lang w:val="en-GB"/>
              </w:rPr>
            </w:pPr>
            <w:r w:rsidRPr="000B5746">
              <w:rPr>
                <w:rFonts w:cs="Arial"/>
                <w:sz w:val="14"/>
                <w:szCs w:val="14"/>
                <w:lang w:val="en-GB"/>
              </w:rPr>
              <w:t>Source</w:t>
            </w:r>
            <w:r w:rsidR="00DD0726" w:rsidRPr="000B5746">
              <w:rPr>
                <w:rFonts w:cs="Arial"/>
                <w:sz w:val="14"/>
                <w:szCs w:val="14"/>
                <w:lang w:val="en-GB"/>
              </w:rPr>
              <w:t xml:space="preserve">: </w:t>
            </w:r>
            <w:r w:rsidRPr="000B5746">
              <w:rPr>
                <w:rFonts w:cs="Arial"/>
                <w:sz w:val="14"/>
                <w:szCs w:val="14"/>
                <w:lang w:val="en-GB"/>
              </w:rPr>
              <w:t>CZSO</w:t>
            </w:r>
          </w:p>
          <w:p w:rsidR="001D53CB" w:rsidRPr="001D53CB" w:rsidRDefault="001D53CB" w:rsidP="001D53CB">
            <w:pPr>
              <w:pStyle w:val="Textpoznpodarou"/>
              <w:ind w:left="-94"/>
              <w:jc w:val="right"/>
              <w:rPr>
                <w:rFonts w:cs="Arial"/>
                <w:sz w:val="14"/>
                <w:szCs w:val="14"/>
                <w:lang w:val="en-GB"/>
              </w:rPr>
            </w:pPr>
          </w:p>
        </w:tc>
      </w:tr>
      <w:tr w:rsidR="00A33C9A" w:rsidRPr="00A74192" w:rsidTr="006C3DC1">
        <w:tc>
          <w:tcPr>
            <w:tcW w:w="1007" w:type="pct"/>
          </w:tcPr>
          <w:p w:rsidR="00E46E03" w:rsidRPr="006B797F" w:rsidRDefault="00543989" w:rsidP="006E4368">
            <w:pPr>
              <w:spacing w:line="240" w:lineRule="auto"/>
              <w:rPr>
                <w:rFonts w:cs="Arial"/>
                <w:sz w:val="16"/>
                <w:szCs w:val="16"/>
                <w:lang w:val="en-GB"/>
              </w:rPr>
            </w:pPr>
            <w:r w:rsidRPr="006B797F">
              <w:rPr>
                <w:rFonts w:cs="Arial"/>
                <w:sz w:val="16"/>
                <w:szCs w:val="16"/>
                <w:lang w:val="en-GB"/>
              </w:rPr>
              <w:t xml:space="preserve">Domestic consumption expanded fastest since year </w:t>
            </w:r>
            <w:r w:rsidR="00A33C9A" w:rsidRPr="006B797F">
              <w:rPr>
                <w:rFonts w:cs="Arial"/>
                <w:sz w:val="16"/>
                <w:szCs w:val="16"/>
                <w:lang w:val="en-GB"/>
              </w:rPr>
              <w:t xml:space="preserve">2007. </w:t>
            </w:r>
            <w:r w:rsidR="006B797F" w:rsidRPr="006B797F">
              <w:rPr>
                <w:rFonts w:cs="Arial"/>
                <w:sz w:val="16"/>
                <w:szCs w:val="16"/>
                <w:lang w:val="en-GB"/>
              </w:rPr>
              <w:t>Mostly households were spending.</w:t>
            </w:r>
          </w:p>
          <w:p w:rsidR="00E46E03" w:rsidRPr="006B797F" w:rsidRDefault="00E46E03" w:rsidP="006E4368">
            <w:pPr>
              <w:spacing w:line="240" w:lineRule="auto"/>
              <w:rPr>
                <w:rFonts w:cs="Arial"/>
                <w:sz w:val="16"/>
                <w:szCs w:val="16"/>
                <w:lang w:val="en-GB"/>
              </w:rPr>
            </w:pPr>
          </w:p>
          <w:p w:rsidR="00E46E03" w:rsidRPr="006B797F" w:rsidRDefault="00E46E03" w:rsidP="006E4368">
            <w:pPr>
              <w:spacing w:line="240" w:lineRule="auto"/>
              <w:rPr>
                <w:rFonts w:cs="Arial"/>
                <w:sz w:val="16"/>
                <w:szCs w:val="16"/>
                <w:lang w:val="en-GB"/>
              </w:rPr>
            </w:pPr>
          </w:p>
          <w:p w:rsidR="00E46E03" w:rsidRPr="006B797F" w:rsidRDefault="00E46E03" w:rsidP="006E4368">
            <w:pPr>
              <w:spacing w:line="240" w:lineRule="auto"/>
              <w:rPr>
                <w:rFonts w:cs="Arial"/>
                <w:sz w:val="16"/>
                <w:szCs w:val="16"/>
                <w:lang w:val="en-GB"/>
              </w:rPr>
            </w:pPr>
          </w:p>
          <w:p w:rsidR="00E46E03" w:rsidRPr="006B797F" w:rsidRDefault="00E46E03" w:rsidP="006E4368">
            <w:pPr>
              <w:spacing w:line="240" w:lineRule="auto"/>
              <w:rPr>
                <w:rFonts w:cs="Arial"/>
                <w:sz w:val="16"/>
                <w:szCs w:val="16"/>
                <w:lang w:val="en-GB"/>
              </w:rPr>
            </w:pPr>
          </w:p>
          <w:p w:rsidR="00E46E03" w:rsidRDefault="00E46E03"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Default="00551A4F" w:rsidP="00E46E03">
            <w:pPr>
              <w:spacing w:line="240" w:lineRule="auto"/>
              <w:rPr>
                <w:rFonts w:cs="Arial"/>
                <w:sz w:val="16"/>
                <w:szCs w:val="16"/>
                <w:lang w:val="en-GB"/>
              </w:rPr>
            </w:pPr>
          </w:p>
          <w:p w:rsidR="00551A4F" w:rsidRPr="006B797F" w:rsidRDefault="00551A4F" w:rsidP="00E46E03">
            <w:pPr>
              <w:spacing w:line="240" w:lineRule="auto"/>
              <w:rPr>
                <w:rFonts w:cs="Arial"/>
                <w:sz w:val="16"/>
                <w:szCs w:val="16"/>
                <w:lang w:val="en-GB"/>
              </w:rPr>
            </w:pPr>
          </w:p>
          <w:p w:rsidR="00E46E03" w:rsidRPr="006B797F" w:rsidRDefault="00E46E03" w:rsidP="00E46E03">
            <w:pPr>
              <w:spacing w:line="240" w:lineRule="auto"/>
              <w:rPr>
                <w:rFonts w:cs="Arial"/>
                <w:sz w:val="16"/>
                <w:szCs w:val="16"/>
                <w:lang w:val="en-GB"/>
              </w:rPr>
            </w:pPr>
          </w:p>
          <w:p w:rsidR="00A33C9A" w:rsidRPr="005E2AB2" w:rsidRDefault="00994835" w:rsidP="00994835">
            <w:pPr>
              <w:spacing w:line="240" w:lineRule="auto"/>
              <w:rPr>
                <w:rFonts w:cs="Arial"/>
                <w:sz w:val="16"/>
                <w:szCs w:val="16"/>
              </w:rPr>
            </w:pPr>
            <w:r>
              <w:rPr>
                <w:rFonts w:cs="Arial"/>
                <w:sz w:val="16"/>
                <w:szCs w:val="16"/>
                <w:lang w:val="en-GB"/>
              </w:rPr>
              <w:t xml:space="preserve">Growth of household consumption was partially satiated </w:t>
            </w:r>
            <w:r w:rsidR="001B1EFA">
              <w:rPr>
                <w:rFonts w:cs="Arial"/>
                <w:sz w:val="16"/>
                <w:szCs w:val="16"/>
                <w:lang w:val="en-GB"/>
              </w:rPr>
              <w:t>through</w:t>
            </w:r>
            <w:r>
              <w:rPr>
                <w:rFonts w:cs="Arial"/>
                <w:sz w:val="16"/>
                <w:szCs w:val="16"/>
                <w:lang w:val="en-GB"/>
              </w:rPr>
              <w:t xml:space="preserve"> foreign supply. </w:t>
            </w:r>
          </w:p>
        </w:tc>
        <w:tc>
          <w:tcPr>
            <w:tcW w:w="144" w:type="pct"/>
          </w:tcPr>
          <w:p w:rsidR="00A33C9A" w:rsidRPr="005E2AB2" w:rsidRDefault="00A33C9A" w:rsidP="006E4368">
            <w:pPr>
              <w:pStyle w:val="Textpoznpodarou"/>
              <w:rPr>
                <w:rFonts w:cs="Arial"/>
              </w:rPr>
            </w:pPr>
          </w:p>
        </w:tc>
        <w:tc>
          <w:tcPr>
            <w:tcW w:w="3849" w:type="pct"/>
            <w:gridSpan w:val="3"/>
          </w:tcPr>
          <w:p w:rsidR="00A33C9A" w:rsidRPr="000B5746" w:rsidRDefault="001D53CB" w:rsidP="00E46E03">
            <w:pPr>
              <w:pStyle w:val="Textpoznpodarou"/>
              <w:jc w:val="both"/>
              <w:rPr>
                <w:rFonts w:cs="Arial"/>
                <w:sz w:val="16"/>
                <w:szCs w:val="16"/>
                <w:lang w:val="en-GB"/>
              </w:rPr>
            </w:pPr>
            <w:r>
              <w:rPr>
                <w:rFonts w:cs="Arial"/>
                <w:lang w:val="en-GB"/>
              </w:rPr>
              <w:t>Domestic</w:t>
            </w:r>
            <w:r w:rsidR="00994835">
              <w:rPr>
                <w:rFonts w:cs="Arial"/>
                <w:lang w:val="en-GB"/>
              </w:rPr>
              <w:t xml:space="preserve"> consumption expenditures </w:t>
            </w:r>
            <w:r w:rsidR="00EB0FCC">
              <w:rPr>
                <w:rFonts w:cs="Arial"/>
                <w:lang w:val="en-GB"/>
              </w:rPr>
              <w:t xml:space="preserve">grew </w:t>
            </w:r>
            <w:r w:rsidR="00994835">
              <w:rPr>
                <w:rFonts w:cs="Arial"/>
                <w:lang w:val="en-GB"/>
              </w:rPr>
              <w:t xml:space="preserve">by 3.3% in </w:t>
            </w:r>
            <w:r w:rsidR="00A33C9A" w:rsidRPr="000B5746">
              <w:rPr>
                <w:rFonts w:cs="Arial"/>
                <w:lang w:val="en-GB"/>
              </w:rPr>
              <w:t>2017</w:t>
            </w:r>
            <w:r w:rsidR="00994835">
              <w:rPr>
                <w:rFonts w:cs="Arial"/>
                <w:lang w:val="en-GB"/>
              </w:rPr>
              <w:t xml:space="preserve">, which is the most since </w:t>
            </w:r>
            <w:r w:rsidR="00A33C9A" w:rsidRPr="000B5746">
              <w:rPr>
                <w:rFonts w:cs="Arial"/>
                <w:lang w:val="en-GB"/>
              </w:rPr>
              <w:t xml:space="preserve">2003. </w:t>
            </w:r>
            <w:r w:rsidR="00B3216D">
              <w:rPr>
                <w:rFonts w:cs="Arial"/>
                <w:lang w:val="en-GB"/>
              </w:rPr>
              <w:t xml:space="preserve">Year-on-year growth of the household consumption accelerated </w:t>
            </w:r>
            <w:r w:rsidR="00A33C9A" w:rsidRPr="000B5746">
              <w:rPr>
                <w:rFonts w:cs="Arial"/>
                <w:lang w:val="en-GB"/>
              </w:rPr>
              <w:t>(4</w:t>
            </w:r>
            <w:r w:rsidR="00B3216D">
              <w:rPr>
                <w:rFonts w:cs="Arial"/>
                <w:lang w:val="en-GB"/>
              </w:rPr>
              <w:t>.</w:t>
            </w:r>
            <w:r w:rsidR="00A33C9A" w:rsidRPr="000B5746">
              <w:rPr>
                <w:rFonts w:cs="Arial"/>
                <w:lang w:val="en-GB"/>
              </w:rPr>
              <w:t xml:space="preserve">0%, </w:t>
            </w:r>
            <w:r w:rsidR="00B3216D">
              <w:rPr>
                <w:rFonts w:cs="Arial"/>
                <w:lang w:val="en-GB"/>
              </w:rPr>
              <w:t xml:space="preserve">the most since </w:t>
            </w:r>
            <w:r w:rsidR="00A33C9A" w:rsidRPr="000B5746">
              <w:rPr>
                <w:rFonts w:cs="Arial"/>
                <w:lang w:val="en-GB"/>
              </w:rPr>
              <w:t>2007)</w:t>
            </w:r>
            <w:proofErr w:type="gramStart"/>
            <w:r w:rsidR="00A33C9A" w:rsidRPr="000B5746">
              <w:rPr>
                <w:rFonts w:cs="Arial"/>
                <w:lang w:val="en-GB"/>
              </w:rPr>
              <w:t>,</w:t>
            </w:r>
            <w:proofErr w:type="gramEnd"/>
            <w:r w:rsidR="00A33C9A" w:rsidRPr="000B5746">
              <w:rPr>
                <w:rFonts w:cs="Arial"/>
                <w:lang w:val="en-GB"/>
              </w:rPr>
              <w:t xml:space="preserve"> </w:t>
            </w:r>
            <w:r w:rsidR="00B3216D">
              <w:rPr>
                <w:rFonts w:cs="Arial"/>
                <w:lang w:val="en-GB"/>
              </w:rPr>
              <w:t xml:space="preserve">on the contrary the government expenditures were not expanding as fast as in the preceding two years last year </w:t>
            </w:r>
            <w:r w:rsidR="00A33C9A" w:rsidRPr="000B5746">
              <w:rPr>
                <w:rFonts w:cs="Arial"/>
                <w:lang w:val="en-GB"/>
              </w:rPr>
              <w:t>(1</w:t>
            </w:r>
            <w:r w:rsidR="00B3216D">
              <w:rPr>
                <w:rFonts w:cs="Arial"/>
                <w:lang w:val="en-GB"/>
              </w:rPr>
              <w:t>.</w:t>
            </w:r>
            <w:r w:rsidR="00A33C9A" w:rsidRPr="000B5746">
              <w:rPr>
                <w:rFonts w:cs="Arial"/>
                <w:lang w:val="en-GB"/>
              </w:rPr>
              <w:t xml:space="preserve">6%). </w:t>
            </w:r>
            <w:r w:rsidR="00B3216D">
              <w:rPr>
                <w:rFonts w:cs="Arial"/>
                <w:lang w:val="en-GB"/>
              </w:rPr>
              <w:t xml:space="preserve">The dynamics of the household consumption reflected the marked </w:t>
            </w:r>
            <w:r w:rsidR="00C636C0">
              <w:rPr>
                <w:rFonts w:cs="Arial"/>
                <w:lang w:val="en-GB"/>
              </w:rPr>
              <w:t>growth</w:t>
            </w:r>
            <w:r w:rsidR="00B3216D">
              <w:rPr>
                <w:rFonts w:cs="Arial"/>
                <w:lang w:val="en-GB"/>
              </w:rPr>
              <w:t xml:space="preserve"> of wages as well as the positive expectations regarding the future economic development. </w:t>
            </w:r>
            <w:r w:rsidR="00C636C0">
              <w:rPr>
                <w:rFonts w:cs="Arial"/>
                <w:lang w:val="en-GB"/>
              </w:rPr>
              <w:t xml:space="preserve">Its year-on-year growth overtook the 4% boundary in Q2 to Q4. Similarly to GDP, the quarter-on-quarter dynamics of consumption also slowed down during the year. The quarter-on-quarter additions of expenditures on total consumption amounted to 0.6% in both Q3 and 4. </w:t>
            </w:r>
            <w:r w:rsidR="008328C9">
              <w:rPr>
                <w:rFonts w:cs="Arial"/>
                <w:lang w:val="en-GB"/>
              </w:rPr>
              <w:t>The household consumption itself also increased in the same way during Q4. Look on the year-on-year dynamics of expenditures based on durability showed, that the growth of expenditures on durable items slowed down the most in 2017</w:t>
            </w:r>
            <w:r w:rsidR="00A33C9A" w:rsidRPr="000B5746">
              <w:rPr>
                <w:rFonts w:cs="Arial"/>
                <w:lang w:val="en-GB"/>
              </w:rPr>
              <w:t xml:space="preserve"> (</w:t>
            </w:r>
            <w:r w:rsidR="008328C9">
              <w:rPr>
                <w:rFonts w:cs="Arial"/>
                <w:lang w:val="en-GB"/>
              </w:rPr>
              <w:t xml:space="preserve">from more than </w:t>
            </w:r>
            <w:r w:rsidR="00A33C9A" w:rsidRPr="000B5746">
              <w:rPr>
                <w:rFonts w:cs="Arial"/>
                <w:lang w:val="en-GB"/>
              </w:rPr>
              <w:t>10</w:t>
            </w:r>
            <w:r w:rsidR="008328C9">
              <w:rPr>
                <w:rFonts w:cs="Arial"/>
                <w:lang w:val="en-GB"/>
              </w:rPr>
              <w:t>.</w:t>
            </w:r>
            <w:r w:rsidR="00A33C9A" w:rsidRPr="000B5746">
              <w:rPr>
                <w:rFonts w:cs="Arial"/>
                <w:lang w:val="en-GB"/>
              </w:rPr>
              <w:t xml:space="preserve">0% </w:t>
            </w:r>
            <w:r w:rsidR="008328C9">
              <w:rPr>
                <w:rFonts w:cs="Arial"/>
                <w:lang w:val="en-GB"/>
              </w:rPr>
              <w:t xml:space="preserve">to </w:t>
            </w:r>
            <w:r w:rsidR="00A33C9A" w:rsidRPr="000B5746">
              <w:rPr>
                <w:rFonts w:cs="Arial"/>
                <w:lang w:val="en-GB"/>
              </w:rPr>
              <w:t>5</w:t>
            </w:r>
            <w:r w:rsidR="008328C9">
              <w:rPr>
                <w:rFonts w:cs="Arial"/>
                <w:lang w:val="en-GB"/>
              </w:rPr>
              <w:t>.</w:t>
            </w:r>
            <w:r w:rsidR="00A33C9A" w:rsidRPr="000B5746">
              <w:rPr>
                <w:rFonts w:cs="Arial"/>
                <w:lang w:val="en-GB"/>
              </w:rPr>
              <w:t>9%</w:t>
            </w:r>
            <w:r w:rsidR="00A33C9A" w:rsidRPr="000B5746">
              <w:rPr>
                <w:rStyle w:val="Znakapoznpodarou"/>
                <w:lang w:val="en-GB"/>
              </w:rPr>
              <w:footnoteReference w:id="6"/>
            </w:r>
            <w:r w:rsidR="00A33C9A" w:rsidRPr="000B5746">
              <w:rPr>
                <w:rFonts w:cs="Arial"/>
                <w:lang w:val="en-GB"/>
              </w:rPr>
              <w:t>)</w:t>
            </w:r>
            <w:r w:rsidR="008328C9">
              <w:rPr>
                <w:rFonts w:cs="Arial"/>
                <w:lang w:val="en-GB"/>
              </w:rPr>
              <w:t xml:space="preserve"> and </w:t>
            </w:r>
            <w:r w:rsidR="00B2153E">
              <w:rPr>
                <w:rFonts w:cs="Arial"/>
                <w:lang w:val="en-GB"/>
              </w:rPr>
              <w:t xml:space="preserve">the growth of expenditures on short term consumption goods </w:t>
            </w:r>
            <w:r w:rsidR="00A33C9A" w:rsidRPr="000B5746">
              <w:rPr>
                <w:rFonts w:cs="Arial"/>
                <w:lang w:val="en-GB"/>
              </w:rPr>
              <w:t>(4</w:t>
            </w:r>
            <w:r w:rsidR="00B2153E">
              <w:rPr>
                <w:rFonts w:cs="Arial"/>
                <w:lang w:val="en-GB"/>
              </w:rPr>
              <w:t>.</w:t>
            </w:r>
            <w:r w:rsidR="00A33C9A" w:rsidRPr="000B5746">
              <w:rPr>
                <w:rFonts w:cs="Arial"/>
                <w:lang w:val="en-GB"/>
              </w:rPr>
              <w:t>1%) a</w:t>
            </w:r>
            <w:r w:rsidR="00B2153E">
              <w:rPr>
                <w:rFonts w:cs="Arial"/>
                <w:lang w:val="en-GB"/>
              </w:rPr>
              <w:t xml:space="preserve">nd services </w:t>
            </w:r>
            <w:r w:rsidR="00A33C9A" w:rsidRPr="000B5746">
              <w:rPr>
                <w:rFonts w:cs="Arial"/>
                <w:lang w:val="en-GB"/>
              </w:rPr>
              <w:t>(2</w:t>
            </w:r>
            <w:r w:rsidR="00B2153E">
              <w:rPr>
                <w:rFonts w:cs="Arial"/>
                <w:lang w:val="en-GB"/>
              </w:rPr>
              <w:t>.</w:t>
            </w:r>
            <w:r w:rsidR="00A33C9A" w:rsidRPr="000B5746">
              <w:rPr>
                <w:rFonts w:cs="Arial"/>
                <w:lang w:val="en-GB"/>
              </w:rPr>
              <w:t>7%)</w:t>
            </w:r>
            <w:r w:rsidR="00B2153E">
              <w:rPr>
                <w:rFonts w:cs="Arial"/>
                <w:lang w:val="en-GB"/>
              </w:rPr>
              <w:t xml:space="preserve"> accelerated</w:t>
            </w:r>
            <w:r w:rsidR="00A33C9A" w:rsidRPr="000B5746">
              <w:rPr>
                <w:rFonts w:cs="Arial"/>
                <w:lang w:val="en-GB"/>
              </w:rPr>
              <w:t>.</w:t>
            </w:r>
            <w:r w:rsidR="00E46E03" w:rsidRPr="000B5746">
              <w:rPr>
                <w:rFonts w:cs="Arial"/>
                <w:lang w:val="en-GB"/>
              </w:rPr>
              <w:t xml:space="preserve"> </w:t>
            </w:r>
            <w:r w:rsidR="00B2153E">
              <w:rPr>
                <w:rFonts w:cs="Arial"/>
                <w:lang w:val="en-GB"/>
              </w:rPr>
              <w:t xml:space="preserve">Total </w:t>
            </w:r>
            <w:r w:rsidR="00B2153E">
              <w:rPr>
                <w:rFonts w:cs="Arial"/>
                <w:lang w:val="en-GB"/>
              </w:rPr>
              <w:lastRenderedPageBreak/>
              <w:t>consumption expenditures contributed to the year-on-year GDP growth by 1.7</w:t>
            </w:r>
            <w:r w:rsidR="00E46E03" w:rsidRPr="000B5746">
              <w:rPr>
                <w:rFonts w:cs="Arial"/>
                <w:lang w:val="en-GB"/>
              </w:rPr>
              <w:t> </w:t>
            </w:r>
            <w:r w:rsidR="0030607B">
              <w:rPr>
                <w:rFonts w:cs="Arial"/>
                <w:lang w:val="en-GB"/>
              </w:rPr>
              <w:t>p.p.</w:t>
            </w:r>
            <w:r w:rsidR="00E46E03" w:rsidRPr="000B5746">
              <w:rPr>
                <w:rStyle w:val="Znakapoznpodarou"/>
                <w:lang w:val="en-GB"/>
              </w:rPr>
              <w:footnoteReference w:id="7"/>
            </w:r>
            <w:r w:rsidR="00B2153E">
              <w:rPr>
                <w:rFonts w:cs="Arial"/>
                <w:lang w:val="en-GB"/>
              </w:rPr>
              <w:t xml:space="preserve"> in 2017</w:t>
            </w:r>
            <w:r w:rsidR="00E46E03" w:rsidRPr="000B5746">
              <w:rPr>
                <w:rFonts w:cs="Arial"/>
                <w:lang w:val="en-GB"/>
              </w:rPr>
              <w:t xml:space="preserve">, </w:t>
            </w:r>
            <w:r w:rsidR="00B2153E">
              <w:rPr>
                <w:rFonts w:cs="Arial"/>
                <w:lang w:val="en-GB"/>
              </w:rPr>
              <w:t xml:space="preserve">in that household consumption by </w:t>
            </w:r>
            <w:r w:rsidR="00E46E03" w:rsidRPr="000B5746">
              <w:rPr>
                <w:rFonts w:cs="Arial"/>
                <w:lang w:val="en-GB"/>
              </w:rPr>
              <w:t>1</w:t>
            </w:r>
            <w:r w:rsidR="00B2153E">
              <w:rPr>
                <w:rFonts w:cs="Arial"/>
                <w:lang w:val="en-GB"/>
              </w:rPr>
              <w:t>.</w:t>
            </w:r>
            <w:r w:rsidR="00E46E03" w:rsidRPr="000B5746">
              <w:rPr>
                <w:rFonts w:cs="Arial"/>
                <w:lang w:val="en-GB"/>
              </w:rPr>
              <w:t xml:space="preserve">4 </w:t>
            </w:r>
            <w:r w:rsidR="0030607B">
              <w:rPr>
                <w:rFonts w:cs="Arial"/>
                <w:lang w:val="en-GB"/>
              </w:rPr>
              <w:t>p.p.</w:t>
            </w:r>
            <w:r w:rsidR="00E46E03" w:rsidRPr="000B5746">
              <w:rPr>
                <w:rFonts w:cs="Arial"/>
                <w:lang w:val="en-GB"/>
              </w:rPr>
              <w:t xml:space="preserve"> </w:t>
            </w:r>
            <w:r w:rsidR="00240924">
              <w:rPr>
                <w:rFonts w:cs="Arial"/>
                <w:lang w:val="en-GB"/>
              </w:rPr>
              <w:t>Consumption contributed to growth the most in Q</w:t>
            </w:r>
            <w:r w:rsidR="00E46E03" w:rsidRPr="000B5746">
              <w:rPr>
                <w:rFonts w:cs="Arial"/>
                <w:lang w:val="en-GB"/>
              </w:rPr>
              <w:t>2</w:t>
            </w:r>
            <w:r w:rsidR="00240924">
              <w:rPr>
                <w:rFonts w:cs="Arial"/>
                <w:lang w:val="en-GB"/>
              </w:rPr>
              <w:t xml:space="preserve"> </w:t>
            </w:r>
            <w:r w:rsidR="00E46E03" w:rsidRPr="000B5746">
              <w:rPr>
                <w:rFonts w:cs="Arial"/>
                <w:lang w:val="en-GB"/>
              </w:rPr>
              <w:t>(1</w:t>
            </w:r>
            <w:r w:rsidR="00240924">
              <w:rPr>
                <w:rFonts w:cs="Arial"/>
                <w:lang w:val="en-GB"/>
              </w:rPr>
              <w:t>.</w:t>
            </w:r>
            <w:r w:rsidR="00E46E03" w:rsidRPr="000B5746">
              <w:rPr>
                <w:rFonts w:cs="Arial"/>
                <w:lang w:val="en-GB"/>
              </w:rPr>
              <w:t xml:space="preserve">8 </w:t>
            </w:r>
            <w:r w:rsidR="0030607B">
              <w:rPr>
                <w:rFonts w:cs="Arial"/>
                <w:lang w:val="en-GB"/>
              </w:rPr>
              <w:t>p.p.</w:t>
            </w:r>
            <w:r w:rsidR="00E46E03" w:rsidRPr="000B5746">
              <w:rPr>
                <w:rFonts w:cs="Arial"/>
                <w:lang w:val="en-GB"/>
              </w:rPr>
              <w:t xml:space="preserve">). </w:t>
            </w:r>
            <w:r w:rsidR="00240924">
              <w:rPr>
                <w:rFonts w:cs="Arial"/>
                <w:lang w:val="en-GB"/>
              </w:rPr>
              <w:t>The contribution was shrinking moderately in the next time periods. As is evident from the comparison of additions to the GDP development after and without exclusion of imports for final use</w:t>
            </w:r>
            <w:r w:rsidR="00E46E03" w:rsidRPr="000B5746">
              <w:rPr>
                <w:rFonts w:cs="Arial"/>
                <w:lang w:val="en-GB"/>
              </w:rPr>
              <w:t xml:space="preserve">, </w:t>
            </w:r>
            <w:r w:rsidR="00240924">
              <w:rPr>
                <w:rFonts w:cs="Arial"/>
                <w:lang w:val="en-GB"/>
              </w:rPr>
              <w:t>the accelerated growth of the household consumption was to a considerable extent saturated by foreign supply in Q</w:t>
            </w:r>
            <w:r w:rsidR="00E46E03" w:rsidRPr="000B5746">
              <w:rPr>
                <w:rFonts w:cs="Arial"/>
                <w:lang w:val="en-GB"/>
              </w:rPr>
              <w:t>2</w:t>
            </w:r>
            <w:r w:rsidR="00240924">
              <w:rPr>
                <w:rFonts w:cs="Arial"/>
                <w:lang w:val="en-GB"/>
              </w:rPr>
              <w:t xml:space="preserve"> to </w:t>
            </w:r>
            <w:r w:rsidR="001B1EFA">
              <w:rPr>
                <w:rFonts w:cs="Arial"/>
                <w:lang w:val="en-GB"/>
              </w:rPr>
              <w:t>Q</w:t>
            </w:r>
            <w:r w:rsidR="00E46E03" w:rsidRPr="000B5746">
              <w:rPr>
                <w:rFonts w:cs="Arial"/>
                <w:lang w:val="en-GB"/>
              </w:rPr>
              <w:t>4</w:t>
            </w:r>
            <w:r w:rsidR="00240924">
              <w:rPr>
                <w:rFonts w:cs="Arial"/>
                <w:lang w:val="en-GB"/>
              </w:rPr>
              <w:t xml:space="preserve">. </w:t>
            </w:r>
          </w:p>
          <w:p w:rsidR="00E46E03" w:rsidRPr="000B5746" w:rsidRDefault="00E46E03" w:rsidP="00E46E03">
            <w:pPr>
              <w:pStyle w:val="Textpoznpodarou"/>
              <w:jc w:val="both"/>
              <w:rPr>
                <w:rFonts w:cs="Arial"/>
                <w:sz w:val="16"/>
                <w:szCs w:val="16"/>
                <w:highlight w:val="yellow"/>
                <w:lang w:val="en-GB"/>
              </w:rPr>
            </w:pPr>
          </w:p>
        </w:tc>
      </w:tr>
      <w:tr w:rsidR="00A33C9A" w:rsidRPr="00A74192" w:rsidTr="006C3DC1">
        <w:tc>
          <w:tcPr>
            <w:tcW w:w="1007" w:type="pct"/>
          </w:tcPr>
          <w:p w:rsidR="00A33C9A" w:rsidRPr="00790C15" w:rsidRDefault="00790C15" w:rsidP="00790C15">
            <w:pPr>
              <w:spacing w:line="240" w:lineRule="auto"/>
              <w:rPr>
                <w:rFonts w:cs="Arial"/>
                <w:sz w:val="16"/>
                <w:szCs w:val="16"/>
                <w:lang w:val="en-GB"/>
              </w:rPr>
            </w:pPr>
            <w:r w:rsidRPr="00790C15">
              <w:rPr>
                <w:rFonts w:cs="Arial"/>
                <w:sz w:val="16"/>
                <w:szCs w:val="16"/>
                <w:lang w:val="en-GB"/>
              </w:rPr>
              <w:lastRenderedPageBreak/>
              <w:t xml:space="preserve">Wages and salaries markedly grew in both nominal and real terms. </w:t>
            </w:r>
          </w:p>
        </w:tc>
        <w:tc>
          <w:tcPr>
            <w:tcW w:w="144" w:type="pct"/>
          </w:tcPr>
          <w:p w:rsidR="00A33C9A" w:rsidRPr="005E2AB2" w:rsidRDefault="00A33C9A" w:rsidP="006E4368">
            <w:pPr>
              <w:pStyle w:val="Textpoznpodarou"/>
              <w:rPr>
                <w:rFonts w:cs="Arial"/>
              </w:rPr>
            </w:pPr>
          </w:p>
        </w:tc>
        <w:tc>
          <w:tcPr>
            <w:tcW w:w="3849" w:type="pct"/>
            <w:gridSpan w:val="3"/>
          </w:tcPr>
          <w:p w:rsidR="00A33C9A" w:rsidRPr="00A03B8A" w:rsidRDefault="00A03B8A" w:rsidP="006E4368">
            <w:pPr>
              <w:pStyle w:val="Textpoznpodarou"/>
              <w:jc w:val="both"/>
              <w:rPr>
                <w:rFonts w:cs="Arial"/>
                <w:sz w:val="16"/>
                <w:szCs w:val="16"/>
                <w:lang w:val="en-GB"/>
              </w:rPr>
            </w:pPr>
            <w:r w:rsidRPr="00A03B8A">
              <w:rPr>
                <w:rFonts w:cs="Arial"/>
                <w:lang w:val="en-GB"/>
              </w:rPr>
              <w:t xml:space="preserve">The mentioned growth of wages </w:t>
            </w:r>
            <w:r w:rsidR="004C77A8">
              <w:rPr>
                <w:rFonts w:cs="Arial"/>
                <w:lang w:val="en-GB"/>
              </w:rPr>
              <w:t xml:space="preserve">was </w:t>
            </w:r>
            <w:r w:rsidRPr="00A03B8A">
              <w:rPr>
                <w:rFonts w:cs="Arial"/>
                <w:lang w:val="en-GB"/>
              </w:rPr>
              <w:t xml:space="preserve">really exceptional. Nominal increase of the volume of paid out salaries and wages achieved 7.9% in </w:t>
            </w:r>
            <w:r w:rsidR="00A33C9A" w:rsidRPr="00A03B8A">
              <w:rPr>
                <w:rFonts w:cs="Arial"/>
                <w:lang w:val="en-GB"/>
              </w:rPr>
              <w:t>2017</w:t>
            </w:r>
            <w:r w:rsidRPr="00A03B8A">
              <w:rPr>
                <w:rFonts w:cs="Arial"/>
                <w:lang w:val="en-GB"/>
              </w:rPr>
              <w:t xml:space="preserve">, the most since year </w:t>
            </w:r>
            <w:r w:rsidR="00A33C9A" w:rsidRPr="00A03B8A">
              <w:rPr>
                <w:rFonts w:cs="Arial"/>
                <w:lang w:val="en-GB"/>
              </w:rPr>
              <w:t xml:space="preserve">2007. </w:t>
            </w:r>
            <w:r w:rsidR="00AC2CE1">
              <w:rPr>
                <w:rFonts w:cs="Arial"/>
                <w:lang w:val="en-GB"/>
              </w:rPr>
              <w:t xml:space="preserve">Rising inflation led to the increase in the difference between the real and nominal growth of salaries and wages compared to years </w:t>
            </w:r>
            <w:r w:rsidR="00A33C9A" w:rsidRPr="00A03B8A">
              <w:rPr>
                <w:rFonts w:cs="Arial"/>
                <w:lang w:val="en-GB"/>
              </w:rPr>
              <w:t>2013–2016</w:t>
            </w:r>
            <w:r w:rsidR="00E46E03" w:rsidRPr="00A03B8A">
              <w:rPr>
                <w:rFonts w:cs="Arial"/>
                <w:lang w:val="en-GB"/>
              </w:rPr>
              <w:t>.</w:t>
            </w:r>
            <w:r w:rsidR="00A33C9A" w:rsidRPr="00A03B8A">
              <w:rPr>
                <w:rFonts w:cs="Arial"/>
                <w:lang w:val="en-GB"/>
              </w:rPr>
              <w:t xml:space="preserve"> </w:t>
            </w:r>
            <w:r w:rsidR="00AC2CE1">
              <w:rPr>
                <w:rFonts w:cs="Arial"/>
                <w:lang w:val="en-GB"/>
              </w:rPr>
              <w:t xml:space="preserve">In real terms, there </w:t>
            </w:r>
            <w:proofErr w:type="gramStart"/>
            <w:r w:rsidR="00AC2CE1">
              <w:rPr>
                <w:rFonts w:cs="Arial"/>
                <w:lang w:val="en-GB"/>
              </w:rPr>
              <w:t>was by 5.3%</w:t>
            </w:r>
            <w:r w:rsidR="00AC2CE1" w:rsidRPr="00A03B8A">
              <w:rPr>
                <w:rStyle w:val="Znakapoznpodarou"/>
                <w:spacing w:val="-2"/>
                <w:lang w:val="en-GB"/>
              </w:rPr>
              <w:footnoteReference w:id="8"/>
            </w:r>
            <w:r w:rsidR="00AC2CE1">
              <w:rPr>
                <w:rFonts w:cs="Arial"/>
                <w:lang w:val="en-GB"/>
              </w:rPr>
              <w:t xml:space="preserve"> of paid out wage resources</w:t>
            </w:r>
            <w:proofErr w:type="gramEnd"/>
            <w:r w:rsidR="00AC2CE1">
              <w:rPr>
                <w:rFonts w:cs="Arial"/>
                <w:lang w:val="en-GB"/>
              </w:rPr>
              <w:t xml:space="preserve"> more last year. The pace of the volume of paid out salaries and wages was accelerating during the year and it reached </w:t>
            </w:r>
            <w:r w:rsidR="00A33C9A" w:rsidRPr="00A03B8A">
              <w:rPr>
                <w:rFonts w:cs="Arial"/>
                <w:lang w:val="en-GB"/>
              </w:rPr>
              <w:t>8</w:t>
            </w:r>
            <w:r w:rsidR="00AC2CE1">
              <w:rPr>
                <w:rFonts w:cs="Arial"/>
                <w:lang w:val="en-GB"/>
              </w:rPr>
              <w:t>.</w:t>
            </w:r>
            <w:r w:rsidR="00A33C9A" w:rsidRPr="00A03B8A">
              <w:rPr>
                <w:rFonts w:cs="Arial"/>
                <w:lang w:val="en-GB"/>
              </w:rPr>
              <w:t>4%</w:t>
            </w:r>
            <w:r w:rsidR="00AC2CE1">
              <w:rPr>
                <w:rFonts w:cs="Arial"/>
                <w:lang w:val="en-GB"/>
              </w:rPr>
              <w:t xml:space="preserve"> in Q4</w:t>
            </w:r>
            <w:r w:rsidR="00A33C9A" w:rsidRPr="00A03B8A">
              <w:rPr>
                <w:rFonts w:cs="Arial"/>
                <w:lang w:val="en-GB"/>
              </w:rPr>
              <w:t xml:space="preserve"> (</w:t>
            </w:r>
            <w:r w:rsidR="00AC2CE1">
              <w:rPr>
                <w:rFonts w:cs="Arial"/>
                <w:lang w:val="en-GB"/>
              </w:rPr>
              <w:t>the most since Q</w:t>
            </w:r>
            <w:r w:rsidR="00A33C9A" w:rsidRPr="00A03B8A">
              <w:rPr>
                <w:rFonts w:cs="Arial"/>
                <w:lang w:val="en-GB"/>
              </w:rPr>
              <w:t>2</w:t>
            </w:r>
            <w:r w:rsidR="00AC2CE1">
              <w:rPr>
                <w:rFonts w:cs="Arial"/>
                <w:lang w:val="en-GB"/>
              </w:rPr>
              <w:t xml:space="preserve"> </w:t>
            </w:r>
            <w:r w:rsidR="00A33C9A" w:rsidRPr="00A03B8A">
              <w:rPr>
                <w:rFonts w:cs="Arial"/>
                <w:lang w:val="en-GB"/>
              </w:rPr>
              <w:t>2008).</w:t>
            </w:r>
            <w:r w:rsidR="00AC2CE1">
              <w:rPr>
                <w:rFonts w:cs="Arial"/>
                <w:lang w:val="en-GB"/>
              </w:rPr>
              <w:t xml:space="preserve"> Growth of total employment (persons) also mildly increased last year and arrived at 1.</w:t>
            </w:r>
            <w:r w:rsidR="00A33C9A" w:rsidRPr="00A03B8A">
              <w:rPr>
                <w:rFonts w:cs="Arial"/>
                <w:lang w:val="en-GB"/>
              </w:rPr>
              <w:t>6%</w:t>
            </w:r>
            <w:r w:rsidR="00A33C9A" w:rsidRPr="00A03B8A">
              <w:rPr>
                <w:rStyle w:val="Znakapoznpodarou"/>
                <w:spacing w:val="-2"/>
                <w:lang w:val="en-GB"/>
              </w:rPr>
              <w:footnoteReference w:id="9"/>
            </w:r>
            <w:r w:rsidR="00A33C9A" w:rsidRPr="00A03B8A">
              <w:rPr>
                <w:rFonts w:cs="Arial"/>
                <w:lang w:val="en-GB"/>
              </w:rPr>
              <w:t xml:space="preserve">. </w:t>
            </w:r>
            <w:r w:rsidR="00AC2CE1">
              <w:rPr>
                <w:rFonts w:cs="Arial"/>
                <w:lang w:val="en-GB"/>
              </w:rPr>
              <w:t xml:space="preserve">Total employment gauged by the number of hours worked grew faster </w:t>
            </w:r>
            <w:r w:rsidR="00A33C9A" w:rsidRPr="00A03B8A">
              <w:rPr>
                <w:rFonts w:cs="Arial"/>
                <w:lang w:val="en-GB"/>
              </w:rPr>
              <w:t>(1</w:t>
            </w:r>
            <w:r w:rsidR="00AC2CE1">
              <w:rPr>
                <w:rFonts w:cs="Arial"/>
                <w:lang w:val="en-GB"/>
              </w:rPr>
              <w:t>.</w:t>
            </w:r>
            <w:r w:rsidR="00A33C9A" w:rsidRPr="00A03B8A">
              <w:rPr>
                <w:rFonts w:cs="Arial"/>
                <w:lang w:val="en-GB"/>
              </w:rPr>
              <w:t>9%).</w:t>
            </w:r>
          </w:p>
          <w:p w:rsidR="00A33C9A" w:rsidRPr="00DC475F" w:rsidRDefault="00A33C9A" w:rsidP="006E4368">
            <w:pPr>
              <w:pStyle w:val="Textpoznpodarou"/>
              <w:jc w:val="both"/>
              <w:rPr>
                <w:sz w:val="16"/>
                <w:highlight w:val="yellow"/>
              </w:rPr>
            </w:pPr>
          </w:p>
        </w:tc>
      </w:tr>
      <w:tr w:rsidR="00A33C9A" w:rsidRPr="00A74192" w:rsidTr="006C3DC1">
        <w:tc>
          <w:tcPr>
            <w:tcW w:w="1007" w:type="pct"/>
          </w:tcPr>
          <w:p w:rsidR="00A33C9A" w:rsidRPr="00A03B8A" w:rsidRDefault="00DF2078" w:rsidP="00AC2CE1">
            <w:pPr>
              <w:spacing w:line="240" w:lineRule="auto"/>
              <w:rPr>
                <w:rFonts w:cs="Arial"/>
                <w:sz w:val="16"/>
                <w:szCs w:val="16"/>
                <w:lang w:val="en-GB"/>
              </w:rPr>
            </w:pPr>
            <w:r w:rsidRPr="00A03B8A">
              <w:rPr>
                <w:rFonts w:cs="Arial"/>
                <w:sz w:val="16"/>
                <w:szCs w:val="16"/>
                <w:lang w:val="en-GB"/>
              </w:rPr>
              <w:t>Wages grew in all</w:t>
            </w:r>
            <w:r w:rsidR="00D56D85">
              <w:rPr>
                <w:rFonts w:cs="Arial"/>
                <w:sz w:val="16"/>
                <w:szCs w:val="16"/>
                <w:lang w:val="en-GB"/>
              </w:rPr>
              <w:t xml:space="preserve"> branches. </w:t>
            </w:r>
            <w:r w:rsidR="00AC2CE1">
              <w:rPr>
                <w:rFonts w:cs="Arial"/>
                <w:sz w:val="16"/>
                <w:szCs w:val="16"/>
                <w:lang w:val="en-GB"/>
              </w:rPr>
              <w:t xml:space="preserve">It was accompanied by growth of total employment as well. </w:t>
            </w:r>
          </w:p>
        </w:tc>
        <w:tc>
          <w:tcPr>
            <w:tcW w:w="144" w:type="pct"/>
          </w:tcPr>
          <w:p w:rsidR="00A33C9A" w:rsidRPr="00A03B8A" w:rsidRDefault="00A33C9A" w:rsidP="006E4368">
            <w:pPr>
              <w:pStyle w:val="Textpoznpodarou"/>
              <w:rPr>
                <w:rFonts w:cs="Arial"/>
                <w:lang w:val="en-GB"/>
              </w:rPr>
            </w:pPr>
          </w:p>
        </w:tc>
        <w:tc>
          <w:tcPr>
            <w:tcW w:w="3849" w:type="pct"/>
            <w:gridSpan w:val="3"/>
          </w:tcPr>
          <w:p w:rsidR="00A33C9A" w:rsidRPr="00A03B8A" w:rsidRDefault="00B93530" w:rsidP="006E4368">
            <w:pPr>
              <w:pStyle w:val="Textpoznpodarou"/>
              <w:jc w:val="both"/>
              <w:rPr>
                <w:rFonts w:cs="Arial"/>
                <w:sz w:val="16"/>
                <w:szCs w:val="16"/>
                <w:lang w:val="en-GB"/>
              </w:rPr>
            </w:pPr>
            <w:r w:rsidRPr="00A03B8A">
              <w:rPr>
                <w:rFonts w:cs="Arial"/>
                <w:lang w:val="en-GB"/>
              </w:rPr>
              <w:t>Manufacturing, which employs the highest number of workers, drove the total growth of wages and salaries in the last year. The volume of paid out wage resources increased by 8.6% here, while the employment did not increase much in this</w:t>
            </w:r>
            <w:r w:rsidR="00AA6FA8">
              <w:rPr>
                <w:rFonts w:cs="Arial"/>
                <w:lang w:val="en-GB"/>
              </w:rPr>
              <w:t xml:space="preserve"> branch </w:t>
            </w:r>
            <w:r w:rsidRPr="00A03B8A">
              <w:rPr>
                <w:rFonts w:cs="Arial"/>
                <w:lang w:val="en-GB"/>
              </w:rPr>
              <w:t>(0.6%)</w:t>
            </w:r>
            <w:r w:rsidR="00A33C9A" w:rsidRPr="00A03B8A">
              <w:rPr>
                <w:rFonts w:cs="Arial"/>
                <w:lang w:val="en-GB"/>
              </w:rPr>
              <w:t xml:space="preserve">. </w:t>
            </w:r>
            <w:r w:rsidR="00AA6FA8">
              <w:rPr>
                <w:rFonts w:cs="Arial"/>
                <w:lang w:val="en-GB"/>
              </w:rPr>
              <w:t xml:space="preserve">Trade, transportation, accommodation and restaurants </w:t>
            </w:r>
            <w:proofErr w:type="gramStart"/>
            <w:r w:rsidR="00AA6FA8">
              <w:rPr>
                <w:rFonts w:cs="Arial"/>
                <w:lang w:val="en-GB"/>
              </w:rPr>
              <w:t>is</w:t>
            </w:r>
            <w:proofErr w:type="gramEnd"/>
            <w:r w:rsidR="00AA6FA8">
              <w:rPr>
                <w:rFonts w:cs="Arial"/>
                <w:lang w:val="en-GB"/>
              </w:rPr>
              <w:t xml:space="preserve"> on the second place, the volume of wages rose by </w:t>
            </w:r>
            <w:r w:rsidR="00A33C9A" w:rsidRPr="00A03B8A">
              <w:rPr>
                <w:rFonts w:cs="Arial"/>
                <w:lang w:val="en-GB"/>
              </w:rPr>
              <w:t>8</w:t>
            </w:r>
            <w:r w:rsidR="00AA6FA8">
              <w:rPr>
                <w:rFonts w:cs="Arial"/>
                <w:lang w:val="en-GB"/>
              </w:rPr>
              <w:t>.</w:t>
            </w:r>
            <w:r w:rsidR="00A33C9A" w:rsidRPr="00A03B8A">
              <w:rPr>
                <w:rFonts w:cs="Arial"/>
                <w:lang w:val="en-GB"/>
              </w:rPr>
              <w:t xml:space="preserve">3%. </w:t>
            </w:r>
            <w:r w:rsidR="00FB1BC4">
              <w:rPr>
                <w:rFonts w:cs="Arial"/>
                <w:lang w:val="en-GB"/>
              </w:rPr>
              <w:t xml:space="preserve">At the same time the employment increased here by </w:t>
            </w:r>
            <w:r w:rsidR="00A33C9A" w:rsidRPr="00A03B8A">
              <w:rPr>
                <w:rFonts w:cs="Arial"/>
                <w:lang w:val="en-GB"/>
              </w:rPr>
              <w:t>2</w:t>
            </w:r>
            <w:r w:rsidR="00FB1BC4">
              <w:rPr>
                <w:rFonts w:cs="Arial"/>
                <w:lang w:val="en-GB"/>
              </w:rPr>
              <w:t>.</w:t>
            </w:r>
            <w:r w:rsidR="00A33C9A" w:rsidRPr="00A03B8A">
              <w:rPr>
                <w:rFonts w:cs="Arial"/>
                <w:lang w:val="en-GB"/>
              </w:rPr>
              <w:t xml:space="preserve">4%. </w:t>
            </w:r>
            <w:r w:rsidR="00BA1EC9">
              <w:rPr>
                <w:rFonts w:cs="Arial"/>
                <w:lang w:val="en-GB"/>
              </w:rPr>
              <w:t xml:space="preserve">Salaries and wages in the branches with the predominance of the public sector rose by </w:t>
            </w:r>
            <w:r w:rsidR="00F76309">
              <w:rPr>
                <w:rFonts w:cs="Arial"/>
                <w:lang w:val="en-GB"/>
              </w:rPr>
              <w:t>8.</w:t>
            </w:r>
            <w:r w:rsidR="00A33C9A" w:rsidRPr="00A03B8A">
              <w:rPr>
                <w:rFonts w:cs="Arial"/>
                <w:lang w:val="en-GB"/>
              </w:rPr>
              <w:t xml:space="preserve">5%. </w:t>
            </w:r>
            <w:r w:rsidR="00F76309">
              <w:rPr>
                <w:rFonts w:cs="Arial"/>
                <w:lang w:val="en-GB"/>
              </w:rPr>
              <w:t xml:space="preserve">Information and communication achieved the highest growth of the volume of earnings </w:t>
            </w:r>
            <w:r w:rsidR="00A33C9A" w:rsidRPr="00A03B8A">
              <w:rPr>
                <w:rFonts w:cs="Arial"/>
                <w:lang w:val="en-GB"/>
              </w:rPr>
              <w:t>(9</w:t>
            </w:r>
            <w:r w:rsidR="00F76309">
              <w:rPr>
                <w:rFonts w:cs="Arial"/>
                <w:lang w:val="en-GB"/>
              </w:rPr>
              <w:t>.</w:t>
            </w:r>
            <w:r w:rsidR="00A33C9A" w:rsidRPr="00A03B8A">
              <w:rPr>
                <w:rFonts w:cs="Arial"/>
                <w:lang w:val="en-GB"/>
              </w:rPr>
              <w:t>1</w:t>
            </w:r>
            <w:r w:rsidR="00B4795A" w:rsidRPr="00A03B8A">
              <w:rPr>
                <w:rFonts w:cs="Arial"/>
                <w:lang w:val="en-GB"/>
              </w:rPr>
              <w:t>%</w:t>
            </w:r>
            <w:r w:rsidR="00A33C9A" w:rsidRPr="00A03B8A">
              <w:rPr>
                <w:rFonts w:cs="Arial"/>
                <w:lang w:val="en-GB"/>
              </w:rPr>
              <w:t xml:space="preserve"> </w:t>
            </w:r>
            <w:r w:rsidR="00F76309">
              <w:rPr>
                <w:rFonts w:cs="Arial"/>
                <w:lang w:val="en-GB"/>
              </w:rPr>
              <w:t xml:space="preserve">given the </w:t>
            </w:r>
            <w:r w:rsidR="00A33C9A" w:rsidRPr="00A03B8A">
              <w:rPr>
                <w:rFonts w:cs="Arial"/>
                <w:lang w:val="en-GB"/>
              </w:rPr>
              <w:t>3</w:t>
            </w:r>
            <w:r w:rsidR="00F76309">
              <w:rPr>
                <w:rFonts w:cs="Arial"/>
                <w:lang w:val="en-GB"/>
              </w:rPr>
              <w:t>.</w:t>
            </w:r>
            <w:r w:rsidR="00A33C9A" w:rsidRPr="00A03B8A">
              <w:rPr>
                <w:rFonts w:cs="Arial"/>
                <w:lang w:val="en-GB"/>
              </w:rPr>
              <w:t xml:space="preserve">8% </w:t>
            </w:r>
            <w:r w:rsidR="00F76309">
              <w:rPr>
                <w:rFonts w:cs="Arial"/>
                <w:lang w:val="en-GB"/>
              </w:rPr>
              <w:t>growth of employment</w:t>
            </w:r>
            <w:r w:rsidR="00A33C9A" w:rsidRPr="00A03B8A">
              <w:rPr>
                <w:rFonts w:cs="Arial"/>
                <w:lang w:val="en-GB"/>
              </w:rPr>
              <w:t>).</w:t>
            </w:r>
            <w:r w:rsidR="00F76309">
              <w:rPr>
                <w:rFonts w:cs="Arial"/>
                <w:lang w:val="en-GB"/>
              </w:rPr>
              <w:t xml:space="preserve"> Professional, scientific, technical and administrative activities experienced the same growth of employment, but lower volume of the </w:t>
            </w:r>
            <w:r w:rsidR="00654E14">
              <w:rPr>
                <w:rFonts w:cs="Arial"/>
                <w:lang w:val="en-GB"/>
              </w:rPr>
              <w:t>paid-out</w:t>
            </w:r>
            <w:r w:rsidR="00F76309">
              <w:rPr>
                <w:rFonts w:cs="Arial"/>
                <w:lang w:val="en-GB"/>
              </w:rPr>
              <w:t xml:space="preserve"> wages </w:t>
            </w:r>
            <w:r w:rsidR="00A33C9A" w:rsidRPr="00A03B8A">
              <w:rPr>
                <w:rFonts w:cs="Arial"/>
                <w:lang w:val="en-GB"/>
              </w:rPr>
              <w:t>(7</w:t>
            </w:r>
            <w:r w:rsidR="00F76309">
              <w:rPr>
                <w:rFonts w:cs="Arial"/>
                <w:lang w:val="en-GB"/>
              </w:rPr>
              <w:t>.</w:t>
            </w:r>
            <w:r w:rsidR="00A33C9A" w:rsidRPr="00A03B8A">
              <w:rPr>
                <w:rFonts w:cs="Arial"/>
                <w:lang w:val="en-GB"/>
              </w:rPr>
              <w:t xml:space="preserve">9%). </w:t>
            </w:r>
            <w:r w:rsidR="007D7936">
              <w:rPr>
                <w:rFonts w:cs="Arial"/>
                <w:lang w:val="en-GB"/>
              </w:rPr>
              <w:t xml:space="preserve">Construction </w:t>
            </w:r>
            <w:r w:rsidR="00A33C9A" w:rsidRPr="00A03B8A">
              <w:rPr>
                <w:rFonts w:cs="Arial"/>
                <w:lang w:val="en-GB"/>
              </w:rPr>
              <w:t>(3</w:t>
            </w:r>
            <w:r w:rsidR="007D7936">
              <w:rPr>
                <w:rFonts w:cs="Arial"/>
                <w:lang w:val="en-GB"/>
              </w:rPr>
              <w:t>.</w:t>
            </w:r>
            <w:r w:rsidR="00A33C9A" w:rsidRPr="00A03B8A">
              <w:rPr>
                <w:rFonts w:cs="Arial"/>
                <w:lang w:val="en-GB"/>
              </w:rPr>
              <w:t>6%) a</w:t>
            </w:r>
            <w:r w:rsidR="007D7936">
              <w:rPr>
                <w:rFonts w:cs="Arial"/>
                <w:lang w:val="en-GB"/>
              </w:rPr>
              <w:t xml:space="preserve">nd financial and insurance activities </w:t>
            </w:r>
            <w:r w:rsidR="00A33C9A" w:rsidRPr="00A03B8A">
              <w:rPr>
                <w:rFonts w:cs="Arial"/>
                <w:lang w:val="en-GB"/>
              </w:rPr>
              <w:t>(4</w:t>
            </w:r>
            <w:r w:rsidR="007D7936">
              <w:rPr>
                <w:rFonts w:cs="Arial"/>
                <w:lang w:val="en-GB"/>
              </w:rPr>
              <w:t>.</w:t>
            </w:r>
            <w:r w:rsidR="00A33C9A" w:rsidRPr="00A03B8A">
              <w:rPr>
                <w:rFonts w:cs="Arial"/>
                <w:lang w:val="en-GB"/>
              </w:rPr>
              <w:t xml:space="preserve">5%, </w:t>
            </w:r>
            <w:r w:rsidR="007D7936">
              <w:rPr>
                <w:rFonts w:cs="Arial"/>
                <w:lang w:val="en-GB"/>
              </w:rPr>
              <w:t xml:space="preserve">the only branch with the reduction of employment of </w:t>
            </w:r>
            <w:r w:rsidR="00A33C9A" w:rsidRPr="00A03B8A">
              <w:rPr>
                <w:rFonts w:cs="Arial"/>
                <w:lang w:val="en-GB"/>
              </w:rPr>
              <w:t>1</w:t>
            </w:r>
            <w:r w:rsidR="007D7936">
              <w:rPr>
                <w:rFonts w:cs="Arial"/>
                <w:lang w:val="en-GB"/>
              </w:rPr>
              <w:t>.</w:t>
            </w:r>
            <w:r w:rsidR="00A33C9A" w:rsidRPr="00A03B8A">
              <w:rPr>
                <w:rFonts w:cs="Arial"/>
                <w:lang w:val="en-GB"/>
              </w:rPr>
              <w:t>0%)</w:t>
            </w:r>
            <w:r w:rsidR="007D7936">
              <w:rPr>
                <w:rFonts w:cs="Arial"/>
                <w:lang w:val="en-GB"/>
              </w:rPr>
              <w:t xml:space="preserve"> attained the lowest growth of the </w:t>
            </w:r>
            <w:r w:rsidR="00654E14">
              <w:rPr>
                <w:rFonts w:cs="Arial"/>
                <w:lang w:val="en-GB"/>
              </w:rPr>
              <w:t>paid-out</w:t>
            </w:r>
            <w:r w:rsidR="007D7936">
              <w:rPr>
                <w:rFonts w:cs="Arial"/>
                <w:lang w:val="en-GB"/>
              </w:rPr>
              <w:t xml:space="preserve"> wages.</w:t>
            </w:r>
          </w:p>
          <w:p w:rsidR="00A33C9A" w:rsidRPr="00A03B8A" w:rsidRDefault="00A33C9A" w:rsidP="006E4368">
            <w:pPr>
              <w:pStyle w:val="Textpoznpodarou"/>
              <w:jc w:val="both"/>
              <w:rPr>
                <w:rFonts w:cs="Arial"/>
                <w:sz w:val="16"/>
                <w:szCs w:val="16"/>
                <w:lang w:val="en-GB"/>
              </w:rPr>
            </w:pPr>
          </w:p>
        </w:tc>
      </w:tr>
      <w:tr w:rsidR="00A33C9A" w:rsidRPr="00A74192" w:rsidTr="006C3DC1">
        <w:tc>
          <w:tcPr>
            <w:tcW w:w="1007" w:type="pct"/>
          </w:tcPr>
          <w:p w:rsidR="00A33C9A" w:rsidRPr="005E2AB2"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Pr="005E2AB2" w:rsidRDefault="008810BB" w:rsidP="008810BB">
            <w:pPr>
              <w:pStyle w:val="Textpoznpodarou"/>
              <w:rPr>
                <w:rFonts w:cs="Arial"/>
                <w:lang w:eastAsia="en-US"/>
              </w:rPr>
            </w:pPr>
            <w:r>
              <w:rPr>
                <w:rFonts w:cs="Arial"/>
                <w:lang w:eastAsia="en-US"/>
              </w:rPr>
              <w:t xml:space="preserve">Chart </w:t>
            </w:r>
            <w:r w:rsidR="00A33C9A" w:rsidRPr="005E2AB2">
              <w:rPr>
                <w:rFonts w:cs="Arial"/>
                <w:lang w:eastAsia="en-US"/>
              </w:rPr>
              <w:t>3</w:t>
            </w:r>
          </w:p>
        </w:tc>
        <w:tc>
          <w:tcPr>
            <w:tcW w:w="3274" w:type="pct"/>
            <w:gridSpan w:val="2"/>
          </w:tcPr>
          <w:p w:rsidR="002A7A78" w:rsidRDefault="00AC0725" w:rsidP="00AC0725">
            <w:pPr>
              <w:pStyle w:val="Textpoznpodarou"/>
              <w:rPr>
                <w:rFonts w:cs="Arial"/>
                <w:lang w:val="en-GB" w:eastAsia="en-US"/>
              </w:rPr>
            </w:pPr>
            <w:r w:rsidRPr="00AC0725">
              <w:rPr>
                <w:rFonts w:cs="Arial"/>
                <w:b/>
                <w:lang w:val="en-GB" w:eastAsia="en-US"/>
              </w:rPr>
              <w:t>Contributions of expenditure items to real GDP change</w:t>
            </w:r>
            <w:r w:rsidR="00A33C9A" w:rsidRPr="00AC0725">
              <w:rPr>
                <w:rFonts w:cs="Arial"/>
                <w:b/>
                <w:lang w:val="en-GB" w:eastAsia="en-US"/>
              </w:rPr>
              <w:t>*</w:t>
            </w:r>
            <w:r w:rsidR="00A33C9A" w:rsidRPr="00AC0725">
              <w:rPr>
                <w:rFonts w:cs="Arial"/>
                <w:lang w:val="en-GB" w:eastAsia="en-US"/>
              </w:rPr>
              <w:t xml:space="preserve"> </w:t>
            </w:r>
          </w:p>
          <w:p w:rsidR="00A33C9A" w:rsidRPr="00AC0725" w:rsidRDefault="00A33C9A" w:rsidP="00AC0725">
            <w:pPr>
              <w:pStyle w:val="Textpoznpodarou"/>
              <w:rPr>
                <w:rFonts w:cs="Arial"/>
                <w:lang w:val="en-GB" w:eastAsia="en-US"/>
              </w:rPr>
            </w:pPr>
            <w:r w:rsidRPr="00AC0725">
              <w:rPr>
                <w:rFonts w:cs="Arial"/>
                <w:lang w:val="en-GB" w:eastAsia="en-US"/>
              </w:rPr>
              <w:t>(</w:t>
            </w:r>
            <w:proofErr w:type="gramStart"/>
            <w:r w:rsidR="00AC0725" w:rsidRPr="00AC0725">
              <w:rPr>
                <w:rFonts w:cs="Arial"/>
                <w:lang w:val="en-GB" w:eastAsia="en-US"/>
              </w:rPr>
              <w:t>volume</w:t>
            </w:r>
            <w:proofErr w:type="gramEnd"/>
            <w:r w:rsidR="00AC0725" w:rsidRPr="00AC0725">
              <w:rPr>
                <w:rFonts w:cs="Arial"/>
                <w:lang w:val="en-GB" w:eastAsia="en-US"/>
              </w:rPr>
              <w:t xml:space="preserve"> indices</w:t>
            </w:r>
            <w:r w:rsidRPr="00AC0725">
              <w:rPr>
                <w:rFonts w:cs="Arial"/>
                <w:lang w:val="en-GB" w:eastAsia="en-US"/>
              </w:rPr>
              <w:t xml:space="preserve">, </w:t>
            </w:r>
            <w:r w:rsidR="00AC0725" w:rsidRPr="00AC0725">
              <w:rPr>
                <w:rFonts w:cs="Arial"/>
                <w:lang w:val="en-GB" w:eastAsia="en-US"/>
              </w:rPr>
              <w:t>year-on-year growth</w:t>
            </w:r>
            <w:r w:rsidRPr="00AC0725">
              <w:rPr>
                <w:rFonts w:cs="Arial"/>
                <w:lang w:val="en-GB" w:eastAsia="en-US"/>
              </w:rPr>
              <w:t xml:space="preserve">, </w:t>
            </w:r>
            <w:r w:rsidR="00AC0725" w:rsidRPr="00AC0725">
              <w:rPr>
                <w:rFonts w:cs="Arial"/>
                <w:lang w:val="en-GB" w:eastAsia="en-US"/>
              </w:rPr>
              <w:t xml:space="preserve">contributions in </w:t>
            </w:r>
            <w:r w:rsidR="0030607B">
              <w:rPr>
                <w:rFonts w:cs="Arial"/>
                <w:lang w:val="en-GB" w:eastAsia="en-US"/>
              </w:rPr>
              <w:t>p.p.</w:t>
            </w:r>
            <w:r w:rsidRPr="00AC0725">
              <w:rPr>
                <w:rFonts w:cs="Arial"/>
                <w:lang w:val="en-GB" w:eastAsia="en-US"/>
              </w:rPr>
              <w:t xml:space="preserve">, </w:t>
            </w:r>
            <w:r w:rsidR="00AC0725" w:rsidRPr="00AC0725">
              <w:rPr>
                <w:rFonts w:cs="Arial"/>
                <w:lang w:val="en-GB" w:eastAsia="en-US"/>
              </w:rPr>
              <w:t xml:space="preserve">GDP in </w:t>
            </w:r>
            <w:r w:rsidRPr="00AC0725">
              <w:rPr>
                <w:rFonts w:cs="Arial"/>
                <w:lang w:val="en-GB" w:eastAsia="en-US"/>
              </w:rPr>
              <w:t>%)</w:t>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849" w:type="pct"/>
            <w:gridSpan w:val="3"/>
          </w:tcPr>
          <w:p w:rsidR="00A33C9A" w:rsidRPr="00E60FCE" w:rsidRDefault="00551A4F" w:rsidP="006C3DC1">
            <w:pPr>
              <w:pStyle w:val="Textpoznpodarou"/>
              <w:ind w:left="-95"/>
              <w:jc w:val="both"/>
              <w:rPr>
                <w:rFonts w:cs="Arial"/>
                <w:sz w:val="14"/>
                <w:szCs w:val="14"/>
                <w:highlight w:val="yellow"/>
              </w:rPr>
            </w:pPr>
            <w:r w:rsidRPr="00551A4F">
              <w:rPr>
                <w:rFonts w:cs="Arial"/>
                <w:noProof/>
                <w:sz w:val="14"/>
                <w:szCs w:val="14"/>
              </w:rPr>
              <w:drawing>
                <wp:inline distT="0" distB="0" distL="0" distR="0">
                  <wp:extent cx="4735902" cy="337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165" w:type="pct"/>
            <w:gridSpan w:val="2"/>
          </w:tcPr>
          <w:p w:rsidR="006F1553" w:rsidRPr="002133D5" w:rsidRDefault="00A33C9A" w:rsidP="0006638F">
            <w:pPr>
              <w:pStyle w:val="Textpoznpodarou"/>
              <w:jc w:val="both"/>
              <w:rPr>
                <w:rFonts w:cs="Arial"/>
                <w:sz w:val="14"/>
                <w:szCs w:val="14"/>
                <w:lang w:val="en-GB" w:eastAsia="en-US"/>
              </w:rPr>
            </w:pPr>
            <w:r w:rsidRPr="006F1553">
              <w:rPr>
                <w:rFonts w:cs="Arial"/>
                <w:sz w:val="14"/>
                <w:szCs w:val="14"/>
                <w:lang w:val="en-GB" w:eastAsia="en-US"/>
              </w:rPr>
              <w:t>*</w:t>
            </w:r>
            <w:r w:rsidR="0006638F" w:rsidRPr="006F1553">
              <w:rPr>
                <w:rFonts w:cs="Arial"/>
                <w:sz w:val="14"/>
                <w:szCs w:val="14"/>
                <w:lang w:val="en-GB" w:eastAsia="en-US"/>
              </w:rPr>
              <w:t xml:space="preserve"> Contributions to GDP change after exclusion of imports for final use.</w:t>
            </w:r>
          </w:p>
        </w:tc>
        <w:tc>
          <w:tcPr>
            <w:tcW w:w="684" w:type="pct"/>
          </w:tcPr>
          <w:p w:rsidR="0006638F" w:rsidRDefault="008810BB" w:rsidP="00551A4F">
            <w:pPr>
              <w:pStyle w:val="Textpoznpodarou"/>
              <w:jc w:val="right"/>
              <w:rPr>
                <w:rFonts w:cs="Arial"/>
                <w:sz w:val="14"/>
                <w:szCs w:val="14"/>
                <w:lang w:val="en-GB"/>
              </w:rPr>
            </w:pPr>
            <w:r w:rsidRPr="006F1553">
              <w:rPr>
                <w:rFonts w:cs="Arial"/>
                <w:sz w:val="14"/>
                <w:szCs w:val="14"/>
                <w:lang w:val="en-GB"/>
              </w:rPr>
              <w:t>Source</w:t>
            </w:r>
            <w:r w:rsidR="00A33C9A" w:rsidRPr="006F1553">
              <w:rPr>
                <w:rFonts w:cs="Arial"/>
                <w:sz w:val="14"/>
                <w:szCs w:val="14"/>
                <w:lang w:val="en-GB"/>
              </w:rPr>
              <w:t xml:space="preserve">: </w:t>
            </w:r>
            <w:r w:rsidRPr="006F1553">
              <w:rPr>
                <w:rFonts w:cs="Arial"/>
                <w:sz w:val="14"/>
                <w:szCs w:val="14"/>
                <w:lang w:val="en-GB"/>
              </w:rPr>
              <w:t>CZSO</w:t>
            </w:r>
          </w:p>
          <w:p w:rsidR="004570DE" w:rsidRPr="006F1553" w:rsidRDefault="004570DE" w:rsidP="00551A4F">
            <w:pPr>
              <w:pStyle w:val="Textpoznpodarou"/>
              <w:jc w:val="right"/>
              <w:rPr>
                <w:rFonts w:cs="Arial"/>
                <w:sz w:val="14"/>
                <w:szCs w:val="14"/>
                <w:lang w:val="en-GB"/>
              </w:rPr>
            </w:pPr>
          </w:p>
        </w:tc>
      </w:tr>
      <w:tr w:rsidR="00A33C9A" w:rsidRPr="00A74192" w:rsidTr="006C3DC1">
        <w:tc>
          <w:tcPr>
            <w:tcW w:w="1007" w:type="pct"/>
          </w:tcPr>
          <w:p w:rsidR="00A33C9A" w:rsidRPr="000D434D" w:rsidRDefault="00A33C9A" w:rsidP="006E4368">
            <w:pPr>
              <w:spacing w:line="240" w:lineRule="auto"/>
              <w:rPr>
                <w:rFonts w:cs="Arial"/>
                <w:sz w:val="16"/>
                <w:szCs w:val="16"/>
                <w:lang w:val="en-GB"/>
              </w:rPr>
            </w:pPr>
            <w:r w:rsidRPr="000D434D">
              <w:rPr>
                <w:rFonts w:cs="Arial"/>
                <w:sz w:val="16"/>
                <w:szCs w:val="16"/>
                <w:lang w:val="en-GB"/>
              </w:rPr>
              <w:lastRenderedPageBreak/>
              <w:t>Invest</w:t>
            </w:r>
            <w:r w:rsidR="000D434D" w:rsidRPr="000D434D">
              <w:rPr>
                <w:rFonts w:cs="Arial"/>
                <w:sz w:val="16"/>
                <w:szCs w:val="16"/>
                <w:lang w:val="en-GB"/>
              </w:rPr>
              <w:t>ment supported the acceleration of the year-on-year GDP growth in H2</w:t>
            </w:r>
            <w:r w:rsidRPr="000D434D">
              <w:rPr>
                <w:rFonts w:cs="Arial"/>
                <w:sz w:val="16"/>
                <w:szCs w:val="16"/>
                <w:lang w:val="en-GB"/>
              </w:rPr>
              <w:t xml:space="preserve">. </w:t>
            </w: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A33C9A" w:rsidP="006E4368">
            <w:pPr>
              <w:spacing w:line="240" w:lineRule="auto"/>
              <w:rPr>
                <w:rFonts w:cs="Arial"/>
                <w:sz w:val="16"/>
                <w:szCs w:val="16"/>
                <w:lang w:val="en-GB"/>
              </w:rPr>
            </w:pPr>
          </w:p>
          <w:p w:rsidR="00A33C9A" w:rsidRPr="000D434D" w:rsidRDefault="003C0CB5" w:rsidP="003C0CB5">
            <w:pPr>
              <w:spacing w:line="240" w:lineRule="auto"/>
              <w:rPr>
                <w:rFonts w:cs="Arial"/>
                <w:sz w:val="16"/>
                <w:szCs w:val="16"/>
                <w:lang w:val="en-GB"/>
              </w:rPr>
            </w:pPr>
            <w:r>
              <w:rPr>
                <w:rFonts w:cs="Arial"/>
                <w:sz w:val="16"/>
                <w:szCs w:val="16"/>
                <w:lang w:val="en-GB"/>
              </w:rPr>
              <w:t xml:space="preserve">Look on the type classification of the gross fixed capital formation </w:t>
            </w:r>
            <w:proofErr w:type="gramStart"/>
            <w:r>
              <w:rPr>
                <w:rFonts w:cs="Arial"/>
                <w:sz w:val="16"/>
                <w:szCs w:val="16"/>
                <w:lang w:val="en-GB"/>
              </w:rPr>
              <w:t>implies,</w:t>
            </w:r>
            <w:proofErr w:type="gramEnd"/>
            <w:r>
              <w:rPr>
                <w:rFonts w:cs="Arial"/>
                <w:sz w:val="16"/>
                <w:szCs w:val="16"/>
                <w:lang w:val="en-GB"/>
              </w:rPr>
              <w:t xml:space="preserve"> that mostly businesses and households invested. </w:t>
            </w:r>
          </w:p>
        </w:tc>
        <w:tc>
          <w:tcPr>
            <w:tcW w:w="144" w:type="pct"/>
          </w:tcPr>
          <w:p w:rsidR="00A33C9A" w:rsidRPr="005E2AB2" w:rsidRDefault="00A33C9A" w:rsidP="006E4368">
            <w:pPr>
              <w:pStyle w:val="Textpoznpodarou"/>
              <w:rPr>
                <w:rFonts w:cs="Arial"/>
              </w:rPr>
            </w:pPr>
          </w:p>
        </w:tc>
        <w:tc>
          <w:tcPr>
            <w:tcW w:w="3849" w:type="pct"/>
            <w:gridSpan w:val="3"/>
          </w:tcPr>
          <w:p w:rsidR="00A33C9A" w:rsidRPr="006F1553" w:rsidRDefault="00A33C9A" w:rsidP="00A33C9A">
            <w:pPr>
              <w:pStyle w:val="Textpoznpodarou"/>
              <w:jc w:val="both"/>
              <w:rPr>
                <w:rFonts w:cs="Arial"/>
                <w:spacing w:val="-2"/>
                <w:sz w:val="16"/>
                <w:szCs w:val="16"/>
                <w:lang w:val="en-GB"/>
              </w:rPr>
            </w:pPr>
            <w:r w:rsidRPr="006F1553">
              <w:rPr>
                <w:rFonts w:cs="Arial"/>
                <w:spacing w:val="-2"/>
                <w:lang w:val="en-GB"/>
              </w:rPr>
              <w:t>Invest</w:t>
            </w:r>
            <w:r w:rsidR="000D434D">
              <w:rPr>
                <w:rFonts w:cs="Arial"/>
                <w:spacing w:val="-2"/>
                <w:lang w:val="en-GB"/>
              </w:rPr>
              <w:t xml:space="preserve">ment activity stood behind the strong GDP growth in Q3 and </w:t>
            </w:r>
            <w:r w:rsidRPr="006F1553">
              <w:rPr>
                <w:rFonts w:cs="Arial"/>
                <w:spacing w:val="-2"/>
                <w:lang w:val="en-GB"/>
              </w:rPr>
              <w:t xml:space="preserve">4. </w:t>
            </w:r>
            <w:r w:rsidR="000D434D">
              <w:rPr>
                <w:rFonts w:cs="Arial"/>
                <w:spacing w:val="-2"/>
                <w:lang w:val="en-GB"/>
              </w:rPr>
              <w:t xml:space="preserve">Contribution of the expenditures on gross fixed capital formation to the GDP growth amounted to 1.2 </w:t>
            </w:r>
            <w:r w:rsidR="0030607B">
              <w:rPr>
                <w:rFonts w:cs="Arial"/>
                <w:spacing w:val="-2"/>
                <w:lang w:val="en-GB"/>
              </w:rPr>
              <w:t>p.p.</w:t>
            </w:r>
            <w:r w:rsidR="000D434D">
              <w:rPr>
                <w:rFonts w:cs="Arial"/>
                <w:spacing w:val="-2"/>
                <w:lang w:val="en-GB"/>
              </w:rPr>
              <w:t xml:space="preserve"> in </w:t>
            </w:r>
            <w:r w:rsidRPr="006F1553">
              <w:rPr>
                <w:rFonts w:cs="Arial"/>
                <w:spacing w:val="-2"/>
                <w:lang w:val="en-GB"/>
              </w:rPr>
              <w:t xml:space="preserve">2017. </w:t>
            </w:r>
            <w:r w:rsidR="00A85100">
              <w:rPr>
                <w:rFonts w:cs="Arial"/>
                <w:spacing w:val="-2"/>
                <w:lang w:val="en-GB"/>
              </w:rPr>
              <w:t xml:space="preserve">The importance of the investment activity for the GDP growth was increasing during the year. </w:t>
            </w:r>
            <w:r w:rsidR="00E81556">
              <w:rPr>
                <w:rFonts w:cs="Arial"/>
                <w:spacing w:val="-2"/>
                <w:lang w:val="en-GB"/>
              </w:rPr>
              <w:t xml:space="preserve">As with the consumption expenditure the increased demand for investment goods was also partially saturated by the foreign supply. Investment rose by 5.8% in </w:t>
            </w:r>
            <w:r w:rsidRPr="006F1553">
              <w:rPr>
                <w:rFonts w:cs="Arial"/>
                <w:spacing w:val="-2"/>
                <w:lang w:val="en-GB"/>
              </w:rPr>
              <w:t>2017</w:t>
            </w:r>
            <w:r w:rsidR="00E81556">
              <w:rPr>
                <w:rFonts w:cs="Arial"/>
                <w:spacing w:val="-2"/>
                <w:lang w:val="en-GB"/>
              </w:rPr>
              <w:t>. Although this GDP component was still stagnating in Q</w:t>
            </w:r>
            <w:r w:rsidRPr="006F1553">
              <w:rPr>
                <w:rFonts w:cs="Arial"/>
                <w:spacing w:val="-2"/>
                <w:lang w:val="en-GB"/>
              </w:rPr>
              <w:t>1.</w:t>
            </w:r>
            <w:r w:rsidR="00E81556">
              <w:rPr>
                <w:rFonts w:cs="Arial"/>
                <w:spacing w:val="-2"/>
                <w:lang w:val="en-GB"/>
              </w:rPr>
              <w:t xml:space="preserve"> In the following three quarters, the year-on-year additions already exceeded </w:t>
            </w:r>
            <w:r w:rsidRPr="006F1553">
              <w:rPr>
                <w:rFonts w:cs="Arial"/>
                <w:spacing w:val="-2"/>
                <w:lang w:val="en-GB"/>
              </w:rPr>
              <w:t>7</w:t>
            </w:r>
            <w:r w:rsidR="00E81556">
              <w:rPr>
                <w:rFonts w:cs="Arial"/>
                <w:spacing w:val="-2"/>
                <w:lang w:val="en-GB"/>
              </w:rPr>
              <w:t>.</w:t>
            </w:r>
            <w:r w:rsidRPr="006F1553">
              <w:rPr>
                <w:rFonts w:cs="Arial"/>
                <w:spacing w:val="-2"/>
                <w:lang w:val="en-GB"/>
              </w:rPr>
              <w:t>0% a</w:t>
            </w:r>
            <w:r w:rsidR="00E81556">
              <w:rPr>
                <w:rFonts w:cs="Arial"/>
                <w:spacing w:val="-2"/>
                <w:lang w:val="en-GB"/>
              </w:rPr>
              <w:t>nd the investment expenditure rose by 7.9% in Q</w:t>
            </w:r>
            <w:r w:rsidRPr="006F1553">
              <w:rPr>
                <w:rFonts w:cs="Arial"/>
                <w:spacing w:val="-2"/>
                <w:lang w:val="en-GB"/>
              </w:rPr>
              <w:t>4.</w:t>
            </w:r>
            <w:r w:rsidR="00E81556">
              <w:rPr>
                <w:rFonts w:cs="Arial"/>
                <w:spacing w:val="-2"/>
                <w:lang w:val="en-GB"/>
              </w:rPr>
              <w:t xml:space="preserve"> </w:t>
            </w:r>
            <w:r w:rsidR="001D1E7C">
              <w:rPr>
                <w:rFonts w:cs="Arial"/>
                <w:spacing w:val="-2"/>
                <w:lang w:val="en-GB"/>
              </w:rPr>
              <w:t xml:space="preserve">In part the low comparative basis from year </w:t>
            </w:r>
            <w:r w:rsidRPr="006F1553">
              <w:rPr>
                <w:rFonts w:cs="Arial"/>
                <w:spacing w:val="-2"/>
                <w:lang w:val="en-GB"/>
              </w:rPr>
              <w:t>2016</w:t>
            </w:r>
            <w:r w:rsidR="001D1E7C">
              <w:rPr>
                <w:rFonts w:cs="Arial"/>
                <w:spacing w:val="-2"/>
                <w:lang w:val="en-GB"/>
              </w:rPr>
              <w:t xml:space="preserve"> had an effect</w:t>
            </w:r>
            <w:r w:rsidRPr="006F1553">
              <w:rPr>
                <w:rFonts w:cs="Arial"/>
                <w:spacing w:val="-2"/>
                <w:lang w:val="en-GB"/>
              </w:rPr>
              <w:t xml:space="preserve">, </w:t>
            </w:r>
            <w:r w:rsidR="001D1E7C">
              <w:rPr>
                <w:rFonts w:cs="Arial"/>
                <w:spacing w:val="-2"/>
                <w:lang w:val="en-GB"/>
              </w:rPr>
              <w:t xml:space="preserve">nevertheless the quarter-on-quarter dynamics showed the increase of the investment activity especially in Q2 and </w:t>
            </w:r>
            <w:r w:rsidRPr="006F1553">
              <w:rPr>
                <w:rFonts w:cs="Arial"/>
                <w:spacing w:val="-2"/>
                <w:lang w:val="en-GB"/>
              </w:rPr>
              <w:t xml:space="preserve">3. </w:t>
            </w:r>
            <w:r w:rsidR="001D1E7C">
              <w:rPr>
                <w:rFonts w:cs="Arial"/>
                <w:spacing w:val="-2"/>
                <w:lang w:val="en-GB"/>
              </w:rPr>
              <w:t xml:space="preserve">Based on the type classification of gross fixed capital formation, investment into the transport vehicles and machinery </w:t>
            </w:r>
            <w:r w:rsidRPr="006F1553">
              <w:rPr>
                <w:rFonts w:cs="Arial"/>
                <w:spacing w:val="-2"/>
                <w:lang w:val="en-GB"/>
              </w:rPr>
              <w:t>(8</w:t>
            </w:r>
            <w:r w:rsidR="00C34D57">
              <w:rPr>
                <w:rFonts w:cs="Arial"/>
                <w:spacing w:val="-2"/>
                <w:lang w:val="en-GB"/>
              </w:rPr>
              <w:t>.</w:t>
            </w:r>
            <w:r w:rsidRPr="006F1553">
              <w:rPr>
                <w:rFonts w:cs="Arial"/>
                <w:spacing w:val="-2"/>
                <w:lang w:val="en-GB"/>
              </w:rPr>
              <w:t>9%</w:t>
            </w:r>
            <w:r w:rsidRPr="006F1553">
              <w:rPr>
                <w:rStyle w:val="Znakapoznpodarou"/>
                <w:spacing w:val="-2"/>
                <w:lang w:val="en-GB"/>
              </w:rPr>
              <w:footnoteReference w:id="10"/>
            </w:r>
            <w:r w:rsidRPr="006F1553">
              <w:rPr>
                <w:rFonts w:cs="Arial"/>
                <w:spacing w:val="-2"/>
                <w:lang w:val="en-GB"/>
              </w:rPr>
              <w:t xml:space="preserve">), </w:t>
            </w:r>
            <w:r w:rsidR="00C34D57">
              <w:rPr>
                <w:rFonts w:cs="Arial"/>
                <w:spacing w:val="-2"/>
                <w:lang w:val="en-GB"/>
              </w:rPr>
              <w:t xml:space="preserve">housing </w:t>
            </w:r>
            <w:r w:rsidRPr="006F1553">
              <w:rPr>
                <w:rFonts w:cs="Arial"/>
                <w:spacing w:val="-2"/>
                <w:lang w:val="en-GB"/>
              </w:rPr>
              <w:t>(7</w:t>
            </w:r>
            <w:r w:rsidR="00C34D57">
              <w:rPr>
                <w:rFonts w:cs="Arial"/>
                <w:spacing w:val="-2"/>
                <w:lang w:val="en-GB"/>
              </w:rPr>
              <w:t>.</w:t>
            </w:r>
            <w:r w:rsidRPr="006F1553">
              <w:rPr>
                <w:rFonts w:cs="Arial"/>
                <w:spacing w:val="-2"/>
                <w:lang w:val="en-GB"/>
              </w:rPr>
              <w:t xml:space="preserve">0%) </w:t>
            </w:r>
            <w:r w:rsidR="00C34D57">
              <w:rPr>
                <w:rFonts w:cs="Arial"/>
                <w:spacing w:val="-2"/>
                <w:lang w:val="en-GB"/>
              </w:rPr>
              <w:t>and I</w:t>
            </w:r>
            <w:r w:rsidRPr="006F1553">
              <w:rPr>
                <w:rFonts w:cs="Arial"/>
                <w:spacing w:val="-2"/>
                <w:lang w:val="en-GB"/>
              </w:rPr>
              <w:t xml:space="preserve">CT </w:t>
            </w:r>
            <w:r w:rsidR="00C34D57">
              <w:rPr>
                <w:rFonts w:cs="Arial"/>
                <w:spacing w:val="-2"/>
                <w:lang w:val="en-GB"/>
              </w:rPr>
              <w:t xml:space="preserve">and other machinery and equipment </w:t>
            </w:r>
            <w:r w:rsidRPr="006F1553">
              <w:rPr>
                <w:rFonts w:cs="Arial"/>
                <w:spacing w:val="-2"/>
                <w:lang w:val="en-GB"/>
              </w:rPr>
              <w:t>(6</w:t>
            </w:r>
            <w:r w:rsidR="00C34D57">
              <w:rPr>
                <w:rFonts w:cs="Arial"/>
                <w:spacing w:val="-2"/>
                <w:lang w:val="en-GB"/>
              </w:rPr>
              <w:t>.</w:t>
            </w:r>
            <w:r w:rsidRPr="006F1553">
              <w:rPr>
                <w:rFonts w:cs="Arial"/>
                <w:spacing w:val="-2"/>
                <w:lang w:val="en-GB"/>
              </w:rPr>
              <w:t>6%)</w:t>
            </w:r>
            <w:r w:rsidR="00C34D57">
              <w:rPr>
                <w:rFonts w:cs="Arial"/>
                <w:spacing w:val="-2"/>
                <w:lang w:val="en-GB"/>
              </w:rPr>
              <w:t xml:space="preserve"> </w:t>
            </w:r>
            <w:r w:rsidR="001D1E7C">
              <w:rPr>
                <w:rFonts w:cs="Arial"/>
                <w:spacing w:val="-2"/>
                <w:lang w:val="en-GB"/>
              </w:rPr>
              <w:t>grew the fastest in 2017</w:t>
            </w:r>
            <w:r w:rsidRPr="006F1553">
              <w:rPr>
                <w:rFonts w:cs="Arial"/>
                <w:spacing w:val="-2"/>
                <w:lang w:val="en-GB"/>
              </w:rPr>
              <w:t xml:space="preserve">. </w:t>
            </w:r>
            <w:r w:rsidR="00C34D57">
              <w:rPr>
                <w:rFonts w:cs="Arial"/>
                <w:spacing w:val="-2"/>
                <w:lang w:val="en-GB"/>
              </w:rPr>
              <w:t>First two mentioned categories experienced a moderation of the year-on-year rate of growth, the third</w:t>
            </w:r>
            <w:r w:rsidR="003C0CB5">
              <w:rPr>
                <w:rFonts w:cs="Arial"/>
                <w:spacing w:val="-2"/>
                <w:lang w:val="en-GB"/>
              </w:rPr>
              <w:t xml:space="preserve"> </w:t>
            </w:r>
            <w:r w:rsidR="00C34D57">
              <w:rPr>
                <w:rFonts w:cs="Arial"/>
                <w:spacing w:val="-2"/>
                <w:lang w:val="en-GB"/>
              </w:rPr>
              <w:t xml:space="preserve">and most significant by volume item offset the fall from year </w:t>
            </w:r>
            <w:r w:rsidRPr="006F1553">
              <w:rPr>
                <w:rFonts w:cs="Arial"/>
                <w:spacing w:val="-2"/>
                <w:lang w:val="en-GB"/>
              </w:rPr>
              <w:t xml:space="preserve">2016. </w:t>
            </w:r>
            <w:r w:rsidR="003C0CB5">
              <w:rPr>
                <w:rFonts w:cs="Arial"/>
                <w:spacing w:val="-2"/>
                <w:lang w:val="en-GB"/>
              </w:rPr>
              <w:t xml:space="preserve">Stated composition of the expenditure on gross fixed capital formation points to the key role of businesses and households in the last year investment activity. The growth of investment into the products of intellectual property also increased </w:t>
            </w:r>
            <w:r w:rsidRPr="006F1553">
              <w:rPr>
                <w:rFonts w:cs="Arial"/>
                <w:spacing w:val="-2"/>
                <w:lang w:val="en-GB"/>
              </w:rPr>
              <w:t>(</w:t>
            </w:r>
            <w:r w:rsidR="003C0CB5">
              <w:rPr>
                <w:rFonts w:cs="Arial"/>
                <w:spacing w:val="-2"/>
                <w:lang w:val="en-GB"/>
              </w:rPr>
              <w:t xml:space="preserve">to </w:t>
            </w:r>
            <w:r w:rsidRPr="006F1553">
              <w:rPr>
                <w:rFonts w:cs="Arial"/>
                <w:spacing w:val="-2"/>
                <w:lang w:val="en-GB"/>
              </w:rPr>
              <w:t>5</w:t>
            </w:r>
            <w:r w:rsidR="003C0CB5">
              <w:rPr>
                <w:rFonts w:cs="Arial"/>
                <w:spacing w:val="-2"/>
                <w:lang w:val="en-GB"/>
              </w:rPr>
              <w:t>.</w:t>
            </w:r>
            <w:r w:rsidRPr="006F1553">
              <w:rPr>
                <w:rFonts w:cs="Arial"/>
                <w:spacing w:val="-2"/>
                <w:lang w:val="en-GB"/>
              </w:rPr>
              <w:t>4%).</w:t>
            </w:r>
            <w:r w:rsidR="003C0CB5">
              <w:rPr>
                <w:rFonts w:cs="Arial"/>
                <w:spacing w:val="-2"/>
                <w:lang w:val="en-GB"/>
              </w:rPr>
              <w:t xml:space="preserve"> On the contrary, expenditures on other buildings and structures remained on the exceptionally low level of year 2016 last year, when their growth attained </w:t>
            </w:r>
            <w:r w:rsidRPr="006F1553">
              <w:rPr>
                <w:rFonts w:cs="Arial"/>
                <w:spacing w:val="-2"/>
                <w:lang w:val="en-GB"/>
              </w:rPr>
              <w:t>0</w:t>
            </w:r>
            <w:r w:rsidR="003C0CB5">
              <w:rPr>
                <w:rFonts w:cs="Arial"/>
                <w:spacing w:val="-2"/>
                <w:lang w:val="en-GB"/>
              </w:rPr>
              <w:t>.</w:t>
            </w:r>
            <w:r w:rsidRPr="006F1553">
              <w:rPr>
                <w:rFonts w:cs="Arial"/>
                <w:spacing w:val="-2"/>
                <w:lang w:val="en-GB"/>
              </w:rPr>
              <w:t>9%. T</w:t>
            </w:r>
            <w:r w:rsidR="003C0CB5">
              <w:rPr>
                <w:rFonts w:cs="Arial"/>
                <w:spacing w:val="-2"/>
                <w:lang w:val="en-GB"/>
              </w:rPr>
              <w:t xml:space="preserve">his investment category includes infrastructure projects, which are the domain of the government institutions sector. At the same </w:t>
            </w:r>
            <w:r w:rsidR="00654E14">
              <w:rPr>
                <w:rFonts w:cs="Arial"/>
                <w:spacing w:val="-2"/>
                <w:lang w:val="en-GB"/>
              </w:rPr>
              <w:t>time,</w:t>
            </w:r>
            <w:r w:rsidR="003C0CB5">
              <w:rPr>
                <w:rFonts w:cs="Arial"/>
                <w:spacing w:val="-2"/>
                <w:lang w:val="en-GB"/>
              </w:rPr>
              <w:t xml:space="preserve"> it also consists of various industrial buildings and warehouses. </w:t>
            </w:r>
            <w:r w:rsidR="00C6369F">
              <w:rPr>
                <w:rFonts w:cs="Arial"/>
                <w:spacing w:val="-2"/>
                <w:lang w:val="en-GB"/>
              </w:rPr>
              <w:t xml:space="preserve">Both strong economic growth and the logistically advantageous location of the </w:t>
            </w:r>
            <w:r w:rsidR="00654E14">
              <w:rPr>
                <w:rFonts w:cs="Arial"/>
                <w:spacing w:val="-2"/>
                <w:lang w:val="en-GB"/>
              </w:rPr>
              <w:t>Czech Republic</w:t>
            </w:r>
            <w:r w:rsidR="00C6369F">
              <w:rPr>
                <w:rFonts w:cs="Arial"/>
                <w:spacing w:val="-2"/>
                <w:lang w:val="en-GB"/>
              </w:rPr>
              <w:t xml:space="preserve"> stimulate</w:t>
            </w:r>
            <w:r w:rsidR="0075274D">
              <w:rPr>
                <w:rFonts w:cs="Arial"/>
                <w:spacing w:val="-2"/>
                <w:lang w:val="en-GB"/>
              </w:rPr>
              <w:t>d</w:t>
            </w:r>
            <w:r w:rsidR="00C6369F">
              <w:rPr>
                <w:rFonts w:cs="Arial"/>
                <w:spacing w:val="-2"/>
                <w:lang w:val="en-GB"/>
              </w:rPr>
              <w:t xml:space="preserve"> their construction. </w:t>
            </w:r>
          </w:p>
          <w:p w:rsidR="00A33C9A" w:rsidRPr="006F1553" w:rsidRDefault="00A33C9A" w:rsidP="00A33C9A">
            <w:pPr>
              <w:pStyle w:val="Textpoznpodarou"/>
              <w:jc w:val="both"/>
              <w:rPr>
                <w:rFonts w:cs="Arial"/>
                <w:spacing w:val="-2"/>
                <w:sz w:val="16"/>
                <w:szCs w:val="16"/>
                <w:lang w:val="en-GB"/>
              </w:rPr>
            </w:pPr>
          </w:p>
        </w:tc>
      </w:tr>
      <w:tr w:rsidR="00A33C9A" w:rsidRPr="00A74192" w:rsidTr="006C3DC1">
        <w:tc>
          <w:tcPr>
            <w:tcW w:w="1007" w:type="pct"/>
          </w:tcPr>
          <w:p w:rsidR="00A33C9A" w:rsidRPr="000D434D" w:rsidRDefault="00427332" w:rsidP="00427332">
            <w:pPr>
              <w:spacing w:line="240" w:lineRule="auto"/>
              <w:rPr>
                <w:rFonts w:cs="Arial"/>
                <w:sz w:val="16"/>
                <w:szCs w:val="16"/>
                <w:lang w:val="en-GB"/>
              </w:rPr>
            </w:pPr>
            <w:r>
              <w:rPr>
                <w:rFonts w:cs="Arial"/>
                <w:sz w:val="16"/>
                <w:szCs w:val="16"/>
                <w:lang w:val="en-GB"/>
              </w:rPr>
              <w:t xml:space="preserve">Foreign trade surplus mildly grew last year. Trade with services is mostly behind it. </w:t>
            </w:r>
            <w:r w:rsidR="00A33C9A" w:rsidRPr="000D434D">
              <w:rPr>
                <w:rFonts w:cs="Arial"/>
                <w:sz w:val="16"/>
                <w:szCs w:val="16"/>
                <w:lang w:val="en-GB"/>
              </w:rPr>
              <w:t xml:space="preserve"> </w:t>
            </w:r>
          </w:p>
        </w:tc>
        <w:tc>
          <w:tcPr>
            <w:tcW w:w="144" w:type="pct"/>
          </w:tcPr>
          <w:p w:rsidR="00A33C9A" w:rsidRPr="005E2AB2" w:rsidRDefault="00A33C9A" w:rsidP="006E4368">
            <w:pPr>
              <w:pStyle w:val="Textpoznpodarou"/>
              <w:rPr>
                <w:rFonts w:cs="Arial"/>
              </w:rPr>
            </w:pPr>
          </w:p>
        </w:tc>
        <w:tc>
          <w:tcPr>
            <w:tcW w:w="3849" w:type="pct"/>
            <w:gridSpan w:val="3"/>
          </w:tcPr>
          <w:p w:rsidR="00A33C9A" w:rsidRPr="002F0709" w:rsidRDefault="00427332" w:rsidP="006E4368">
            <w:pPr>
              <w:pStyle w:val="Textpoznpodarou"/>
              <w:jc w:val="both"/>
              <w:rPr>
                <w:rFonts w:cs="Arial"/>
                <w:sz w:val="16"/>
                <w:szCs w:val="16"/>
                <w:lang w:val="en-GB"/>
              </w:rPr>
            </w:pPr>
            <w:r w:rsidRPr="002F0709">
              <w:rPr>
                <w:rFonts w:cs="Arial"/>
                <w:lang w:val="en-GB"/>
              </w:rPr>
              <w:t xml:space="preserve">Foreign trade </w:t>
            </w:r>
            <w:r w:rsidR="002F0709" w:rsidRPr="002F0709">
              <w:rPr>
                <w:rFonts w:cs="Arial"/>
                <w:lang w:val="en-GB"/>
              </w:rPr>
              <w:t>resulted in positive balance in the amount of 364.5 CZK bn</w:t>
            </w:r>
            <w:r w:rsidR="00A33C9A" w:rsidRPr="002F0709">
              <w:rPr>
                <w:rStyle w:val="Znakapoznpodarou"/>
                <w:lang w:val="en-GB"/>
              </w:rPr>
              <w:footnoteReference w:id="11"/>
            </w:r>
            <w:r w:rsidR="002F0709" w:rsidRPr="002F0709">
              <w:rPr>
                <w:rFonts w:cs="Arial"/>
                <w:lang w:val="en-GB"/>
              </w:rPr>
              <w:t xml:space="preserve"> in 2017 and</w:t>
            </w:r>
            <w:r w:rsidR="002F0709">
              <w:rPr>
                <w:rFonts w:cs="Arial"/>
                <w:lang w:val="en-GB"/>
              </w:rPr>
              <w:t xml:space="preserve"> thus the increase of </w:t>
            </w:r>
            <w:r w:rsidR="00A33C9A" w:rsidRPr="002F0709">
              <w:rPr>
                <w:rFonts w:cs="Arial"/>
                <w:lang w:val="en-GB"/>
              </w:rPr>
              <w:t>8</w:t>
            </w:r>
            <w:r w:rsidR="002F0709">
              <w:rPr>
                <w:rFonts w:cs="Arial"/>
                <w:lang w:val="en-GB"/>
              </w:rPr>
              <w:t>.</w:t>
            </w:r>
            <w:r w:rsidR="00A33C9A" w:rsidRPr="002F0709">
              <w:rPr>
                <w:rFonts w:cs="Arial"/>
                <w:lang w:val="en-GB"/>
              </w:rPr>
              <w:t xml:space="preserve">0 </w:t>
            </w:r>
            <w:r w:rsidR="002F0709">
              <w:rPr>
                <w:rFonts w:cs="Arial"/>
                <w:lang w:val="en-GB"/>
              </w:rPr>
              <w:t xml:space="preserve">bn manifested. </w:t>
            </w:r>
            <w:r w:rsidR="00BC6556">
              <w:rPr>
                <w:rFonts w:cs="Arial"/>
                <w:lang w:val="en-GB"/>
              </w:rPr>
              <w:t>The growth of the surplus could be observed in all quarters, its main part however was created in Q</w:t>
            </w:r>
            <w:r w:rsidR="00A33C9A" w:rsidRPr="002F0709">
              <w:rPr>
                <w:rFonts w:cs="Arial"/>
                <w:lang w:val="en-GB"/>
              </w:rPr>
              <w:t>1</w:t>
            </w:r>
            <w:r w:rsidR="00BC6556">
              <w:rPr>
                <w:rFonts w:cs="Arial"/>
                <w:lang w:val="en-GB"/>
              </w:rPr>
              <w:t xml:space="preserve"> </w:t>
            </w:r>
            <w:r w:rsidR="00A33C9A" w:rsidRPr="002F0709">
              <w:rPr>
                <w:rFonts w:cs="Arial"/>
                <w:lang w:val="en-GB"/>
              </w:rPr>
              <w:t>(</w:t>
            </w:r>
            <w:r w:rsidR="00BC6556">
              <w:rPr>
                <w:rFonts w:cs="Arial"/>
                <w:lang w:val="en-GB"/>
              </w:rPr>
              <w:t xml:space="preserve">year-on-year increase of </w:t>
            </w:r>
            <w:r w:rsidR="00A33C9A" w:rsidRPr="002F0709">
              <w:rPr>
                <w:rFonts w:cs="Arial"/>
                <w:lang w:val="en-GB"/>
              </w:rPr>
              <w:t>6</w:t>
            </w:r>
            <w:r w:rsidR="00BC6556">
              <w:rPr>
                <w:rFonts w:cs="Arial"/>
                <w:lang w:val="en-GB"/>
              </w:rPr>
              <w:t>.</w:t>
            </w:r>
            <w:r w:rsidR="00A33C9A" w:rsidRPr="002F0709">
              <w:rPr>
                <w:rFonts w:cs="Arial"/>
                <w:lang w:val="en-GB"/>
              </w:rPr>
              <w:t xml:space="preserve">5 </w:t>
            </w:r>
            <w:r w:rsidR="00BC6556">
              <w:rPr>
                <w:rFonts w:cs="Arial"/>
                <w:lang w:val="en-GB"/>
              </w:rPr>
              <w:t>CZK bn</w:t>
            </w:r>
            <w:r w:rsidR="00A33C9A" w:rsidRPr="002F0709">
              <w:rPr>
                <w:rFonts w:cs="Arial"/>
                <w:lang w:val="en-GB"/>
              </w:rPr>
              <w:t xml:space="preserve">.). </w:t>
            </w:r>
            <w:r w:rsidR="00BC6556">
              <w:rPr>
                <w:rFonts w:cs="Arial"/>
                <w:lang w:val="en-GB"/>
              </w:rPr>
              <w:t xml:space="preserve">Total increase is the result of a marked enlargement of the surplus of the trade with services balance </w:t>
            </w:r>
            <w:r w:rsidR="00A33C9A" w:rsidRPr="002F0709">
              <w:rPr>
                <w:rFonts w:cs="Arial"/>
                <w:lang w:val="en-GB"/>
              </w:rPr>
              <w:t>(122</w:t>
            </w:r>
            <w:r w:rsidR="00BC6556">
              <w:rPr>
                <w:rFonts w:cs="Arial"/>
                <w:lang w:val="en-GB"/>
              </w:rPr>
              <w:t>.</w:t>
            </w:r>
            <w:r w:rsidR="00A33C9A" w:rsidRPr="002F0709">
              <w:rPr>
                <w:rFonts w:cs="Arial"/>
                <w:lang w:val="en-GB"/>
              </w:rPr>
              <w:t xml:space="preserve">3 </w:t>
            </w:r>
            <w:r w:rsidR="00BC6556">
              <w:rPr>
                <w:rFonts w:cs="Arial"/>
                <w:lang w:val="en-GB"/>
              </w:rPr>
              <w:t>CZK bn</w:t>
            </w:r>
            <w:r w:rsidR="00A33C9A" w:rsidRPr="002F0709">
              <w:rPr>
                <w:rFonts w:cs="Arial"/>
                <w:lang w:val="en-GB"/>
              </w:rPr>
              <w:t xml:space="preserve">, </w:t>
            </w:r>
            <w:r w:rsidR="00BC6556">
              <w:rPr>
                <w:rFonts w:cs="Arial"/>
                <w:lang w:val="en-GB"/>
              </w:rPr>
              <w:t xml:space="preserve">year-on-year addition of </w:t>
            </w:r>
            <w:r w:rsidR="00A33C9A" w:rsidRPr="002F0709">
              <w:rPr>
                <w:rFonts w:cs="Arial"/>
                <w:lang w:val="en-GB"/>
              </w:rPr>
              <w:t>13</w:t>
            </w:r>
            <w:r w:rsidR="00BC6556">
              <w:rPr>
                <w:rFonts w:cs="Arial"/>
                <w:lang w:val="en-GB"/>
              </w:rPr>
              <w:t>.</w:t>
            </w:r>
            <w:r w:rsidR="00A33C9A" w:rsidRPr="002F0709">
              <w:rPr>
                <w:rFonts w:cs="Arial"/>
                <w:lang w:val="en-GB"/>
              </w:rPr>
              <w:t xml:space="preserve">0 </w:t>
            </w:r>
            <w:r w:rsidR="00BC6556">
              <w:rPr>
                <w:rFonts w:cs="Arial"/>
                <w:lang w:val="en-GB"/>
              </w:rPr>
              <w:t>bn</w:t>
            </w:r>
            <w:r w:rsidR="00A33C9A" w:rsidRPr="002F0709">
              <w:rPr>
                <w:rFonts w:cs="Arial"/>
                <w:lang w:val="en-GB"/>
              </w:rPr>
              <w:t xml:space="preserve">). </w:t>
            </w:r>
            <w:r w:rsidR="00B454B4">
              <w:rPr>
                <w:rFonts w:cs="Arial"/>
                <w:lang w:val="en-GB"/>
              </w:rPr>
              <w:t xml:space="preserve">Surplus of the foreign trade with goods arrived at </w:t>
            </w:r>
            <w:r w:rsidR="00A33C9A" w:rsidRPr="002F0709">
              <w:rPr>
                <w:rFonts w:cs="Arial"/>
                <w:lang w:val="en-GB"/>
              </w:rPr>
              <w:t>242</w:t>
            </w:r>
            <w:r w:rsidR="00B454B4">
              <w:rPr>
                <w:rFonts w:cs="Arial"/>
                <w:lang w:val="en-GB"/>
              </w:rPr>
              <w:t>.</w:t>
            </w:r>
            <w:r w:rsidR="00A33C9A" w:rsidRPr="002F0709">
              <w:rPr>
                <w:rFonts w:cs="Arial"/>
                <w:lang w:val="en-GB"/>
              </w:rPr>
              <w:t xml:space="preserve">3 </w:t>
            </w:r>
            <w:r w:rsidR="00B454B4">
              <w:rPr>
                <w:rFonts w:cs="Arial"/>
                <w:lang w:val="en-GB"/>
              </w:rPr>
              <w:t xml:space="preserve">CZK bn last year and it shrank by </w:t>
            </w:r>
            <w:r w:rsidR="00A33C9A" w:rsidRPr="002F0709">
              <w:rPr>
                <w:rFonts w:cs="Arial"/>
                <w:lang w:val="en-GB"/>
              </w:rPr>
              <w:t>5</w:t>
            </w:r>
            <w:r w:rsidR="00B454B4">
              <w:rPr>
                <w:rFonts w:cs="Arial"/>
                <w:lang w:val="en-GB"/>
              </w:rPr>
              <w:t>.</w:t>
            </w:r>
            <w:r w:rsidR="00A33C9A" w:rsidRPr="002F0709">
              <w:rPr>
                <w:rFonts w:cs="Arial"/>
                <w:lang w:val="en-GB"/>
              </w:rPr>
              <w:t xml:space="preserve">0 </w:t>
            </w:r>
            <w:r w:rsidR="00B454B4">
              <w:rPr>
                <w:rFonts w:cs="Arial"/>
                <w:lang w:val="en-GB"/>
              </w:rPr>
              <w:t>bn year-on-year</w:t>
            </w:r>
            <w:r w:rsidR="00A33C9A" w:rsidRPr="002F0709">
              <w:rPr>
                <w:rFonts w:cs="Arial"/>
                <w:lang w:val="en-GB"/>
              </w:rPr>
              <w:t xml:space="preserve">. </w:t>
            </w:r>
            <w:r w:rsidR="00B454B4">
              <w:rPr>
                <w:rFonts w:cs="Arial"/>
                <w:lang w:val="en-GB"/>
              </w:rPr>
              <w:t xml:space="preserve">The terms of trade were </w:t>
            </w:r>
            <w:r w:rsidR="00A33C9A" w:rsidRPr="002F0709">
              <w:rPr>
                <w:rFonts w:cs="Arial"/>
                <w:lang w:val="en-GB"/>
              </w:rPr>
              <w:t>99</w:t>
            </w:r>
            <w:r w:rsidR="00B454B4">
              <w:rPr>
                <w:rFonts w:cs="Arial"/>
                <w:lang w:val="en-GB"/>
              </w:rPr>
              <w:t>.</w:t>
            </w:r>
            <w:r w:rsidR="00A33C9A" w:rsidRPr="002F0709">
              <w:rPr>
                <w:rFonts w:cs="Arial"/>
                <w:lang w:val="en-GB"/>
              </w:rPr>
              <w:t>0%</w:t>
            </w:r>
            <w:r w:rsidR="00B454B4">
              <w:rPr>
                <w:rFonts w:cs="Arial"/>
                <w:lang w:val="en-GB"/>
              </w:rPr>
              <w:t xml:space="preserve"> in year 2017</w:t>
            </w:r>
            <w:r w:rsidR="00A33C9A" w:rsidRPr="002F0709">
              <w:rPr>
                <w:rFonts w:cs="Arial"/>
                <w:lang w:val="en-GB"/>
              </w:rPr>
              <w:t xml:space="preserve">. </w:t>
            </w:r>
            <w:r w:rsidR="00C92988">
              <w:rPr>
                <w:rFonts w:cs="Arial"/>
                <w:lang w:val="en-GB"/>
              </w:rPr>
              <w:t>They moderated during the year and already reached a positive result in Q</w:t>
            </w:r>
            <w:r w:rsidR="00A33C9A" w:rsidRPr="002F0709">
              <w:rPr>
                <w:rFonts w:cs="Arial"/>
                <w:lang w:val="en-GB"/>
              </w:rPr>
              <w:t>4</w:t>
            </w:r>
            <w:r w:rsidR="00C92988">
              <w:rPr>
                <w:rFonts w:cs="Arial"/>
                <w:lang w:val="en-GB"/>
              </w:rPr>
              <w:t xml:space="preserve"> </w:t>
            </w:r>
            <w:r w:rsidR="00A33C9A" w:rsidRPr="002F0709">
              <w:rPr>
                <w:rFonts w:cs="Arial"/>
                <w:lang w:val="en-GB"/>
              </w:rPr>
              <w:t>(100</w:t>
            </w:r>
            <w:r w:rsidR="00C92988">
              <w:rPr>
                <w:rFonts w:cs="Arial"/>
                <w:lang w:val="en-GB"/>
              </w:rPr>
              <w:t>.</w:t>
            </w:r>
            <w:r w:rsidR="00A33C9A" w:rsidRPr="002F0709">
              <w:rPr>
                <w:rFonts w:cs="Arial"/>
                <w:lang w:val="en-GB"/>
              </w:rPr>
              <w:t xml:space="preserve">3%). </w:t>
            </w:r>
            <w:r w:rsidR="004120DE">
              <w:rPr>
                <w:rFonts w:cs="Arial"/>
                <w:lang w:val="en-GB"/>
              </w:rPr>
              <w:t xml:space="preserve">Loss from the movements of the terms of trade, expressed as a difference between the GDP and the real gross </w:t>
            </w:r>
            <w:r w:rsidR="00654E14">
              <w:rPr>
                <w:rFonts w:cs="Arial"/>
                <w:lang w:val="en-GB"/>
              </w:rPr>
              <w:t>domestic</w:t>
            </w:r>
            <w:r w:rsidR="004120DE">
              <w:rPr>
                <w:rFonts w:cs="Arial"/>
                <w:lang w:val="en-GB"/>
              </w:rPr>
              <w:t xml:space="preserve"> income in </w:t>
            </w:r>
            <w:r w:rsidR="00A33C9A" w:rsidRPr="002F0709">
              <w:rPr>
                <w:rFonts w:cs="Arial"/>
                <w:lang w:val="en-GB"/>
              </w:rPr>
              <w:t xml:space="preserve">2017, </w:t>
            </w:r>
            <w:r w:rsidR="004120DE">
              <w:rPr>
                <w:rFonts w:cs="Arial"/>
                <w:lang w:val="en-GB"/>
              </w:rPr>
              <w:t xml:space="preserve">arrived at </w:t>
            </w:r>
            <w:r w:rsidR="00A33C9A" w:rsidRPr="002F0709">
              <w:rPr>
                <w:rFonts w:cs="Arial"/>
                <w:lang w:val="en-GB"/>
              </w:rPr>
              <w:t>38</w:t>
            </w:r>
            <w:r w:rsidR="004120DE">
              <w:rPr>
                <w:rFonts w:cs="Arial"/>
                <w:lang w:val="en-GB"/>
              </w:rPr>
              <w:t>.</w:t>
            </w:r>
            <w:r w:rsidR="00A33C9A" w:rsidRPr="002F0709">
              <w:rPr>
                <w:rFonts w:cs="Arial"/>
                <w:lang w:val="en-GB"/>
              </w:rPr>
              <w:t xml:space="preserve">5 </w:t>
            </w:r>
            <w:r w:rsidR="004120DE">
              <w:rPr>
                <w:rFonts w:cs="Arial"/>
                <w:lang w:val="en-GB"/>
              </w:rPr>
              <w:t>CZK bn</w:t>
            </w:r>
            <w:r w:rsidR="00A33C9A" w:rsidRPr="002F0709">
              <w:rPr>
                <w:rFonts w:cs="Arial"/>
                <w:lang w:val="en-GB"/>
              </w:rPr>
              <w:t xml:space="preserve">. </w:t>
            </w:r>
            <w:r w:rsidR="004325CC">
              <w:rPr>
                <w:rFonts w:cs="Arial"/>
                <w:lang w:val="en-GB"/>
              </w:rPr>
              <w:t xml:space="preserve">It presented the first negative result since year </w:t>
            </w:r>
            <w:r w:rsidR="00A33C9A" w:rsidRPr="002F0709">
              <w:rPr>
                <w:rFonts w:cs="Arial"/>
                <w:lang w:val="en-GB"/>
              </w:rPr>
              <w:t>2012.</w:t>
            </w:r>
          </w:p>
          <w:p w:rsidR="00A33C9A" w:rsidRPr="005400CC" w:rsidRDefault="00A33C9A" w:rsidP="006E4368">
            <w:pPr>
              <w:pStyle w:val="Textpoznpodarou"/>
              <w:jc w:val="both"/>
              <w:rPr>
                <w:rFonts w:cs="Arial"/>
                <w:sz w:val="16"/>
                <w:szCs w:val="16"/>
                <w:highlight w:val="yellow"/>
              </w:rPr>
            </w:pPr>
          </w:p>
        </w:tc>
      </w:tr>
      <w:tr w:rsidR="00A33C9A" w:rsidRPr="00A74192" w:rsidTr="006C3DC1">
        <w:tc>
          <w:tcPr>
            <w:tcW w:w="1007" w:type="pct"/>
          </w:tcPr>
          <w:p w:rsidR="00A33C9A" w:rsidRPr="00427332" w:rsidRDefault="00427332" w:rsidP="00427332">
            <w:pPr>
              <w:spacing w:line="240" w:lineRule="auto"/>
              <w:rPr>
                <w:rFonts w:cs="Arial"/>
                <w:sz w:val="16"/>
                <w:szCs w:val="16"/>
                <w:lang w:val="en-GB"/>
              </w:rPr>
            </w:pPr>
            <w:r w:rsidRPr="00427332">
              <w:rPr>
                <w:rFonts w:cs="Arial"/>
                <w:sz w:val="16"/>
                <w:szCs w:val="16"/>
                <w:lang w:val="en-GB"/>
              </w:rPr>
              <w:t xml:space="preserve">Manufacturing and services sector both supported to the same extent the year-on-year growth of GVA. </w:t>
            </w:r>
          </w:p>
        </w:tc>
        <w:tc>
          <w:tcPr>
            <w:tcW w:w="144" w:type="pct"/>
          </w:tcPr>
          <w:p w:rsidR="00A33C9A" w:rsidRPr="00427332" w:rsidRDefault="00A33C9A" w:rsidP="006E4368">
            <w:pPr>
              <w:pStyle w:val="Textpoznpodarou"/>
              <w:rPr>
                <w:rFonts w:cs="Arial"/>
                <w:lang w:val="en-GB"/>
              </w:rPr>
            </w:pPr>
          </w:p>
        </w:tc>
        <w:tc>
          <w:tcPr>
            <w:tcW w:w="3849" w:type="pct"/>
            <w:gridSpan w:val="3"/>
          </w:tcPr>
          <w:p w:rsidR="00A33C9A" w:rsidRDefault="00FE6920" w:rsidP="006E4368">
            <w:pPr>
              <w:pStyle w:val="Textpoznpodarou"/>
              <w:jc w:val="both"/>
              <w:rPr>
                <w:rFonts w:cs="Arial"/>
                <w:lang w:val="en-GB"/>
              </w:rPr>
            </w:pPr>
            <w:r>
              <w:rPr>
                <w:rFonts w:cs="Arial"/>
                <w:lang w:val="en-GB"/>
              </w:rPr>
              <w:t xml:space="preserve">View of the supply side of the GDP confirms the continuing key role of manufacturing in the Czech economy. The gross value added of the relevant branches increased by </w:t>
            </w:r>
            <w:r w:rsidR="00A33C9A" w:rsidRPr="00427332">
              <w:rPr>
                <w:rFonts w:cs="Arial"/>
                <w:lang w:val="en-GB"/>
              </w:rPr>
              <w:t>7</w:t>
            </w:r>
            <w:r>
              <w:rPr>
                <w:rFonts w:cs="Arial"/>
                <w:lang w:val="en-GB"/>
              </w:rPr>
              <w:t>.</w:t>
            </w:r>
            <w:r w:rsidR="00A33C9A" w:rsidRPr="00427332">
              <w:rPr>
                <w:rFonts w:cs="Arial"/>
                <w:lang w:val="en-GB"/>
              </w:rPr>
              <w:t xml:space="preserve">6%. </w:t>
            </w:r>
            <w:r>
              <w:rPr>
                <w:rFonts w:cs="Arial"/>
                <w:lang w:val="en-GB"/>
              </w:rPr>
              <w:t xml:space="preserve">The addition to the total year-on-year growth of the GVA was very stable throughout the year and it was </w:t>
            </w:r>
            <w:proofErr w:type="gramStart"/>
            <w:r w:rsidR="00A33C9A" w:rsidRPr="00427332">
              <w:rPr>
                <w:rFonts w:cs="Arial"/>
                <w:lang w:val="en-GB"/>
              </w:rPr>
              <w:t>2</w:t>
            </w:r>
            <w:r>
              <w:rPr>
                <w:rFonts w:cs="Arial"/>
                <w:lang w:val="en-GB"/>
              </w:rPr>
              <w:t>.</w:t>
            </w:r>
            <w:r w:rsidR="00A33C9A" w:rsidRPr="00427332">
              <w:rPr>
                <w:rFonts w:cs="Arial"/>
                <w:lang w:val="en-GB"/>
              </w:rPr>
              <w:t xml:space="preserve">1 </w:t>
            </w:r>
            <w:r w:rsidR="0030607B">
              <w:rPr>
                <w:rFonts w:cs="Arial"/>
                <w:lang w:val="en-GB"/>
              </w:rPr>
              <w:t>p.p</w:t>
            </w:r>
            <w:proofErr w:type="gramEnd"/>
            <w:r w:rsidR="0030607B">
              <w:rPr>
                <w:rFonts w:cs="Arial"/>
                <w:lang w:val="en-GB"/>
              </w:rPr>
              <w:t>.</w:t>
            </w:r>
            <w:r w:rsidR="00A33C9A" w:rsidRPr="00427332">
              <w:rPr>
                <w:rFonts w:cs="Arial"/>
                <w:lang w:val="en-GB"/>
              </w:rPr>
              <w:t xml:space="preserve"> </w:t>
            </w:r>
            <w:r>
              <w:rPr>
                <w:rFonts w:cs="Arial"/>
                <w:lang w:val="en-GB"/>
              </w:rPr>
              <w:t xml:space="preserve">The services activities were also very important. Total contribution of services to the GVA growth achieved also </w:t>
            </w:r>
            <w:r w:rsidR="00A33C9A" w:rsidRPr="00427332">
              <w:rPr>
                <w:rFonts w:cs="Arial"/>
                <w:lang w:val="en-GB"/>
              </w:rPr>
              <w:t>2</w:t>
            </w:r>
            <w:r>
              <w:rPr>
                <w:rFonts w:cs="Arial"/>
                <w:lang w:val="en-GB"/>
              </w:rPr>
              <w:t>.</w:t>
            </w:r>
            <w:r w:rsidR="00A33C9A" w:rsidRPr="00427332">
              <w:rPr>
                <w:rFonts w:cs="Arial"/>
                <w:lang w:val="en-GB"/>
              </w:rPr>
              <w:t>1 </w:t>
            </w:r>
            <w:r w:rsidR="0030607B">
              <w:rPr>
                <w:rFonts w:cs="Arial"/>
                <w:lang w:val="en-GB"/>
              </w:rPr>
              <w:t>p.p.</w:t>
            </w:r>
            <w:r>
              <w:rPr>
                <w:rFonts w:cs="Arial"/>
                <w:lang w:val="en-GB"/>
              </w:rPr>
              <w:t xml:space="preserve"> last year and the role of services was strengthening during the year. Their addition to the year-on-year growth of GVA was 2.8</w:t>
            </w:r>
            <w:r w:rsidR="000B2324" w:rsidRPr="00427332">
              <w:rPr>
                <w:rFonts w:cs="Arial"/>
                <w:lang w:val="en-GB"/>
              </w:rPr>
              <w:t> </w:t>
            </w:r>
            <w:r w:rsidR="0030607B">
              <w:rPr>
                <w:rFonts w:cs="Arial"/>
                <w:lang w:val="en-GB"/>
              </w:rPr>
              <w:t>p.p.</w:t>
            </w:r>
            <w:r>
              <w:rPr>
                <w:rFonts w:cs="Arial"/>
                <w:lang w:val="en-GB"/>
              </w:rPr>
              <w:t xml:space="preserve"> in Q4. </w:t>
            </w:r>
            <w:r w:rsidR="005B75C7">
              <w:rPr>
                <w:rFonts w:cs="Arial"/>
                <w:lang w:val="en-GB"/>
              </w:rPr>
              <w:t xml:space="preserve">Among the services branches, the trade, transportation, accommodation and restaurants contributed the most </w:t>
            </w:r>
            <w:r w:rsidR="00A33C9A" w:rsidRPr="00427332">
              <w:rPr>
                <w:rFonts w:cs="Arial"/>
                <w:lang w:val="en-GB"/>
              </w:rPr>
              <w:t>(0</w:t>
            </w:r>
            <w:r w:rsidR="005B75C7">
              <w:rPr>
                <w:rFonts w:cs="Arial"/>
                <w:lang w:val="en-GB"/>
              </w:rPr>
              <w:t>.</w:t>
            </w:r>
            <w:r w:rsidR="00A33C9A" w:rsidRPr="00427332">
              <w:rPr>
                <w:rFonts w:cs="Arial"/>
                <w:lang w:val="en-GB"/>
              </w:rPr>
              <w:t>6</w:t>
            </w:r>
            <w:r w:rsidR="000B2324" w:rsidRPr="00427332">
              <w:rPr>
                <w:rFonts w:cs="Arial"/>
                <w:lang w:val="en-GB"/>
              </w:rPr>
              <w:t> </w:t>
            </w:r>
            <w:r w:rsidR="0030607B">
              <w:rPr>
                <w:rFonts w:cs="Arial"/>
                <w:lang w:val="en-GB"/>
              </w:rPr>
              <w:t>p.p.</w:t>
            </w:r>
            <w:r w:rsidR="00A33C9A" w:rsidRPr="00427332">
              <w:rPr>
                <w:rFonts w:cs="Arial"/>
                <w:lang w:val="en-GB"/>
              </w:rPr>
              <w:t xml:space="preserve">) </w:t>
            </w:r>
            <w:r w:rsidR="005B75C7">
              <w:rPr>
                <w:rFonts w:cs="Arial"/>
                <w:lang w:val="en-GB"/>
              </w:rPr>
              <w:t xml:space="preserve">together with the professional, scientific, technical and administrative activities </w:t>
            </w:r>
            <w:r w:rsidR="00A33C9A" w:rsidRPr="00427332">
              <w:rPr>
                <w:rFonts w:cs="Arial"/>
                <w:lang w:val="en-GB"/>
              </w:rPr>
              <w:t>(0</w:t>
            </w:r>
            <w:r w:rsidR="005B75C7">
              <w:rPr>
                <w:rFonts w:cs="Arial"/>
                <w:lang w:val="en-GB"/>
              </w:rPr>
              <w:t>.</w:t>
            </w:r>
            <w:r w:rsidR="00A33C9A" w:rsidRPr="00427332">
              <w:rPr>
                <w:rFonts w:cs="Arial"/>
                <w:lang w:val="en-GB"/>
              </w:rPr>
              <w:t>5</w:t>
            </w:r>
            <w:r w:rsidR="000B2324" w:rsidRPr="00427332">
              <w:rPr>
                <w:rFonts w:cs="Arial"/>
                <w:lang w:val="en-GB"/>
              </w:rPr>
              <w:t> </w:t>
            </w:r>
            <w:r w:rsidR="0030607B">
              <w:rPr>
                <w:rFonts w:cs="Arial"/>
                <w:lang w:val="en-GB"/>
              </w:rPr>
              <w:t>p.p.</w:t>
            </w:r>
            <w:r w:rsidR="00A33C9A" w:rsidRPr="00427332">
              <w:rPr>
                <w:rFonts w:cs="Arial"/>
                <w:lang w:val="en-GB"/>
              </w:rPr>
              <w:t xml:space="preserve">). </w:t>
            </w:r>
            <w:r w:rsidR="00255A44">
              <w:rPr>
                <w:rFonts w:cs="Arial"/>
                <w:lang w:val="en-GB"/>
              </w:rPr>
              <w:t>Finance a</w:t>
            </w:r>
            <w:bookmarkStart w:id="8" w:name="_GoBack"/>
            <w:bookmarkEnd w:id="8"/>
            <w:r w:rsidR="00255A44">
              <w:rPr>
                <w:rFonts w:cs="Arial"/>
                <w:lang w:val="en-GB"/>
              </w:rPr>
              <w:t xml:space="preserve">nd insurance activities also fared well </w:t>
            </w:r>
            <w:r w:rsidR="00A33C9A" w:rsidRPr="00427332">
              <w:rPr>
                <w:rFonts w:cs="Arial"/>
                <w:lang w:val="en-GB"/>
              </w:rPr>
              <w:t>(</w:t>
            </w:r>
            <w:r w:rsidR="00255A44">
              <w:rPr>
                <w:rFonts w:cs="Arial"/>
                <w:lang w:val="en-GB"/>
              </w:rPr>
              <w:t xml:space="preserve">contribution </w:t>
            </w:r>
            <w:r w:rsidR="00A33C9A" w:rsidRPr="00427332">
              <w:rPr>
                <w:rFonts w:cs="Arial"/>
                <w:lang w:val="en-GB"/>
              </w:rPr>
              <w:t>0</w:t>
            </w:r>
            <w:r w:rsidR="00255A44">
              <w:rPr>
                <w:rFonts w:cs="Arial"/>
                <w:lang w:val="en-GB"/>
              </w:rPr>
              <w:t>.</w:t>
            </w:r>
            <w:r w:rsidR="00A33C9A" w:rsidRPr="00427332">
              <w:rPr>
                <w:rFonts w:cs="Arial"/>
                <w:lang w:val="en-GB"/>
              </w:rPr>
              <w:t>4</w:t>
            </w:r>
            <w:r w:rsidR="000B2324" w:rsidRPr="00427332">
              <w:rPr>
                <w:rFonts w:cs="Arial"/>
                <w:lang w:val="en-GB"/>
              </w:rPr>
              <w:t> </w:t>
            </w:r>
            <w:r w:rsidR="0030607B">
              <w:rPr>
                <w:rFonts w:cs="Arial"/>
                <w:lang w:val="en-GB"/>
              </w:rPr>
              <w:t>p.p.</w:t>
            </w:r>
            <w:r w:rsidR="00A33C9A" w:rsidRPr="00427332">
              <w:rPr>
                <w:rFonts w:cs="Arial"/>
                <w:lang w:val="en-GB"/>
              </w:rPr>
              <w:t xml:space="preserve">). </w:t>
            </w:r>
            <w:r w:rsidR="008001F0">
              <w:rPr>
                <w:rFonts w:cs="Arial"/>
                <w:lang w:val="en-GB"/>
              </w:rPr>
              <w:t xml:space="preserve">All branches contributed positively in the last year, so even construction, which experienced relatively adverse situation in </w:t>
            </w:r>
            <w:r w:rsidR="008001F0" w:rsidRPr="00427332">
              <w:rPr>
                <w:rFonts w:cs="Arial"/>
                <w:lang w:val="en-GB"/>
              </w:rPr>
              <w:t>2016</w:t>
            </w:r>
            <w:r w:rsidR="008001F0">
              <w:rPr>
                <w:rFonts w:cs="Arial"/>
                <w:lang w:val="en-GB"/>
              </w:rPr>
              <w:t xml:space="preserve"> also achieved a positive, even though a small contribution in the last year </w:t>
            </w:r>
            <w:proofErr w:type="gramStart"/>
            <w:r w:rsidR="00A33C9A" w:rsidRPr="00427332">
              <w:rPr>
                <w:rFonts w:cs="Arial"/>
                <w:lang w:val="en-GB"/>
              </w:rPr>
              <w:t>(0</w:t>
            </w:r>
            <w:r w:rsidR="008001F0">
              <w:rPr>
                <w:rFonts w:cs="Arial"/>
                <w:lang w:val="en-GB"/>
              </w:rPr>
              <w:t>.</w:t>
            </w:r>
            <w:r w:rsidR="00A33C9A" w:rsidRPr="00427332">
              <w:rPr>
                <w:rFonts w:cs="Arial"/>
                <w:lang w:val="en-GB"/>
              </w:rPr>
              <w:t>1</w:t>
            </w:r>
            <w:r w:rsidR="000B2324" w:rsidRPr="00427332">
              <w:rPr>
                <w:rFonts w:cs="Arial"/>
                <w:lang w:val="en-GB"/>
              </w:rPr>
              <w:t> </w:t>
            </w:r>
            <w:r w:rsidR="0030607B">
              <w:rPr>
                <w:rFonts w:cs="Arial"/>
                <w:lang w:val="en-GB"/>
              </w:rPr>
              <w:t>p.p.</w:t>
            </w:r>
            <w:r w:rsidR="00A33C9A" w:rsidRPr="00427332">
              <w:rPr>
                <w:rFonts w:cs="Arial"/>
                <w:lang w:val="en-GB"/>
              </w:rPr>
              <w:t>)</w:t>
            </w:r>
            <w:proofErr w:type="gramEnd"/>
            <w:r w:rsidR="00A33C9A" w:rsidRPr="00427332">
              <w:rPr>
                <w:rFonts w:cs="Arial"/>
                <w:lang w:val="en-GB"/>
              </w:rPr>
              <w:t>.</w:t>
            </w:r>
          </w:p>
          <w:p w:rsidR="00551A4F" w:rsidRDefault="00551A4F" w:rsidP="006E4368">
            <w:pPr>
              <w:pStyle w:val="Textpoznpodarou"/>
              <w:jc w:val="both"/>
              <w:rPr>
                <w:rFonts w:cs="Arial"/>
                <w:lang w:val="en-GB"/>
              </w:rPr>
            </w:pPr>
          </w:p>
          <w:p w:rsidR="00551A4F" w:rsidRDefault="00551A4F" w:rsidP="006E4368">
            <w:pPr>
              <w:pStyle w:val="Textpoznpodarou"/>
              <w:jc w:val="both"/>
              <w:rPr>
                <w:rFonts w:cs="Arial"/>
                <w:lang w:val="en-GB"/>
              </w:rPr>
            </w:pPr>
          </w:p>
          <w:p w:rsidR="00551A4F" w:rsidRDefault="00551A4F" w:rsidP="006E4368">
            <w:pPr>
              <w:pStyle w:val="Textpoznpodarou"/>
              <w:jc w:val="both"/>
              <w:rPr>
                <w:rFonts w:cs="Arial"/>
                <w:lang w:val="en-GB"/>
              </w:rPr>
            </w:pPr>
          </w:p>
          <w:p w:rsidR="00551A4F" w:rsidRDefault="00551A4F" w:rsidP="006E4368">
            <w:pPr>
              <w:pStyle w:val="Textpoznpodarou"/>
              <w:jc w:val="both"/>
              <w:rPr>
                <w:rFonts w:cs="Arial"/>
                <w:lang w:val="en-GB"/>
              </w:rPr>
            </w:pPr>
          </w:p>
          <w:p w:rsidR="002133D5" w:rsidRDefault="002133D5" w:rsidP="006E4368">
            <w:pPr>
              <w:pStyle w:val="Textpoznpodarou"/>
              <w:jc w:val="both"/>
              <w:rPr>
                <w:rFonts w:cs="Arial"/>
                <w:lang w:val="en-GB"/>
              </w:rPr>
            </w:pPr>
          </w:p>
          <w:p w:rsidR="00551A4F" w:rsidRDefault="00551A4F" w:rsidP="006E4368">
            <w:pPr>
              <w:pStyle w:val="Textpoznpodarou"/>
              <w:jc w:val="both"/>
              <w:rPr>
                <w:rFonts w:cs="Arial"/>
                <w:lang w:val="en-GB"/>
              </w:rPr>
            </w:pPr>
          </w:p>
          <w:p w:rsidR="00551A4F" w:rsidRDefault="00551A4F" w:rsidP="006E4368">
            <w:pPr>
              <w:pStyle w:val="Textpoznpodarou"/>
              <w:jc w:val="both"/>
              <w:rPr>
                <w:rFonts w:cs="Arial"/>
                <w:lang w:val="en-GB"/>
              </w:rPr>
            </w:pPr>
          </w:p>
          <w:p w:rsidR="00551A4F" w:rsidRPr="00427332" w:rsidRDefault="00551A4F" w:rsidP="006E4368">
            <w:pPr>
              <w:pStyle w:val="Textpoznpodarou"/>
              <w:jc w:val="both"/>
              <w:rPr>
                <w:rFonts w:cs="Arial"/>
                <w:sz w:val="16"/>
                <w:szCs w:val="16"/>
                <w:lang w:val="en-GB"/>
              </w:rPr>
            </w:pPr>
          </w:p>
          <w:p w:rsidR="00A33C9A" w:rsidRPr="00427332" w:rsidRDefault="00A33C9A" w:rsidP="006E4368">
            <w:pPr>
              <w:pStyle w:val="Textpoznpodarou"/>
              <w:jc w:val="both"/>
              <w:rPr>
                <w:rFonts w:cs="Arial"/>
                <w:sz w:val="16"/>
                <w:szCs w:val="16"/>
                <w:lang w:val="en-GB"/>
              </w:rPr>
            </w:pPr>
          </w:p>
        </w:tc>
      </w:tr>
      <w:tr w:rsidR="00A33C9A" w:rsidRPr="00A74192" w:rsidTr="006C3DC1">
        <w:tc>
          <w:tcPr>
            <w:tcW w:w="1007" w:type="pct"/>
          </w:tcPr>
          <w:p w:rsidR="00A33C9A"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Default="00427332" w:rsidP="006C3DC1">
            <w:pPr>
              <w:pStyle w:val="Textpoznpodarou"/>
              <w:jc w:val="both"/>
              <w:rPr>
                <w:rFonts w:cs="Arial"/>
              </w:rPr>
            </w:pPr>
            <w:r>
              <w:rPr>
                <w:rFonts w:cs="Arial"/>
                <w:lang w:eastAsia="en-US"/>
              </w:rPr>
              <w:t>Chart</w:t>
            </w:r>
            <w:r w:rsidR="00A33C9A" w:rsidRPr="005E2AB2">
              <w:rPr>
                <w:rFonts w:cs="Arial"/>
                <w:lang w:eastAsia="en-US"/>
              </w:rPr>
              <w:t xml:space="preserve"> 4</w:t>
            </w:r>
          </w:p>
        </w:tc>
        <w:tc>
          <w:tcPr>
            <w:tcW w:w="3274" w:type="pct"/>
            <w:gridSpan w:val="2"/>
          </w:tcPr>
          <w:p w:rsidR="00A33C9A" w:rsidRDefault="00055CE3" w:rsidP="006C3DC1">
            <w:pPr>
              <w:pStyle w:val="Textpoznpodarou"/>
              <w:rPr>
                <w:rFonts w:cs="Arial"/>
              </w:rPr>
            </w:pPr>
            <w:r w:rsidRPr="006515D6">
              <w:rPr>
                <w:b/>
                <w:lang w:val="en-GB" w:eastAsia="en-US"/>
              </w:rPr>
              <w:t xml:space="preserve">Contributions of branches to </w:t>
            </w:r>
            <w:r>
              <w:rPr>
                <w:b/>
                <w:lang w:val="en-GB" w:eastAsia="en-US"/>
              </w:rPr>
              <w:t xml:space="preserve">real </w:t>
            </w:r>
            <w:r w:rsidRPr="006515D6">
              <w:rPr>
                <w:b/>
                <w:lang w:val="en-GB" w:eastAsia="en-US"/>
              </w:rPr>
              <w:t xml:space="preserve">change in </w:t>
            </w:r>
            <w:r w:rsidRPr="00E13155">
              <w:rPr>
                <w:b/>
                <w:lang w:val="en-GB" w:eastAsia="en-US"/>
              </w:rPr>
              <w:t>GVA</w:t>
            </w:r>
            <w:r w:rsidRPr="00E13155">
              <w:rPr>
                <w:rFonts w:cs="Arial"/>
                <w:lang w:val="en-GB" w:eastAsia="en-US"/>
              </w:rPr>
              <w:t xml:space="preserve"> </w:t>
            </w:r>
            <w:r>
              <w:rPr>
                <w:rFonts w:cs="Arial"/>
                <w:lang w:val="en-GB" w:eastAsia="en-US"/>
              </w:rPr>
              <w:t>(</w:t>
            </w:r>
            <w:r w:rsidRPr="00E13155">
              <w:rPr>
                <w:rFonts w:cs="Arial"/>
                <w:lang w:val="en-GB" w:eastAsia="en-US"/>
              </w:rPr>
              <w:t xml:space="preserve">volume indices, year-on-year contributions in p.p., GVA </w:t>
            </w:r>
            <w:r>
              <w:rPr>
                <w:rFonts w:cs="Arial"/>
                <w:lang w:val="en-GB" w:eastAsia="en-US"/>
              </w:rPr>
              <w:t>in %</w:t>
            </w:r>
            <w:r w:rsidRPr="00E13155">
              <w:rPr>
                <w:rFonts w:cs="Arial"/>
                <w:lang w:val="en-GB" w:eastAsia="en-US"/>
              </w:rPr>
              <w:t>)</w:t>
            </w:r>
            <w:r w:rsidRPr="005E2AB2">
              <w:rPr>
                <w:rFonts w:cs="Arial"/>
                <w:lang w:eastAsia="en-US"/>
              </w:rPr>
              <w:t xml:space="preserve"> </w:t>
            </w:r>
          </w:p>
        </w:tc>
      </w:tr>
      <w:tr w:rsidR="00A33C9A" w:rsidRPr="00A74192" w:rsidTr="006C3DC1">
        <w:tc>
          <w:tcPr>
            <w:tcW w:w="1007" w:type="pct"/>
          </w:tcPr>
          <w:p w:rsidR="00A33C9A" w:rsidRDefault="00A33C9A" w:rsidP="006C3DC1">
            <w:pPr>
              <w:spacing w:line="240" w:lineRule="auto"/>
              <w:rPr>
                <w:rFonts w:cs="Arial"/>
                <w:sz w:val="16"/>
                <w:szCs w:val="16"/>
              </w:rPr>
            </w:pPr>
          </w:p>
        </w:tc>
        <w:tc>
          <w:tcPr>
            <w:tcW w:w="144" w:type="pct"/>
          </w:tcPr>
          <w:p w:rsidR="00A33C9A" w:rsidRPr="005E2AB2" w:rsidRDefault="00A33C9A" w:rsidP="006C3DC1">
            <w:pPr>
              <w:pStyle w:val="Textpoznpodarou"/>
              <w:jc w:val="both"/>
              <w:rPr>
                <w:rFonts w:cs="Arial"/>
              </w:rPr>
            </w:pPr>
          </w:p>
        </w:tc>
        <w:tc>
          <w:tcPr>
            <w:tcW w:w="3849" w:type="pct"/>
            <w:gridSpan w:val="3"/>
          </w:tcPr>
          <w:p w:rsidR="00A33C9A" w:rsidRDefault="00551A4F" w:rsidP="006C3DC1">
            <w:pPr>
              <w:pStyle w:val="Textpoznpodarou"/>
              <w:ind w:left="-95"/>
              <w:jc w:val="both"/>
              <w:rPr>
                <w:rFonts w:cs="Arial"/>
              </w:rPr>
            </w:pPr>
            <w:r w:rsidRPr="00551A4F">
              <w:rPr>
                <w:rFonts w:cs="Arial"/>
                <w:noProof/>
              </w:rPr>
              <w:drawing>
                <wp:inline distT="0" distB="0" distL="0" distR="0">
                  <wp:extent cx="4735902" cy="3420000"/>
                  <wp:effectExtent l="0" t="0" r="0" b="0"/>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33C9A" w:rsidRDefault="00790C15" w:rsidP="006C3DC1">
            <w:pPr>
              <w:pStyle w:val="Textpoznpodarou"/>
              <w:ind w:left="-95"/>
              <w:jc w:val="right"/>
              <w:rPr>
                <w:rFonts w:cs="Arial"/>
                <w:sz w:val="14"/>
                <w:szCs w:val="14"/>
                <w:lang w:eastAsia="en-US"/>
              </w:rPr>
            </w:pPr>
            <w:proofErr w:type="spellStart"/>
            <w:r>
              <w:rPr>
                <w:rFonts w:cs="Arial"/>
                <w:sz w:val="14"/>
                <w:szCs w:val="14"/>
                <w:lang w:eastAsia="en-US"/>
              </w:rPr>
              <w:t>Source</w:t>
            </w:r>
            <w:proofErr w:type="spellEnd"/>
            <w:r w:rsidR="00A33C9A" w:rsidRPr="007841BB">
              <w:rPr>
                <w:rFonts w:cs="Arial"/>
                <w:sz w:val="14"/>
                <w:szCs w:val="14"/>
                <w:lang w:eastAsia="en-US"/>
              </w:rPr>
              <w:t xml:space="preserve">: </w:t>
            </w:r>
            <w:r>
              <w:rPr>
                <w:rFonts w:cs="Arial"/>
                <w:sz w:val="14"/>
                <w:szCs w:val="14"/>
                <w:lang w:eastAsia="en-US"/>
              </w:rPr>
              <w:t>CZSO</w:t>
            </w:r>
          </w:p>
          <w:p w:rsidR="00055CE3" w:rsidRPr="007841BB" w:rsidRDefault="00055CE3" w:rsidP="006C3DC1">
            <w:pPr>
              <w:pStyle w:val="Textpoznpodarou"/>
              <w:ind w:left="-95"/>
              <w:jc w:val="right"/>
              <w:rPr>
                <w:rFonts w:cs="Arial"/>
                <w:sz w:val="14"/>
                <w:szCs w:val="14"/>
                <w:lang w:eastAsia="en-US"/>
              </w:rPr>
            </w:pPr>
          </w:p>
        </w:tc>
      </w:tr>
    </w:tbl>
    <w:p w:rsidR="005C419C" w:rsidRPr="003F01D7" w:rsidRDefault="003F01D7" w:rsidP="005C419C">
      <w:pPr>
        <w:pStyle w:val="Nadpis1"/>
        <w:numPr>
          <w:ilvl w:val="0"/>
          <w:numId w:val="12"/>
        </w:numPr>
        <w:ind w:left="709"/>
        <w:jc w:val="both"/>
        <w:rPr>
          <w:lang w:val="en-GB"/>
        </w:rPr>
      </w:pPr>
      <w:bookmarkStart w:id="9" w:name="_Toc493683635"/>
      <w:r w:rsidRPr="003F01D7">
        <w:rPr>
          <w:lang w:val="en-GB"/>
        </w:rPr>
        <w:t>Branches Performance</w:t>
      </w:r>
      <w:bookmarkEnd w:id="7"/>
      <w:bookmarkEnd w:id="9"/>
    </w:p>
    <w:tbl>
      <w:tblPr>
        <w:tblW w:w="4986" w:type="pct"/>
        <w:tblInd w:w="107" w:type="dxa"/>
        <w:tblLayout w:type="fixed"/>
        <w:tblLook w:val="00A0"/>
      </w:tblPr>
      <w:tblGrid>
        <w:gridCol w:w="1997"/>
        <w:gridCol w:w="283"/>
        <w:gridCol w:w="7546"/>
      </w:tblGrid>
      <w:tr w:rsidR="007B0920" w:rsidRPr="003F01D7" w:rsidTr="00CF0826">
        <w:trPr>
          <w:trHeight w:val="145"/>
        </w:trPr>
        <w:tc>
          <w:tcPr>
            <w:tcW w:w="1016" w:type="pct"/>
          </w:tcPr>
          <w:p w:rsidR="007B0920" w:rsidRPr="003F01D7" w:rsidRDefault="00000C43" w:rsidP="00000C43">
            <w:pPr>
              <w:spacing w:line="240" w:lineRule="auto"/>
              <w:rPr>
                <w:spacing w:val="-3"/>
                <w:sz w:val="16"/>
                <w:szCs w:val="16"/>
                <w:lang w:val="en-GB"/>
              </w:rPr>
            </w:pPr>
            <w:r w:rsidRPr="003F01D7">
              <w:rPr>
                <w:spacing w:val="-3"/>
                <w:sz w:val="16"/>
                <w:szCs w:val="16"/>
                <w:lang w:val="en-GB"/>
              </w:rPr>
              <w:t xml:space="preserve">Gross value added increased by </w:t>
            </w:r>
            <w:r w:rsidR="007B0920" w:rsidRPr="003F01D7">
              <w:rPr>
                <w:spacing w:val="-3"/>
                <w:sz w:val="16"/>
                <w:szCs w:val="16"/>
                <w:lang w:val="en-GB"/>
              </w:rPr>
              <w:t>4</w:t>
            </w:r>
            <w:r w:rsidRPr="003F01D7">
              <w:rPr>
                <w:spacing w:val="-3"/>
                <w:sz w:val="16"/>
                <w:szCs w:val="16"/>
                <w:lang w:val="en-GB"/>
              </w:rPr>
              <w:t>.</w:t>
            </w:r>
            <w:r w:rsidR="007B0920" w:rsidRPr="003F01D7">
              <w:rPr>
                <w:spacing w:val="-3"/>
                <w:sz w:val="16"/>
                <w:szCs w:val="16"/>
                <w:lang w:val="en-GB"/>
              </w:rPr>
              <w:t>5%</w:t>
            </w:r>
            <w:r w:rsidRPr="003F01D7">
              <w:rPr>
                <w:spacing w:val="-3"/>
                <w:sz w:val="16"/>
                <w:szCs w:val="16"/>
                <w:lang w:val="en-GB"/>
              </w:rPr>
              <w:t xml:space="preserve"> last year mainly thanks to the acceleration in the first half of the year. All ten main branch groupings participated on the growth.</w:t>
            </w:r>
            <w:r w:rsidR="007B0920" w:rsidRPr="003F01D7">
              <w:rPr>
                <w:spacing w:val="-3"/>
                <w:sz w:val="16"/>
                <w:szCs w:val="16"/>
                <w:lang w:val="en-GB"/>
              </w:rPr>
              <w:t xml:space="preserve"> </w:t>
            </w:r>
          </w:p>
        </w:tc>
        <w:tc>
          <w:tcPr>
            <w:tcW w:w="144" w:type="pct"/>
          </w:tcPr>
          <w:p w:rsidR="007B0920" w:rsidRPr="003F01D7" w:rsidRDefault="007B0920" w:rsidP="00CF0826">
            <w:pPr>
              <w:pStyle w:val="Textpoznpodarou"/>
              <w:jc w:val="both"/>
              <w:rPr>
                <w:lang w:val="en-GB"/>
              </w:rPr>
            </w:pPr>
          </w:p>
        </w:tc>
        <w:tc>
          <w:tcPr>
            <w:tcW w:w="3840" w:type="pct"/>
          </w:tcPr>
          <w:p w:rsidR="007B0920" w:rsidRPr="003F01D7" w:rsidRDefault="00D867A7" w:rsidP="00CF0826">
            <w:pPr>
              <w:pStyle w:val="Textpoznpodarou"/>
              <w:jc w:val="both"/>
              <w:rPr>
                <w:spacing w:val="-4"/>
                <w:lang w:val="en-GB"/>
              </w:rPr>
            </w:pPr>
            <w:r w:rsidRPr="003F01D7">
              <w:rPr>
                <w:spacing w:val="-4"/>
                <w:lang w:val="en-GB"/>
              </w:rPr>
              <w:t>The Czech economy prospered also in the last year. The growth of the gross value added</w:t>
            </w:r>
            <w:r w:rsidR="007B0920" w:rsidRPr="003F01D7">
              <w:rPr>
                <w:rStyle w:val="Znakapoznpodarou"/>
                <w:spacing w:val="-4"/>
                <w:lang w:val="en-GB"/>
              </w:rPr>
              <w:footnoteReference w:id="12"/>
            </w:r>
            <w:r w:rsidR="007B0920" w:rsidRPr="003F01D7">
              <w:rPr>
                <w:spacing w:val="-4"/>
                <w:lang w:val="en-GB"/>
              </w:rPr>
              <w:t xml:space="preserve"> </w:t>
            </w:r>
            <w:r w:rsidRPr="003F01D7">
              <w:rPr>
                <w:spacing w:val="-4"/>
                <w:lang w:val="en-GB"/>
              </w:rPr>
              <w:t xml:space="preserve">nearly doubled compared to the rate of growth attained in </w:t>
            </w:r>
            <w:r w:rsidR="007B0920" w:rsidRPr="003F01D7">
              <w:rPr>
                <w:spacing w:val="-4"/>
                <w:lang w:val="en-GB"/>
              </w:rPr>
              <w:t>2016</w:t>
            </w:r>
            <w:r w:rsidRPr="003F01D7">
              <w:rPr>
                <w:spacing w:val="-4"/>
                <w:lang w:val="en-GB"/>
              </w:rPr>
              <w:t xml:space="preserve"> </w:t>
            </w:r>
            <w:r w:rsidR="007B0920" w:rsidRPr="003F01D7">
              <w:rPr>
                <w:spacing w:val="-4"/>
                <w:lang w:val="en-GB"/>
              </w:rPr>
              <w:t>(</w:t>
            </w:r>
            <w:r w:rsidRPr="003F01D7">
              <w:rPr>
                <w:spacing w:val="-4"/>
                <w:lang w:val="en-GB"/>
              </w:rPr>
              <w:t xml:space="preserve">to </w:t>
            </w:r>
            <w:r w:rsidR="007B0920" w:rsidRPr="003F01D7">
              <w:rPr>
                <w:spacing w:val="-4"/>
                <w:lang w:val="en-GB"/>
              </w:rPr>
              <w:t>4</w:t>
            </w:r>
            <w:r w:rsidRPr="003F01D7">
              <w:rPr>
                <w:spacing w:val="-4"/>
                <w:lang w:val="en-GB"/>
              </w:rPr>
              <w:t>.</w:t>
            </w:r>
            <w:r w:rsidR="007B0920" w:rsidRPr="003F01D7">
              <w:rPr>
                <w:spacing w:val="-4"/>
                <w:lang w:val="en-GB"/>
              </w:rPr>
              <w:t>5%).</w:t>
            </w:r>
            <w:r w:rsidRPr="003F01D7">
              <w:rPr>
                <w:spacing w:val="-4"/>
                <w:lang w:val="en-GB"/>
              </w:rPr>
              <w:t xml:space="preserve"> The last year thus ended next to year </w:t>
            </w:r>
            <w:r w:rsidR="007B0920" w:rsidRPr="003F01D7">
              <w:rPr>
                <w:spacing w:val="-4"/>
                <w:lang w:val="en-GB"/>
              </w:rPr>
              <w:t>2015</w:t>
            </w:r>
            <w:r w:rsidRPr="003F01D7">
              <w:rPr>
                <w:spacing w:val="-4"/>
                <w:lang w:val="en-GB"/>
              </w:rPr>
              <w:t xml:space="preserve"> </w:t>
            </w:r>
            <w:r w:rsidR="00790164" w:rsidRPr="003F01D7">
              <w:rPr>
                <w:spacing w:val="-4"/>
                <w:lang w:val="en-GB"/>
              </w:rPr>
              <w:t xml:space="preserve">among the </w:t>
            </w:r>
            <w:r w:rsidRPr="003F01D7">
              <w:rPr>
                <w:spacing w:val="-4"/>
                <w:lang w:val="en-GB"/>
              </w:rPr>
              <w:t xml:space="preserve">most successful in the last decade. </w:t>
            </w:r>
            <w:r w:rsidR="00B54B85" w:rsidRPr="003F01D7">
              <w:rPr>
                <w:spacing w:val="-4"/>
                <w:lang w:val="en-GB"/>
              </w:rPr>
              <w:t xml:space="preserve">It was mostly due to the </w:t>
            </w:r>
            <w:r w:rsidR="002473CA" w:rsidRPr="003F01D7">
              <w:rPr>
                <w:spacing w:val="-4"/>
                <w:lang w:val="en-GB"/>
              </w:rPr>
              <w:t>substantial acceleration of performance in the first half of the last year</w:t>
            </w:r>
            <w:r w:rsidR="007B0920" w:rsidRPr="003F01D7">
              <w:rPr>
                <w:spacing w:val="-4"/>
                <w:lang w:val="en-GB"/>
              </w:rPr>
              <w:t>, n</w:t>
            </w:r>
            <w:r w:rsidR="00E841E3" w:rsidRPr="003F01D7">
              <w:rPr>
                <w:spacing w:val="-4"/>
                <w:lang w:val="en-GB"/>
              </w:rPr>
              <w:t xml:space="preserve">evertheless the GVA strengthened by a significant 0.6% compared to the preceding quarter (similarly to the EU) even in the last three months of </w:t>
            </w:r>
            <w:r w:rsidR="007B0920" w:rsidRPr="003F01D7">
              <w:rPr>
                <w:spacing w:val="-4"/>
                <w:lang w:val="en-GB"/>
              </w:rPr>
              <w:t>2017</w:t>
            </w:r>
            <w:r w:rsidR="00E841E3" w:rsidRPr="003F01D7">
              <w:rPr>
                <w:spacing w:val="-4"/>
                <w:lang w:val="en-GB"/>
              </w:rPr>
              <w:t xml:space="preserve">. </w:t>
            </w:r>
            <w:r w:rsidR="00817BBE" w:rsidRPr="003F01D7">
              <w:rPr>
                <w:spacing w:val="-4"/>
                <w:lang w:val="en-GB"/>
              </w:rPr>
              <w:t xml:space="preserve">Quarter-on-quarter growth of GVA persisted already for the nineteenth time in a row, in total then the performance of all branches jumped by </w:t>
            </w:r>
            <w:r w:rsidR="007B0920" w:rsidRPr="003F01D7">
              <w:rPr>
                <w:spacing w:val="-4"/>
                <w:lang w:val="en-GB"/>
              </w:rPr>
              <w:t>18</w:t>
            </w:r>
            <w:r w:rsidR="00817BBE" w:rsidRPr="003F01D7">
              <w:rPr>
                <w:spacing w:val="-4"/>
                <w:lang w:val="en-GB"/>
              </w:rPr>
              <w:t>.</w:t>
            </w:r>
            <w:r w:rsidR="007B0920" w:rsidRPr="003F01D7">
              <w:rPr>
                <w:spacing w:val="-4"/>
                <w:lang w:val="en-GB"/>
              </w:rPr>
              <w:t>2%</w:t>
            </w:r>
            <w:r w:rsidR="00817BBE" w:rsidRPr="003F01D7">
              <w:rPr>
                <w:spacing w:val="-4"/>
                <w:lang w:val="en-GB"/>
              </w:rPr>
              <w:t xml:space="preserve"> since the end of the last recession</w:t>
            </w:r>
            <w:r w:rsidR="007B0920" w:rsidRPr="003F01D7">
              <w:rPr>
                <w:spacing w:val="-4"/>
                <w:lang w:val="en-GB"/>
              </w:rPr>
              <w:t>.</w:t>
            </w:r>
            <w:r w:rsidR="00A738E8" w:rsidRPr="003F01D7">
              <w:rPr>
                <w:spacing w:val="-4"/>
                <w:lang w:val="en-GB"/>
              </w:rPr>
              <w:t xml:space="preserve"> </w:t>
            </w:r>
            <w:r w:rsidR="00435874" w:rsidRPr="003F01D7">
              <w:rPr>
                <w:spacing w:val="-4"/>
                <w:lang w:val="en-GB"/>
              </w:rPr>
              <w:t xml:space="preserve">In contrast to the preceding years of the current expansion, all main branch groupings contributed to the year-on-year GVA growth last year. </w:t>
            </w:r>
            <w:r w:rsidR="0021396F" w:rsidRPr="003F01D7">
              <w:rPr>
                <w:spacing w:val="-4"/>
                <w:lang w:val="en-GB"/>
              </w:rPr>
              <w:t xml:space="preserve">Improvement of the performance in energetics and construction also played a part. </w:t>
            </w:r>
          </w:p>
          <w:p w:rsidR="007B0920" w:rsidRPr="003F01D7" w:rsidRDefault="007B0920" w:rsidP="00CF0826">
            <w:pPr>
              <w:pStyle w:val="Textpoznpodarou"/>
              <w:jc w:val="both"/>
              <w:rPr>
                <w:spacing w:val="-4"/>
                <w:sz w:val="15"/>
                <w:szCs w:val="15"/>
                <w:lang w:val="en-GB"/>
              </w:rPr>
            </w:pPr>
          </w:p>
        </w:tc>
      </w:tr>
      <w:tr w:rsidR="007B0920" w:rsidRPr="00A74192" w:rsidTr="00CF0826">
        <w:trPr>
          <w:trHeight w:val="145"/>
        </w:trPr>
        <w:tc>
          <w:tcPr>
            <w:tcW w:w="1016" w:type="pct"/>
            <w:shd w:val="clear" w:color="auto" w:fill="auto"/>
          </w:tcPr>
          <w:p w:rsidR="007B0920" w:rsidRPr="00A07BB0" w:rsidRDefault="0091561A" w:rsidP="00CF0826">
            <w:pPr>
              <w:spacing w:line="240" w:lineRule="auto"/>
              <w:rPr>
                <w:spacing w:val="-2"/>
                <w:sz w:val="16"/>
                <w:szCs w:val="16"/>
                <w:lang w:val="en-GB"/>
              </w:rPr>
            </w:pPr>
            <w:r w:rsidRPr="00A07BB0">
              <w:rPr>
                <w:spacing w:val="-2"/>
                <w:sz w:val="16"/>
                <w:szCs w:val="16"/>
                <w:lang w:val="en-GB"/>
              </w:rPr>
              <w:t>Contribution of manufacturing to growth of total GVA remained stable in the last seven quarters</w:t>
            </w:r>
            <w:r w:rsidR="007B0920" w:rsidRPr="00A07BB0">
              <w:rPr>
                <w:spacing w:val="-2"/>
                <w:sz w:val="16"/>
                <w:szCs w:val="16"/>
                <w:lang w:val="en-GB"/>
              </w:rPr>
              <w:t xml:space="preserve">, </w:t>
            </w:r>
            <w:r w:rsidRPr="00A07BB0">
              <w:rPr>
                <w:spacing w:val="-2"/>
                <w:sz w:val="16"/>
                <w:szCs w:val="16"/>
                <w:lang w:val="en-GB"/>
              </w:rPr>
              <w:t>in contrast it markedly strengthened in services</w:t>
            </w:r>
            <w:r w:rsidR="002439C3" w:rsidRPr="00A07BB0">
              <w:rPr>
                <w:spacing w:val="-2"/>
                <w:sz w:val="16"/>
                <w:szCs w:val="16"/>
                <w:lang w:val="en-GB"/>
              </w:rPr>
              <w:t xml:space="preserve"> sector. </w:t>
            </w: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r w:rsidRPr="00A07BB0">
              <w:rPr>
                <w:spacing w:val="-2"/>
                <w:sz w:val="16"/>
                <w:szCs w:val="16"/>
                <w:lang w:val="en-GB"/>
              </w:rPr>
              <w:t>Dyn</w:t>
            </w:r>
            <w:r w:rsidR="002439C3" w:rsidRPr="00A07BB0">
              <w:rPr>
                <w:spacing w:val="-2"/>
                <w:sz w:val="16"/>
                <w:szCs w:val="16"/>
                <w:lang w:val="en-GB"/>
              </w:rPr>
              <w:t xml:space="preserve">amic growth of the financial sector performance as well as the weak </w:t>
            </w:r>
            <w:r w:rsidR="00A07BB0" w:rsidRPr="00A07BB0">
              <w:rPr>
                <w:spacing w:val="-2"/>
                <w:sz w:val="16"/>
                <w:szCs w:val="16"/>
                <w:lang w:val="en-GB"/>
              </w:rPr>
              <w:t>dynamics of the branches with the dominant share of state endured.</w:t>
            </w:r>
          </w:p>
          <w:p w:rsidR="007B0920" w:rsidRPr="00A07BB0" w:rsidRDefault="007B0920" w:rsidP="00CF0826">
            <w:pPr>
              <w:spacing w:line="240" w:lineRule="auto"/>
              <w:rPr>
                <w:spacing w:val="-2"/>
                <w:sz w:val="16"/>
                <w:szCs w:val="16"/>
                <w:lang w:val="en-GB"/>
              </w:rPr>
            </w:pPr>
          </w:p>
          <w:p w:rsidR="007B0920" w:rsidRPr="00A07BB0" w:rsidRDefault="007B0920" w:rsidP="00CF0826">
            <w:pPr>
              <w:spacing w:line="240" w:lineRule="auto"/>
              <w:rPr>
                <w:spacing w:val="-2"/>
                <w:sz w:val="16"/>
                <w:szCs w:val="16"/>
                <w:lang w:val="en-GB"/>
              </w:rPr>
            </w:pPr>
          </w:p>
          <w:p w:rsidR="007B0920" w:rsidRPr="00A07BB0" w:rsidRDefault="00B945C1" w:rsidP="00B945C1">
            <w:pPr>
              <w:spacing w:line="240" w:lineRule="auto"/>
              <w:rPr>
                <w:spacing w:val="-2"/>
                <w:sz w:val="16"/>
                <w:szCs w:val="16"/>
                <w:lang w:val="en-GB"/>
              </w:rPr>
            </w:pPr>
            <w:r w:rsidRPr="00A07BB0">
              <w:rPr>
                <w:spacing w:val="-2"/>
                <w:sz w:val="16"/>
                <w:szCs w:val="16"/>
                <w:lang w:val="en-GB"/>
              </w:rPr>
              <w:t xml:space="preserve">Despite the fact, that the very good harvest from </w:t>
            </w:r>
            <w:r w:rsidRPr="00A07BB0">
              <w:rPr>
                <w:spacing w:val="-2"/>
                <w:sz w:val="16"/>
                <w:szCs w:val="16"/>
                <w:lang w:val="en-GB"/>
              </w:rPr>
              <w:lastRenderedPageBreak/>
              <w:t xml:space="preserve">years </w:t>
            </w:r>
            <w:r w:rsidR="007B0920" w:rsidRPr="00A07BB0">
              <w:rPr>
                <w:spacing w:val="-2"/>
                <w:sz w:val="16"/>
                <w:szCs w:val="16"/>
                <w:lang w:val="en-GB"/>
              </w:rPr>
              <w:t xml:space="preserve">2014 </w:t>
            </w:r>
            <w:r w:rsidRPr="00A07BB0">
              <w:rPr>
                <w:spacing w:val="-2"/>
                <w:sz w:val="16"/>
                <w:szCs w:val="16"/>
                <w:lang w:val="en-GB"/>
              </w:rPr>
              <w:t xml:space="preserve">till </w:t>
            </w:r>
            <w:r w:rsidR="007B0920" w:rsidRPr="00A07BB0">
              <w:rPr>
                <w:spacing w:val="-2"/>
                <w:sz w:val="16"/>
                <w:szCs w:val="16"/>
                <w:lang w:val="en-GB"/>
              </w:rPr>
              <w:t xml:space="preserve">2016 </w:t>
            </w:r>
            <w:r w:rsidRPr="00A07BB0">
              <w:rPr>
                <w:spacing w:val="-2"/>
                <w:sz w:val="16"/>
                <w:szCs w:val="16"/>
                <w:lang w:val="en-GB"/>
              </w:rPr>
              <w:t xml:space="preserve">was not repeated last year, value added in the primary sector still kept growing. </w:t>
            </w:r>
          </w:p>
        </w:tc>
        <w:tc>
          <w:tcPr>
            <w:tcW w:w="144" w:type="pct"/>
          </w:tcPr>
          <w:p w:rsidR="007B0920" w:rsidRPr="00A07BB0" w:rsidRDefault="007B0920" w:rsidP="00CF0826">
            <w:pPr>
              <w:pStyle w:val="Textpoznpodarou"/>
              <w:jc w:val="both"/>
              <w:rPr>
                <w:lang w:val="en-GB"/>
              </w:rPr>
            </w:pPr>
          </w:p>
        </w:tc>
        <w:tc>
          <w:tcPr>
            <w:tcW w:w="3840" w:type="pct"/>
          </w:tcPr>
          <w:p w:rsidR="007B0920" w:rsidRPr="00A07BB0" w:rsidRDefault="0091561A" w:rsidP="00CF0826">
            <w:pPr>
              <w:pStyle w:val="Textpoznpodarou"/>
              <w:jc w:val="both"/>
              <w:rPr>
                <w:spacing w:val="-4"/>
                <w:lang w:val="en-GB"/>
              </w:rPr>
            </w:pPr>
            <w:r w:rsidRPr="00A07BB0">
              <w:rPr>
                <w:spacing w:val="-4"/>
                <w:lang w:val="en-GB"/>
              </w:rPr>
              <w:t xml:space="preserve">Manufacturing sustained the key role it plays among branches also last year when it contributed to the year-on-year growth of total GVA from nearly one half. Favourable results of industrial exporters were reflected in the high GVA growth rate of this branch </w:t>
            </w:r>
            <w:r w:rsidR="007B0920" w:rsidRPr="00A07BB0">
              <w:rPr>
                <w:spacing w:val="-4"/>
                <w:lang w:val="en-GB"/>
              </w:rPr>
              <w:t>(+7</w:t>
            </w:r>
            <w:r w:rsidRPr="00A07BB0">
              <w:rPr>
                <w:spacing w:val="-4"/>
                <w:lang w:val="en-GB"/>
              </w:rPr>
              <w:t>.</w:t>
            </w:r>
            <w:r w:rsidR="007B0920" w:rsidRPr="00A07BB0">
              <w:rPr>
                <w:spacing w:val="-4"/>
                <w:lang w:val="en-GB"/>
              </w:rPr>
              <w:t xml:space="preserve">6%, </w:t>
            </w:r>
            <w:r w:rsidRPr="00A07BB0">
              <w:rPr>
                <w:spacing w:val="-4"/>
                <w:lang w:val="en-GB"/>
              </w:rPr>
              <w:t>the highest in the last six years</w:t>
            </w:r>
            <w:r w:rsidR="007B0920" w:rsidRPr="00A07BB0">
              <w:rPr>
                <w:spacing w:val="-4"/>
                <w:lang w:val="en-GB"/>
              </w:rPr>
              <w:t xml:space="preserve">). </w:t>
            </w:r>
            <w:r w:rsidRPr="00A07BB0">
              <w:rPr>
                <w:spacing w:val="-4"/>
                <w:lang w:val="en-GB"/>
              </w:rPr>
              <w:t>Strong growth of GVA was ach</w:t>
            </w:r>
            <w:r w:rsidRPr="002A7A78">
              <w:rPr>
                <w:spacing w:val="-4"/>
                <w:lang w:val="en-GB"/>
              </w:rPr>
              <w:t xml:space="preserve">ieved </w:t>
            </w:r>
            <w:r w:rsidR="002A7A78" w:rsidRPr="002A7A78">
              <w:rPr>
                <w:rStyle w:val="shorttext"/>
                <w:rFonts w:cs="Arial"/>
                <w:color w:val="222222"/>
                <w:lang/>
              </w:rPr>
              <w:t>together with</w:t>
            </w:r>
            <w:r w:rsidR="002A7A78" w:rsidRPr="002A7A78">
              <w:rPr>
                <w:spacing w:val="-4"/>
                <w:lang w:val="en-GB"/>
              </w:rPr>
              <w:t xml:space="preserve"> </w:t>
            </w:r>
            <w:r w:rsidRPr="002A7A78">
              <w:rPr>
                <w:spacing w:val="-4"/>
                <w:lang w:val="en-GB"/>
              </w:rPr>
              <w:t>weak rise</w:t>
            </w:r>
            <w:r w:rsidRPr="00A07BB0">
              <w:rPr>
                <w:spacing w:val="-4"/>
                <w:lang w:val="en-GB"/>
              </w:rPr>
              <w:t xml:space="preserve"> of employment </w:t>
            </w:r>
            <w:r w:rsidR="007B0920" w:rsidRPr="00A07BB0">
              <w:rPr>
                <w:spacing w:val="-4"/>
                <w:lang w:val="en-GB"/>
              </w:rPr>
              <w:t>(+0</w:t>
            </w:r>
            <w:r w:rsidRPr="00A07BB0">
              <w:rPr>
                <w:spacing w:val="-4"/>
                <w:lang w:val="en-GB"/>
              </w:rPr>
              <w:t>.</w:t>
            </w:r>
            <w:r w:rsidR="007B0920" w:rsidRPr="00A07BB0">
              <w:rPr>
                <w:spacing w:val="-4"/>
                <w:lang w:val="en-GB"/>
              </w:rPr>
              <w:t xml:space="preserve">6%) </w:t>
            </w:r>
            <w:r w:rsidRPr="00A07BB0">
              <w:rPr>
                <w:spacing w:val="-4"/>
                <w:lang w:val="en-GB"/>
              </w:rPr>
              <w:t>as well as hours worked (</w:t>
            </w:r>
            <w:r w:rsidR="007B0920" w:rsidRPr="00A07BB0">
              <w:rPr>
                <w:spacing w:val="-4"/>
                <w:lang w:val="en-GB"/>
              </w:rPr>
              <w:t>+1</w:t>
            </w:r>
            <w:r w:rsidRPr="00A07BB0">
              <w:rPr>
                <w:spacing w:val="-4"/>
                <w:lang w:val="en-GB"/>
              </w:rPr>
              <w:t>.</w:t>
            </w:r>
            <w:r w:rsidR="007B0920" w:rsidRPr="00A07BB0">
              <w:rPr>
                <w:spacing w:val="-4"/>
                <w:lang w:val="en-GB"/>
              </w:rPr>
              <w:t>0%),</w:t>
            </w:r>
            <w:r w:rsidRPr="00A07BB0">
              <w:rPr>
                <w:spacing w:val="-4"/>
                <w:lang w:val="en-GB"/>
              </w:rPr>
              <w:t xml:space="preserve"> which had a positive effect on the development of productivity. The performance of the services sector increased by more modest </w:t>
            </w:r>
            <w:r w:rsidR="007B0920" w:rsidRPr="00A07BB0">
              <w:rPr>
                <w:spacing w:val="-4"/>
                <w:lang w:val="en-GB"/>
              </w:rPr>
              <w:t>3</w:t>
            </w:r>
            <w:r w:rsidRPr="00A07BB0">
              <w:rPr>
                <w:spacing w:val="-4"/>
                <w:lang w:val="en-GB"/>
              </w:rPr>
              <w:t>.</w:t>
            </w:r>
            <w:r w:rsidR="007B0920" w:rsidRPr="00A07BB0">
              <w:rPr>
                <w:spacing w:val="-4"/>
                <w:lang w:val="en-GB"/>
              </w:rPr>
              <w:t xml:space="preserve">5%, </w:t>
            </w:r>
            <w:r w:rsidRPr="00A07BB0">
              <w:rPr>
                <w:spacing w:val="-4"/>
                <w:lang w:val="en-GB"/>
              </w:rPr>
              <w:t xml:space="preserve">nevertheless it contributed to the growth of the GVA of the whole economy comparably to manufacturing in the last year. While contributions of manufacturing to growth stagnated in the last seven months, the role of the services sector on the contrary strengthened, which was accompanied by more </w:t>
            </w:r>
            <w:r w:rsidR="007C75CA" w:rsidRPr="00A07BB0">
              <w:rPr>
                <w:spacing w:val="-4"/>
                <w:lang w:val="en-GB"/>
              </w:rPr>
              <w:t>intensive</w:t>
            </w:r>
            <w:r w:rsidRPr="00A07BB0">
              <w:rPr>
                <w:spacing w:val="-4"/>
                <w:lang w:val="en-GB"/>
              </w:rPr>
              <w:t xml:space="preserve"> creation of new job positions. </w:t>
            </w:r>
            <w:r w:rsidR="007B0920" w:rsidRPr="00A07BB0">
              <w:rPr>
                <w:spacing w:val="-4"/>
                <w:lang w:val="en-GB"/>
              </w:rPr>
              <w:t>S</w:t>
            </w:r>
            <w:r w:rsidR="002439C3" w:rsidRPr="00A07BB0">
              <w:rPr>
                <w:spacing w:val="-4"/>
                <w:lang w:val="en-GB"/>
              </w:rPr>
              <w:t xml:space="preserve">ervices were driven by the most weight dominant group trade, transportation, accommodation and restaurants for the most part of the last year. However, financial and insurance services represented the most dynamic segment similarly to year </w:t>
            </w:r>
            <w:r w:rsidR="007B0920" w:rsidRPr="00A07BB0">
              <w:rPr>
                <w:spacing w:val="-4"/>
                <w:lang w:val="en-GB"/>
              </w:rPr>
              <w:t>2016 (+9</w:t>
            </w:r>
            <w:r w:rsidR="002439C3" w:rsidRPr="00A07BB0">
              <w:rPr>
                <w:spacing w:val="-4"/>
                <w:lang w:val="en-GB"/>
              </w:rPr>
              <w:t>.</w:t>
            </w:r>
            <w:r w:rsidR="007B0920" w:rsidRPr="00A07BB0">
              <w:rPr>
                <w:spacing w:val="-4"/>
                <w:lang w:val="en-GB"/>
              </w:rPr>
              <w:t xml:space="preserve">3%, </w:t>
            </w:r>
            <w:r w:rsidR="002439C3" w:rsidRPr="00A07BB0">
              <w:rPr>
                <w:spacing w:val="-4"/>
                <w:lang w:val="en-GB"/>
              </w:rPr>
              <w:t xml:space="preserve">the most after year </w:t>
            </w:r>
            <w:r w:rsidR="007B0920" w:rsidRPr="00A07BB0">
              <w:rPr>
                <w:spacing w:val="-4"/>
                <w:lang w:val="en-GB"/>
              </w:rPr>
              <w:t xml:space="preserve">2008). </w:t>
            </w:r>
            <w:r w:rsidR="00A65A2B">
              <w:rPr>
                <w:spacing w:val="-4"/>
                <w:lang w:val="en-GB"/>
              </w:rPr>
              <w:t>The professional, scientific, technical and administrative activities also benefited from the growing demand in the last years. On the contrary, the GVA in the branches with the dominant share of state</w:t>
            </w:r>
            <w:r w:rsidR="007B0920" w:rsidRPr="00A07BB0">
              <w:rPr>
                <w:rStyle w:val="Znakapoznpodarou"/>
                <w:spacing w:val="-4"/>
                <w:lang w:val="en-GB"/>
              </w:rPr>
              <w:footnoteReference w:id="13"/>
            </w:r>
            <w:r w:rsidR="004D474F" w:rsidRPr="00A07BB0">
              <w:rPr>
                <w:spacing w:val="-4"/>
                <w:lang w:val="en-GB"/>
              </w:rPr>
              <w:t xml:space="preserve"> </w:t>
            </w:r>
            <w:r w:rsidR="00A65A2B">
              <w:rPr>
                <w:spacing w:val="-4"/>
                <w:lang w:val="en-GB"/>
              </w:rPr>
              <w:t xml:space="preserve">increased (together with employment) </w:t>
            </w:r>
            <w:r w:rsidR="00A65A2B">
              <w:rPr>
                <w:spacing w:val="-4"/>
                <w:lang w:val="en-GB"/>
              </w:rPr>
              <w:lastRenderedPageBreak/>
              <w:t xml:space="preserve">only slightly above </w:t>
            </w:r>
            <w:r w:rsidR="007B0920" w:rsidRPr="00A07BB0">
              <w:rPr>
                <w:spacing w:val="-4"/>
                <w:lang w:val="en-GB"/>
              </w:rPr>
              <w:t xml:space="preserve">1%, </w:t>
            </w:r>
            <w:r w:rsidR="00A65A2B">
              <w:rPr>
                <w:spacing w:val="-4"/>
                <w:lang w:val="en-GB"/>
              </w:rPr>
              <w:t>still it was the fastest pace in the last seven years.</w:t>
            </w:r>
            <w:r w:rsidR="00B16796">
              <w:rPr>
                <w:spacing w:val="-4"/>
                <w:lang w:val="en-GB"/>
              </w:rPr>
              <w:t xml:space="preserve"> Value added of the branch agriculture, forestry and fishing rose already fourth year in a row, it however reduced from the pace in year 2016 by one half last year (to </w:t>
            </w:r>
            <w:r w:rsidR="007B0920" w:rsidRPr="00A07BB0">
              <w:rPr>
                <w:spacing w:val="-4"/>
                <w:lang w:val="en-GB"/>
              </w:rPr>
              <w:t>4</w:t>
            </w:r>
            <w:r w:rsidR="00B16796">
              <w:rPr>
                <w:spacing w:val="-4"/>
                <w:lang w:val="en-GB"/>
              </w:rPr>
              <w:t>.</w:t>
            </w:r>
            <w:r w:rsidR="007B0920" w:rsidRPr="00A07BB0">
              <w:rPr>
                <w:spacing w:val="-4"/>
                <w:lang w:val="en-GB"/>
              </w:rPr>
              <w:t xml:space="preserve">7%). </w:t>
            </w:r>
            <w:r w:rsidR="000F45F0">
              <w:rPr>
                <w:spacing w:val="-4"/>
                <w:lang w:val="en-GB"/>
              </w:rPr>
              <w:t xml:space="preserve">The poorer harvest of majority of main types </w:t>
            </w:r>
            <w:r w:rsidR="007A6772">
              <w:rPr>
                <w:spacing w:val="-4"/>
                <w:lang w:val="en-GB"/>
              </w:rPr>
              <w:t xml:space="preserve">of </w:t>
            </w:r>
            <w:r w:rsidR="009459DE">
              <w:rPr>
                <w:spacing w:val="-4"/>
                <w:lang w:val="en-GB"/>
              </w:rPr>
              <w:t xml:space="preserve">cereals </w:t>
            </w:r>
            <w:r w:rsidR="007B0920" w:rsidRPr="009459DE">
              <w:rPr>
                <w:spacing w:val="-4"/>
                <w:lang w:val="en-GB"/>
              </w:rPr>
              <w:t>(</w:t>
            </w:r>
            <w:r w:rsidR="000F45F0" w:rsidRPr="009459DE">
              <w:rPr>
                <w:spacing w:val="-4"/>
                <w:lang w:val="en-GB"/>
              </w:rPr>
              <w:t>especially of corn</w:t>
            </w:r>
            <w:r w:rsidR="007B0920" w:rsidRPr="009459DE">
              <w:rPr>
                <w:spacing w:val="-4"/>
                <w:lang w:val="en-GB"/>
              </w:rPr>
              <w:t xml:space="preserve">), </w:t>
            </w:r>
            <w:r w:rsidR="0009437C" w:rsidRPr="009459DE">
              <w:rPr>
                <w:spacing w:val="-4"/>
                <w:lang w:val="en-GB"/>
              </w:rPr>
              <w:t xml:space="preserve">oilseed rape </w:t>
            </w:r>
            <w:r w:rsidR="00705A91" w:rsidRPr="009459DE">
              <w:rPr>
                <w:spacing w:val="-4"/>
                <w:lang w:val="en-GB"/>
              </w:rPr>
              <w:t xml:space="preserve">as well as fruit </w:t>
            </w:r>
            <w:r w:rsidR="000F45F0" w:rsidRPr="009459DE">
              <w:rPr>
                <w:spacing w:val="-4"/>
                <w:lang w:val="en-GB"/>
              </w:rPr>
              <w:t xml:space="preserve">stood behind the slow </w:t>
            </w:r>
            <w:r w:rsidR="000F45F0" w:rsidRPr="00280A72">
              <w:rPr>
                <w:spacing w:val="-4"/>
                <w:lang w:val="en-GB"/>
              </w:rPr>
              <w:t xml:space="preserve">down. The harvest of </w:t>
            </w:r>
            <w:r w:rsidR="00280A72" w:rsidRPr="00280A72">
              <w:rPr>
                <w:spacing w:val="-4"/>
                <w:lang w:val="en-GB"/>
              </w:rPr>
              <w:t>sugar</w:t>
            </w:r>
            <w:r w:rsidR="00867B8F" w:rsidRPr="00280A72">
              <w:rPr>
                <w:spacing w:val="-4"/>
                <w:lang w:val="en-GB"/>
              </w:rPr>
              <w:t xml:space="preserve"> beet and </w:t>
            </w:r>
            <w:r w:rsidR="00280A72" w:rsidRPr="00280A72">
              <w:rPr>
                <w:spacing w:val="-4"/>
                <w:lang w:val="en-GB"/>
              </w:rPr>
              <w:t xml:space="preserve">legumes </w:t>
            </w:r>
            <w:r w:rsidR="000F45F0" w:rsidRPr="00280A72">
              <w:rPr>
                <w:spacing w:val="-4"/>
                <w:lang w:val="en-GB"/>
              </w:rPr>
              <w:t>was above average thanks to the larger harvesting</w:t>
            </w:r>
            <w:r w:rsidR="000F45F0" w:rsidRPr="009459DE">
              <w:rPr>
                <w:spacing w:val="-4"/>
                <w:lang w:val="en-GB"/>
              </w:rPr>
              <w:t xml:space="preserve"> areas</w:t>
            </w:r>
            <w:r w:rsidR="007B0920" w:rsidRPr="009459DE">
              <w:rPr>
                <w:spacing w:val="-4"/>
                <w:lang w:val="en-GB"/>
              </w:rPr>
              <w:t xml:space="preserve">. </w:t>
            </w:r>
            <w:r w:rsidR="00C44EBB" w:rsidRPr="009459DE">
              <w:rPr>
                <w:spacing w:val="-4"/>
                <w:lang w:val="en-GB"/>
              </w:rPr>
              <w:t>Output of the animal production featured stabilisation similarly to the employment in the whole branch.</w:t>
            </w:r>
            <w:r w:rsidR="007B0920" w:rsidRPr="00A07BB0">
              <w:rPr>
                <w:spacing w:val="-4"/>
                <w:lang w:val="en-GB"/>
              </w:rPr>
              <w:t xml:space="preserve">  </w:t>
            </w:r>
          </w:p>
          <w:p w:rsidR="007B0920" w:rsidRPr="00A07BB0" w:rsidRDefault="007B0920" w:rsidP="00CF0826">
            <w:pPr>
              <w:pStyle w:val="Textpoznpodarou"/>
              <w:jc w:val="both"/>
              <w:rPr>
                <w:spacing w:val="-4"/>
                <w:sz w:val="15"/>
                <w:szCs w:val="15"/>
                <w:lang w:val="en-GB"/>
              </w:rPr>
            </w:pPr>
          </w:p>
        </w:tc>
      </w:tr>
      <w:tr w:rsidR="007B0920" w:rsidRPr="00A74192" w:rsidTr="00CF0826">
        <w:trPr>
          <w:trHeight w:val="145"/>
        </w:trPr>
        <w:tc>
          <w:tcPr>
            <w:tcW w:w="1016" w:type="pct"/>
            <w:shd w:val="clear" w:color="auto" w:fill="auto"/>
          </w:tcPr>
          <w:p w:rsidR="007B0920" w:rsidRPr="0012394A" w:rsidRDefault="001A1087" w:rsidP="00CF0826">
            <w:pPr>
              <w:spacing w:line="240" w:lineRule="auto"/>
              <w:rPr>
                <w:spacing w:val="-2"/>
                <w:sz w:val="16"/>
                <w:szCs w:val="16"/>
                <w:lang w:val="en-GB"/>
              </w:rPr>
            </w:pPr>
            <w:r w:rsidRPr="0012394A">
              <w:rPr>
                <w:spacing w:val="-2"/>
                <w:sz w:val="16"/>
                <w:szCs w:val="16"/>
                <w:lang w:val="en-GB"/>
              </w:rPr>
              <w:lastRenderedPageBreak/>
              <w:t xml:space="preserve">Industrial output rose by the highest pace in the last seven years. Favourable tendencies pervaded </w:t>
            </w:r>
            <w:r w:rsidR="0012394A" w:rsidRPr="0012394A">
              <w:rPr>
                <w:spacing w:val="-2"/>
                <w:sz w:val="16"/>
                <w:szCs w:val="16"/>
                <w:lang w:val="en-GB"/>
              </w:rPr>
              <w:t xml:space="preserve">the overwhelming majority of the </w:t>
            </w:r>
            <w:r w:rsidR="0012394A">
              <w:rPr>
                <w:spacing w:val="-2"/>
                <w:sz w:val="16"/>
                <w:szCs w:val="16"/>
                <w:lang w:val="en-GB"/>
              </w:rPr>
              <w:t>sub</w:t>
            </w:r>
            <w:r w:rsidR="0012394A" w:rsidRPr="0012394A">
              <w:rPr>
                <w:spacing w:val="-2"/>
                <w:sz w:val="16"/>
                <w:szCs w:val="16"/>
                <w:lang w:val="en-GB"/>
              </w:rPr>
              <w:t>branches.</w:t>
            </w:r>
          </w:p>
        </w:tc>
        <w:tc>
          <w:tcPr>
            <w:tcW w:w="144" w:type="pct"/>
          </w:tcPr>
          <w:p w:rsidR="007B0920" w:rsidRPr="0012394A" w:rsidRDefault="007B0920" w:rsidP="00CF0826">
            <w:pPr>
              <w:pStyle w:val="Textpoznpodarou"/>
              <w:jc w:val="both"/>
              <w:rPr>
                <w:spacing w:val="-2"/>
                <w:lang w:val="en-GB"/>
              </w:rPr>
            </w:pPr>
          </w:p>
        </w:tc>
        <w:tc>
          <w:tcPr>
            <w:tcW w:w="3840" w:type="pct"/>
          </w:tcPr>
          <w:p w:rsidR="007B0920" w:rsidRPr="0012394A" w:rsidRDefault="0059649D" w:rsidP="00CF0826">
            <w:pPr>
              <w:pStyle w:val="Textpoznpodarou"/>
              <w:jc w:val="both"/>
              <w:rPr>
                <w:color w:val="000000" w:themeColor="text1"/>
                <w:spacing w:val="-4"/>
                <w:sz w:val="16"/>
                <w:szCs w:val="16"/>
                <w:lang w:val="en-GB"/>
              </w:rPr>
            </w:pPr>
            <w:r>
              <w:rPr>
                <w:spacing w:val="-4"/>
                <w:lang w:val="en-GB"/>
              </w:rPr>
              <w:t xml:space="preserve">Data from the business statistic also provide evidence of the favourable development of the industry. Its output </w:t>
            </w:r>
            <w:r w:rsidR="007B0920" w:rsidRPr="0012394A">
              <w:rPr>
                <w:spacing w:val="-4"/>
                <w:lang w:val="en-GB"/>
              </w:rPr>
              <w:t>(</w:t>
            </w:r>
            <w:r>
              <w:rPr>
                <w:spacing w:val="-4"/>
                <w:lang w:val="en-GB"/>
              </w:rPr>
              <w:t>according to the industrial producer index</w:t>
            </w:r>
            <w:r w:rsidR="007B0920" w:rsidRPr="0012394A">
              <w:rPr>
                <w:color w:val="000000" w:themeColor="text1"/>
                <w:spacing w:val="-4"/>
                <w:vertAlign w:val="superscript"/>
                <w:lang w:val="en-GB"/>
              </w:rPr>
              <w:footnoteReference w:id="14"/>
            </w:r>
            <w:r w:rsidR="007B0920" w:rsidRPr="0012394A">
              <w:rPr>
                <w:color w:val="000000" w:themeColor="text1"/>
                <w:spacing w:val="-4"/>
                <w:lang w:val="en-GB"/>
              </w:rPr>
              <w:t xml:space="preserve">) </w:t>
            </w:r>
            <w:r>
              <w:rPr>
                <w:color w:val="000000" w:themeColor="text1"/>
                <w:spacing w:val="-4"/>
                <w:lang w:val="en-GB"/>
              </w:rPr>
              <w:t>increased despite a temporary worsening in the summer period</w:t>
            </w:r>
            <w:r w:rsidR="007B0920" w:rsidRPr="0012394A">
              <w:rPr>
                <w:rStyle w:val="Znakapoznpodarou"/>
                <w:color w:val="000000" w:themeColor="text1"/>
                <w:spacing w:val="-4"/>
                <w:lang w:val="en-GB"/>
              </w:rPr>
              <w:footnoteReference w:id="15"/>
            </w:r>
            <w:r w:rsidR="006F0D32" w:rsidRPr="0012394A">
              <w:rPr>
                <w:color w:val="000000" w:themeColor="text1"/>
                <w:spacing w:val="-4"/>
                <w:lang w:val="en-GB"/>
              </w:rPr>
              <w:t xml:space="preserve"> </w:t>
            </w:r>
            <w:r>
              <w:rPr>
                <w:color w:val="000000" w:themeColor="text1"/>
                <w:spacing w:val="-4"/>
                <w:lang w:val="en-GB"/>
              </w:rPr>
              <w:t xml:space="preserve">by </w:t>
            </w:r>
            <w:r w:rsidR="006F0D32" w:rsidRPr="0012394A">
              <w:rPr>
                <w:color w:val="000000" w:themeColor="text1"/>
                <w:spacing w:val="-4"/>
                <w:lang w:val="en-GB"/>
              </w:rPr>
              <w:t>6</w:t>
            </w:r>
            <w:r>
              <w:rPr>
                <w:color w:val="000000" w:themeColor="text1"/>
                <w:spacing w:val="-4"/>
                <w:lang w:val="en-GB"/>
              </w:rPr>
              <w:t>.</w:t>
            </w:r>
            <w:r w:rsidR="006F0D32" w:rsidRPr="0012394A">
              <w:rPr>
                <w:color w:val="000000" w:themeColor="text1"/>
                <w:spacing w:val="-4"/>
                <w:lang w:val="en-GB"/>
              </w:rPr>
              <w:t>9</w:t>
            </w:r>
            <w:r w:rsidR="007B0920" w:rsidRPr="0012394A">
              <w:rPr>
                <w:color w:val="000000" w:themeColor="text1"/>
                <w:spacing w:val="-4"/>
                <w:lang w:val="en-GB"/>
              </w:rPr>
              <w:t>%</w:t>
            </w:r>
            <w:r>
              <w:rPr>
                <w:color w:val="000000" w:themeColor="text1"/>
                <w:spacing w:val="-4"/>
                <w:lang w:val="en-GB"/>
              </w:rPr>
              <w:t xml:space="preserve"> for the whole year</w:t>
            </w:r>
            <w:r w:rsidR="007B0920" w:rsidRPr="0012394A">
              <w:rPr>
                <w:color w:val="000000" w:themeColor="text1"/>
                <w:spacing w:val="-4"/>
                <w:lang w:val="en-GB"/>
              </w:rPr>
              <w:t>.</w:t>
            </w:r>
            <w:r>
              <w:rPr>
                <w:color w:val="000000" w:themeColor="text1"/>
                <w:spacing w:val="-4"/>
                <w:lang w:val="en-GB"/>
              </w:rPr>
              <w:t xml:space="preserve"> It thus reached the best result since 2</w:t>
            </w:r>
            <w:r w:rsidR="007B0920" w:rsidRPr="0012394A">
              <w:rPr>
                <w:color w:val="000000" w:themeColor="text1"/>
                <w:spacing w:val="-4"/>
                <w:lang w:val="en-GB"/>
              </w:rPr>
              <w:t xml:space="preserve">010, </w:t>
            </w:r>
            <w:r>
              <w:rPr>
                <w:color w:val="000000" w:themeColor="text1"/>
                <w:spacing w:val="-4"/>
                <w:lang w:val="en-GB"/>
              </w:rPr>
              <w:t xml:space="preserve">when it was recovering from the consequences of a deep recession. Positive tendencies were apparent also at the end of the year – the year-on-year output hiked up to 7.6% in Q4. </w:t>
            </w:r>
            <w:r w:rsidR="00637211">
              <w:rPr>
                <w:color w:val="000000" w:themeColor="text1"/>
                <w:spacing w:val="-4"/>
                <w:lang w:val="en-GB"/>
              </w:rPr>
              <w:t xml:space="preserve">Not only the good economic situation in the main export territories, but also the strengthening domestic demand stood behind these results. </w:t>
            </w:r>
            <w:r w:rsidR="00596601">
              <w:rPr>
                <w:color w:val="000000" w:themeColor="text1"/>
                <w:spacing w:val="-4"/>
                <w:lang w:val="en-GB"/>
              </w:rPr>
              <w:t>The dominant branch – manufacturing of motor vehicles (together with its key subcontractor fields) sustained high growth rates last year. The renewal of production capacities of the chemical industry,</w:t>
            </w:r>
            <w:r w:rsidR="002E10D3">
              <w:rPr>
                <w:color w:val="000000" w:themeColor="text1"/>
                <w:spacing w:val="-4"/>
                <w:lang w:val="en-GB"/>
              </w:rPr>
              <w:t xml:space="preserve"> temporarily reduced in the preceding years and energetics also aided. </w:t>
            </w:r>
            <w:r w:rsidR="00596601">
              <w:rPr>
                <w:color w:val="000000" w:themeColor="text1"/>
                <w:spacing w:val="-4"/>
                <w:lang w:val="en-GB"/>
              </w:rPr>
              <w:t xml:space="preserve">However, the majority of the smaller industrial activities also fared well. </w:t>
            </w:r>
          </w:p>
          <w:p w:rsidR="00335E99" w:rsidRPr="0012394A" w:rsidRDefault="00335E99" w:rsidP="00CF0826">
            <w:pPr>
              <w:pStyle w:val="Textpoznpodarou"/>
              <w:jc w:val="both"/>
              <w:rPr>
                <w:spacing w:val="-4"/>
                <w:sz w:val="16"/>
                <w:szCs w:val="16"/>
                <w:lang w:val="en-GB"/>
              </w:rPr>
            </w:pPr>
          </w:p>
        </w:tc>
      </w:tr>
      <w:tr w:rsidR="007B0920" w:rsidRPr="00A74192" w:rsidTr="00CF0826">
        <w:trPr>
          <w:trHeight w:val="145"/>
        </w:trPr>
        <w:tc>
          <w:tcPr>
            <w:tcW w:w="1016" w:type="pct"/>
            <w:shd w:val="clear" w:color="auto" w:fill="auto"/>
          </w:tcPr>
          <w:p w:rsidR="007B0920" w:rsidRPr="00552112" w:rsidRDefault="002B4ADE" w:rsidP="00CF0826">
            <w:pPr>
              <w:spacing w:line="240" w:lineRule="auto"/>
              <w:rPr>
                <w:spacing w:val="-2"/>
                <w:sz w:val="16"/>
                <w:szCs w:val="16"/>
                <w:lang w:val="en-GB"/>
              </w:rPr>
            </w:pPr>
            <w:r w:rsidRPr="00552112">
              <w:rPr>
                <w:spacing w:val="-2"/>
                <w:sz w:val="16"/>
                <w:szCs w:val="16"/>
                <w:lang w:val="en-GB"/>
              </w:rPr>
              <w:t>St</w:t>
            </w:r>
            <w:r>
              <w:rPr>
                <w:spacing w:val="-2"/>
                <w:sz w:val="16"/>
                <w:szCs w:val="16"/>
                <w:lang w:val="en-GB"/>
              </w:rPr>
              <w:t xml:space="preserve">ably growing motor vehicle manufacturing contributed to the growth of the whole industry by one third, together with </w:t>
            </w:r>
            <w:r w:rsidRPr="001D1383">
              <w:rPr>
                <w:spacing w:val="-2"/>
                <w:sz w:val="16"/>
                <w:szCs w:val="16"/>
                <w:lang w:val="en-GB"/>
              </w:rPr>
              <w:t>the subcontractor fields by one half.</w:t>
            </w:r>
            <w:r>
              <w:rPr>
                <w:spacing w:val="-2"/>
                <w:sz w:val="16"/>
                <w:szCs w:val="16"/>
                <w:lang w:val="en-GB"/>
              </w:rPr>
              <w:t xml:space="preserve"> </w:t>
            </w:r>
            <w:r w:rsidR="007B0920" w:rsidRPr="00552112">
              <w:rPr>
                <w:spacing w:val="-2"/>
                <w:sz w:val="16"/>
                <w:szCs w:val="16"/>
                <w:lang w:val="en-GB"/>
              </w:rPr>
              <w:t xml:space="preserve"> </w:t>
            </w:r>
          </w:p>
          <w:p w:rsidR="007B0920" w:rsidRPr="00552112" w:rsidRDefault="007B0920" w:rsidP="00CF0826">
            <w:pPr>
              <w:spacing w:line="240" w:lineRule="auto"/>
              <w:rPr>
                <w:spacing w:val="-2"/>
                <w:sz w:val="16"/>
                <w:szCs w:val="16"/>
                <w:lang w:val="en-GB"/>
              </w:rPr>
            </w:pPr>
          </w:p>
          <w:p w:rsidR="003D3FB2" w:rsidRPr="00552112" w:rsidRDefault="003D3FB2" w:rsidP="00CF0826">
            <w:pPr>
              <w:spacing w:line="240" w:lineRule="auto"/>
              <w:rPr>
                <w:spacing w:val="-2"/>
                <w:sz w:val="16"/>
                <w:szCs w:val="16"/>
                <w:lang w:val="en-GB"/>
              </w:rPr>
            </w:pPr>
          </w:p>
          <w:p w:rsidR="00D309C0" w:rsidRPr="00552112" w:rsidRDefault="00D309C0" w:rsidP="00CF0826">
            <w:pPr>
              <w:spacing w:line="240" w:lineRule="auto"/>
              <w:rPr>
                <w:spacing w:val="-2"/>
                <w:sz w:val="16"/>
                <w:szCs w:val="16"/>
                <w:lang w:val="en-GB"/>
              </w:rPr>
            </w:pPr>
          </w:p>
          <w:p w:rsidR="007B0920" w:rsidRPr="00552112" w:rsidRDefault="00BB16AD" w:rsidP="00CF0826">
            <w:pPr>
              <w:spacing w:line="240" w:lineRule="auto"/>
              <w:rPr>
                <w:spacing w:val="-2"/>
                <w:sz w:val="16"/>
                <w:szCs w:val="16"/>
                <w:lang w:val="en-GB"/>
              </w:rPr>
            </w:pPr>
            <w:r>
              <w:rPr>
                <w:spacing w:val="-2"/>
                <w:sz w:val="16"/>
                <w:szCs w:val="16"/>
                <w:lang w:val="en-GB"/>
              </w:rPr>
              <w:t xml:space="preserve">Growth notably accelerated in machinery, manufacture of computers, electronic and optical products. </w:t>
            </w:r>
          </w:p>
          <w:p w:rsidR="007B0920" w:rsidRPr="00552112" w:rsidRDefault="007B0920" w:rsidP="00CF0826">
            <w:pPr>
              <w:spacing w:line="240" w:lineRule="auto"/>
              <w:rPr>
                <w:spacing w:val="-2"/>
                <w:sz w:val="16"/>
                <w:szCs w:val="16"/>
                <w:lang w:val="en-GB"/>
              </w:rPr>
            </w:pPr>
          </w:p>
          <w:p w:rsidR="007B0920" w:rsidRPr="00552112" w:rsidRDefault="007B0920" w:rsidP="00CF0826">
            <w:pPr>
              <w:spacing w:line="240" w:lineRule="auto"/>
              <w:rPr>
                <w:spacing w:val="-2"/>
                <w:sz w:val="16"/>
                <w:szCs w:val="16"/>
                <w:lang w:val="en-GB"/>
              </w:rPr>
            </w:pPr>
          </w:p>
          <w:p w:rsidR="007B0920" w:rsidRDefault="007B0920" w:rsidP="00CF0826">
            <w:pPr>
              <w:spacing w:line="240" w:lineRule="auto"/>
              <w:rPr>
                <w:spacing w:val="-2"/>
                <w:sz w:val="16"/>
                <w:szCs w:val="16"/>
                <w:lang w:val="en-GB"/>
              </w:rPr>
            </w:pPr>
          </w:p>
          <w:p w:rsidR="00150CEC" w:rsidRPr="00552112" w:rsidRDefault="00150CEC" w:rsidP="00CF0826">
            <w:pPr>
              <w:spacing w:line="240" w:lineRule="auto"/>
              <w:rPr>
                <w:spacing w:val="-2"/>
                <w:sz w:val="16"/>
                <w:szCs w:val="16"/>
                <w:lang w:val="en-GB"/>
              </w:rPr>
            </w:pPr>
          </w:p>
          <w:p w:rsidR="007B0920" w:rsidRPr="00552112" w:rsidRDefault="007B0920" w:rsidP="00CF0826">
            <w:pPr>
              <w:spacing w:line="240" w:lineRule="auto"/>
              <w:rPr>
                <w:spacing w:val="-2"/>
                <w:sz w:val="16"/>
                <w:szCs w:val="16"/>
                <w:lang w:val="en-GB"/>
              </w:rPr>
            </w:pPr>
          </w:p>
          <w:p w:rsidR="007B0920" w:rsidRPr="00552112" w:rsidRDefault="00BB16AD" w:rsidP="00CF0826">
            <w:pPr>
              <w:spacing w:line="240" w:lineRule="auto"/>
              <w:rPr>
                <w:spacing w:val="-2"/>
                <w:sz w:val="16"/>
                <w:szCs w:val="16"/>
                <w:lang w:val="en-GB"/>
              </w:rPr>
            </w:pPr>
            <w:r>
              <w:rPr>
                <w:spacing w:val="-2"/>
                <w:sz w:val="16"/>
                <w:szCs w:val="16"/>
                <w:lang w:val="en-GB"/>
              </w:rPr>
              <w:t>Higher production of electricity in the nuclear plants pushed the growth of energetics.</w:t>
            </w:r>
          </w:p>
        </w:tc>
        <w:tc>
          <w:tcPr>
            <w:tcW w:w="144" w:type="pct"/>
          </w:tcPr>
          <w:p w:rsidR="007B0920" w:rsidRPr="00552112" w:rsidRDefault="007B0920" w:rsidP="00CF0826">
            <w:pPr>
              <w:rPr>
                <w:color w:val="000000" w:themeColor="text1"/>
                <w:szCs w:val="16"/>
                <w:lang w:val="en-GB"/>
              </w:rPr>
            </w:pPr>
          </w:p>
        </w:tc>
        <w:tc>
          <w:tcPr>
            <w:tcW w:w="3840" w:type="pct"/>
          </w:tcPr>
          <w:p w:rsidR="00150CEC" w:rsidRDefault="002B4ADE" w:rsidP="00CF0826">
            <w:pPr>
              <w:pStyle w:val="Textpoznpodarou"/>
              <w:jc w:val="both"/>
              <w:rPr>
                <w:spacing w:val="-4"/>
                <w:lang w:val="en-GB"/>
              </w:rPr>
            </w:pPr>
            <w:r>
              <w:rPr>
                <w:color w:val="000000" w:themeColor="text1"/>
                <w:spacing w:val="-4"/>
                <w:lang w:val="en-GB"/>
              </w:rPr>
              <w:t xml:space="preserve">Motor vehicle manufacturers increased their output </w:t>
            </w:r>
            <w:r w:rsidR="00150CEC">
              <w:rPr>
                <w:color w:val="000000" w:themeColor="text1"/>
                <w:spacing w:val="-4"/>
                <w:lang w:val="en-GB"/>
              </w:rPr>
              <w:t xml:space="preserve">in 2017 </w:t>
            </w:r>
            <w:r>
              <w:rPr>
                <w:color w:val="000000" w:themeColor="text1"/>
                <w:spacing w:val="-4"/>
                <w:lang w:val="en-GB"/>
              </w:rPr>
              <w:t xml:space="preserve">by </w:t>
            </w:r>
            <w:r w:rsidR="007B0920" w:rsidRPr="00552112">
              <w:rPr>
                <w:color w:val="000000" w:themeColor="text1"/>
                <w:spacing w:val="-4"/>
                <w:lang w:val="en-GB"/>
              </w:rPr>
              <w:t>9</w:t>
            </w:r>
            <w:r>
              <w:rPr>
                <w:color w:val="000000" w:themeColor="text1"/>
                <w:spacing w:val="-4"/>
                <w:lang w:val="en-GB"/>
              </w:rPr>
              <w:t>.</w:t>
            </w:r>
            <w:r w:rsidR="006F0D32" w:rsidRPr="00552112">
              <w:rPr>
                <w:color w:val="000000" w:themeColor="text1"/>
                <w:spacing w:val="-4"/>
                <w:lang w:val="en-GB"/>
              </w:rPr>
              <w:t>8</w:t>
            </w:r>
            <w:r w:rsidR="007B0920" w:rsidRPr="00552112">
              <w:rPr>
                <w:color w:val="000000" w:themeColor="text1"/>
                <w:spacing w:val="-4"/>
                <w:lang w:val="en-GB"/>
              </w:rPr>
              <w:t>% a</w:t>
            </w:r>
            <w:r>
              <w:rPr>
                <w:color w:val="000000" w:themeColor="text1"/>
                <w:spacing w:val="-4"/>
                <w:lang w:val="en-GB"/>
              </w:rPr>
              <w:t xml:space="preserve">nd they thus provided nearly one third </w:t>
            </w:r>
            <w:r w:rsidR="007B0920" w:rsidRPr="00552112">
              <w:rPr>
                <w:color w:val="000000" w:themeColor="text1"/>
                <w:spacing w:val="-4"/>
                <w:lang w:val="en-GB"/>
              </w:rPr>
              <w:t>(</w:t>
            </w:r>
            <w:r>
              <w:rPr>
                <w:color w:val="000000" w:themeColor="text1"/>
                <w:spacing w:val="-4"/>
                <w:lang w:val="en-GB"/>
              </w:rPr>
              <w:t xml:space="preserve">together with the subcontractor </w:t>
            </w:r>
            <w:proofErr w:type="gramStart"/>
            <w:r>
              <w:rPr>
                <w:color w:val="000000" w:themeColor="text1"/>
                <w:spacing w:val="-4"/>
                <w:lang w:val="en-GB"/>
              </w:rPr>
              <w:t>fields</w:t>
            </w:r>
            <w:proofErr w:type="gramEnd"/>
            <w:r w:rsidR="007B0920" w:rsidRPr="00552112">
              <w:rPr>
                <w:rStyle w:val="Znakapoznpodarou"/>
                <w:color w:val="000000" w:themeColor="text1"/>
                <w:spacing w:val="-4"/>
                <w:lang w:val="en-GB"/>
              </w:rPr>
              <w:footnoteReference w:id="16"/>
            </w:r>
            <w:r w:rsidR="007B0920" w:rsidRPr="00552112">
              <w:rPr>
                <w:color w:val="000000" w:themeColor="text1"/>
                <w:spacing w:val="-4"/>
                <w:lang w:val="en-GB"/>
              </w:rPr>
              <w:t xml:space="preserve"> </w:t>
            </w:r>
            <w:r>
              <w:rPr>
                <w:color w:val="000000" w:themeColor="text1"/>
                <w:spacing w:val="-4"/>
                <w:lang w:val="en-GB"/>
              </w:rPr>
              <w:t>one half</w:t>
            </w:r>
            <w:r w:rsidR="007B0920" w:rsidRPr="00552112">
              <w:rPr>
                <w:color w:val="000000" w:themeColor="text1"/>
                <w:spacing w:val="-4"/>
                <w:lang w:val="en-GB"/>
              </w:rPr>
              <w:t xml:space="preserve">) </w:t>
            </w:r>
            <w:r>
              <w:rPr>
                <w:color w:val="000000" w:themeColor="text1"/>
                <w:spacing w:val="-4"/>
                <w:lang w:val="en-GB"/>
              </w:rPr>
              <w:t>of the growth of the total industrial production. Strong demand on both the European and Asian markets, but also at home, was mirrored in the record number of the manufactured vehicles</w:t>
            </w:r>
            <w:r w:rsidR="007B0920" w:rsidRPr="00552112">
              <w:rPr>
                <w:rStyle w:val="Znakapoznpodarou"/>
                <w:spacing w:val="-4"/>
                <w:lang w:val="en-GB"/>
              </w:rPr>
              <w:footnoteReference w:id="17"/>
            </w:r>
            <w:r w:rsidR="007B0920" w:rsidRPr="00552112">
              <w:rPr>
                <w:spacing w:val="-4"/>
                <w:lang w:val="en-GB"/>
              </w:rPr>
              <w:t xml:space="preserve">. </w:t>
            </w:r>
          </w:p>
          <w:p w:rsidR="00150CEC" w:rsidRDefault="00150CEC" w:rsidP="00CF0826">
            <w:pPr>
              <w:pStyle w:val="Textpoznpodarou"/>
              <w:jc w:val="both"/>
              <w:rPr>
                <w:spacing w:val="-4"/>
                <w:lang w:val="en-GB"/>
              </w:rPr>
            </w:pPr>
          </w:p>
          <w:p w:rsidR="00150CEC" w:rsidRDefault="00B17335" w:rsidP="00CF0826">
            <w:pPr>
              <w:pStyle w:val="Textpoznpodarou"/>
              <w:jc w:val="both"/>
              <w:rPr>
                <w:spacing w:val="-4"/>
                <w:lang w:val="en-GB"/>
              </w:rPr>
            </w:pPr>
            <w:r>
              <w:rPr>
                <w:spacing w:val="-4"/>
                <w:lang w:val="en-GB"/>
              </w:rPr>
              <w:t xml:space="preserve">Machinery </w:t>
            </w:r>
            <w:r w:rsidR="00150CEC">
              <w:rPr>
                <w:spacing w:val="-4"/>
                <w:lang w:val="en-GB"/>
              </w:rPr>
              <w:t xml:space="preserve">industry </w:t>
            </w:r>
            <w:r w:rsidR="008A2890">
              <w:rPr>
                <w:spacing w:val="-4"/>
                <w:lang w:val="en-GB"/>
              </w:rPr>
              <w:t xml:space="preserve">experienced successful year also thanks to the strong domestic demand </w:t>
            </w:r>
            <w:r w:rsidR="003D3FB2" w:rsidRPr="00552112">
              <w:rPr>
                <w:spacing w:val="-4"/>
                <w:lang w:val="en-GB"/>
              </w:rPr>
              <w:t>(+9</w:t>
            </w:r>
            <w:r w:rsidR="008A2890">
              <w:rPr>
                <w:spacing w:val="-4"/>
                <w:lang w:val="en-GB"/>
              </w:rPr>
              <w:t>.</w:t>
            </w:r>
            <w:r>
              <w:rPr>
                <w:spacing w:val="-4"/>
                <w:lang w:val="en-GB"/>
              </w:rPr>
              <w:t>2</w:t>
            </w:r>
            <w:r w:rsidR="007B0920" w:rsidRPr="00552112">
              <w:rPr>
                <w:spacing w:val="-4"/>
                <w:lang w:val="en-GB"/>
              </w:rPr>
              <w:t xml:space="preserve">%, </w:t>
            </w:r>
            <w:r w:rsidR="008A2890">
              <w:rPr>
                <w:spacing w:val="-4"/>
                <w:lang w:val="en-GB"/>
              </w:rPr>
              <w:t xml:space="preserve">the growth </w:t>
            </w:r>
            <w:r w:rsidR="00DE7B69">
              <w:rPr>
                <w:spacing w:val="-4"/>
                <w:lang w:val="en-GB"/>
              </w:rPr>
              <w:t>oscillated</w:t>
            </w:r>
            <w:r w:rsidR="008A2890">
              <w:rPr>
                <w:spacing w:val="-4"/>
                <w:lang w:val="en-GB"/>
              </w:rPr>
              <w:t xml:space="preserve"> between 2% and 3.5% in the previous five years) and it participated on the growth of the whole industry by one tenth. Both the second most significant by weight manufacturing activity – manufacture of metal products and the strongly export oriented manufacture of computers, electronic and optical</w:t>
            </w:r>
            <w:r w:rsidR="007B0920" w:rsidRPr="00552112">
              <w:rPr>
                <w:spacing w:val="-4"/>
                <w:lang w:val="en-GB"/>
              </w:rPr>
              <w:t xml:space="preserve"> </w:t>
            </w:r>
            <w:r w:rsidR="00AF7C9B">
              <w:rPr>
                <w:spacing w:val="-4"/>
                <w:lang w:val="en-GB"/>
              </w:rPr>
              <w:t xml:space="preserve">products </w:t>
            </w:r>
            <w:r w:rsidR="007B0920" w:rsidRPr="00552112">
              <w:rPr>
                <w:spacing w:val="-4"/>
                <w:lang w:val="en-GB"/>
              </w:rPr>
              <w:t>(</w:t>
            </w:r>
            <w:r w:rsidR="008A2890">
              <w:rPr>
                <w:spacing w:val="-4"/>
                <w:lang w:val="en-GB"/>
              </w:rPr>
              <w:t xml:space="preserve">with the growth of output by </w:t>
            </w:r>
            <w:r w:rsidR="003D3FB2" w:rsidRPr="00552112">
              <w:rPr>
                <w:spacing w:val="-4"/>
                <w:lang w:val="en-GB"/>
              </w:rPr>
              <w:t>12</w:t>
            </w:r>
            <w:r w:rsidR="008A2890">
              <w:rPr>
                <w:spacing w:val="-4"/>
                <w:lang w:val="en-GB"/>
              </w:rPr>
              <w:t>.</w:t>
            </w:r>
            <w:r w:rsidR="003D3FB2" w:rsidRPr="00552112">
              <w:rPr>
                <w:spacing w:val="-4"/>
                <w:lang w:val="en-GB"/>
              </w:rPr>
              <w:t>2</w:t>
            </w:r>
            <w:r w:rsidR="007B0920" w:rsidRPr="00552112">
              <w:rPr>
                <w:spacing w:val="-4"/>
                <w:lang w:val="en-GB"/>
              </w:rPr>
              <w:t xml:space="preserve">%, </w:t>
            </w:r>
            <w:r w:rsidR="008A2890">
              <w:rPr>
                <w:spacing w:val="-4"/>
                <w:lang w:val="en-GB"/>
              </w:rPr>
              <w:t xml:space="preserve">by 3.2% in </w:t>
            </w:r>
            <w:r w:rsidR="007B0920" w:rsidRPr="00552112">
              <w:rPr>
                <w:spacing w:val="-4"/>
                <w:lang w:val="en-GB"/>
              </w:rPr>
              <w:t>2016)</w:t>
            </w:r>
            <w:r w:rsidR="008A2890">
              <w:rPr>
                <w:spacing w:val="-4"/>
                <w:lang w:val="en-GB"/>
              </w:rPr>
              <w:t xml:space="preserve"> contributed to a similar extent</w:t>
            </w:r>
            <w:r w:rsidR="00DB0870">
              <w:rPr>
                <w:spacing w:val="-4"/>
                <w:lang w:val="en-GB"/>
              </w:rPr>
              <w:t xml:space="preserve">. </w:t>
            </w:r>
            <w:r w:rsidR="00BB16AD">
              <w:rPr>
                <w:spacing w:val="-4"/>
                <w:lang w:val="en-GB"/>
              </w:rPr>
              <w:t>Contribution of the chemical industry was also important, its output enlarged by nearly one fifth compared to year 2</w:t>
            </w:r>
            <w:r w:rsidR="007B0920" w:rsidRPr="00552112">
              <w:rPr>
                <w:spacing w:val="-4"/>
                <w:lang w:val="en-GB"/>
              </w:rPr>
              <w:t>016</w:t>
            </w:r>
            <w:r w:rsidR="007B0920" w:rsidRPr="00552112">
              <w:rPr>
                <w:rStyle w:val="Znakapoznpodarou"/>
                <w:spacing w:val="-4"/>
                <w:lang w:val="en-GB"/>
              </w:rPr>
              <w:footnoteReference w:id="18"/>
            </w:r>
            <w:r w:rsidR="007B0920" w:rsidRPr="00552112">
              <w:rPr>
                <w:spacing w:val="-4"/>
                <w:lang w:val="en-GB"/>
              </w:rPr>
              <w:t xml:space="preserve">, </w:t>
            </w:r>
            <w:r w:rsidR="00BB16AD">
              <w:rPr>
                <w:spacing w:val="-4"/>
                <w:lang w:val="en-GB"/>
              </w:rPr>
              <w:t xml:space="preserve">the most from the individual sections of industry. </w:t>
            </w:r>
          </w:p>
          <w:p w:rsidR="00150CEC" w:rsidRDefault="00150CEC" w:rsidP="00CF0826">
            <w:pPr>
              <w:pStyle w:val="Textpoznpodarou"/>
              <w:jc w:val="both"/>
              <w:rPr>
                <w:spacing w:val="-4"/>
                <w:lang w:val="en-GB"/>
              </w:rPr>
            </w:pPr>
          </w:p>
          <w:p w:rsidR="00AF7C9B" w:rsidRDefault="00E776DE" w:rsidP="00E776DE">
            <w:pPr>
              <w:pStyle w:val="Textpoznpodarou"/>
              <w:jc w:val="both"/>
              <w:rPr>
                <w:spacing w:val="-4"/>
                <w:lang w:val="en-GB"/>
              </w:rPr>
            </w:pPr>
            <w:r>
              <w:rPr>
                <w:spacing w:val="-4"/>
                <w:lang w:val="en-GB"/>
              </w:rPr>
              <w:t>Energy industry</w:t>
            </w:r>
            <w:r w:rsidR="00BB16AD">
              <w:rPr>
                <w:spacing w:val="-4"/>
                <w:lang w:val="en-GB"/>
              </w:rPr>
              <w:t xml:space="preserve"> also experienced an exceptional year, its production fastened from 0.9% in </w:t>
            </w:r>
            <w:r>
              <w:rPr>
                <w:spacing w:val="-4"/>
                <w:lang w:val="en-GB"/>
              </w:rPr>
              <w:t xml:space="preserve">2016 </w:t>
            </w:r>
            <w:r w:rsidR="009B19B8">
              <w:rPr>
                <w:spacing w:val="-4"/>
                <w:lang w:val="en-GB"/>
              </w:rPr>
              <w:t>t</w:t>
            </w:r>
            <w:r w:rsidR="00BB16AD">
              <w:rPr>
                <w:spacing w:val="-4"/>
                <w:lang w:val="en-GB"/>
              </w:rPr>
              <w:t xml:space="preserve">o </w:t>
            </w:r>
            <w:r w:rsidR="00AF7C9B">
              <w:rPr>
                <w:spacing w:val="-4"/>
                <w:lang w:val="en-GB"/>
              </w:rPr>
              <w:t xml:space="preserve">last year </w:t>
            </w:r>
            <w:r w:rsidR="00BB16AD">
              <w:rPr>
                <w:spacing w:val="-4"/>
                <w:lang w:val="en-GB"/>
              </w:rPr>
              <w:t>4.8% (highest pace after year</w:t>
            </w:r>
            <w:r w:rsidR="007B0920" w:rsidRPr="00552112">
              <w:rPr>
                <w:spacing w:val="-4"/>
                <w:lang w:val="en-GB"/>
              </w:rPr>
              <w:t>)</w:t>
            </w:r>
            <w:r w:rsidR="007B0920" w:rsidRPr="00552112">
              <w:rPr>
                <w:rStyle w:val="Znakapoznpodarou"/>
                <w:spacing w:val="-4"/>
                <w:lang w:val="en-GB"/>
              </w:rPr>
              <w:footnoteReference w:id="19"/>
            </w:r>
            <w:r w:rsidR="007B0920" w:rsidRPr="00552112">
              <w:rPr>
                <w:spacing w:val="-4"/>
                <w:lang w:val="en-GB"/>
              </w:rPr>
              <w:t xml:space="preserve">. </w:t>
            </w:r>
            <w:r w:rsidR="009B19B8">
              <w:rPr>
                <w:spacing w:val="-4"/>
                <w:lang w:val="en-GB"/>
              </w:rPr>
              <w:t xml:space="preserve">Gradual recovery of the demand in construction assisted the output of manufacture of other non-metal mineral products </w:t>
            </w:r>
            <w:r w:rsidR="007B0920" w:rsidRPr="00552112">
              <w:rPr>
                <w:spacing w:val="-4"/>
                <w:lang w:val="en-GB"/>
              </w:rPr>
              <w:t>(+</w:t>
            </w:r>
            <w:r w:rsidR="003D3FB2" w:rsidRPr="00552112">
              <w:rPr>
                <w:spacing w:val="-4"/>
                <w:lang w:val="en-GB"/>
              </w:rPr>
              <w:t>9</w:t>
            </w:r>
            <w:r w:rsidR="009B19B8">
              <w:rPr>
                <w:spacing w:val="-4"/>
                <w:lang w:val="en-GB"/>
              </w:rPr>
              <w:t>.</w:t>
            </w:r>
            <w:r w:rsidR="003D3FB2" w:rsidRPr="00552112">
              <w:rPr>
                <w:spacing w:val="-4"/>
                <w:lang w:val="en-GB"/>
              </w:rPr>
              <w:t>1</w:t>
            </w:r>
            <w:r w:rsidR="007B0920" w:rsidRPr="00552112">
              <w:rPr>
                <w:spacing w:val="-4"/>
                <w:lang w:val="en-GB"/>
              </w:rPr>
              <w:t xml:space="preserve">%, </w:t>
            </w:r>
            <w:r w:rsidR="003D3FB2" w:rsidRPr="00552112">
              <w:rPr>
                <w:spacing w:val="-4"/>
                <w:lang w:val="en-GB"/>
              </w:rPr>
              <w:t>-2</w:t>
            </w:r>
            <w:r w:rsidR="009B19B8">
              <w:rPr>
                <w:spacing w:val="-4"/>
                <w:lang w:val="en-GB"/>
              </w:rPr>
              <w:t>.</w:t>
            </w:r>
            <w:r w:rsidR="003D3FB2" w:rsidRPr="00552112">
              <w:rPr>
                <w:spacing w:val="-4"/>
                <w:lang w:val="en-GB"/>
              </w:rPr>
              <w:t>0%</w:t>
            </w:r>
            <w:r w:rsidR="009B19B8">
              <w:rPr>
                <w:spacing w:val="-4"/>
                <w:lang w:val="en-GB"/>
              </w:rPr>
              <w:t xml:space="preserve"> the year before</w:t>
            </w:r>
            <w:r w:rsidR="003D3FB2" w:rsidRPr="00552112">
              <w:rPr>
                <w:spacing w:val="-4"/>
                <w:lang w:val="en-GB"/>
              </w:rPr>
              <w:t xml:space="preserve">). </w:t>
            </w:r>
          </w:p>
          <w:p w:rsidR="00AF7C9B" w:rsidRDefault="00AF7C9B" w:rsidP="00E776DE">
            <w:pPr>
              <w:pStyle w:val="Textpoznpodarou"/>
              <w:jc w:val="both"/>
              <w:rPr>
                <w:spacing w:val="-4"/>
                <w:lang w:val="en-GB"/>
              </w:rPr>
            </w:pPr>
          </w:p>
          <w:p w:rsidR="007B0920" w:rsidRPr="00552112" w:rsidRDefault="00006AAD" w:rsidP="00E776DE">
            <w:pPr>
              <w:pStyle w:val="Textpoznpodarou"/>
              <w:jc w:val="both"/>
              <w:rPr>
                <w:color w:val="000000" w:themeColor="text1"/>
                <w:spacing w:val="-4"/>
                <w:lang w:val="en-GB"/>
              </w:rPr>
            </w:pPr>
            <w:r>
              <w:rPr>
                <w:spacing w:val="-4"/>
                <w:lang w:val="en-GB"/>
              </w:rPr>
              <w:t>On the contrary</w:t>
            </w:r>
            <w:r w:rsidR="00D8118B">
              <w:rPr>
                <w:spacing w:val="-4"/>
                <w:lang w:val="en-GB"/>
              </w:rPr>
              <w:t>, the more domestic market-oriented food industry as well as the beverage industry were ascribed much more modest growth (</w:t>
            </w:r>
            <w:r w:rsidR="007B0920" w:rsidRPr="00552112">
              <w:rPr>
                <w:spacing w:val="-4"/>
                <w:lang w:val="en-GB"/>
              </w:rPr>
              <w:t>+</w:t>
            </w:r>
            <w:r w:rsidR="003D3FB2" w:rsidRPr="00552112">
              <w:rPr>
                <w:spacing w:val="-4"/>
                <w:lang w:val="en-GB"/>
              </w:rPr>
              <w:t>2</w:t>
            </w:r>
            <w:r w:rsidR="00D8118B">
              <w:rPr>
                <w:spacing w:val="-4"/>
                <w:lang w:val="en-GB"/>
              </w:rPr>
              <w:t>.</w:t>
            </w:r>
            <w:r w:rsidR="003D3FB2" w:rsidRPr="00552112">
              <w:rPr>
                <w:spacing w:val="-4"/>
                <w:lang w:val="en-GB"/>
              </w:rPr>
              <w:t>0</w:t>
            </w:r>
            <w:r w:rsidR="007B0920" w:rsidRPr="00552112">
              <w:rPr>
                <w:spacing w:val="-4"/>
                <w:lang w:val="en-GB"/>
              </w:rPr>
              <w:t>%</w:t>
            </w:r>
            <w:r w:rsidR="00D8118B">
              <w:rPr>
                <w:spacing w:val="-4"/>
                <w:lang w:val="en-GB"/>
              </w:rPr>
              <w:t xml:space="preserve"> and </w:t>
            </w:r>
            <w:r w:rsidR="007B0920" w:rsidRPr="00552112">
              <w:rPr>
                <w:spacing w:val="-4"/>
                <w:lang w:val="en-GB"/>
              </w:rPr>
              <w:t>+</w:t>
            </w:r>
            <w:r w:rsidR="003D3FB2" w:rsidRPr="00552112">
              <w:rPr>
                <w:spacing w:val="-4"/>
                <w:lang w:val="en-GB"/>
              </w:rPr>
              <w:t>3</w:t>
            </w:r>
            <w:r w:rsidR="00D8118B">
              <w:rPr>
                <w:spacing w:val="-4"/>
                <w:lang w:val="en-GB"/>
              </w:rPr>
              <w:t>.</w:t>
            </w:r>
            <w:r w:rsidR="003D3FB2" w:rsidRPr="00552112">
              <w:rPr>
                <w:spacing w:val="-4"/>
                <w:lang w:val="en-GB"/>
              </w:rPr>
              <w:t>9</w:t>
            </w:r>
            <w:r w:rsidR="007B0920" w:rsidRPr="00552112">
              <w:rPr>
                <w:spacing w:val="-4"/>
                <w:lang w:val="en-GB"/>
              </w:rPr>
              <w:t xml:space="preserve">%) </w:t>
            </w:r>
            <w:r w:rsidR="00D8118B">
              <w:rPr>
                <w:spacing w:val="-4"/>
                <w:lang w:val="en-GB"/>
              </w:rPr>
              <w:t xml:space="preserve">and they thus did not breach the trends from the preceding years. </w:t>
            </w:r>
            <w:r w:rsidR="00E32DFC">
              <w:rPr>
                <w:spacing w:val="-4"/>
                <w:lang w:val="en-GB"/>
              </w:rPr>
              <w:t xml:space="preserve">Among the smaller activities, the export focussed pharmaceutical industry fared well </w:t>
            </w:r>
            <w:r w:rsidR="007B0920" w:rsidRPr="00552112">
              <w:rPr>
                <w:spacing w:val="-4"/>
                <w:lang w:val="en-GB"/>
              </w:rPr>
              <w:t>(+</w:t>
            </w:r>
            <w:r w:rsidR="003D3FB2" w:rsidRPr="00552112">
              <w:rPr>
                <w:spacing w:val="-4"/>
                <w:lang w:val="en-GB"/>
              </w:rPr>
              <w:t>10</w:t>
            </w:r>
            <w:r w:rsidR="00E32DFC">
              <w:rPr>
                <w:spacing w:val="-4"/>
                <w:lang w:val="en-GB"/>
              </w:rPr>
              <w:t>.</w:t>
            </w:r>
            <w:r w:rsidR="003D3FB2" w:rsidRPr="00552112">
              <w:rPr>
                <w:spacing w:val="-4"/>
                <w:lang w:val="en-GB"/>
              </w:rPr>
              <w:t>6</w:t>
            </w:r>
            <w:r w:rsidR="007B0920" w:rsidRPr="00552112">
              <w:rPr>
                <w:spacing w:val="-4"/>
                <w:lang w:val="en-GB"/>
              </w:rPr>
              <w:t>%, +</w:t>
            </w:r>
            <w:r w:rsidR="003D3FB2" w:rsidRPr="00552112">
              <w:rPr>
                <w:spacing w:val="-4"/>
                <w:lang w:val="en-GB"/>
              </w:rPr>
              <w:t>32</w:t>
            </w:r>
            <w:r w:rsidR="00E32DFC">
              <w:rPr>
                <w:spacing w:val="-4"/>
                <w:lang w:val="en-GB"/>
              </w:rPr>
              <w:t>.</w:t>
            </w:r>
            <w:r w:rsidR="003D3FB2" w:rsidRPr="00552112">
              <w:rPr>
                <w:spacing w:val="-4"/>
                <w:lang w:val="en-GB"/>
              </w:rPr>
              <w:t>1</w:t>
            </w:r>
            <w:r w:rsidR="007B0920" w:rsidRPr="00552112">
              <w:rPr>
                <w:spacing w:val="-4"/>
                <w:lang w:val="en-GB"/>
              </w:rPr>
              <w:t>%</w:t>
            </w:r>
            <w:r w:rsidR="00E32DFC">
              <w:rPr>
                <w:spacing w:val="-4"/>
                <w:lang w:val="en-GB"/>
              </w:rPr>
              <w:t xml:space="preserve"> in five years</w:t>
            </w:r>
            <w:r w:rsidR="007B0920" w:rsidRPr="00552112">
              <w:rPr>
                <w:spacing w:val="-4"/>
                <w:lang w:val="en-GB"/>
              </w:rPr>
              <w:t xml:space="preserve">). </w:t>
            </w:r>
            <w:r w:rsidR="00E32DFC">
              <w:rPr>
                <w:spacing w:val="-4"/>
                <w:lang w:val="en-GB"/>
              </w:rPr>
              <w:t>Also,</w:t>
            </w:r>
            <w:r w:rsidR="00D8118B">
              <w:rPr>
                <w:spacing w:val="-4"/>
                <w:lang w:val="en-GB"/>
              </w:rPr>
              <w:t xml:space="preserve"> t</w:t>
            </w:r>
            <w:r>
              <w:rPr>
                <w:spacing w:val="-4"/>
                <w:lang w:val="en-GB"/>
              </w:rPr>
              <w:t xml:space="preserve">he textile, paper and </w:t>
            </w:r>
            <w:r w:rsidR="00D8118B">
              <w:rPr>
                <w:spacing w:val="-4"/>
                <w:lang w:val="en-GB"/>
              </w:rPr>
              <w:t>furniture</w:t>
            </w:r>
            <w:r>
              <w:rPr>
                <w:spacing w:val="-4"/>
                <w:lang w:val="en-GB"/>
              </w:rPr>
              <w:t xml:space="preserve"> industries were growing continuously in the last five years. </w:t>
            </w:r>
          </w:p>
        </w:tc>
      </w:tr>
    </w:tbl>
    <w:p w:rsidR="007B0920" w:rsidRDefault="007B0920" w:rsidP="007B0920">
      <w:pPr>
        <w:pStyle w:val="Textpoznpodarou"/>
        <w:jc w:val="both"/>
        <w:rPr>
          <w:sz w:val="14"/>
          <w:szCs w:val="14"/>
        </w:rPr>
      </w:pPr>
    </w:p>
    <w:p w:rsidR="002133D5" w:rsidRDefault="002133D5" w:rsidP="007B0920">
      <w:pPr>
        <w:pStyle w:val="Textpoznpodarou"/>
        <w:jc w:val="both"/>
        <w:rPr>
          <w:sz w:val="14"/>
          <w:szCs w:val="14"/>
        </w:rPr>
      </w:pPr>
    </w:p>
    <w:p w:rsidR="002133D5" w:rsidRDefault="002133D5" w:rsidP="007B0920">
      <w:pPr>
        <w:pStyle w:val="Textpoznpodarou"/>
        <w:jc w:val="both"/>
        <w:rPr>
          <w:sz w:val="14"/>
          <w:szCs w:val="14"/>
        </w:rPr>
      </w:pPr>
    </w:p>
    <w:p w:rsidR="002133D5" w:rsidRDefault="002133D5" w:rsidP="007B0920">
      <w:pPr>
        <w:pStyle w:val="Textpoznpodarou"/>
        <w:jc w:val="both"/>
        <w:rPr>
          <w:sz w:val="14"/>
          <w:szCs w:val="14"/>
        </w:rPr>
      </w:pPr>
    </w:p>
    <w:p w:rsidR="002133D5" w:rsidRPr="00C25BC2" w:rsidRDefault="002133D5" w:rsidP="007B0920">
      <w:pPr>
        <w:pStyle w:val="Textpoznpodarou"/>
        <w:jc w:val="both"/>
        <w:rPr>
          <w:sz w:val="14"/>
          <w:szCs w:val="14"/>
        </w:rPr>
      </w:pPr>
    </w:p>
    <w:tbl>
      <w:tblPr>
        <w:tblW w:w="4963" w:type="pct"/>
        <w:tblInd w:w="108" w:type="dxa"/>
        <w:tblLayout w:type="fixed"/>
        <w:tblLook w:val="00A0"/>
      </w:tblPr>
      <w:tblGrid>
        <w:gridCol w:w="1997"/>
        <w:gridCol w:w="284"/>
        <w:gridCol w:w="1121"/>
        <w:gridCol w:w="6379"/>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73" w:type="pct"/>
          </w:tcPr>
          <w:p w:rsidR="007B0920" w:rsidRPr="00540CB3" w:rsidRDefault="008810BB" w:rsidP="008810BB">
            <w:pPr>
              <w:pStyle w:val="Textpoznpodarou"/>
              <w:jc w:val="both"/>
              <w:rPr>
                <w:highlight w:val="yellow"/>
              </w:rPr>
            </w:pPr>
            <w:r>
              <w:rPr>
                <w:color w:val="000000"/>
              </w:rPr>
              <w:t xml:space="preserve">Chart </w:t>
            </w:r>
            <w:r w:rsidR="007B0920" w:rsidRPr="00540CB3">
              <w:rPr>
                <w:color w:val="000000"/>
              </w:rPr>
              <w:t>5</w:t>
            </w:r>
          </w:p>
        </w:tc>
        <w:tc>
          <w:tcPr>
            <w:tcW w:w="3261" w:type="pct"/>
          </w:tcPr>
          <w:p w:rsidR="007B0920" w:rsidRPr="0005235A" w:rsidRDefault="0005235A" w:rsidP="008810BB">
            <w:pPr>
              <w:pStyle w:val="Textpoznpodarou"/>
              <w:rPr>
                <w:b/>
                <w:lang w:val="en-GB"/>
              </w:rPr>
            </w:pPr>
            <w:r w:rsidRPr="0005235A">
              <w:rPr>
                <w:b/>
                <w:lang w:val="en-GB"/>
              </w:rPr>
              <w:t xml:space="preserve">Production in industry and selected manufacturing branches </w:t>
            </w:r>
            <w:r w:rsidRPr="00AF7C9B">
              <w:rPr>
                <w:lang w:val="en-GB"/>
              </w:rPr>
              <w:t>(</w:t>
            </w:r>
            <w:r w:rsidR="007B0920" w:rsidRPr="0005235A">
              <w:rPr>
                <w:lang w:val="en-GB"/>
              </w:rPr>
              <w:t>re</w:t>
            </w:r>
            <w:r w:rsidRPr="0005235A">
              <w:rPr>
                <w:lang w:val="en-GB"/>
              </w:rPr>
              <w:t>al, adjusted for calendar effects</w:t>
            </w:r>
            <w:r w:rsidR="007B0920" w:rsidRPr="0005235A">
              <w:rPr>
                <w:lang w:val="en-GB"/>
              </w:rPr>
              <w:t xml:space="preserve">, </w:t>
            </w:r>
            <w:r w:rsidR="008810BB" w:rsidRPr="0005235A">
              <w:rPr>
                <w:lang w:val="en-GB"/>
              </w:rPr>
              <w:t xml:space="preserve">year-on-year in </w:t>
            </w:r>
            <w:r w:rsidR="007B0920" w:rsidRPr="0005235A">
              <w:rPr>
                <w:lang w:val="en-GB"/>
              </w:rPr>
              <w:t>%)</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05235A" w:rsidRDefault="007B0920" w:rsidP="00CF0826">
            <w:pPr>
              <w:pStyle w:val="Textpoznpodarou"/>
              <w:jc w:val="both"/>
              <w:rPr>
                <w:lang w:val="en-GB"/>
              </w:rPr>
            </w:pPr>
          </w:p>
        </w:tc>
        <w:tc>
          <w:tcPr>
            <w:tcW w:w="3834" w:type="pct"/>
            <w:gridSpan w:val="2"/>
          </w:tcPr>
          <w:p w:rsidR="0005235A" w:rsidRPr="002133D5" w:rsidRDefault="002133D5" w:rsidP="002133D5">
            <w:pPr>
              <w:pStyle w:val="Textpoznpodarou"/>
              <w:ind w:left="-124"/>
              <w:jc w:val="right"/>
              <w:rPr>
                <w:sz w:val="14"/>
                <w:szCs w:val="14"/>
                <w:lang w:val="en-GB"/>
              </w:rPr>
            </w:pPr>
            <w:r w:rsidRPr="002133D5">
              <w:rPr>
                <w:noProof/>
                <w:sz w:val="14"/>
                <w:szCs w:val="14"/>
              </w:rPr>
              <w:drawing>
                <wp:inline distT="0" distB="0" distL="0" distR="0">
                  <wp:extent cx="4769902" cy="3553200"/>
                  <wp:effectExtent l="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B12AC" w:rsidRPr="0005235A">
              <w:rPr>
                <w:sz w:val="14"/>
                <w:szCs w:val="14"/>
                <w:lang w:val="en-GB"/>
              </w:rPr>
              <w:t xml:space="preserve"> </w:t>
            </w:r>
            <w:r w:rsidR="00861C98" w:rsidRPr="0005235A">
              <w:rPr>
                <w:sz w:val="14"/>
                <w:szCs w:val="14"/>
                <w:lang w:val="en-GB"/>
              </w:rPr>
              <w:t>Source</w:t>
            </w:r>
            <w:r w:rsidR="007B0920" w:rsidRPr="0005235A">
              <w:rPr>
                <w:sz w:val="14"/>
                <w:szCs w:val="14"/>
                <w:lang w:val="en-GB"/>
              </w:rPr>
              <w:t xml:space="preserve">: </w:t>
            </w:r>
            <w:r w:rsidR="00861C98" w:rsidRPr="0005235A">
              <w:rPr>
                <w:sz w:val="14"/>
                <w:szCs w:val="14"/>
                <w:lang w:val="en-GB"/>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E85720" w:rsidRDefault="00E85720" w:rsidP="00CF0826">
            <w:pPr>
              <w:spacing w:line="240" w:lineRule="auto"/>
              <w:rPr>
                <w:spacing w:val="-2"/>
                <w:sz w:val="16"/>
                <w:szCs w:val="16"/>
                <w:lang w:val="en-GB"/>
              </w:rPr>
            </w:pPr>
            <w:r w:rsidRPr="00E85720">
              <w:rPr>
                <w:spacing w:val="-2"/>
                <w:sz w:val="16"/>
                <w:szCs w:val="16"/>
                <w:lang w:val="en-GB"/>
              </w:rPr>
              <w:t>Adverse tendencies from the view of output as well as employment continued in the mining industry or metallurgy and foundry industry.</w:t>
            </w:r>
          </w:p>
        </w:tc>
        <w:tc>
          <w:tcPr>
            <w:tcW w:w="144" w:type="pct"/>
          </w:tcPr>
          <w:p w:rsidR="007B0920" w:rsidRPr="00E85720" w:rsidRDefault="007B0920" w:rsidP="00CF0826">
            <w:pPr>
              <w:rPr>
                <w:color w:val="000000" w:themeColor="text1"/>
                <w:szCs w:val="16"/>
                <w:lang w:val="en-GB"/>
              </w:rPr>
            </w:pPr>
          </w:p>
        </w:tc>
        <w:tc>
          <w:tcPr>
            <w:tcW w:w="3840" w:type="pct"/>
          </w:tcPr>
          <w:p w:rsidR="007B0920" w:rsidRPr="00E85720" w:rsidRDefault="00861C98" w:rsidP="00CF0826">
            <w:pPr>
              <w:pStyle w:val="Textpoznpodarou"/>
              <w:jc w:val="both"/>
              <w:rPr>
                <w:color w:val="000000" w:themeColor="text1"/>
                <w:spacing w:val="-4"/>
                <w:lang w:val="en-GB"/>
              </w:rPr>
            </w:pPr>
            <w:r w:rsidRPr="00E85720">
              <w:rPr>
                <w:color w:val="000000" w:themeColor="text1"/>
                <w:spacing w:val="-4"/>
                <w:lang w:val="en-GB"/>
              </w:rPr>
              <w:t xml:space="preserve">The long term structural problems persisted in some industrial activities. </w:t>
            </w:r>
            <w:r w:rsidR="008D21DE">
              <w:rPr>
                <w:color w:val="000000" w:themeColor="text1"/>
                <w:spacing w:val="-4"/>
                <w:lang w:val="en-GB"/>
              </w:rPr>
              <w:t xml:space="preserve">Output in mining and quarrying has been declining due to the controlled reduction of the black coal mining already sixth year in a row </w:t>
            </w:r>
            <w:r w:rsidR="007B0920" w:rsidRPr="00E85720">
              <w:rPr>
                <w:color w:val="000000" w:themeColor="text1"/>
                <w:spacing w:val="-4"/>
                <w:lang w:val="en-GB"/>
              </w:rPr>
              <w:t>(</w:t>
            </w:r>
            <w:r w:rsidR="008D21DE">
              <w:rPr>
                <w:color w:val="000000" w:themeColor="text1"/>
                <w:spacing w:val="-4"/>
                <w:lang w:val="en-GB"/>
              </w:rPr>
              <w:t xml:space="preserve">by </w:t>
            </w:r>
            <w:r w:rsidR="001305B2" w:rsidRPr="00E85720">
              <w:rPr>
                <w:color w:val="000000" w:themeColor="text1"/>
                <w:spacing w:val="-4"/>
                <w:lang w:val="en-GB"/>
              </w:rPr>
              <w:t>1</w:t>
            </w:r>
            <w:r w:rsidR="008D21DE">
              <w:rPr>
                <w:color w:val="000000" w:themeColor="text1"/>
                <w:spacing w:val="-4"/>
                <w:lang w:val="en-GB"/>
              </w:rPr>
              <w:t>.</w:t>
            </w:r>
            <w:r w:rsidR="001305B2" w:rsidRPr="00E85720">
              <w:rPr>
                <w:color w:val="000000" w:themeColor="text1"/>
                <w:spacing w:val="-4"/>
                <w:lang w:val="en-GB"/>
              </w:rPr>
              <w:t>7</w:t>
            </w:r>
            <w:r w:rsidR="007B0920" w:rsidRPr="00E85720">
              <w:rPr>
                <w:color w:val="000000" w:themeColor="text1"/>
                <w:spacing w:val="-4"/>
                <w:lang w:val="en-GB"/>
              </w:rPr>
              <w:t>%</w:t>
            </w:r>
            <w:r w:rsidR="007B0920" w:rsidRPr="00E85720">
              <w:rPr>
                <w:rStyle w:val="Znakapoznpodarou"/>
                <w:color w:val="000000" w:themeColor="text1"/>
                <w:spacing w:val="-4"/>
                <w:lang w:val="en-GB"/>
              </w:rPr>
              <w:footnoteReference w:id="20"/>
            </w:r>
            <w:r w:rsidR="001305B2" w:rsidRPr="00E85720">
              <w:rPr>
                <w:color w:val="000000" w:themeColor="text1"/>
                <w:spacing w:val="-4"/>
                <w:lang w:val="en-GB"/>
              </w:rPr>
              <w:t xml:space="preserve">, </w:t>
            </w:r>
            <w:r w:rsidR="008D21DE">
              <w:rPr>
                <w:color w:val="000000" w:themeColor="text1"/>
                <w:spacing w:val="-4"/>
                <w:lang w:val="en-GB"/>
              </w:rPr>
              <w:t>in total by more than one quarter</w:t>
            </w:r>
            <w:r w:rsidR="007B0920" w:rsidRPr="00E85720">
              <w:rPr>
                <w:color w:val="000000" w:themeColor="text1"/>
                <w:spacing w:val="-4"/>
                <w:lang w:val="en-GB"/>
              </w:rPr>
              <w:t xml:space="preserve">). </w:t>
            </w:r>
            <w:r w:rsidR="00EB599D">
              <w:rPr>
                <w:color w:val="000000" w:themeColor="text1"/>
                <w:spacing w:val="-4"/>
                <w:lang w:val="en-GB"/>
              </w:rPr>
              <w:t xml:space="preserve">Nominal sales of the mining businesses however increased after five years last year </w:t>
            </w:r>
            <w:r w:rsidR="00B2419B" w:rsidRPr="00E85720">
              <w:rPr>
                <w:color w:val="000000" w:themeColor="text1"/>
                <w:spacing w:val="-4"/>
                <w:lang w:val="en-GB"/>
              </w:rPr>
              <w:t>(</w:t>
            </w:r>
            <w:r w:rsidR="00EB599D">
              <w:rPr>
                <w:color w:val="000000" w:themeColor="text1"/>
                <w:spacing w:val="-4"/>
                <w:lang w:val="en-GB"/>
              </w:rPr>
              <w:t xml:space="preserve">by </w:t>
            </w:r>
            <w:r w:rsidR="00B2419B" w:rsidRPr="00E85720">
              <w:rPr>
                <w:color w:val="000000" w:themeColor="text1"/>
                <w:spacing w:val="-4"/>
                <w:lang w:val="en-GB"/>
              </w:rPr>
              <w:t>8</w:t>
            </w:r>
            <w:r w:rsidR="00EB599D">
              <w:rPr>
                <w:color w:val="000000" w:themeColor="text1"/>
                <w:spacing w:val="-4"/>
                <w:lang w:val="en-GB"/>
              </w:rPr>
              <w:t>.</w:t>
            </w:r>
            <w:r w:rsidR="00B2419B" w:rsidRPr="00E85720">
              <w:rPr>
                <w:color w:val="000000" w:themeColor="text1"/>
                <w:spacing w:val="-4"/>
                <w:lang w:val="en-GB"/>
              </w:rPr>
              <w:t>7</w:t>
            </w:r>
            <w:r w:rsidR="007B0920" w:rsidRPr="00E85720">
              <w:rPr>
                <w:color w:val="000000" w:themeColor="text1"/>
                <w:spacing w:val="-4"/>
                <w:lang w:val="en-GB"/>
              </w:rPr>
              <w:t xml:space="preserve">%), </w:t>
            </w:r>
            <w:r w:rsidR="00EB599D">
              <w:rPr>
                <w:color w:val="000000" w:themeColor="text1"/>
                <w:spacing w:val="-4"/>
                <w:lang w:val="en-GB"/>
              </w:rPr>
              <w:t xml:space="preserve">since they absorbed the prices of materials. Output was mildly falling (similarly to the previous two years) in metallurgy and foundry industry. </w:t>
            </w:r>
            <w:r w:rsidR="0069340D">
              <w:rPr>
                <w:color w:val="000000" w:themeColor="text1"/>
                <w:spacing w:val="-4"/>
                <w:lang w:val="en-GB"/>
              </w:rPr>
              <w:t>Not even the Q4 2017 brought some more favourable results despite the growth of orders as well as import of basic metals. Output in the manufacture of leather again mildly</w:t>
            </w:r>
            <w:r w:rsidR="00F951D6">
              <w:rPr>
                <w:color w:val="000000" w:themeColor="text1"/>
                <w:spacing w:val="-4"/>
                <w:lang w:val="en-GB"/>
              </w:rPr>
              <w:t xml:space="preserve"> </w:t>
            </w:r>
            <w:r w:rsidR="0069340D">
              <w:rPr>
                <w:color w:val="000000" w:themeColor="text1"/>
                <w:spacing w:val="-4"/>
                <w:lang w:val="en-GB"/>
              </w:rPr>
              <w:t xml:space="preserve">dropped last year after the short revival, it was by nearly 30% weaker compared to the expansion year of </w:t>
            </w:r>
            <w:r w:rsidR="00F951D6">
              <w:rPr>
                <w:color w:val="000000" w:themeColor="text1"/>
                <w:spacing w:val="-4"/>
                <w:lang w:val="en-GB"/>
              </w:rPr>
              <w:t>2007</w:t>
            </w:r>
            <w:r w:rsidR="007B0920" w:rsidRPr="00E85720">
              <w:rPr>
                <w:rStyle w:val="Znakapoznpodarou"/>
                <w:color w:val="000000" w:themeColor="text1"/>
                <w:spacing w:val="-4"/>
                <w:lang w:val="en-GB"/>
              </w:rPr>
              <w:footnoteReference w:id="21"/>
            </w:r>
            <w:r w:rsidR="007B0920" w:rsidRPr="00E85720">
              <w:rPr>
                <w:color w:val="000000" w:themeColor="text1"/>
                <w:spacing w:val="-4"/>
                <w:lang w:val="en-GB"/>
              </w:rPr>
              <w:t xml:space="preserve">. </w:t>
            </w:r>
            <w:r w:rsidR="00730BBC">
              <w:rPr>
                <w:color w:val="000000" w:themeColor="text1"/>
                <w:spacing w:val="-4"/>
                <w:lang w:val="en-GB"/>
              </w:rPr>
              <w:t xml:space="preserve">On the contrary, the small but growing in the </w:t>
            </w:r>
            <w:r w:rsidR="00654E14">
              <w:rPr>
                <w:color w:val="000000" w:themeColor="text1"/>
                <w:spacing w:val="-4"/>
                <w:lang w:val="en-GB"/>
              </w:rPr>
              <w:t>long-term</w:t>
            </w:r>
            <w:r w:rsidR="00730BBC">
              <w:rPr>
                <w:color w:val="000000" w:themeColor="text1"/>
                <w:spacing w:val="-4"/>
                <w:lang w:val="en-GB"/>
              </w:rPr>
              <w:t xml:space="preserve"> activity – manufacture of other (mostly rail) transportation </w:t>
            </w:r>
            <w:r w:rsidR="00745650">
              <w:rPr>
                <w:color w:val="000000" w:themeColor="text1"/>
                <w:spacing w:val="-4"/>
                <w:lang w:val="en-GB"/>
              </w:rPr>
              <w:t>equipment</w:t>
            </w:r>
            <w:r w:rsidR="00730BBC">
              <w:rPr>
                <w:color w:val="000000" w:themeColor="text1"/>
                <w:spacing w:val="-4"/>
                <w:lang w:val="en-GB"/>
              </w:rPr>
              <w:t xml:space="preserve"> had the last year fall </w:t>
            </w:r>
            <w:r w:rsidR="007B0920" w:rsidRPr="00E85720">
              <w:rPr>
                <w:color w:val="000000" w:themeColor="text1"/>
                <w:spacing w:val="-4"/>
                <w:lang w:val="en-GB"/>
              </w:rPr>
              <w:t>(</w:t>
            </w:r>
            <w:r w:rsidR="00730BBC">
              <w:rPr>
                <w:color w:val="000000" w:themeColor="text1"/>
                <w:spacing w:val="-4"/>
                <w:lang w:val="en-GB"/>
              </w:rPr>
              <w:t>by</w:t>
            </w:r>
            <w:r w:rsidR="007B0920" w:rsidRPr="00E85720">
              <w:rPr>
                <w:color w:val="000000" w:themeColor="text1"/>
                <w:spacing w:val="-4"/>
                <w:lang w:val="en-GB"/>
              </w:rPr>
              <w:t xml:space="preserve"> </w:t>
            </w:r>
            <w:r w:rsidR="006305C4" w:rsidRPr="00E85720">
              <w:rPr>
                <w:color w:val="000000" w:themeColor="text1"/>
                <w:spacing w:val="-4"/>
                <w:lang w:val="en-GB"/>
              </w:rPr>
              <w:t>9</w:t>
            </w:r>
            <w:r w:rsidR="00730BBC">
              <w:rPr>
                <w:color w:val="000000" w:themeColor="text1"/>
                <w:spacing w:val="-4"/>
                <w:lang w:val="en-GB"/>
              </w:rPr>
              <w:t>.</w:t>
            </w:r>
            <w:r w:rsidR="00034D3F" w:rsidRPr="00E85720">
              <w:rPr>
                <w:color w:val="000000" w:themeColor="text1"/>
                <w:spacing w:val="-4"/>
                <w:lang w:val="en-GB"/>
              </w:rPr>
              <w:t>1</w:t>
            </w:r>
            <w:r w:rsidR="007B0920" w:rsidRPr="00E85720">
              <w:rPr>
                <w:color w:val="000000" w:themeColor="text1"/>
                <w:spacing w:val="-4"/>
                <w:lang w:val="en-GB"/>
              </w:rPr>
              <w:t xml:space="preserve">%, </w:t>
            </w:r>
            <w:r w:rsidR="00730BBC">
              <w:rPr>
                <w:color w:val="000000" w:themeColor="text1"/>
                <w:spacing w:val="-4"/>
                <w:lang w:val="en-GB"/>
              </w:rPr>
              <w:t>the deepest from all sections of industry</w:t>
            </w:r>
            <w:r w:rsidR="007B0920" w:rsidRPr="00E85720">
              <w:rPr>
                <w:color w:val="000000" w:themeColor="text1"/>
                <w:spacing w:val="-4"/>
                <w:lang w:val="en-GB"/>
              </w:rPr>
              <w:t xml:space="preserve">) </w:t>
            </w:r>
            <w:r w:rsidR="00730BBC">
              <w:rPr>
                <w:color w:val="000000" w:themeColor="text1"/>
                <w:spacing w:val="-4"/>
                <w:lang w:val="en-GB"/>
              </w:rPr>
              <w:t>more as a one-off deviation due to the volatile nature of orders</w:t>
            </w:r>
            <w:r w:rsidR="007B0920" w:rsidRPr="00E85720">
              <w:rPr>
                <w:color w:val="000000" w:themeColor="text1"/>
                <w:spacing w:val="-5"/>
                <w:lang w:val="en-GB"/>
              </w:rPr>
              <w:t xml:space="preserve">, </w:t>
            </w:r>
            <w:r w:rsidR="00730BBC">
              <w:rPr>
                <w:color w:val="000000" w:themeColor="text1"/>
                <w:spacing w:val="-5"/>
                <w:lang w:val="en-GB"/>
              </w:rPr>
              <w:t xml:space="preserve">which also the favourable development of employment confirmed. </w:t>
            </w:r>
          </w:p>
          <w:p w:rsidR="007B0920" w:rsidRPr="00E85720" w:rsidRDefault="007B0920" w:rsidP="00CF0826">
            <w:pPr>
              <w:pStyle w:val="Textpoznpodarou"/>
              <w:jc w:val="both"/>
              <w:rPr>
                <w:color w:val="000000" w:themeColor="text1"/>
                <w:spacing w:val="-4"/>
                <w:sz w:val="15"/>
                <w:lang w:val="en-GB"/>
              </w:rPr>
            </w:pPr>
          </w:p>
        </w:tc>
      </w:tr>
      <w:tr w:rsidR="007B0920" w:rsidRPr="00DE32DB" w:rsidTr="00CF0826">
        <w:trPr>
          <w:trHeight w:val="145"/>
        </w:trPr>
        <w:tc>
          <w:tcPr>
            <w:tcW w:w="1016" w:type="pct"/>
          </w:tcPr>
          <w:p w:rsidR="007B0920" w:rsidRPr="00E85720" w:rsidRDefault="00AF4A95" w:rsidP="00CF0826">
            <w:pPr>
              <w:spacing w:line="240" w:lineRule="auto"/>
              <w:rPr>
                <w:spacing w:val="-2"/>
                <w:sz w:val="16"/>
                <w:szCs w:val="16"/>
                <w:lang w:val="en-GB"/>
              </w:rPr>
            </w:pPr>
            <w:r>
              <w:rPr>
                <w:spacing w:val="-2"/>
                <w:sz w:val="16"/>
                <w:szCs w:val="16"/>
                <w:lang w:val="en-GB"/>
              </w:rPr>
              <w:t xml:space="preserve">Growth of the sales of industrial businesses from direct export mildly lagged behind the pace of domestic sales. Rate of growth of new orders did not ease up significantly during </w:t>
            </w:r>
            <w:r w:rsidR="007B0920" w:rsidRPr="00E85720">
              <w:rPr>
                <w:spacing w:val="-2"/>
                <w:sz w:val="16"/>
                <w:szCs w:val="16"/>
                <w:lang w:val="en-GB"/>
              </w:rPr>
              <w:t>2017</w:t>
            </w:r>
            <w:r>
              <w:rPr>
                <w:spacing w:val="-2"/>
                <w:sz w:val="16"/>
                <w:szCs w:val="16"/>
                <w:lang w:val="en-GB"/>
              </w:rPr>
              <w:t xml:space="preserve">, entrepreneur confidence also remained in the </w:t>
            </w:r>
            <w:r w:rsidRPr="00AF4A95">
              <w:rPr>
                <w:spacing w:val="-2"/>
                <w:sz w:val="16"/>
                <w:szCs w:val="16"/>
                <w:lang w:val="en-GB"/>
              </w:rPr>
              <w:t>positive</w:t>
            </w:r>
            <w:r w:rsidR="001D1383">
              <w:rPr>
                <w:spacing w:val="-2"/>
                <w:sz w:val="16"/>
                <w:szCs w:val="16"/>
                <w:lang w:val="en-GB"/>
              </w:rPr>
              <w:t xml:space="preserve"> band. </w:t>
            </w:r>
            <w:r w:rsidR="007B0920" w:rsidRPr="00E85720">
              <w:rPr>
                <w:spacing w:val="-2"/>
                <w:sz w:val="16"/>
                <w:szCs w:val="16"/>
                <w:lang w:val="en-GB"/>
              </w:rPr>
              <w:t xml:space="preserve"> </w:t>
            </w:r>
          </w:p>
          <w:p w:rsidR="007B0920" w:rsidRPr="00E85720" w:rsidRDefault="007B0920" w:rsidP="00CF0826">
            <w:pPr>
              <w:spacing w:line="240" w:lineRule="auto"/>
              <w:rPr>
                <w:spacing w:val="-2"/>
                <w:sz w:val="16"/>
                <w:szCs w:val="16"/>
                <w:lang w:val="en-GB"/>
              </w:rPr>
            </w:pPr>
          </w:p>
          <w:p w:rsidR="007B0920" w:rsidRPr="00E85720" w:rsidRDefault="007B0920" w:rsidP="00CF0826">
            <w:pPr>
              <w:spacing w:line="240" w:lineRule="auto"/>
              <w:rPr>
                <w:spacing w:val="-2"/>
                <w:sz w:val="16"/>
                <w:szCs w:val="16"/>
                <w:lang w:val="en-GB"/>
              </w:rPr>
            </w:pPr>
          </w:p>
          <w:p w:rsidR="007B0920" w:rsidRPr="00E85720" w:rsidRDefault="007B0920" w:rsidP="00CF0826">
            <w:pPr>
              <w:spacing w:line="240" w:lineRule="auto"/>
              <w:rPr>
                <w:spacing w:val="-2"/>
                <w:sz w:val="16"/>
                <w:szCs w:val="16"/>
                <w:lang w:val="en-GB"/>
              </w:rPr>
            </w:pPr>
          </w:p>
          <w:p w:rsidR="004C08F1" w:rsidRDefault="00200D2A" w:rsidP="00CF0826">
            <w:pPr>
              <w:spacing w:line="240" w:lineRule="auto"/>
              <w:rPr>
                <w:spacing w:val="-2"/>
                <w:sz w:val="16"/>
                <w:szCs w:val="16"/>
                <w:lang w:val="en-GB"/>
              </w:rPr>
            </w:pPr>
            <w:r>
              <w:rPr>
                <w:spacing w:val="-2"/>
                <w:sz w:val="16"/>
                <w:szCs w:val="16"/>
                <w:lang w:val="en-GB"/>
              </w:rPr>
              <w:t xml:space="preserve">Lack of employees as </w:t>
            </w:r>
          </w:p>
          <w:p w:rsidR="007B0920" w:rsidRPr="00E85720" w:rsidRDefault="00200D2A" w:rsidP="00CF0826">
            <w:pPr>
              <w:spacing w:line="240" w:lineRule="auto"/>
              <w:rPr>
                <w:spacing w:val="-2"/>
                <w:sz w:val="16"/>
                <w:szCs w:val="16"/>
                <w:lang w:val="en-GB"/>
              </w:rPr>
            </w:pPr>
            <w:proofErr w:type="gramStart"/>
            <w:r>
              <w:rPr>
                <w:spacing w:val="-2"/>
                <w:sz w:val="16"/>
                <w:szCs w:val="16"/>
                <w:lang w:val="en-GB"/>
              </w:rPr>
              <w:t>a</w:t>
            </w:r>
            <w:proofErr w:type="gramEnd"/>
            <w:r>
              <w:rPr>
                <w:spacing w:val="-2"/>
                <w:sz w:val="16"/>
                <w:szCs w:val="16"/>
                <w:lang w:val="en-GB"/>
              </w:rPr>
              <w:t xml:space="preserve"> barrier to growth increased in industry last year, role of the inadequate demand slightly weakened. </w:t>
            </w:r>
          </w:p>
        </w:tc>
        <w:tc>
          <w:tcPr>
            <w:tcW w:w="144" w:type="pct"/>
          </w:tcPr>
          <w:p w:rsidR="007B0920" w:rsidRPr="00E85720" w:rsidRDefault="007B0920" w:rsidP="00CF0826">
            <w:pPr>
              <w:pStyle w:val="Textpoznpodarou"/>
              <w:jc w:val="both"/>
              <w:rPr>
                <w:lang w:val="en-GB"/>
              </w:rPr>
            </w:pPr>
          </w:p>
        </w:tc>
        <w:tc>
          <w:tcPr>
            <w:tcW w:w="3840" w:type="pct"/>
          </w:tcPr>
          <w:p w:rsidR="007B0920" w:rsidRPr="00E85720" w:rsidRDefault="00861C98" w:rsidP="00861C98">
            <w:pPr>
              <w:pStyle w:val="Textpoznpodarou"/>
              <w:jc w:val="both"/>
              <w:rPr>
                <w:color w:val="000000" w:themeColor="text1"/>
                <w:spacing w:val="-4"/>
                <w:lang w:val="en-GB"/>
              </w:rPr>
            </w:pPr>
            <w:r w:rsidRPr="00E85720">
              <w:rPr>
                <w:color w:val="000000" w:themeColor="text1"/>
                <w:spacing w:val="-4"/>
                <w:lang w:val="en-GB"/>
              </w:rPr>
              <w:t xml:space="preserve">The nominal sales of businesses from the industrial activity rose by </w:t>
            </w:r>
            <w:r w:rsidR="00014690" w:rsidRPr="00E85720">
              <w:rPr>
                <w:color w:val="000000" w:themeColor="text1"/>
                <w:spacing w:val="-4"/>
                <w:lang w:val="en-GB"/>
              </w:rPr>
              <w:t>7</w:t>
            </w:r>
            <w:r w:rsidRPr="00E85720">
              <w:rPr>
                <w:color w:val="000000" w:themeColor="text1"/>
                <w:spacing w:val="-4"/>
                <w:lang w:val="en-GB"/>
              </w:rPr>
              <w:t>.</w:t>
            </w:r>
            <w:r w:rsidR="00014690" w:rsidRPr="00E85720">
              <w:rPr>
                <w:color w:val="000000" w:themeColor="text1"/>
                <w:spacing w:val="-4"/>
                <w:lang w:val="en-GB"/>
              </w:rPr>
              <w:t>2</w:t>
            </w:r>
            <w:r w:rsidR="007B0920" w:rsidRPr="00E85720">
              <w:rPr>
                <w:color w:val="000000" w:themeColor="text1"/>
                <w:spacing w:val="-4"/>
                <w:lang w:val="en-GB"/>
              </w:rPr>
              <w:t>%</w:t>
            </w:r>
            <w:r w:rsidRPr="00E85720">
              <w:rPr>
                <w:color w:val="000000" w:themeColor="text1"/>
                <w:spacing w:val="-4"/>
                <w:lang w:val="en-GB"/>
              </w:rPr>
              <w:t xml:space="preserve"> during the year 2017</w:t>
            </w:r>
            <w:r w:rsidR="007B0920" w:rsidRPr="00E85720">
              <w:rPr>
                <w:color w:val="000000" w:themeColor="text1"/>
                <w:spacing w:val="-4"/>
                <w:lang w:val="en-GB"/>
              </w:rPr>
              <w:t xml:space="preserve">. </w:t>
            </w:r>
            <w:r w:rsidR="009869C4">
              <w:rPr>
                <w:color w:val="000000" w:themeColor="text1"/>
                <w:spacing w:val="-4"/>
                <w:lang w:val="en-GB"/>
              </w:rPr>
              <w:t xml:space="preserve">They increased in all more significant industrial branches. Growth of sales from direct export </w:t>
            </w:r>
            <w:r w:rsidR="00014690" w:rsidRPr="00E85720">
              <w:rPr>
                <w:color w:val="000000" w:themeColor="text1"/>
                <w:spacing w:val="-4"/>
                <w:lang w:val="en-GB"/>
              </w:rPr>
              <w:t>(+6</w:t>
            </w:r>
            <w:r w:rsidRPr="00E85720">
              <w:rPr>
                <w:color w:val="000000" w:themeColor="text1"/>
                <w:spacing w:val="-4"/>
                <w:lang w:val="en-GB"/>
              </w:rPr>
              <w:t>.</w:t>
            </w:r>
            <w:r w:rsidR="00014690" w:rsidRPr="00E85720">
              <w:rPr>
                <w:color w:val="000000" w:themeColor="text1"/>
                <w:spacing w:val="-4"/>
                <w:lang w:val="en-GB"/>
              </w:rPr>
              <w:t xml:space="preserve">5%) </w:t>
            </w:r>
            <w:r w:rsidR="009869C4">
              <w:rPr>
                <w:color w:val="000000" w:themeColor="text1"/>
                <w:spacing w:val="-4"/>
                <w:lang w:val="en-GB"/>
              </w:rPr>
              <w:t xml:space="preserve">mildly lagged behind the pace of the domestic sales </w:t>
            </w:r>
            <w:r w:rsidR="00014690" w:rsidRPr="00E85720">
              <w:rPr>
                <w:color w:val="000000" w:themeColor="text1"/>
                <w:spacing w:val="-4"/>
                <w:lang w:val="en-GB"/>
              </w:rPr>
              <w:t>(+8</w:t>
            </w:r>
            <w:r w:rsidR="009869C4">
              <w:rPr>
                <w:color w:val="000000" w:themeColor="text1"/>
                <w:spacing w:val="-4"/>
                <w:lang w:val="en-GB"/>
              </w:rPr>
              <w:t>.</w:t>
            </w:r>
            <w:r w:rsidR="00014690" w:rsidRPr="00E85720">
              <w:rPr>
                <w:color w:val="000000" w:themeColor="text1"/>
                <w:spacing w:val="-4"/>
                <w:lang w:val="en-GB"/>
              </w:rPr>
              <w:t>1%)</w:t>
            </w:r>
            <w:r w:rsidR="007B0920" w:rsidRPr="00E85720">
              <w:rPr>
                <w:color w:val="000000" w:themeColor="text1"/>
                <w:spacing w:val="-4"/>
                <w:lang w:val="en-GB"/>
              </w:rPr>
              <w:t xml:space="preserve">, </w:t>
            </w:r>
            <w:r w:rsidR="009869C4">
              <w:rPr>
                <w:color w:val="000000" w:themeColor="text1"/>
                <w:spacing w:val="-4"/>
                <w:lang w:val="en-GB"/>
              </w:rPr>
              <w:t xml:space="preserve">which last manifested in year </w:t>
            </w:r>
            <w:r w:rsidR="007B0920" w:rsidRPr="00E85720">
              <w:rPr>
                <w:color w:val="000000" w:themeColor="text1"/>
                <w:spacing w:val="-4"/>
                <w:lang w:val="en-GB"/>
              </w:rPr>
              <w:t xml:space="preserve">2008. </w:t>
            </w:r>
            <w:r w:rsidR="009869C4">
              <w:rPr>
                <w:color w:val="000000" w:themeColor="text1"/>
                <w:spacing w:val="-4"/>
                <w:lang w:val="en-GB"/>
              </w:rPr>
              <w:t>Recovery in the chemical industry, but also good results of machinery and subcontractors for the motor vehicle manufacturing stood behind the growth of the domestic sales last year</w:t>
            </w:r>
            <w:r w:rsidR="007B0920" w:rsidRPr="00E85720">
              <w:rPr>
                <w:color w:val="000000" w:themeColor="text1"/>
                <w:spacing w:val="-4"/>
                <w:lang w:val="en-GB"/>
              </w:rPr>
              <w:t xml:space="preserve">. </w:t>
            </w:r>
            <w:r w:rsidR="00585EFE">
              <w:rPr>
                <w:color w:val="000000" w:themeColor="text1"/>
                <w:spacing w:val="-4"/>
                <w:lang w:val="en-GB"/>
              </w:rPr>
              <w:t>Rate of growth of new industrial orders did not slacken much during the year. Their value was by 7.1% higher year-on-year in Q</w:t>
            </w:r>
            <w:r w:rsidR="001E3731" w:rsidRPr="00E85720">
              <w:rPr>
                <w:color w:val="000000" w:themeColor="text1"/>
                <w:spacing w:val="-4"/>
                <w:lang w:val="en-GB"/>
              </w:rPr>
              <w:t>4. </w:t>
            </w:r>
            <w:r w:rsidR="00585EFE">
              <w:rPr>
                <w:color w:val="000000" w:themeColor="text1"/>
                <w:spacing w:val="-4"/>
                <w:lang w:val="en-GB"/>
              </w:rPr>
              <w:t xml:space="preserve">Stock of work expanded in all twelve monitored branches. Only manufacturers of motor vehicles signalled only a mild growth at the end of the year (+0.3%), partially due to the higher comparative basis. </w:t>
            </w:r>
            <w:r w:rsidR="007B0920" w:rsidRPr="00E85720">
              <w:rPr>
                <w:color w:val="000000" w:themeColor="text1"/>
                <w:spacing w:val="-4"/>
                <w:lang w:val="en-GB"/>
              </w:rPr>
              <w:t>Se</w:t>
            </w:r>
            <w:r w:rsidR="0064574A">
              <w:rPr>
                <w:color w:val="000000" w:themeColor="text1"/>
                <w:spacing w:val="-4"/>
                <w:lang w:val="en-GB"/>
              </w:rPr>
              <w:t xml:space="preserve">asonally adjusted balance of the confidence indicator </w:t>
            </w:r>
            <w:r w:rsidR="007F646D">
              <w:rPr>
                <w:color w:val="000000" w:themeColor="text1"/>
                <w:spacing w:val="-4"/>
                <w:lang w:val="en-GB"/>
              </w:rPr>
              <w:t xml:space="preserve">in </w:t>
            </w:r>
            <w:r w:rsidR="0064574A">
              <w:rPr>
                <w:color w:val="000000" w:themeColor="text1"/>
                <w:spacing w:val="-4"/>
                <w:lang w:val="en-GB"/>
              </w:rPr>
              <w:t>industry mildly fell in H</w:t>
            </w:r>
            <w:r w:rsidR="007B0920" w:rsidRPr="00E85720">
              <w:rPr>
                <w:color w:val="000000" w:themeColor="text1"/>
                <w:spacing w:val="-4"/>
                <w:lang w:val="en-GB"/>
              </w:rPr>
              <w:t xml:space="preserve">1, </w:t>
            </w:r>
            <w:r w:rsidR="00A375DE">
              <w:rPr>
                <w:color w:val="000000" w:themeColor="text1"/>
                <w:spacing w:val="-4"/>
                <w:lang w:val="en-GB"/>
              </w:rPr>
              <w:t xml:space="preserve">this development was compensated in the next part of the year. The value of the balance was </w:t>
            </w:r>
            <w:r w:rsidR="007B0920" w:rsidRPr="00E85720">
              <w:rPr>
                <w:color w:val="000000" w:themeColor="text1"/>
                <w:spacing w:val="-4"/>
                <w:lang w:val="en-GB"/>
              </w:rPr>
              <w:t>(+6</w:t>
            </w:r>
            <w:r w:rsidR="00283D6A" w:rsidRPr="00E85720">
              <w:rPr>
                <w:color w:val="000000" w:themeColor="text1"/>
                <w:spacing w:val="-4"/>
                <w:lang w:val="en-GB"/>
              </w:rPr>
              <w:t> </w:t>
            </w:r>
            <w:r w:rsidR="0030607B">
              <w:rPr>
                <w:color w:val="000000" w:themeColor="text1"/>
                <w:spacing w:val="-4"/>
                <w:lang w:val="en-GB"/>
              </w:rPr>
              <w:t>p.p.</w:t>
            </w:r>
            <w:r w:rsidR="007B0920" w:rsidRPr="00E85720">
              <w:rPr>
                <w:color w:val="000000" w:themeColor="text1"/>
                <w:spacing w:val="-4"/>
                <w:lang w:val="en-GB"/>
              </w:rPr>
              <w:t xml:space="preserve">) </w:t>
            </w:r>
            <w:r w:rsidR="00A375DE">
              <w:rPr>
                <w:color w:val="000000" w:themeColor="text1"/>
                <w:spacing w:val="-4"/>
                <w:lang w:val="en-GB"/>
              </w:rPr>
              <w:t xml:space="preserve">in December 2017 similar to the situation twelve months ago. </w:t>
            </w:r>
            <w:r w:rsidR="00A95545">
              <w:rPr>
                <w:color w:val="000000" w:themeColor="text1"/>
                <w:spacing w:val="-4"/>
                <w:lang w:val="en-GB"/>
              </w:rPr>
              <w:t xml:space="preserve">In December, 24% of industrial businesses expected the growth of the production activity in the next three months </w:t>
            </w:r>
            <w:r w:rsidR="007B0920" w:rsidRPr="00E85720">
              <w:rPr>
                <w:color w:val="000000" w:themeColor="text1"/>
                <w:spacing w:val="-5"/>
                <w:lang w:val="en-GB"/>
              </w:rPr>
              <w:t>(20%</w:t>
            </w:r>
            <w:r w:rsidR="00A95545">
              <w:rPr>
                <w:color w:val="000000" w:themeColor="text1"/>
                <w:spacing w:val="-5"/>
                <w:lang w:val="en-GB"/>
              </w:rPr>
              <w:t xml:space="preserve"> the year before</w:t>
            </w:r>
            <w:r w:rsidR="007B0920" w:rsidRPr="00E85720">
              <w:rPr>
                <w:color w:val="000000" w:themeColor="text1"/>
                <w:spacing w:val="-5"/>
                <w:lang w:val="en-GB"/>
              </w:rPr>
              <w:t>).</w:t>
            </w:r>
            <w:r w:rsidR="007B0920" w:rsidRPr="00E85720">
              <w:rPr>
                <w:color w:val="000000" w:themeColor="text1"/>
                <w:spacing w:val="-4"/>
                <w:lang w:val="en-GB"/>
              </w:rPr>
              <w:t xml:space="preserve"> </w:t>
            </w:r>
            <w:r w:rsidR="00A95545">
              <w:rPr>
                <w:color w:val="000000" w:themeColor="text1"/>
                <w:spacing w:val="-4"/>
                <w:lang w:val="en-GB"/>
              </w:rPr>
              <w:t>On</w:t>
            </w:r>
            <w:r w:rsidR="000B27B2">
              <w:rPr>
                <w:color w:val="000000" w:themeColor="text1"/>
                <w:spacing w:val="-4"/>
                <w:lang w:val="en-GB"/>
              </w:rPr>
              <w:t>e</w:t>
            </w:r>
            <w:r w:rsidR="00A95545">
              <w:rPr>
                <w:color w:val="000000" w:themeColor="text1"/>
                <w:spacing w:val="-4"/>
                <w:lang w:val="en-GB"/>
              </w:rPr>
              <w:t xml:space="preserve"> seventh of businesses also considered the increase of employment </w:t>
            </w:r>
            <w:r w:rsidR="007B0920" w:rsidRPr="00E85720">
              <w:rPr>
                <w:color w:val="000000" w:themeColor="text1"/>
                <w:spacing w:val="-4"/>
                <w:lang w:val="en-GB"/>
              </w:rPr>
              <w:t>(</w:t>
            </w:r>
            <w:r w:rsidR="00A95545">
              <w:rPr>
                <w:color w:val="000000" w:themeColor="text1"/>
                <w:spacing w:val="-4"/>
                <w:lang w:val="en-GB"/>
              </w:rPr>
              <w:t>one fifth year ago</w:t>
            </w:r>
            <w:r w:rsidR="007B0920" w:rsidRPr="00E85720">
              <w:rPr>
                <w:color w:val="000000" w:themeColor="text1"/>
                <w:spacing w:val="-4"/>
                <w:lang w:val="en-GB"/>
              </w:rPr>
              <w:t xml:space="preserve">). </w:t>
            </w:r>
            <w:r w:rsidR="00F36BB9">
              <w:rPr>
                <w:color w:val="000000" w:themeColor="text1"/>
                <w:spacing w:val="-4"/>
                <w:lang w:val="en-GB"/>
              </w:rPr>
              <w:t xml:space="preserve">Outlooks markedly improved in energy </w:t>
            </w:r>
            <w:r w:rsidR="00F36BB9">
              <w:rPr>
                <w:color w:val="000000" w:themeColor="text1"/>
                <w:spacing w:val="-4"/>
                <w:lang w:val="en-GB"/>
              </w:rPr>
              <w:lastRenderedPageBreak/>
              <w:t xml:space="preserve">industry, the mining industry stabilised. </w:t>
            </w:r>
            <w:r w:rsidR="00FB5A54">
              <w:rPr>
                <w:color w:val="000000" w:themeColor="text1"/>
                <w:spacing w:val="-4"/>
                <w:lang w:val="en-GB"/>
              </w:rPr>
              <w:t>Record 43% of industrial businesses stated</w:t>
            </w:r>
            <w:r w:rsidR="000B27B2">
              <w:rPr>
                <w:color w:val="000000" w:themeColor="text1"/>
                <w:spacing w:val="-4"/>
                <w:lang w:val="en-GB"/>
              </w:rPr>
              <w:t xml:space="preserve"> </w:t>
            </w:r>
            <w:r w:rsidR="00FB5A54">
              <w:rPr>
                <w:color w:val="000000" w:themeColor="text1"/>
                <w:spacing w:val="-4"/>
                <w:lang w:val="en-GB"/>
              </w:rPr>
              <w:t xml:space="preserve">the lack of labour </w:t>
            </w:r>
            <w:r w:rsidR="002047DA">
              <w:rPr>
                <w:color w:val="000000" w:themeColor="text1"/>
                <w:spacing w:val="-4"/>
                <w:lang w:val="en-GB"/>
              </w:rPr>
              <w:t>force</w:t>
            </w:r>
            <w:r w:rsidR="00FB5A54">
              <w:rPr>
                <w:color w:val="000000" w:themeColor="text1"/>
                <w:spacing w:val="-4"/>
                <w:lang w:val="en-GB"/>
              </w:rPr>
              <w:t xml:space="preserve"> a</w:t>
            </w:r>
            <w:r w:rsidR="002047DA">
              <w:rPr>
                <w:color w:val="000000" w:themeColor="text1"/>
                <w:spacing w:val="-4"/>
                <w:lang w:val="en-GB"/>
              </w:rPr>
              <w:t>s a</w:t>
            </w:r>
            <w:r w:rsidR="00FB5A54">
              <w:rPr>
                <w:color w:val="000000" w:themeColor="text1"/>
                <w:spacing w:val="-4"/>
                <w:lang w:val="en-GB"/>
              </w:rPr>
              <w:t xml:space="preserve"> barrier to growth at the beginning of </w:t>
            </w:r>
            <w:r w:rsidR="007B0920" w:rsidRPr="00E85720">
              <w:rPr>
                <w:color w:val="000000" w:themeColor="text1"/>
                <w:spacing w:val="-4"/>
                <w:lang w:val="en-GB"/>
              </w:rPr>
              <w:t>2018</w:t>
            </w:r>
            <w:r w:rsidR="002047DA">
              <w:rPr>
                <w:color w:val="000000" w:themeColor="text1"/>
                <w:spacing w:val="-4"/>
                <w:lang w:val="en-GB"/>
              </w:rPr>
              <w:t xml:space="preserve">, 35% then the inadequate demand </w:t>
            </w:r>
            <w:r w:rsidR="007B0920" w:rsidRPr="00E85720">
              <w:rPr>
                <w:color w:val="000000" w:themeColor="text1"/>
                <w:spacing w:val="-4"/>
                <w:lang w:val="en-GB"/>
              </w:rPr>
              <w:t>(42%</w:t>
            </w:r>
            <w:r w:rsidR="002047DA">
              <w:rPr>
                <w:color w:val="000000" w:themeColor="text1"/>
                <w:spacing w:val="-4"/>
                <w:lang w:val="en-GB"/>
              </w:rPr>
              <w:t xml:space="preserve"> the year before</w:t>
            </w:r>
            <w:r w:rsidR="007B0920" w:rsidRPr="00E85720">
              <w:rPr>
                <w:color w:val="000000" w:themeColor="text1"/>
                <w:spacing w:val="-4"/>
                <w:lang w:val="en-GB"/>
              </w:rPr>
              <w:t>).</w:t>
            </w:r>
          </w:p>
        </w:tc>
      </w:tr>
    </w:tbl>
    <w:p w:rsidR="007B0920"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540CB3" w:rsidRDefault="00861C98" w:rsidP="00861C98">
            <w:pPr>
              <w:pStyle w:val="Textpoznpodarou"/>
              <w:jc w:val="both"/>
              <w:rPr>
                <w:spacing w:val="-4"/>
                <w:highlight w:val="yellow"/>
              </w:rPr>
            </w:pPr>
            <w:r>
              <w:rPr>
                <w:color w:val="000000"/>
                <w:spacing w:val="-4"/>
              </w:rPr>
              <w:t xml:space="preserve">Chart </w:t>
            </w:r>
            <w:r w:rsidR="007B0920" w:rsidRPr="00540CB3">
              <w:rPr>
                <w:color w:val="000000"/>
                <w:spacing w:val="-4"/>
              </w:rPr>
              <w:t>6</w:t>
            </w:r>
          </w:p>
        </w:tc>
        <w:tc>
          <w:tcPr>
            <w:tcW w:w="3333" w:type="pct"/>
          </w:tcPr>
          <w:p w:rsidR="007B0920" w:rsidRPr="00B0178A" w:rsidRDefault="007B0920" w:rsidP="008C4DBA">
            <w:pPr>
              <w:pStyle w:val="Textpoznpodarou"/>
              <w:rPr>
                <w:bCs/>
                <w:lang w:val="en-GB"/>
              </w:rPr>
            </w:pPr>
            <w:r w:rsidRPr="00B0178A">
              <w:rPr>
                <w:b/>
                <w:spacing w:val="-2"/>
                <w:lang w:val="en-GB"/>
              </w:rPr>
              <w:t>N</w:t>
            </w:r>
            <w:r w:rsidR="008C4DBA" w:rsidRPr="00B0178A">
              <w:rPr>
                <w:b/>
                <w:spacing w:val="-2"/>
                <w:lang w:val="en-GB"/>
              </w:rPr>
              <w:t xml:space="preserve">ew orders in manufacture of motor vehicles, in industry in total </w:t>
            </w:r>
            <w:r w:rsidR="008C4DBA" w:rsidRPr="00B0178A">
              <w:rPr>
                <w:spacing w:val="-2"/>
                <w:lang w:val="en-GB"/>
              </w:rPr>
              <w:t>(in current prices, year-on-year in %)</w:t>
            </w:r>
            <w:r w:rsidRPr="00B0178A">
              <w:rPr>
                <w:bCs/>
                <w:spacing w:val="-2"/>
                <w:lang w:val="en-GB"/>
              </w:rPr>
              <w:t xml:space="preserve"> </w:t>
            </w:r>
            <w:r w:rsidRPr="00B0178A">
              <w:rPr>
                <w:b/>
                <w:spacing w:val="-2"/>
                <w:lang w:val="en-GB"/>
              </w:rPr>
              <w:t>a</w:t>
            </w:r>
            <w:r w:rsidR="008C4DBA" w:rsidRPr="00B0178A">
              <w:rPr>
                <w:b/>
                <w:spacing w:val="-2"/>
                <w:lang w:val="en-GB"/>
              </w:rPr>
              <w:t>nd</w:t>
            </w:r>
            <w:r w:rsidR="00B0178A" w:rsidRPr="00B0178A">
              <w:rPr>
                <w:b/>
                <w:spacing w:val="-2"/>
                <w:lang w:val="en-GB"/>
              </w:rPr>
              <w:t xml:space="preserve"> balance of confidence indicator in industry</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5440E1" w:rsidRPr="002133D5" w:rsidRDefault="00F96E38" w:rsidP="002133D5">
            <w:pPr>
              <w:pStyle w:val="Textpoznpodarou"/>
              <w:ind w:left="-124"/>
              <w:jc w:val="right"/>
              <w:rPr>
                <w:sz w:val="14"/>
                <w:szCs w:val="14"/>
              </w:rPr>
            </w:pPr>
            <w:r>
              <w:rPr>
                <w:noProof/>
                <w:sz w:val="14"/>
                <w:szCs w:val="14"/>
              </w:rPr>
              <w:drawing>
                <wp:inline distT="0" distB="0" distL="0" distR="0">
                  <wp:extent cx="4731960" cy="3553200"/>
                  <wp:effectExtent l="19050" t="0" r="0" b="0"/>
                  <wp:docPr id="2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B0920" w:rsidRPr="00F2490D">
              <w:rPr>
                <w:sz w:val="14"/>
                <w:szCs w:val="14"/>
              </w:rPr>
              <w:t xml:space="preserve"> </w:t>
            </w:r>
            <w:proofErr w:type="spellStart"/>
            <w:r w:rsidR="00022D8D">
              <w:rPr>
                <w:sz w:val="14"/>
                <w:szCs w:val="14"/>
              </w:rPr>
              <w:t>Source</w:t>
            </w:r>
            <w:proofErr w:type="spellEnd"/>
            <w:r w:rsidR="007B0920" w:rsidRPr="00540CB3">
              <w:rPr>
                <w:sz w:val="14"/>
                <w:szCs w:val="14"/>
              </w:rPr>
              <w:t xml:space="preserve">: </w:t>
            </w:r>
            <w:r w:rsidR="00022D8D">
              <w:rPr>
                <w:sz w:val="14"/>
                <w:szCs w:val="14"/>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5"/>
        <w:gridCol w:w="1118"/>
        <w:gridCol w:w="6381"/>
        <w:gridCol w:w="45"/>
      </w:tblGrid>
      <w:tr w:rsidR="007B0920" w:rsidRPr="00DE32DB" w:rsidTr="00CF0826">
        <w:trPr>
          <w:trHeight w:val="145"/>
        </w:trPr>
        <w:tc>
          <w:tcPr>
            <w:tcW w:w="1016" w:type="pct"/>
          </w:tcPr>
          <w:p w:rsidR="007B0920" w:rsidRPr="00142533" w:rsidRDefault="005A6CD0" w:rsidP="005A6CD0">
            <w:pPr>
              <w:spacing w:line="240" w:lineRule="auto"/>
              <w:rPr>
                <w:color w:val="0D0D0D" w:themeColor="text1" w:themeTint="F2"/>
                <w:spacing w:val="-2"/>
                <w:sz w:val="16"/>
                <w:szCs w:val="16"/>
                <w:lang w:val="en-GB"/>
              </w:rPr>
            </w:pPr>
            <w:r w:rsidRPr="00142533">
              <w:rPr>
                <w:color w:val="0D0D0D" w:themeColor="text1" w:themeTint="F2"/>
                <w:spacing w:val="-2"/>
                <w:sz w:val="16"/>
                <w:szCs w:val="16"/>
                <w:lang w:val="en-GB"/>
              </w:rPr>
              <w:t>Construction output</w:t>
            </w:r>
            <w:r w:rsidR="00162C62" w:rsidRPr="00142533">
              <w:rPr>
                <w:color w:val="0D0D0D" w:themeColor="text1" w:themeTint="F2"/>
                <w:spacing w:val="-2"/>
                <w:sz w:val="16"/>
                <w:szCs w:val="16"/>
                <w:lang w:val="en-GB"/>
              </w:rPr>
              <w:t xml:space="preserve"> mildly increased </w:t>
            </w:r>
            <w:r w:rsidR="00A83914" w:rsidRPr="00142533">
              <w:rPr>
                <w:color w:val="0D0D0D" w:themeColor="text1" w:themeTint="F2"/>
                <w:spacing w:val="-2"/>
                <w:sz w:val="16"/>
                <w:szCs w:val="16"/>
                <w:lang w:val="en-GB"/>
              </w:rPr>
              <w:t>exclusively thanks to the</w:t>
            </w:r>
            <w:r w:rsidR="00142533" w:rsidRPr="00142533">
              <w:rPr>
                <w:color w:val="0D0D0D" w:themeColor="text1" w:themeTint="F2"/>
                <w:spacing w:val="-2"/>
                <w:sz w:val="16"/>
                <w:szCs w:val="16"/>
                <w:lang w:val="en-GB"/>
              </w:rPr>
              <w:t xml:space="preserve"> building construction </w:t>
            </w:r>
            <w:r w:rsidR="00A83914" w:rsidRPr="00142533">
              <w:rPr>
                <w:color w:val="0D0D0D" w:themeColor="text1" w:themeTint="F2"/>
                <w:spacing w:val="-2"/>
                <w:sz w:val="16"/>
                <w:szCs w:val="16"/>
                <w:lang w:val="en-GB"/>
              </w:rPr>
              <w:t>last year</w:t>
            </w:r>
            <w:r w:rsidR="007B0920" w:rsidRPr="00142533">
              <w:rPr>
                <w:color w:val="0D0D0D" w:themeColor="text1" w:themeTint="F2"/>
                <w:spacing w:val="-2"/>
                <w:sz w:val="16"/>
                <w:szCs w:val="16"/>
                <w:lang w:val="en-GB"/>
              </w:rPr>
              <w:t xml:space="preserve">. </w:t>
            </w:r>
            <w:r w:rsidR="00142533" w:rsidRPr="00142533">
              <w:rPr>
                <w:color w:val="0D0D0D" w:themeColor="text1" w:themeTint="F2"/>
                <w:spacing w:val="-2"/>
                <w:sz w:val="16"/>
                <w:szCs w:val="16"/>
                <w:lang w:val="en-GB"/>
              </w:rPr>
              <w:t>Output of the civil engineering construction was limited by the low volume of completed projects s</w:t>
            </w:r>
            <w:r w:rsidR="00646B41">
              <w:rPr>
                <w:color w:val="0D0D0D" w:themeColor="text1" w:themeTint="F2"/>
                <w:spacing w:val="-2"/>
                <w:sz w:val="16"/>
                <w:szCs w:val="16"/>
                <w:lang w:val="en-GB"/>
              </w:rPr>
              <w:t>upported from public investment sources</w:t>
            </w:r>
            <w:r w:rsidR="00142533" w:rsidRPr="00142533">
              <w:rPr>
                <w:color w:val="0D0D0D" w:themeColor="text1" w:themeTint="F2"/>
                <w:spacing w:val="-2"/>
                <w:sz w:val="16"/>
                <w:szCs w:val="16"/>
                <w:lang w:val="en-GB"/>
              </w:rPr>
              <w:t xml:space="preserve"> for the whole last year. </w:t>
            </w:r>
          </w:p>
        </w:tc>
        <w:tc>
          <w:tcPr>
            <w:tcW w:w="144" w:type="pct"/>
          </w:tcPr>
          <w:p w:rsidR="007B0920" w:rsidRPr="00142533" w:rsidRDefault="007B0920" w:rsidP="00CF0826">
            <w:pPr>
              <w:pStyle w:val="Textpoznpodarou"/>
              <w:jc w:val="both"/>
              <w:rPr>
                <w:lang w:val="en-GB"/>
              </w:rPr>
            </w:pPr>
          </w:p>
        </w:tc>
        <w:tc>
          <w:tcPr>
            <w:tcW w:w="3840" w:type="pct"/>
            <w:gridSpan w:val="3"/>
          </w:tcPr>
          <w:p w:rsidR="00B46248" w:rsidRDefault="000F3511" w:rsidP="00CF0826">
            <w:pPr>
              <w:pStyle w:val="Textpoznpodarou"/>
              <w:jc w:val="both"/>
              <w:rPr>
                <w:spacing w:val="-4"/>
                <w:lang w:val="en-GB"/>
              </w:rPr>
            </w:pPr>
            <w:r>
              <w:rPr>
                <w:color w:val="0D0D0D" w:themeColor="text1" w:themeTint="F2"/>
                <w:spacing w:val="-4"/>
                <w:lang w:val="en-GB"/>
              </w:rPr>
              <w:t>Construction output was similarly to year 2016 limited by a low volume of public investment last year. Quarter-on-quarter growth of the construction output</w:t>
            </w:r>
            <w:r w:rsidR="007B0920" w:rsidRPr="00142533">
              <w:rPr>
                <w:rStyle w:val="Znakapoznpodarou"/>
                <w:spacing w:val="-4"/>
                <w:lang w:val="en-GB"/>
              </w:rPr>
              <w:footnoteReference w:id="22"/>
            </w:r>
            <w:r w:rsidR="007B0920" w:rsidRPr="00142533">
              <w:rPr>
                <w:spacing w:val="-4"/>
                <w:lang w:val="en-GB"/>
              </w:rPr>
              <w:t xml:space="preserve"> </w:t>
            </w:r>
            <w:r>
              <w:rPr>
                <w:spacing w:val="-4"/>
                <w:lang w:val="en-GB"/>
              </w:rPr>
              <w:t xml:space="preserve">commenced in the second half of year </w:t>
            </w:r>
            <w:r w:rsidR="007B0920" w:rsidRPr="00142533">
              <w:rPr>
                <w:spacing w:val="-4"/>
                <w:lang w:val="en-GB"/>
              </w:rPr>
              <w:t>2016</w:t>
            </w:r>
            <w:r w:rsidR="00BF71D5" w:rsidRPr="00142533">
              <w:rPr>
                <w:spacing w:val="-4"/>
                <w:lang w:val="en-GB"/>
              </w:rPr>
              <w:t xml:space="preserve"> </w:t>
            </w:r>
            <w:r>
              <w:rPr>
                <w:spacing w:val="-4"/>
                <w:lang w:val="en-GB"/>
              </w:rPr>
              <w:t>was halted in Q</w:t>
            </w:r>
            <w:r w:rsidR="00BF71D5" w:rsidRPr="00142533">
              <w:rPr>
                <w:spacing w:val="-4"/>
                <w:lang w:val="en-GB"/>
              </w:rPr>
              <w:t>1</w:t>
            </w:r>
            <w:r>
              <w:rPr>
                <w:spacing w:val="-4"/>
                <w:lang w:val="en-GB"/>
              </w:rPr>
              <w:t xml:space="preserve"> </w:t>
            </w:r>
            <w:r w:rsidR="00BF71D5" w:rsidRPr="00142533">
              <w:rPr>
                <w:spacing w:val="-4"/>
                <w:lang w:val="en-GB"/>
              </w:rPr>
              <w:t>2017</w:t>
            </w:r>
            <w:r>
              <w:rPr>
                <w:spacing w:val="-4"/>
                <w:lang w:val="en-GB"/>
              </w:rPr>
              <w:t xml:space="preserve"> </w:t>
            </w:r>
            <w:r w:rsidR="00BF71D5" w:rsidRPr="00142533">
              <w:rPr>
                <w:spacing w:val="-4"/>
                <w:lang w:val="en-GB"/>
              </w:rPr>
              <w:t>(-0</w:t>
            </w:r>
            <w:r>
              <w:rPr>
                <w:spacing w:val="-4"/>
                <w:lang w:val="en-GB"/>
              </w:rPr>
              <w:t>.</w:t>
            </w:r>
            <w:r w:rsidR="00BF71D5" w:rsidRPr="00142533">
              <w:rPr>
                <w:spacing w:val="-4"/>
                <w:lang w:val="en-GB"/>
              </w:rPr>
              <w:t>2%) a</w:t>
            </w:r>
            <w:r>
              <w:rPr>
                <w:spacing w:val="-4"/>
                <w:lang w:val="en-GB"/>
              </w:rPr>
              <w:t xml:space="preserve">nd not even the second half of the year changed that. Year-on-year growth achieved 3.6% last year, compared to year 2016 however </w:t>
            </w:r>
            <w:r w:rsidR="00BF71D5" w:rsidRPr="00142533">
              <w:rPr>
                <w:spacing w:val="-5"/>
                <w:lang w:val="en-GB"/>
              </w:rPr>
              <w:t>(-5</w:t>
            </w:r>
            <w:r>
              <w:rPr>
                <w:spacing w:val="-5"/>
                <w:lang w:val="en-GB"/>
              </w:rPr>
              <w:t>.</w:t>
            </w:r>
            <w:r w:rsidR="00BF71D5" w:rsidRPr="00142533">
              <w:rPr>
                <w:spacing w:val="-5"/>
                <w:lang w:val="en-GB"/>
              </w:rPr>
              <w:t>8%)</w:t>
            </w:r>
            <w:r w:rsidR="00BF71D5" w:rsidRPr="00142533">
              <w:rPr>
                <w:spacing w:val="-4"/>
                <w:lang w:val="en-GB"/>
              </w:rPr>
              <w:t xml:space="preserve"> </w:t>
            </w:r>
            <w:r>
              <w:rPr>
                <w:spacing w:val="-4"/>
                <w:lang w:val="en-GB"/>
              </w:rPr>
              <w:t xml:space="preserve">it presented at least a </w:t>
            </w:r>
            <w:r w:rsidR="002D50CF">
              <w:rPr>
                <w:spacing w:val="-4"/>
                <w:lang w:val="en-GB"/>
              </w:rPr>
              <w:t>partial</w:t>
            </w:r>
            <w:r>
              <w:rPr>
                <w:spacing w:val="-4"/>
                <w:lang w:val="en-GB"/>
              </w:rPr>
              <w:t xml:space="preserve"> recovery for the whole branch. </w:t>
            </w:r>
            <w:r w:rsidR="002D50CF">
              <w:rPr>
                <w:spacing w:val="-4"/>
                <w:lang w:val="en-GB"/>
              </w:rPr>
              <w:t xml:space="preserve">It was however only thanks to the more significant by weight building construction </w:t>
            </w:r>
            <w:r w:rsidR="00BF71D5" w:rsidRPr="00142533">
              <w:rPr>
                <w:spacing w:val="-4"/>
                <w:lang w:val="en-GB"/>
              </w:rPr>
              <w:t>(+6</w:t>
            </w:r>
            <w:r w:rsidR="002D50CF">
              <w:rPr>
                <w:spacing w:val="-4"/>
                <w:lang w:val="en-GB"/>
              </w:rPr>
              <w:t>.</w:t>
            </w:r>
            <w:r w:rsidR="00BF71D5" w:rsidRPr="00142533">
              <w:rPr>
                <w:spacing w:val="-4"/>
                <w:lang w:val="en-GB"/>
              </w:rPr>
              <w:t>6%</w:t>
            </w:r>
            <w:r w:rsidR="002D50CF">
              <w:rPr>
                <w:spacing w:val="-4"/>
                <w:lang w:val="en-GB"/>
              </w:rPr>
              <w:t xml:space="preserve"> last year</w:t>
            </w:r>
            <w:r w:rsidR="00BF71D5" w:rsidRPr="00142533">
              <w:rPr>
                <w:spacing w:val="-4"/>
                <w:lang w:val="en-GB"/>
              </w:rPr>
              <w:t xml:space="preserve">), </w:t>
            </w:r>
            <w:r w:rsidR="002D50CF">
              <w:rPr>
                <w:spacing w:val="-4"/>
                <w:lang w:val="en-GB"/>
              </w:rPr>
              <w:t xml:space="preserve">since the adverse development of the civil engineering construction prevailed for the whole year </w:t>
            </w:r>
            <w:r w:rsidR="00BF71D5" w:rsidRPr="00142533">
              <w:rPr>
                <w:spacing w:val="-4"/>
                <w:lang w:val="en-GB"/>
              </w:rPr>
              <w:t>(-3</w:t>
            </w:r>
            <w:r w:rsidR="002D50CF">
              <w:rPr>
                <w:spacing w:val="-4"/>
                <w:lang w:val="en-GB"/>
              </w:rPr>
              <w:t>.</w:t>
            </w:r>
            <w:r w:rsidR="00BF71D5" w:rsidRPr="00142533">
              <w:rPr>
                <w:spacing w:val="-4"/>
                <w:lang w:val="en-GB"/>
              </w:rPr>
              <w:t>9%, +0</w:t>
            </w:r>
            <w:r w:rsidR="002D50CF">
              <w:rPr>
                <w:spacing w:val="-4"/>
                <w:lang w:val="en-GB"/>
              </w:rPr>
              <w:t>.</w:t>
            </w:r>
            <w:r w:rsidR="00BF71D5" w:rsidRPr="00142533">
              <w:rPr>
                <w:spacing w:val="-4"/>
                <w:lang w:val="en-GB"/>
              </w:rPr>
              <w:t>7%</w:t>
            </w:r>
            <w:r w:rsidR="002D50CF">
              <w:rPr>
                <w:spacing w:val="-4"/>
                <w:lang w:val="en-GB"/>
              </w:rPr>
              <w:t xml:space="preserve"> in Q4</w:t>
            </w:r>
            <w:r w:rsidR="00BF71D5" w:rsidRPr="00142533">
              <w:rPr>
                <w:spacing w:val="-4"/>
                <w:lang w:val="en-GB"/>
              </w:rPr>
              <w:t xml:space="preserve"> – m</w:t>
            </w:r>
            <w:r w:rsidR="002D50CF">
              <w:rPr>
                <w:spacing w:val="-4"/>
                <w:lang w:val="en-GB"/>
              </w:rPr>
              <w:t>ild growth was especially the reflection of a very low comparative basis</w:t>
            </w:r>
            <w:r w:rsidR="00BF71D5" w:rsidRPr="00142533">
              <w:rPr>
                <w:spacing w:val="-4"/>
                <w:lang w:val="en-GB"/>
              </w:rPr>
              <w:t>)</w:t>
            </w:r>
            <w:r w:rsidR="007B0920" w:rsidRPr="00142533">
              <w:rPr>
                <w:spacing w:val="-4"/>
                <w:lang w:val="en-GB"/>
              </w:rPr>
              <w:t xml:space="preserve">. </w:t>
            </w:r>
          </w:p>
          <w:p w:rsidR="00B46248" w:rsidRDefault="00B46248" w:rsidP="00CF0826">
            <w:pPr>
              <w:pStyle w:val="Textpoznpodarou"/>
              <w:jc w:val="both"/>
              <w:rPr>
                <w:spacing w:val="-4"/>
                <w:lang w:val="en-GB"/>
              </w:rPr>
            </w:pPr>
          </w:p>
          <w:p w:rsidR="00646B41" w:rsidRDefault="00AC20EB" w:rsidP="00CF0826">
            <w:pPr>
              <w:pStyle w:val="Textpoznpodarou"/>
              <w:jc w:val="both"/>
              <w:rPr>
                <w:spacing w:val="-4"/>
                <w:lang w:val="en-GB"/>
              </w:rPr>
            </w:pPr>
            <w:r>
              <w:rPr>
                <w:spacing w:val="-4"/>
                <w:lang w:val="en-GB"/>
              </w:rPr>
              <w:t xml:space="preserve">Building construction was assisted by the gradual development of the residential construction. Number of commenced residential dwellings was rising already fourth year in a row </w:t>
            </w:r>
            <w:r w:rsidR="007B0920" w:rsidRPr="00142533">
              <w:rPr>
                <w:spacing w:val="-4"/>
                <w:lang w:val="en-GB"/>
              </w:rPr>
              <w:t>(</w:t>
            </w:r>
            <w:r>
              <w:rPr>
                <w:spacing w:val="-4"/>
                <w:lang w:val="en-GB"/>
              </w:rPr>
              <w:t xml:space="preserve">to last year´s </w:t>
            </w:r>
            <w:r w:rsidR="007B0920" w:rsidRPr="00142533">
              <w:rPr>
                <w:spacing w:val="-4"/>
                <w:lang w:val="en-GB"/>
              </w:rPr>
              <w:t>31</w:t>
            </w:r>
            <w:r>
              <w:rPr>
                <w:spacing w:val="-4"/>
                <w:lang w:val="en-GB"/>
              </w:rPr>
              <w:t>.</w:t>
            </w:r>
            <w:r w:rsidR="007B0920" w:rsidRPr="00142533">
              <w:rPr>
                <w:spacing w:val="-4"/>
                <w:lang w:val="en-GB"/>
              </w:rPr>
              <w:t>5 t</w:t>
            </w:r>
            <w:r>
              <w:rPr>
                <w:spacing w:val="-4"/>
                <w:lang w:val="en-GB"/>
              </w:rPr>
              <w:t>housand</w:t>
            </w:r>
            <w:r w:rsidR="007B0920" w:rsidRPr="00142533">
              <w:rPr>
                <w:spacing w:val="-4"/>
                <w:lang w:val="en-GB"/>
              </w:rPr>
              <w:t xml:space="preserve">). </w:t>
            </w:r>
            <w:r>
              <w:rPr>
                <w:spacing w:val="-4"/>
                <w:lang w:val="en-GB"/>
              </w:rPr>
              <w:t>Family houses added the most to the growth, other forms of construction also experienced higher growth – except for flats in the non-residential building</w:t>
            </w:r>
            <w:r w:rsidR="00B46248">
              <w:rPr>
                <w:spacing w:val="-4"/>
                <w:lang w:val="en-GB"/>
              </w:rPr>
              <w:t>s and also in community care homes and boarding houses</w:t>
            </w:r>
            <w:r>
              <w:rPr>
                <w:spacing w:val="-4"/>
                <w:lang w:val="en-GB"/>
              </w:rPr>
              <w:t xml:space="preserve">, where the volume of construction was record low. </w:t>
            </w:r>
            <w:r w:rsidR="00646B41">
              <w:rPr>
                <w:spacing w:val="-4"/>
                <w:lang w:val="en-GB"/>
              </w:rPr>
              <w:t>The number of flats commenced in the multi-dwelling buildings was</w:t>
            </w:r>
            <w:r w:rsidR="00B86B70">
              <w:rPr>
                <w:spacing w:val="-4"/>
                <w:lang w:val="en-GB"/>
              </w:rPr>
              <w:t xml:space="preserve"> the </w:t>
            </w:r>
            <w:r w:rsidR="00646B41">
              <w:rPr>
                <w:spacing w:val="-4"/>
                <w:lang w:val="en-GB"/>
              </w:rPr>
              <w:t xml:space="preserve">highest in </w:t>
            </w:r>
            <w:r w:rsidR="00B86B70">
              <w:rPr>
                <w:spacing w:val="-4"/>
                <w:lang w:val="en-GB"/>
              </w:rPr>
              <w:t xml:space="preserve">last eight years </w:t>
            </w:r>
            <w:r w:rsidR="007B0920" w:rsidRPr="00142533">
              <w:rPr>
                <w:spacing w:val="-4"/>
                <w:lang w:val="en-GB"/>
              </w:rPr>
              <w:t xml:space="preserve">(7 244), </w:t>
            </w:r>
            <w:r w:rsidR="00B86B70">
              <w:rPr>
                <w:spacing w:val="-4"/>
                <w:lang w:val="en-GB"/>
              </w:rPr>
              <w:t>still it did not represent even one half of the volume f</w:t>
            </w:r>
            <w:r w:rsidR="00646B41">
              <w:rPr>
                <w:spacing w:val="-4"/>
                <w:lang w:val="en-GB"/>
              </w:rPr>
              <w:t>or the</w:t>
            </w:r>
            <w:r w:rsidR="00B86B70">
              <w:rPr>
                <w:spacing w:val="-4"/>
                <w:lang w:val="en-GB"/>
              </w:rPr>
              <w:t xml:space="preserve"> record year </w:t>
            </w:r>
            <w:r w:rsidR="007B0920" w:rsidRPr="00142533">
              <w:rPr>
                <w:spacing w:val="-4"/>
                <w:lang w:val="en-GB"/>
              </w:rPr>
              <w:t xml:space="preserve">2007. </w:t>
            </w:r>
          </w:p>
          <w:p w:rsidR="00646B41" w:rsidRDefault="00646B41" w:rsidP="00CF0826">
            <w:pPr>
              <w:pStyle w:val="Textpoznpodarou"/>
              <w:jc w:val="both"/>
              <w:rPr>
                <w:spacing w:val="-4"/>
                <w:lang w:val="en-GB"/>
              </w:rPr>
            </w:pPr>
          </w:p>
          <w:p w:rsidR="007B0920" w:rsidRDefault="00646B41" w:rsidP="00CF0826">
            <w:pPr>
              <w:pStyle w:val="Textpoznpodarou"/>
              <w:jc w:val="both"/>
              <w:rPr>
                <w:spacing w:val="-4"/>
                <w:lang w:val="en-GB"/>
              </w:rPr>
            </w:pPr>
            <w:r>
              <w:rPr>
                <w:spacing w:val="-4"/>
                <w:lang w:val="en-GB"/>
              </w:rPr>
              <w:t>More than one fifth of the total started dwellings</w:t>
            </w:r>
            <w:r w:rsidR="003F01D7">
              <w:rPr>
                <w:spacing w:val="-4"/>
                <w:lang w:val="en-GB"/>
              </w:rPr>
              <w:t xml:space="preserve"> </w:t>
            </w:r>
            <w:proofErr w:type="gramStart"/>
            <w:r w:rsidR="003F01D7">
              <w:rPr>
                <w:spacing w:val="-4"/>
                <w:lang w:val="en-GB"/>
              </w:rPr>
              <w:t>was</w:t>
            </w:r>
            <w:proofErr w:type="gramEnd"/>
            <w:r w:rsidR="003F01D7">
              <w:rPr>
                <w:spacing w:val="-4"/>
                <w:lang w:val="en-GB"/>
              </w:rPr>
              <w:t xml:space="preserve"> located in the Central Bohemia. </w:t>
            </w:r>
            <w:r w:rsidR="002F0FDB">
              <w:rPr>
                <w:spacing w:val="-4"/>
                <w:lang w:val="en-GB"/>
              </w:rPr>
              <w:t xml:space="preserve">There were by 976 flats </w:t>
            </w:r>
            <w:r w:rsidR="0030464E">
              <w:rPr>
                <w:spacing w:val="-4"/>
                <w:lang w:val="en-GB"/>
              </w:rPr>
              <w:t xml:space="preserve">more </w:t>
            </w:r>
            <w:r w:rsidR="002F0FDB">
              <w:rPr>
                <w:spacing w:val="-4"/>
                <w:lang w:val="en-GB"/>
              </w:rPr>
              <w:t xml:space="preserve">commenced in Prague compared to year 2016 (with the second lowest construction since the half of 90s), still the construction (3 734) was by nearly one third weaker than in year 2015 and it did not achieve half of the average from </w:t>
            </w:r>
            <w:r w:rsidR="00636E26">
              <w:rPr>
                <w:spacing w:val="-4"/>
                <w:lang w:val="en-GB"/>
              </w:rPr>
              <w:t xml:space="preserve">period </w:t>
            </w:r>
            <w:r w:rsidR="007B0920" w:rsidRPr="00142533">
              <w:rPr>
                <w:spacing w:val="-4"/>
                <w:lang w:val="en-GB"/>
              </w:rPr>
              <w:t>2005</w:t>
            </w:r>
            <w:r w:rsidR="006F32FF" w:rsidRPr="00142533">
              <w:rPr>
                <w:spacing w:val="-4"/>
                <w:lang w:val="en-GB"/>
              </w:rPr>
              <w:t>–</w:t>
            </w:r>
            <w:r w:rsidR="007B0920" w:rsidRPr="00142533">
              <w:rPr>
                <w:spacing w:val="-4"/>
                <w:lang w:val="en-GB"/>
              </w:rPr>
              <w:t>2007.</w:t>
            </w:r>
          </w:p>
          <w:p w:rsidR="002133D5" w:rsidRDefault="002133D5" w:rsidP="00CF0826">
            <w:pPr>
              <w:pStyle w:val="Textpoznpodarou"/>
              <w:jc w:val="both"/>
              <w:rPr>
                <w:spacing w:val="-4"/>
                <w:lang w:val="en-GB"/>
              </w:rPr>
            </w:pPr>
          </w:p>
          <w:p w:rsidR="002133D5" w:rsidRDefault="002133D5" w:rsidP="00CF0826">
            <w:pPr>
              <w:pStyle w:val="Textpoznpodarou"/>
              <w:jc w:val="both"/>
              <w:rPr>
                <w:spacing w:val="-4"/>
                <w:lang w:val="en-GB"/>
              </w:rPr>
            </w:pPr>
          </w:p>
          <w:p w:rsidR="002133D5" w:rsidRPr="00142533" w:rsidRDefault="002133D5" w:rsidP="00CF0826">
            <w:pPr>
              <w:pStyle w:val="Textpoznpodarou"/>
              <w:jc w:val="both"/>
              <w:rPr>
                <w:spacing w:val="-4"/>
                <w:lang w:val="en-GB"/>
              </w:rPr>
            </w:pPr>
          </w:p>
          <w:p w:rsidR="007B0920" w:rsidRPr="00142533" w:rsidRDefault="007B0920" w:rsidP="00CF0826">
            <w:pPr>
              <w:pStyle w:val="Textpoznpodarou"/>
              <w:jc w:val="both"/>
              <w:rPr>
                <w:color w:val="0D0D0D" w:themeColor="text1" w:themeTint="F2"/>
                <w:spacing w:val="-4"/>
                <w:sz w:val="4"/>
                <w:szCs w:val="4"/>
                <w:lang w:val="en-GB"/>
              </w:rPr>
            </w:pPr>
          </w:p>
        </w:tc>
      </w:tr>
      <w:tr w:rsidR="007B0920" w:rsidRPr="00AA4A76" w:rsidTr="00CF0826">
        <w:trPr>
          <w:gridAfter w:val="1"/>
          <w:wAfter w:w="22" w:type="pct"/>
          <w:trHeight w:val="145"/>
        </w:trPr>
        <w:tc>
          <w:tcPr>
            <w:tcW w:w="1016"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69" w:type="pct"/>
          </w:tcPr>
          <w:p w:rsidR="007B0920" w:rsidRPr="00AA4A76" w:rsidRDefault="005A6CD0" w:rsidP="00CF0826">
            <w:pPr>
              <w:pStyle w:val="Textpoznpodarou"/>
              <w:jc w:val="both"/>
              <w:rPr>
                <w:highlight w:val="yellow"/>
              </w:rPr>
            </w:pPr>
            <w:r>
              <w:rPr>
                <w:color w:val="000000"/>
              </w:rPr>
              <w:t>Chart</w:t>
            </w:r>
            <w:r w:rsidR="007B0920">
              <w:rPr>
                <w:color w:val="000000"/>
              </w:rPr>
              <w:t xml:space="preserve"> 7</w:t>
            </w:r>
          </w:p>
        </w:tc>
        <w:tc>
          <w:tcPr>
            <w:tcW w:w="3247" w:type="pct"/>
          </w:tcPr>
          <w:p w:rsidR="007B0920" w:rsidRPr="00521CFC" w:rsidRDefault="00521CFC" w:rsidP="00521CFC">
            <w:pPr>
              <w:pStyle w:val="Textpoznpodarou"/>
              <w:rPr>
                <w:spacing w:val="-2"/>
                <w:lang w:val="en-GB" w:eastAsia="en-US"/>
              </w:rPr>
            </w:pPr>
            <w:r w:rsidRPr="00521CFC">
              <w:rPr>
                <w:b/>
                <w:lang w:val="en-GB"/>
              </w:rPr>
              <w:t>Construction output</w:t>
            </w:r>
            <w:r w:rsidR="007B0920" w:rsidRPr="00521CFC">
              <w:rPr>
                <w:b/>
                <w:lang w:val="en-GB"/>
              </w:rPr>
              <w:t xml:space="preserve">*, </w:t>
            </w:r>
            <w:r w:rsidRPr="00521CFC">
              <w:rPr>
                <w:b/>
                <w:lang w:val="en-GB"/>
              </w:rPr>
              <w:t xml:space="preserve">value of new orders </w:t>
            </w:r>
            <w:r w:rsidR="007B0920" w:rsidRPr="00521CFC">
              <w:rPr>
                <w:bCs/>
                <w:lang w:val="en-GB"/>
              </w:rPr>
              <w:t>(</w:t>
            </w:r>
            <w:r w:rsidRPr="00521CFC">
              <w:rPr>
                <w:bCs/>
                <w:lang w:val="en-GB"/>
              </w:rPr>
              <w:t xml:space="preserve">year-on-year in %) </w:t>
            </w:r>
            <w:r w:rsidRPr="00521CFC">
              <w:rPr>
                <w:b/>
                <w:bCs/>
                <w:lang w:val="en-GB"/>
              </w:rPr>
              <w:t>and balance of confidence indicator in construction</w:t>
            </w:r>
            <w:r>
              <w:rPr>
                <w:bCs/>
                <w:lang w:val="en-GB"/>
              </w:rPr>
              <w:t xml:space="preserve"> </w:t>
            </w:r>
          </w:p>
        </w:tc>
      </w:tr>
      <w:tr w:rsidR="007B0920" w:rsidRPr="00AA4A76" w:rsidTr="00CF0826">
        <w:trPr>
          <w:gridAfter w:val="1"/>
          <w:wAfter w:w="22" w:type="pct"/>
          <w:trHeight w:val="145"/>
        </w:trPr>
        <w:tc>
          <w:tcPr>
            <w:tcW w:w="1016"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16" w:type="pct"/>
            <w:gridSpan w:val="2"/>
          </w:tcPr>
          <w:p w:rsidR="00407C32" w:rsidRPr="002133D5" w:rsidRDefault="00F96E38" w:rsidP="002133D5">
            <w:pPr>
              <w:pStyle w:val="Textpoznpodarou"/>
              <w:ind w:left="-124"/>
              <w:rPr>
                <w:sz w:val="14"/>
                <w:szCs w:val="14"/>
              </w:rPr>
            </w:pPr>
            <w:r>
              <w:rPr>
                <w:rFonts w:cs="Arial"/>
                <w:noProof/>
                <w:sz w:val="14"/>
                <w:szCs w:val="14"/>
              </w:rPr>
              <w:drawing>
                <wp:inline distT="0" distB="0" distL="0" distR="0">
                  <wp:extent cx="4749800" cy="3486150"/>
                  <wp:effectExtent l="19050" t="0" r="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B0920" w:rsidRPr="00B6493D">
              <w:rPr>
                <w:rFonts w:cs="Arial"/>
                <w:sz w:val="14"/>
                <w:szCs w:val="14"/>
              </w:rPr>
              <w:t xml:space="preserve"> </w:t>
            </w:r>
            <w:r w:rsidR="007B0920">
              <w:rPr>
                <w:rFonts w:cs="Arial"/>
                <w:sz w:val="14"/>
                <w:szCs w:val="14"/>
              </w:rPr>
              <w:t>*</w:t>
            </w:r>
            <w:r w:rsidR="00E85720" w:rsidRPr="00E85720">
              <w:rPr>
                <w:rFonts w:cs="Arial"/>
                <w:sz w:val="14"/>
                <w:szCs w:val="14"/>
                <w:lang w:val="en-GB"/>
              </w:rPr>
              <w:t xml:space="preserve">Adjusted for the effect of the number of working days.  </w:t>
            </w:r>
            <w:r w:rsidR="007B0920" w:rsidRPr="00E85720">
              <w:rPr>
                <w:rFonts w:cs="Arial"/>
                <w:sz w:val="14"/>
                <w:szCs w:val="14"/>
                <w:lang w:val="en-GB"/>
              </w:rPr>
              <w:t xml:space="preserve">                                                                            </w:t>
            </w:r>
            <w:proofErr w:type="spellStart"/>
            <w:r w:rsidR="00790C15">
              <w:rPr>
                <w:rFonts w:cs="Arial"/>
                <w:sz w:val="14"/>
                <w:szCs w:val="14"/>
              </w:rPr>
              <w:t>Source</w:t>
            </w:r>
            <w:proofErr w:type="spellEnd"/>
            <w:r w:rsidR="007B0920" w:rsidRPr="00540CB3">
              <w:rPr>
                <w:sz w:val="14"/>
                <w:szCs w:val="14"/>
              </w:rPr>
              <w:t xml:space="preserve">: </w:t>
            </w:r>
            <w:r w:rsidR="00790C15">
              <w:rPr>
                <w:sz w:val="14"/>
                <w:szCs w:val="14"/>
              </w:rPr>
              <w:t>CZSO</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BF71D5" w:rsidRPr="00FD38F7" w:rsidRDefault="00FD38F7" w:rsidP="00BF71D5">
            <w:pPr>
              <w:spacing w:line="240" w:lineRule="auto"/>
              <w:rPr>
                <w:spacing w:val="-4"/>
                <w:sz w:val="16"/>
                <w:szCs w:val="16"/>
                <w:lang w:val="en-GB"/>
              </w:rPr>
            </w:pPr>
            <w:r w:rsidRPr="00FD38F7">
              <w:rPr>
                <w:spacing w:val="-4"/>
                <w:sz w:val="16"/>
                <w:szCs w:val="16"/>
                <w:lang w:val="en-GB"/>
              </w:rPr>
              <w:t>Mild year-on-year growth of new construction orders was apparent throughout the most of the year. Negative balance of e</w:t>
            </w:r>
            <w:r>
              <w:rPr>
                <w:spacing w:val="-4"/>
                <w:sz w:val="16"/>
                <w:szCs w:val="16"/>
                <w:lang w:val="en-GB"/>
              </w:rPr>
              <w:t>nt</w:t>
            </w:r>
            <w:r w:rsidRPr="00FD38F7">
              <w:rPr>
                <w:spacing w:val="-4"/>
                <w:sz w:val="16"/>
                <w:szCs w:val="16"/>
                <w:lang w:val="en-GB"/>
              </w:rPr>
              <w:t>repreneur confidence in construction improved.</w:t>
            </w: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B0920" w:rsidP="00CF0826">
            <w:pPr>
              <w:spacing w:line="240" w:lineRule="auto"/>
              <w:rPr>
                <w:spacing w:val="-4"/>
                <w:sz w:val="16"/>
                <w:szCs w:val="16"/>
                <w:lang w:val="en-GB"/>
              </w:rPr>
            </w:pPr>
          </w:p>
          <w:p w:rsidR="007B0920" w:rsidRPr="00FD38F7" w:rsidRDefault="00790C15" w:rsidP="00CF0826">
            <w:pPr>
              <w:spacing w:line="240" w:lineRule="auto"/>
              <w:rPr>
                <w:spacing w:val="-4"/>
                <w:sz w:val="16"/>
                <w:szCs w:val="16"/>
                <w:lang w:val="en-GB"/>
              </w:rPr>
            </w:pPr>
            <w:r w:rsidRPr="00FD38F7">
              <w:rPr>
                <w:spacing w:val="-4"/>
                <w:sz w:val="16"/>
                <w:szCs w:val="16"/>
                <w:lang w:val="en-GB"/>
              </w:rPr>
              <w:t>Weak growth of the average size of one order signalled</w:t>
            </w:r>
            <w:r w:rsidR="002920F5">
              <w:rPr>
                <w:spacing w:val="-4"/>
                <w:sz w:val="16"/>
                <w:szCs w:val="16"/>
                <w:lang w:val="en-GB"/>
              </w:rPr>
              <w:t xml:space="preserve"> continuing lack of more significant number of large projects</w:t>
            </w:r>
            <w:r w:rsidR="004B2093">
              <w:rPr>
                <w:spacing w:val="-4"/>
                <w:sz w:val="16"/>
                <w:szCs w:val="16"/>
                <w:lang w:val="en-GB"/>
              </w:rPr>
              <w:t>.</w:t>
            </w:r>
            <w:r w:rsidR="002920F5">
              <w:rPr>
                <w:spacing w:val="-4"/>
                <w:sz w:val="16"/>
                <w:szCs w:val="16"/>
                <w:lang w:val="en-GB"/>
              </w:rPr>
              <w:t xml:space="preserve"> </w:t>
            </w:r>
          </w:p>
          <w:p w:rsidR="007B0920" w:rsidRPr="00FD38F7" w:rsidRDefault="007B0920" w:rsidP="00CF0826">
            <w:pPr>
              <w:spacing w:line="240" w:lineRule="auto"/>
              <w:rPr>
                <w:color w:val="0D0D0D" w:themeColor="text1" w:themeTint="F2"/>
                <w:spacing w:val="-2"/>
                <w:sz w:val="16"/>
                <w:szCs w:val="16"/>
                <w:lang w:val="en-GB"/>
              </w:rPr>
            </w:pPr>
          </w:p>
        </w:tc>
        <w:tc>
          <w:tcPr>
            <w:tcW w:w="144" w:type="pct"/>
          </w:tcPr>
          <w:p w:rsidR="007B0920" w:rsidRPr="00FD38F7" w:rsidRDefault="007B0920" w:rsidP="00CF0826">
            <w:pPr>
              <w:pStyle w:val="Textpoznpodarou"/>
              <w:jc w:val="both"/>
              <w:rPr>
                <w:lang w:val="en-GB"/>
              </w:rPr>
            </w:pPr>
          </w:p>
        </w:tc>
        <w:tc>
          <w:tcPr>
            <w:tcW w:w="3840" w:type="pct"/>
          </w:tcPr>
          <w:p w:rsidR="00D309C0" w:rsidRDefault="00FD38F7" w:rsidP="006E2F44">
            <w:pPr>
              <w:pStyle w:val="Textpoznpodarou"/>
              <w:jc w:val="both"/>
              <w:rPr>
                <w:color w:val="000000" w:themeColor="text1"/>
                <w:spacing w:val="-6"/>
                <w:lang w:val="en-GB"/>
              </w:rPr>
            </w:pPr>
            <w:r>
              <w:rPr>
                <w:color w:val="0D0D0D" w:themeColor="text1" w:themeTint="F2"/>
                <w:spacing w:val="-4"/>
                <w:lang w:val="en-GB"/>
              </w:rPr>
              <w:t xml:space="preserve">The value of new domestic orders </w:t>
            </w:r>
            <w:r w:rsidR="00BF71D5" w:rsidRPr="00FD38F7">
              <w:rPr>
                <w:color w:val="0D0D0D" w:themeColor="text1" w:themeTint="F2"/>
                <w:spacing w:val="-4"/>
                <w:lang w:val="en-GB"/>
              </w:rPr>
              <w:t>(</w:t>
            </w:r>
            <w:r>
              <w:rPr>
                <w:color w:val="0D0D0D" w:themeColor="text1" w:themeTint="F2"/>
                <w:spacing w:val="-4"/>
                <w:lang w:val="en-GB"/>
              </w:rPr>
              <w:t>for businesses with 50 employees and more) grew year-on-ye</w:t>
            </w:r>
            <w:r w:rsidR="00CD6339">
              <w:rPr>
                <w:color w:val="0D0D0D" w:themeColor="text1" w:themeTint="F2"/>
                <w:spacing w:val="-4"/>
                <w:lang w:val="en-GB"/>
              </w:rPr>
              <w:t>a</w:t>
            </w:r>
            <w:r>
              <w:rPr>
                <w:color w:val="0D0D0D" w:themeColor="text1" w:themeTint="F2"/>
                <w:spacing w:val="-4"/>
                <w:lang w:val="en-GB"/>
              </w:rPr>
              <w:t xml:space="preserve">r for the most part of the year </w:t>
            </w:r>
            <w:r w:rsidR="00BF71D5" w:rsidRPr="00FD38F7">
              <w:rPr>
                <w:color w:val="0D0D0D" w:themeColor="text1" w:themeTint="F2"/>
                <w:spacing w:val="-4"/>
                <w:lang w:val="en-GB"/>
              </w:rPr>
              <w:t xml:space="preserve">2017. </w:t>
            </w:r>
            <w:r w:rsidR="00CD6339">
              <w:rPr>
                <w:color w:val="0D0D0D" w:themeColor="text1" w:themeTint="F2"/>
                <w:spacing w:val="-4"/>
                <w:lang w:val="en-GB"/>
              </w:rPr>
              <w:t xml:space="preserve">It was by </w:t>
            </w:r>
            <w:r w:rsidR="00BF71D5" w:rsidRPr="00FD38F7">
              <w:rPr>
                <w:color w:val="0D0D0D" w:themeColor="text1" w:themeTint="F2"/>
                <w:spacing w:val="-4"/>
                <w:lang w:val="en-GB"/>
              </w:rPr>
              <w:t>15</w:t>
            </w:r>
            <w:r w:rsidR="00CD6339">
              <w:rPr>
                <w:color w:val="0D0D0D" w:themeColor="text1" w:themeTint="F2"/>
                <w:spacing w:val="-4"/>
                <w:lang w:val="en-GB"/>
              </w:rPr>
              <w:t>.</w:t>
            </w:r>
            <w:r w:rsidR="00BF71D5" w:rsidRPr="00FD38F7">
              <w:rPr>
                <w:color w:val="0D0D0D" w:themeColor="text1" w:themeTint="F2"/>
                <w:spacing w:val="-4"/>
                <w:lang w:val="en-GB"/>
              </w:rPr>
              <w:t xml:space="preserve">6% </w:t>
            </w:r>
            <w:r w:rsidR="00CD6339">
              <w:rPr>
                <w:color w:val="0D0D0D" w:themeColor="text1" w:themeTint="F2"/>
                <w:spacing w:val="-4"/>
                <w:lang w:val="en-GB"/>
              </w:rPr>
              <w:t xml:space="preserve">higher in Q4 </w:t>
            </w:r>
            <w:r w:rsidR="00BF71D5" w:rsidRPr="00FD38F7">
              <w:rPr>
                <w:color w:val="0D0D0D" w:themeColor="text1" w:themeTint="F2"/>
                <w:spacing w:val="-4"/>
                <w:lang w:val="en-GB"/>
              </w:rPr>
              <w:t>(</w:t>
            </w:r>
            <w:r w:rsidR="008D699D">
              <w:rPr>
                <w:color w:val="0D0D0D" w:themeColor="text1" w:themeTint="F2"/>
                <w:spacing w:val="-4"/>
                <w:lang w:val="en-GB"/>
              </w:rPr>
              <w:t>without</w:t>
            </w:r>
            <w:r w:rsidR="00CD6339">
              <w:rPr>
                <w:color w:val="0D0D0D" w:themeColor="text1" w:themeTint="F2"/>
                <w:spacing w:val="-4"/>
                <w:lang w:val="en-GB"/>
              </w:rPr>
              <w:t xml:space="preserve"> the significant difference between the building and civil engineering construction</w:t>
            </w:r>
            <w:r w:rsidR="004121D6" w:rsidRPr="00FD38F7">
              <w:rPr>
                <w:color w:val="0D0D0D" w:themeColor="text1" w:themeTint="F2"/>
                <w:spacing w:val="-4"/>
                <w:lang w:val="en-GB"/>
              </w:rPr>
              <w:t xml:space="preserve">). </w:t>
            </w:r>
            <w:r w:rsidR="008259CC">
              <w:rPr>
                <w:color w:val="0D0D0D" w:themeColor="text1" w:themeTint="F2"/>
                <w:spacing w:val="-4"/>
                <w:lang w:val="en-GB"/>
              </w:rPr>
              <w:t xml:space="preserve">Average value of new order increased by one tenth last year </w:t>
            </w:r>
            <w:r w:rsidR="00BF71D5" w:rsidRPr="00FD38F7">
              <w:rPr>
                <w:spacing w:val="-4"/>
                <w:lang w:val="en-GB"/>
              </w:rPr>
              <w:t>(</w:t>
            </w:r>
            <w:r w:rsidR="008259CC">
              <w:rPr>
                <w:spacing w:val="-4"/>
                <w:lang w:val="en-GB"/>
              </w:rPr>
              <w:t xml:space="preserve">to </w:t>
            </w:r>
            <w:r w:rsidR="00BF71D5" w:rsidRPr="00FD38F7">
              <w:rPr>
                <w:spacing w:val="-4"/>
                <w:lang w:val="en-GB"/>
              </w:rPr>
              <w:t>3</w:t>
            </w:r>
            <w:r w:rsidR="008259CC">
              <w:rPr>
                <w:spacing w:val="-4"/>
                <w:lang w:val="en-GB"/>
              </w:rPr>
              <w:t>.</w:t>
            </w:r>
            <w:r w:rsidR="00BF71D5" w:rsidRPr="00FD38F7">
              <w:rPr>
                <w:spacing w:val="-4"/>
                <w:lang w:val="en-GB"/>
              </w:rPr>
              <w:t xml:space="preserve">3 </w:t>
            </w:r>
            <w:r w:rsidR="008259CC">
              <w:rPr>
                <w:spacing w:val="-4"/>
                <w:lang w:val="en-GB"/>
              </w:rPr>
              <w:t xml:space="preserve">CZK </w:t>
            </w:r>
            <w:r w:rsidR="00BF71D5" w:rsidRPr="00FD38F7">
              <w:rPr>
                <w:spacing w:val="-4"/>
                <w:lang w:val="en-GB"/>
              </w:rPr>
              <w:t xml:space="preserve">mil), </w:t>
            </w:r>
            <w:r w:rsidR="008259CC">
              <w:rPr>
                <w:spacing w:val="-4"/>
                <w:lang w:val="en-GB"/>
              </w:rPr>
              <w:t xml:space="preserve">it oscillated around 4 </w:t>
            </w:r>
            <w:r w:rsidR="00654E14">
              <w:rPr>
                <w:spacing w:val="-4"/>
                <w:lang w:val="en-GB"/>
              </w:rPr>
              <w:t>mils</w:t>
            </w:r>
            <w:r w:rsidR="008259CC">
              <w:rPr>
                <w:spacing w:val="-4"/>
                <w:lang w:val="en-GB"/>
              </w:rPr>
              <w:t xml:space="preserve"> in both years </w:t>
            </w:r>
            <w:r w:rsidR="00BF71D5" w:rsidRPr="00FD38F7">
              <w:rPr>
                <w:spacing w:val="-4"/>
                <w:lang w:val="en-GB"/>
              </w:rPr>
              <w:t>2014</w:t>
            </w:r>
            <w:r w:rsidR="008259CC">
              <w:rPr>
                <w:spacing w:val="-4"/>
                <w:lang w:val="en-GB"/>
              </w:rPr>
              <w:t xml:space="preserve"> and </w:t>
            </w:r>
            <w:r w:rsidR="00BF71D5" w:rsidRPr="00FD38F7">
              <w:rPr>
                <w:spacing w:val="-4"/>
                <w:lang w:val="en-GB"/>
              </w:rPr>
              <w:t>2015</w:t>
            </w:r>
            <w:r w:rsidR="008259CC">
              <w:rPr>
                <w:spacing w:val="-4"/>
                <w:lang w:val="en-GB"/>
              </w:rPr>
              <w:t xml:space="preserve">. </w:t>
            </w:r>
            <w:r w:rsidR="004D2D7A">
              <w:rPr>
                <w:spacing w:val="-4"/>
                <w:lang w:val="en-GB"/>
              </w:rPr>
              <w:t>Balance of all not yet completed orders was 133 CZK bn at the end of the year</w:t>
            </w:r>
            <w:r w:rsidR="008D699D">
              <w:rPr>
                <w:spacing w:val="-4"/>
                <w:lang w:val="en-GB"/>
              </w:rPr>
              <w:t xml:space="preserve"> </w:t>
            </w:r>
            <w:proofErr w:type="gramStart"/>
            <w:r w:rsidR="008D699D">
              <w:rPr>
                <w:spacing w:val="-4"/>
                <w:lang w:val="en-GB"/>
              </w:rPr>
              <w:t>2017</w:t>
            </w:r>
            <w:r w:rsidR="004D2D7A">
              <w:rPr>
                <w:spacing w:val="-4"/>
                <w:lang w:val="en-GB"/>
              </w:rPr>
              <w:t>,</w:t>
            </w:r>
            <w:proofErr w:type="gramEnd"/>
            <w:r w:rsidR="004D2D7A">
              <w:rPr>
                <w:spacing w:val="-4"/>
                <w:lang w:val="en-GB"/>
              </w:rPr>
              <w:t xml:space="preserve"> it rose by mild 3.5% year-on-year. </w:t>
            </w:r>
            <w:r w:rsidR="00711970">
              <w:rPr>
                <w:spacing w:val="-4"/>
                <w:lang w:val="en-GB"/>
              </w:rPr>
              <w:t xml:space="preserve">Drop of the stock of jobs from abroad was compensated by both private </w:t>
            </w:r>
            <w:r w:rsidR="00BF71D5" w:rsidRPr="00FD38F7">
              <w:rPr>
                <w:spacing w:val="-4"/>
                <w:lang w:val="en-GB"/>
              </w:rPr>
              <w:t>(+2</w:t>
            </w:r>
            <w:r w:rsidR="00711970">
              <w:rPr>
                <w:spacing w:val="-4"/>
                <w:lang w:val="en-GB"/>
              </w:rPr>
              <w:t>.</w:t>
            </w:r>
            <w:r w:rsidR="00BF71D5" w:rsidRPr="00FD38F7">
              <w:rPr>
                <w:spacing w:val="-4"/>
                <w:lang w:val="en-GB"/>
              </w:rPr>
              <w:t xml:space="preserve">6%) </w:t>
            </w:r>
            <w:r w:rsidR="00711970">
              <w:rPr>
                <w:spacing w:val="-4"/>
                <w:lang w:val="en-GB"/>
              </w:rPr>
              <w:t xml:space="preserve">and public orders </w:t>
            </w:r>
            <w:r w:rsidR="00BF71D5" w:rsidRPr="00FD38F7">
              <w:rPr>
                <w:spacing w:val="-4"/>
                <w:lang w:val="en-GB"/>
              </w:rPr>
              <w:t>(+9</w:t>
            </w:r>
            <w:r w:rsidR="00711970">
              <w:rPr>
                <w:spacing w:val="-4"/>
                <w:lang w:val="en-GB"/>
              </w:rPr>
              <w:t>.</w:t>
            </w:r>
            <w:r w:rsidR="00BF71D5" w:rsidRPr="00FD38F7">
              <w:rPr>
                <w:spacing w:val="-4"/>
                <w:lang w:val="en-GB"/>
              </w:rPr>
              <w:t xml:space="preserve">3%). </w:t>
            </w:r>
            <w:r w:rsidR="00711970">
              <w:rPr>
                <w:spacing w:val="-4"/>
                <w:lang w:val="en-GB"/>
              </w:rPr>
              <w:t xml:space="preserve">Approximate value of one granted building permit fastened growth </w:t>
            </w:r>
            <w:r w:rsidR="007B0920" w:rsidRPr="00FD38F7">
              <w:rPr>
                <w:spacing w:val="-4"/>
                <w:lang w:val="en-GB"/>
              </w:rPr>
              <w:t>(</w:t>
            </w:r>
            <w:r w:rsidR="007C29B0">
              <w:rPr>
                <w:spacing w:val="-4"/>
                <w:lang w:val="en-GB"/>
              </w:rPr>
              <w:t xml:space="preserve">to </w:t>
            </w:r>
            <w:r w:rsidR="007B0920" w:rsidRPr="00FD38F7">
              <w:rPr>
                <w:spacing w:val="-4"/>
                <w:lang w:val="en-GB"/>
              </w:rPr>
              <w:t>24</w:t>
            </w:r>
            <w:r w:rsidR="00D623F7" w:rsidRPr="00FD38F7">
              <w:rPr>
                <w:spacing w:val="-4"/>
                <w:lang w:val="en-GB"/>
              </w:rPr>
              <w:t>%</w:t>
            </w:r>
            <w:r w:rsidR="008D699D">
              <w:rPr>
                <w:spacing w:val="-4"/>
                <w:lang w:val="en-GB"/>
              </w:rPr>
              <w:t>,</w:t>
            </w:r>
            <w:r w:rsidR="00D623F7" w:rsidRPr="00FD38F7">
              <w:rPr>
                <w:spacing w:val="-4"/>
                <w:lang w:val="en-GB"/>
              </w:rPr>
              <w:t xml:space="preserve"> </w:t>
            </w:r>
            <w:r w:rsidR="007C29B0">
              <w:rPr>
                <w:spacing w:val="-4"/>
                <w:lang w:val="en-GB"/>
              </w:rPr>
              <w:t>from 1</w:t>
            </w:r>
            <w:r w:rsidR="00D623F7" w:rsidRPr="00FD38F7">
              <w:rPr>
                <w:spacing w:val="-4"/>
                <w:lang w:val="en-GB"/>
              </w:rPr>
              <w:t>2%</w:t>
            </w:r>
            <w:r w:rsidR="008D699D">
              <w:rPr>
                <w:spacing w:val="-4"/>
                <w:lang w:val="en-GB"/>
              </w:rPr>
              <w:t xml:space="preserve"> in the year of 2016</w:t>
            </w:r>
            <w:r w:rsidR="00D623F7" w:rsidRPr="00FD38F7">
              <w:rPr>
                <w:spacing w:val="-4"/>
                <w:lang w:val="en-GB"/>
              </w:rPr>
              <w:t xml:space="preserve">). </w:t>
            </w:r>
            <w:r w:rsidR="00194096">
              <w:rPr>
                <w:spacing w:val="-4"/>
                <w:lang w:val="en-GB"/>
              </w:rPr>
              <w:t xml:space="preserve">It was driven predominantly by new construction similarly to year </w:t>
            </w:r>
            <w:r w:rsidR="007B0920" w:rsidRPr="00FD38F7">
              <w:rPr>
                <w:spacing w:val="-4"/>
                <w:lang w:val="en-GB"/>
              </w:rPr>
              <w:t>2016</w:t>
            </w:r>
            <w:r w:rsidR="00194096">
              <w:rPr>
                <w:spacing w:val="-4"/>
                <w:lang w:val="en-GB"/>
              </w:rPr>
              <w:t xml:space="preserve">. </w:t>
            </w:r>
            <w:r w:rsidR="007B0920" w:rsidRPr="00FD38F7">
              <w:rPr>
                <w:spacing w:val="-4"/>
                <w:lang w:val="en-GB"/>
              </w:rPr>
              <w:t xml:space="preserve"> </w:t>
            </w:r>
            <w:r w:rsidR="00516CF6">
              <w:rPr>
                <w:spacing w:val="-4"/>
                <w:lang w:val="en-GB"/>
              </w:rPr>
              <w:t xml:space="preserve">Residential as well as non-residential buildings contributed by a similar share. Seasonally adjusted balance of the entrepreneur confidence in construction remained in the negative </w:t>
            </w:r>
            <w:r w:rsidR="001D1383">
              <w:rPr>
                <w:spacing w:val="-4"/>
                <w:lang w:val="en-GB"/>
              </w:rPr>
              <w:t>band</w:t>
            </w:r>
            <w:r w:rsidR="00516CF6">
              <w:rPr>
                <w:spacing w:val="-4"/>
                <w:lang w:val="en-GB"/>
              </w:rPr>
              <w:t>.</w:t>
            </w:r>
            <w:r w:rsidR="007B0920" w:rsidRPr="00FD38F7">
              <w:rPr>
                <w:color w:val="000000" w:themeColor="text1"/>
                <w:spacing w:val="-4"/>
                <w:lang w:val="en-GB"/>
              </w:rPr>
              <w:t xml:space="preserve"> </w:t>
            </w:r>
            <w:r w:rsidR="0042254E">
              <w:rPr>
                <w:color w:val="000000" w:themeColor="text1"/>
                <w:spacing w:val="-4"/>
                <w:lang w:val="en-GB"/>
              </w:rPr>
              <w:t xml:space="preserve">However, an improvement gradually occurred during the year, this trend slowly gained strength and was also confirmed by the data from the beginning of year </w:t>
            </w:r>
            <w:r w:rsidR="007B0920" w:rsidRPr="00FD38F7">
              <w:rPr>
                <w:color w:val="000000" w:themeColor="text1"/>
                <w:spacing w:val="-4"/>
                <w:lang w:val="en-GB"/>
              </w:rPr>
              <w:t xml:space="preserve">2018. </w:t>
            </w:r>
            <w:r w:rsidR="00AC79F3">
              <w:rPr>
                <w:color w:val="000000" w:themeColor="text1"/>
                <w:spacing w:val="-4"/>
                <w:lang w:val="en-GB"/>
              </w:rPr>
              <w:t xml:space="preserve">Proportion of businesses </w:t>
            </w:r>
            <w:r w:rsidR="006C0E9E">
              <w:rPr>
                <w:color w:val="000000" w:themeColor="text1"/>
                <w:spacing w:val="-4"/>
                <w:lang w:val="en-GB"/>
              </w:rPr>
              <w:t xml:space="preserve">anticipating the reduction of the construction activity or employment fell considerably year-on-year. However, only less than one tenth of businesses expected a growth of the construction activity. Only 15% of businesses did not perceive any significant barrier to their growth. 40% signalled the inadequate demand </w:t>
            </w:r>
            <w:r w:rsidR="007B0920" w:rsidRPr="00FD38F7">
              <w:rPr>
                <w:color w:val="000000" w:themeColor="text1"/>
                <w:spacing w:val="-6"/>
                <w:lang w:val="en-GB"/>
              </w:rPr>
              <w:t xml:space="preserve">(54% </w:t>
            </w:r>
            <w:r w:rsidR="006C0E9E">
              <w:rPr>
                <w:color w:val="000000" w:themeColor="text1"/>
                <w:spacing w:val="-6"/>
                <w:lang w:val="en-GB"/>
              </w:rPr>
              <w:t xml:space="preserve">at the beginning of year </w:t>
            </w:r>
            <w:r w:rsidR="007B0920" w:rsidRPr="00FD38F7">
              <w:rPr>
                <w:color w:val="000000" w:themeColor="text1"/>
                <w:spacing w:val="-6"/>
                <w:lang w:val="en-GB"/>
              </w:rPr>
              <w:t xml:space="preserve">2017), </w:t>
            </w:r>
            <w:r w:rsidR="006C0E9E">
              <w:rPr>
                <w:color w:val="000000" w:themeColor="text1"/>
                <w:spacing w:val="-6"/>
                <w:lang w:val="en-GB"/>
              </w:rPr>
              <w:t xml:space="preserve">24% lack of employees </w:t>
            </w:r>
            <w:r w:rsidR="007B0920" w:rsidRPr="00FD38F7">
              <w:rPr>
                <w:color w:val="000000" w:themeColor="text1"/>
                <w:spacing w:val="-6"/>
                <w:lang w:val="en-GB"/>
              </w:rPr>
              <w:t>(11%).</w:t>
            </w:r>
          </w:p>
          <w:p w:rsidR="002133D5" w:rsidRPr="00FD38F7" w:rsidRDefault="002133D5" w:rsidP="006E2F44">
            <w:pPr>
              <w:pStyle w:val="Textpoznpodarou"/>
              <w:jc w:val="both"/>
              <w:rPr>
                <w:color w:val="0D0D0D" w:themeColor="text1" w:themeTint="F2"/>
                <w:spacing w:val="-4"/>
                <w:sz w:val="15"/>
                <w:szCs w:val="15"/>
                <w:lang w:val="en-GB"/>
              </w:rPr>
            </w:pPr>
          </w:p>
        </w:tc>
      </w:tr>
      <w:tr w:rsidR="007B0920" w:rsidRPr="00A74192" w:rsidTr="00CF0826">
        <w:trPr>
          <w:trHeight w:val="145"/>
        </w:trPr>
        <w:tc>
          <w:tcPr>
            <w:tcW w:w="1016" w:type="pct"/>
            <w:shd w:val="clear" w:color="auto" w:fill="auto"/>
          </w:tcPr>
          <w:p w:rsidR="007B0920" w:rsidRPr="00475076" w:rsidRDefault="00790C15" w:rsidP="00790C15">
            <w:pPr>
              <w:spacing w:line="240" w:lineRule="auto"/>
              <w:rPr>
                <w:spacing w:val="-2"/>
                <w:sz w:val="16"/>
                <w:szCs w:val="16"/>
                <w:lang w:val="en-GB"/>
              </w:rPr>
            </w:pPr>
            <w:r w:rsidRPr="00475076">
              <w:rPr>
                <w:spacing w:val="-2"/>
                <w:sz w:val="16"/>
                <w:szCs w:val="16"/>
                <w:lang w:val="en-GB"/>
              </w:rPr>
              <w:t xml:space="preserve">Sales in selected services accelerated and reached the fastest rate of growth following year </w:t>
            </w:r>
            <w:r w:rsidR="007B0920" w:rsidRPr="00475076">
              <w:rPr>
                <w:spacing w:val="-2"/>
                <w:sz w:val="16"/>
                <w:szCs w:val="16"/>
                <w:lang w:val="en-GB"/>
              </w:rPr>
              <w:t xml:space="preserve">2007. </w:t>
            </w:r>
          </w:p>
        </w:tc>
        <w:tc>
          <w:tcPr>
            <w:tcW w:w="144" w:type="pct"/>
          </w:tcPr>
          <w:p w:rsidR="007B0920" w:rsidRPr="00475076" w:rsidRDefault="007B0920" w:rsidP="00CF0826">
            <w:pPr>
              <w:pStyle w:val="Textpoznpodarou"/>
              <w:jc w:val="both"/>
              <w:rPr>
                <w:lang w:val="en-GB"/>
              </w:rPr>
            </w:pPr>
          </w:p>
        </w:tc>
        <w:tc>
          <w:tcPr>
            <w:tcW w:w="3840" w:type="pct"/>
          </w:tcPr>
          <w:p w:rsidR="007B0920" w:rsidRPr="00475076" w:rsidRDefault="00FC428D" w:rsidP="00840458">
            <w:pPr>
              <w:pStyle w:val="Textpoznpodarou"/>
              <w:jc w:val="both"/>
              <w:rPr>
                <w:color w:val="0D0D0D" w:themeColor="text1" w:themeTint="F2"/>
                <w:spacing w:val="-4"/>
                <w:lang w:val="en-GB"/>
              </w:rPr>
            </w:pPr>
            <w:r w:rsidRPr="00475076">
              <w:rPr>
                <w:spacing w:val="-4"/>
                <w:lang w:val="en-GB"/>
              </w:rPr>
              <w:t>Growth of sales in selected services</w:t>
            </w:r>
            <w:r w:rsidR="007B0920" w:rsidRPr="00475076">
              <w:rPr>
                <w:color w:val="0D0D0D" w:themeColor="text1" w:themeTint="F2"/>
                <w:spacing w:val="-4"/>
                <w:vertAlign w:val="superscript"/>
                <w:lang w:val="en-GB"/>
              </w:rPr>
              <w:footnoteReference w:id="23"/>
            </w:r>
            <w:r w:rsidR="007B0920" w:rsidRPr="00475076">
              <w:rPr>
                <w:color w:val="0D0D0D" w:themeColor="text1" w:themeTint="F2"/>
                <w:spacing w:val="-4"/>
                <w:lang w:val="en-GB"/>
              </w:rPr>
              <w:t xml:space="preserve"> </w:t>
            </w:r>
            <w:r w:rsidRPr="00475076">
              <w:rPr>
                <w:color w:val="0D0D0D" w:themeColor="text1" w:themeTint="F2"/>
                <w:spacing w:val="-4"/>
                <w:lang w:val="en-GB"/>
              </w:rPr>
              <w:t xml:space="preserve">accelerated to 4.2% in </w:t>
            </w:r>
            <w:r w:rsidR="007B0920" w:rsidRPr="00475076">
              <w:rPr>
                <w:color w:val="0D0D0D" w:themeColor="text1" w:themeTint="F2"/>
                <w:spacing w:val="-4"/>
                <w:lang w:val="en-GB"/>
              </w:rPr>
              <w:t>2017</w:t>
            </w:r>
            <w:r w:rsidRPr="00475076">
              <w:rPr>
                <w:color w:val="0D0D0D" w:themeColor="text1" w:themeTint="F2"/>
                <w:spacing w:val="-4"/>
                <w:lang w:val="en-GB"/>
              </w:rPr>
              <w:t xml:space="preserve"> </w:t>
            </w:r>
            <w:r w:rsidR="00F70C8E" w:rsidRPr="00475076">
              <w:rPr>
                <w:color w:val="0D0D0D" w:themeColor="text1" w:themeTint="F2"/>
                <w:spacing w:val="-4"/>
                <w:lang w:val="en-GB"/>
              </w:rPr>
              <w:t>(</w:t>
            </w:r>
            <w:r w:rsidR="00475076">
              <w:rPr>
                <w:color w:val="0D0D0D" w:themeColor="text1" w:themeTint="F2"/>
                <w:spacing w:val="-4"/>
                <w:lang w:val="en-GB"/>
              </w:rPr>
              <w:t xml:space="preserve">from </w:t>
            </w:r>
            <w:r w:rsidR="00F70C8E" w:rsidRPr="00475076">
              <w:rPr>
                <w:color w:val="0D0D0D" w:themeColor="text1" w:themeTint="F2"/>
                <w:spacing w:val="-4"/>
                <w:lang w:val="en-GB"/>
              </w:rPr>
              <w:t>0</w:t>
            </w:r>
            <w:r w:rsidR="00475076">
              <w:rPr>
                <w:color w:val="0D0D0D" w:themeColor="text1" w:themeTint="F2"/>
                <w:spacing w:val="-4"/>
                <w:lang w:val="en-GB"/>
              </w:rPr>
              <w:t>.</w:t>
            </w:r>
            <w:r w:rsidR="00F70C8E" w:rsidRPr="00475076">
              <w:rPr>
                <w:color w:val="0D0D0D" w:themeColor="text1" w:themeTint="F2"/>
                <w:spacing w:val="-4"/>
                <w:lang w:val="en-GB"/>
              </w:rPr>
              <w:t>8%</w:t>
            </w:r>
            <w:r w:rsidR="00475076">
              <w:rPr>
                <w:color w:val="0D0D0D" w:themeColor="text1" w:themeTint="F2"/>
                <w:spacing w:val="-4"/>
                <w:lang w:val="en-GB"/>
              </w:rPr>
              <w:t xml:space="preserve"> the year before last</w:t>
            </w:r>
            <w:r w:rsidR="00F70C8E" w:rsidRPr="00475076">
              <w:rPr>
                <w:color w:val="0D0D0D" w:themeColor="text1" w:themeTint="F2"/>
                <w:spacing w:val="-4"/>
                <w:lang w:val="en-GB"/>
              </w:rPr>
              <w:t>) a</w:t>
            </w:r>
            <w:r w:rsidRPr="00475076">
              <w:rPr>
                <w:color w:val="0D0D0D" w:themeColor="text1" w:themeTint="F2"/>
                <w:spacing w:val="-4"/>
                <w:lang w:val="en-GB"/>
              </w:rPr>
              <w:t xml:space="preserve">nd achieved the best year-on-year rate of growth in the last ten years. </w:t>
            </w:r>
            <w:r w:rsidR="00F70C8E" w:rsidRPr="00475076">
              <w:rPr>
                <w:color w:val="0D0D0D" w:themeColor="text1" w:themeTint="F2"/>
                <w:spacing w:val="-4"/>
                <w:lang w:val="en-GB"/>
              </w:rPr>
              <w:t>T</w:t>
            </w:r>
            <w:r w:rsidRPr="00475076">
              <w:rPr>
                <w:color w:val="0D0D0D" w:themeColor="text1" w:themeTint="F2"/>
                <w:spacing w:val="-4"/>
                <w:lang w:val="en-GB"/>
              </w:rPr>
              <w:t xml:space="preserve">his favourable shift was apparent </w:t>
            </w:r>
            <w:r w:rsidR="00475076" w:rsidRPr="00475076">
              <w:rPr>
                <w:color w:val="0D0D0D" w:themeColor="text1" w:themeTint="F2"/>
                <w:spacing w:val="-4"/>
                <w:lang w:val="en-GB"/>
              </w:rPr>
              <w:t>across</w:t>
            </w:r>
            <w:r w:rsidRPr="00475076">
              <w:rPr>
                <w:color w:val="0D0D0D" w:themeColor="text1" w:themeTint="F2"/>
                <w:spacing w:val="-4"/>
                <w:lang w:val="en-GB"/>
              </w:rPr>
              <w:t xml:space="preserve"> all </w:t>
            </w:r>
            <w:r w:rsidR="00475076">
              <w:rPr>
                <w:color w:val="0D0D0D" w:themeColor="text1" w:themeTint="F2"/>
                <w:spacing w:val="-4"/>
                <w:lang w:val="en-GB"/>
              </w:rPr>
              <w:t xml:space="preserve">activity sections </w:t>
            </w:r>
            <w:r w:rsidRPr="00475076">
              <w:rPr>
                <w:color w:val="0D0D0D" w:themeColor="text1" w:themeTint="F2"/>
                <w:spacing w:val="-4"/>
                <w:lang w:val="en-GB"/>
              </w:rPr>
              <w:t xml:space="preserve">of services </w:t>
            </w:r>
            <w:r w:rsidR="00F70C8E" w:rsidRPr="00475076">
              <w:rPr>
                <w:color w:val="0D0D0D" w:themeColor="text1" w:themeTint="F2"/>
                <w:spacing w:val="-4"/>
                <w:lang w:val="en-GB"/>
              </w:rPr>
              <w:t>(</w:t>
            </w:r>
            <w:r w:rsidRPr="00475076">
              <w:rPr>
                <w:color w:val="0D0D0D" w:themeColor="text1" w:themeTint="F2"/>
                <w:spacing w:val="-4"/>
                <w:lang w:val="en-GB"/>
              </w:rPr>
              <w:t>the most in professional, scientific and technical activities, the least in real estate activities</w:t>
            </w:r>
            <w:r w:rsidR="00F70C8E" w:rsidRPr="00475076">
              <w:rPr>
                <w:color w:val="0D0D0D" w:themeColor="text1" w:themeTint="F2"/>
                <w:spacing w:val="-4"/>
                <w:lang w:val="en-GB"/>
              </w:rPr>
              <w:t xml:space="preserve">). </w:t>
            </w:r>
            <w:r w:rsidR="00475076">
              <w:rPr>
                <w:color w:val="0D0D0D" w:themeColor="text1" w:themeTint="F2"/>
                <w:spacing w:val="-4"/>
                <w:lang w:val="en-GB"/>
              </w:rPr>
              <w:t>It is apparent from the quarter-on-quarter rates of growth, that the output acceleration of services started already in Q</w:t>
            </w:r>
            <w:r w:rsidR="00F70C8E" w:rsidRPr="00475076">
              <w:rPr>
                <w:color w:val="0D0D0D" w:themeColor="text1" w:themeTint="F2"/>
                <w:spacing w:val="-4"/>
                <w:lang w:val="en-GB"/>
              </w:rPr>
              <w:t>3</w:t>
            </w:r>
            <w:r w:rsidR="00475076">
              <w:rPr>
                <w:color w:val="0D0D0D" w:themeColor="text1" w:themeTint="F2"/>
                <w:spacing w:val="-4"/>
                <w:lang w:val="en-GB"/>
              </w:rPr>
              <w:t xml:space="preserve"> </w:t>
            </w:r>
            <w:r w:rsidR="00F70C8E" w:rsidRPr="00475076">
              <w:rPr>
                <w:color w:val="0D0D0D" w:themeColor="text1" w:themeTint="F2"/>
                <w:spacing w:val="-4"/>
                <w:lang w:val="en-GB"/>
              </w:rPr>
              <w:t xml:space="preserve">2016, </w:t>
            </w:r>
            <w:r w:rsidR="00475076">
              <w:rPr>
                <w:color w:val="0D0D0D" w:themeColor="text1" w:themeTint="F2"/>
                <w:spacing w:val="-4"/>
                <w:lang w:val="en-GB"/>
              </w:rPr>
              <w:t>it weakened during the year 2</w:t>
            </w:r>
            <w:r w:rsidR="00F70C8E" w:rsidRPr="00475076">
              <w:rPr>
                <w:color w:val="0D0D0D" w:themeColor="text1" w:themeTint="F2"/>
                <w:spacing w:val="-4"/>
                <w:lang w:val="en-GB"/>
              </w:rPr>
              <w:t>017</w:t>
            </w:r>
            <w:r w:rsidR="00475076">
              <w:rPr>
                <w:color w:val="0D0D0D" w:themeColor="text1" w:themeTint="F2"/>
                <w:spacing w:val="-4"/>
                <w:lang w:val="en-GB"/>
              </w:rPr>
              <w:t xml:space="preserve"> and the sales in fact already stagnated in Q</w:t>
            </w:r>
            <w:r w:rsidR="00F70C8E" w:rsidRPr="00475076">
              <w:rPr>
                <w:color w:val="0D0D0D" w:themeColor="text1" w:themeTint="F2"/>
                <w:spacing w:val="-4"/>
                <w:lang w:val="en-GB"/>
              </w:rPr>
              <w:t>4.</w:t>
            </w:r>
          </w:p>
          <w:p w:rsidR="00D309C0" w:rsidRPr="00475076" w:rsidRDefault="00D309C0" w:rsidP="00840458">
            <w:pPr>
              <w:pStyle w:val="Textpoznpodarou"/>
              <w:jc w:val="both"/>
              <w:rPr>
                <w:spacing w:val="-4"/>
                <w:sz w:val="15"/>
                <w:szCs w:val="15"/>
                <w:lang w:val="en-GB"/>
              </w:rPr>
            </w:pPr>
          </w:p>
        </w:tc>
      </w:tr>
      <w:tr w:rsidR="007B0920" w:rsidRPr="00DE32DB" w:rsidTr="00CF0826">
        <w:trPr>
          <w:trHeight w:val="145"/>
        </w:trPr>
        <w:tc>
          <w:tcPr>
            <w:tcW w:w="1016" w:type="pct"/>
          </w:tcPr>
          <w:p w:rsidR="007B0920" w:rsidRPr="00551147" w:rsidRDefault="00551147" w:rsidP="00CF0826">
            <w:pPr>
              <w:spacing w:line="240" w:lineRule="auto"/>
              <w:rPr>
                <w:spacing w:val="-2"/>
                <w:sz w:val="16"/>
                <w:szCs w:val="16"/>
                <w:lang w:val="en-GB"/>
              </w:rPr>
            </w:pPr>
            <w:r w:rsidRPr="00551147">
              <w:rPr>
                <w:spacing w:val="-2"/>
                <w:sz w:val="16"/>
                <w:szCs w:val="16"/>
                <w:lang w:val="en-GB"/>
              </w:rPr>
              <w:t xml:space="preserve">Transport and </w:t>
            </w:r>
            <w:r w:rsidR="003B7F20">
              <w:rPr>
                <w:spacing w:val="-2"/>
                <w:sz w:val="16"/>
                <w:szCs w:val="16"/>
                <w:lang w:val="en-GB"/>
              </w:rPr>
              <w:t xml:space="preserve">storage </w:t>
            </w:r>
            <w:r w:rsidRPr="00551147">
              <w:rPr>
                <w:spacing w:val="-2"/>
                <w:sz w:val="16"/>
                <w:szCs w:val="16"/>
                <w:lang w:val="en-GB"/>
              </w:rPr>
              <w:t xml:space="preserve">and branch accommodation, food service and restaurants </w:t>
            </w:r>
            <w:r w:rsidRPr="00551147">
              <w:rPr>
                <w:spacing w:val="-2"/>
                <w:sz w:val="16"/>
                <w:szCs w:val="16"/>
                <w:lang w:val="en-GB"/>
              </w:rPr>
              <w:lastRenderedPageBreak/>
              <w:t xml:space="preserve">contributed the most to the growth of sales in services last year. </w:t>
            </w: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4A5155" w:rsidP="00CF0826">
            <w:pPr>
              <w:spacing w:line="240" w:lineRule="auto"/>
              <w:rPr>
                <w:spacing w:val="-4"/>
                <w:sz w:val="16"/>
                <w:szCs w:val="16"/>
                <w:lang w:val="en-GB"/>
              </w:rPr>
            </w:pPr>
            <w:r>
              <w:rPr>
                <w:spacing w:val="-4"/>
                <w:sz w:val="16"/>
                <w:szCs w:val="16"/>
                <w:lang w:val="en-GB"/>
              </w:rPr>
              <w:t xml:space="preserve">Strong demand in the long term for information activities, programming or services of job agencies prevailed. Positive turn was apparent at travel offices and agencies.  </w:t>
            </w: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7B0920" w:rsidP="00CF0826">
            <w:pPr>
              <w:spacing w:line="240" w:lineRule="auto"/>
              <w:rPr>
                <w:spacing w:val="-2"/>
                <w:sz w:val="16"/>
                <w:szCs w:val="16"/>
                <w:lang w:val="en-GB"/>
              </w:rPr>
            </w:pPr>
          </w:p>
          <w:p w:rsidR="007B0920" w:rsidRPr="00551147" w:rsidRDefault="00A95AF3" w:rsidP="00CF0826">
            <w:pPr>
              <w:spacing w:line="240" w:lineRule="auto"/>
              <w:rPr>
                <w:spacing w:val="-2"/>
                <w:sz w:val="16"/>
                <w:szCs w:val="16"/>
                <w:lang w:val="en-GB"/>
              </w:rPr>
            </w:pPr>
            <w:r>
              <w:rPr>
                <w:spacing w:val="-4"/>
                <w:sz w:val="16"/>
                <w:szCs w:val="16"/>
                <w:lang w:val="en-GB"/>
              </w:rPr>
              <w:t xml:space="preserve">The revival of construction was reflected in sales of the architectural and engineering activities.  </w:t>
            </w:r>
          </w:p>
          <w:p w:rsidR="007B0920" w:rsidRPr="00551147" w:rsidRDefault="007B0920" w:rsidP="00CF0826">
            <w:pPr>
              <w:spacing w:line="240" w:lineRule="auto"/>
              <w:rPr>
                <w:spacing w:val="-2"/>
                <w:sz w:val="16"/>
                <w:szCs w:val="16"/>
                <w:lang w:val="en-GB"/>
              </w:rPr>
            </w:pPr>
          </w:p>
        </w:tc>
        <w:tc>
          <w:tcPr>
            <w:tcW w:w="144" w:type="pct"/>
          </w:tcPr>
          <w:p w:rsidR="007B0920" w:rsidRPr="00551147" w:rsidRDefault="007B0920" w:rsidP="00CF0826">
            <w:pPr>
              <w:pStyle w:val="Textpoznpodarou"/>
              <w:jc w:val="both"/>
              <w:rPr>
                <w:lang w:val="en-GB"/>
              </w:rPr>
            </w:pPr>
          </w:p>
        </w:tc>
        <w:tc>
          <w:tcPr>
            <w:tcW w:w="3840" w:type="pct"/>
          </w:tcPr>
          <w:p w:rsidR="00CE31D8" w:rsidRPr="00CE31D8" w:rsidRDefault="00DF6F6E" w:rsidP="00846891">
            <w:pPr>
              <w:pStyle w:val="Textpoznpodarou"/>
              <w:jc w:val="both"/>
              <w:rPr>
                <w:color w:val="000000" w:themeColor="text1"/>
                <w:spacing w:val="-4"/>
                <w:lang w:val="en-GB"/>
              </w:rPr>
            </w:pPr>
            <w:r>
              <w:rPr>
                <w:spacing w:val="-4"/>
                <w:lang w:val="en-GB"/>
              </w:rPr>
              <w:t>Branch transport and warehousing contributed to the year-on-year growth of sales in services for the most part of year 2017, only in Q2 the role of this branch temporarily weakened to the benefit of the information and communication and a</w:t>
            </w:r>
            <w:r w:rsidR="00FF5A33">
              <w:rPr>
                <w:spacing w:val="-4"/>
                <w:lang w:val="en-GB"/>
              </w:rPr>
              <w:t>l</w:t>
            </w:r>
            <w:r>
              <w:rPr>
                <w:spacing w:val="-4"/>
                <w:lang w:val="en-GB"/>
              </w:rPr>
              <w:t xml:space="preserve">so </w:t>
            </w:r>
            <w:r>
              <w:rPr>
                <w:spacing w:val="-4"/>
                <w:lang w:val="en-GB"/>
              </w:rPr>
              <w:lastRenderedPageBreak/>
              <w:t xml:space="preserve">accommodation, food service and restaurants. </w:t>
            </w:r>
            <w:r w:rsidR="00A803A1">
              <w:rPr>
                <w:spacing w:val="-4"/>
                <w:lang w:val="en-GB"/>
              </w:rPr>
              <w:t xml:space="preserve">Storage and other transportation support activities </w:t>
            </w:r>
            <w:r w:rsidR="00C73ED2">
              <w:rPr>
                <w:color w:val="000000" w:themeColor="text1"/>
                <w:spacing w:val="-4"/>
                <w:lang w:val="en-GB"/>
              </w:rPr>
              <w:t>added the most to the growth of sales in transportation and storage</w:t>
            </w:r>
            <w:r w:rsidR="00A803A1">
              <w:rPr>
                <w:color w:val="000000" w:themeColor="text1"/>
                <w:spacing w:val="-4"/>
                <w:lang w:val="en-GB"/>
              </w:rPr>
              <w:t xml:space="preserve"> (+3.8%)</w:t>
            </w:r>
            <w:r w:rsidR="00A84D59">
              <w:rPr>
                <w:color w:val="000000" w:themeColor="text1"/>
                <w:spacing w:val="-4"/>
                <w:lang w:val="en-GB"/>
              </w:rPr>
              <w:t xml:space="preserve"> last years</w:t>
            </w:r>
            <w:r w:rsidR="00846891" w:rsidRPr="00551147">
              <w:rPr>
                <w:color w:val="000000" w:themeColor="text1"/>
                <w:spacing w:val="-4"/>
                <w:lang w:val="en-GB"/>
              </w:rPr>
              <w:t xml:space="preserve">, </w:t>
            </w:r>
            <w:r w:rsidR="00A84D59">
              <w:rPr>
                <w:color w:val="000000" w:themeColor="text1"/>
                <w:spacing w:val="-4"/>
                <w:lang w:val="en-GB"/>
              </w:rPr>
              <w:t xml:space="preserve">they profited from the dynamic development in both industry and trade. Development of tourism was reflected in more than </w:t>
            </w:r>
            <w:r w:rsidR="00846891" w:rsidRPr="00551147">
              <w:rPr>
                <w:color w:val="000000" w:themeColor="text1"/>
                <w:spacing w:val="-4"/>
                <w:lang w:val="en-GB"/>
              </w:rPr>
              <w:t xml:space="preserve">10% </w:t>
            </w:r>
            <w:r w:rsidR="00A84D59">
              <w:rPr>
                <w:color w:val="000000" w:themeColor="text1"/>
                <w:spacing w:val="-4"/>
                <w:lang w:val="en-GB"/>
              </w:rPr>
              <w:t xml:space="preserve">growth of sales in the air transportation </w:t>
            </w:r>
            <w:r w:rsidR="00846891" w:rsidRPr="00551147">
              <w:rPr>
                <w:color w:val="000000" w:themeColor="text1"/>
                <w:spacing w:val="-4"/>
                <w:lang w:val="en-GB"/>
              </w:rPr>
              <w:t>(</w:t>
            </w:r>
            <w:r w:rsidR="00A84D59">
              <w:rPr>
                <w:color w:val="000000" w:themeColor="text1"/>
                <w:spacing w:val="-4"/>
                <w:lang w:val="en-GB"/>
              </w:rPr>
              <w:t xml:space="preserve">the highest after year </w:t>
            </w:r>
            <w:r w:rsidR="00846891" w:rsidRPr="00551147">
              <w:rPr>
                <w:color w:val="000000" w:themeColor="text1"/>
                <w:spacing w:val="-4"/>
                <w:lang w:val="en-GB"/>
              </w:rPr>
              <w:t xml:space="preserve">2005). </w:t>
            </w:r>
            <w:r w:rsidR="00A84D59">
              <w:rPr>
                <w:color w:val="000000" w:themeColor="text1"/>
                <w:spacing w:val="-4"/>
                <w:lang w:val="en-GB"/>
              </w:rPr>
              <w:t xml:space="preserve">In the section of transport, higher transport </w:t>
            </w:r>
            <w:r w:rsidR="00CA6B87">
              <w:rPr>
                <w:color w:val="000000" w:themeColor="text1"/>
                <w:spacing w:val="-4"/>
                <w:lang w:val="en-GB"/>
              </w:rPr>
              <w:t xml:space="preserve">freight rates </w:t>
            </w:r>
            <w:r w:rsidR="00B40879">
              <w:rPr>
                <w:color w:val="000000" w:themeColor="text1"/>
                <w:spacing w:val="-4"/>
                <w:lang w:val="en-GB"/>
              </w:rPr>
              <w:t>were evident (</w:t>
            </w:r>
            <w:r w:rsidR="005C571E">
              <w:rPr>
                <w:color w:val="000000" w:themeColor="text1"/>
                <w:spacing w:val="-4"/>
                <w:lang w:val="en-GB"/>
              </w:rPr>
              <w:t xml:space="preserve">based on data </w:t>
            </w:r>
            <w:r w:rsidR="00CA6B87">
              <w:rPr>
                <w:color w:val="000000" w:themeColor="text1"/>
                <w:spacing w:val="-4"/>
                <w:lang w:val="en-GB"/>
              </w:rPr>
              <w:t>for Q1 to Q</w:t>
            </w:r>
            <w:r w:rsidR="00846891" w:rsidRPr="00551147">
              <w:rPr>
                <w:color w:val="000000" w:themeColor="text1"/>
                <w:spacing w:val="-4"/>
                <w:lang w:val="en-GB"/>
              </w:rPr>
              <w:t>3</w:t>
            </w:r>
            <w:r w:rsidR="00CA6B87">
              <w:rPr>
                <w:color w:val="000000" w:themeColor="text1"/>
                <w:spacing w:val="-4"/>
                <w:lang w:val="en-GB"/>
              </w:rPr>
              <w:t xml:space="preserve"> </w:t>
            </w:r>
            <w:r w:rsidR="005C571E">
              <w:rPr>
                <w:color w:val="000000" w:themeColor="text1"/>
                <w:spacing w:val="-4"/>
                <w:lang w:val="en-GB"/>
              </w:rPr>
              <w:t xml:space="preserve">they </w:t>
            </w:r>
            <w:r w:rsidR="00CA6B87">
              <w:rPr>
                <w:color w:val="000000" w:themeColor="text1"/>
                <w:spacing w:val="-4"/>
                <w:lang w:val="en-GB"/>
              </w:rPr>
              <w:t>grew year-on-year in all main types of transport</w:t>
            </w:r>
            <w:r w:rsidR="005C571E">
              <w:rPr>
                <w:color w:val="000000" w:themeColor="text1"/>
                <w:spacing w:val="-4"/>
                <w:lang w:val="en-GB"/>
              </w:rPr>
              <w:t>)</w:t>
            </w:r>
            <w:r w:rsidR="00846891" w:rsidRPr="00551147">
              <w:rPr>
                <w:color w:val="000000" w:themeColor="text1"/>
                <w:spacing w:val="-4"/>
                <w:lang w:val="en-GB"/>
              </w:rPr>
              <w:t xml:space="preserve">. </w:t>
            </w:r>
            <w:r w:rsidR="003B2721">
              <w:rPr>
                <w:color w:val="000000" w:themeColor="text1"/>
                <w:spacing w:val="-4"/>
                <w:lang w:val="en-GB"/>
              </w:rPr>
              <w:t xml:space="preserve">Increased mobility was connected to tourism, but the higher commuting to work likely also had an impact </w:t>
            </w:r>
            <w:r w:rsidR="00846891" w:rsidRPr="00551147">
              <w:rPr>
                <w:color w:val="000000" w:themeColor="text1"/>
                <w:spacing w:val="-4"/>
                <w:lang w:val="en-GB"/>
              </w:rPr>
              <w:t>(</w:t>
            </w:r>
            <w:r w:rsidR="003B2721">
              <w:rPr>
                <w:color w:val="000000" w:themeColor="text1"/>
                <w:spacing w:val="-4"/>
                <w:lang w:val="en-GB"/>
              </w:rPr>
              <w:t>in association to the record number of employed</w:t>
            </w:r>
            <w:r w:rsidR="00846891" w:rsidRPr="00551147">
              <w:rPr>
                <w:color w:val="000000" w:themeColor="text1"/>
                <w:spacing w:val="-4"/>
                <w:lang w:val="en-GB"/>
              </w:rPr>
              <w:t xml:space="preserve">). </w:t>
            </w:r>
            <w:r w:rsidR="003B2721">
              <w:rPr>
                <w:color w:val="000000" w:themeColor="text1"/>
                <w:spacing w:val="-4"/>
                <w:lang w:val="en-GB"/>
              </w:rPr>
              <w:t xml:space="preserve">The dynamic growth in accommodation continued last year </w:t>
            </w:r>
            <w:r w:rsidR="00846891" w:rsidRPr="00551147">
              <w:rPr>
                <w:color w:val="000000" w:themeColor="text1"/>
                <w:spacing w:val="-4"/>
                <w:lang w:val="en-GB"/>
              </w:rPr>
              <w:t>(+8</w:t>
            </w:r>
            <w:r w:rsidR="003B2721">
              <w:rPr>
                <w:color w:val="000000" w:themeColor="text1"/>
                <w:spacing w:val="-4"/>
                <w:lang w:val="en-GB"/>
              </w:rPr>
              <w:t>.</w:t>
            </w:r>
            <w:r w:rsidR="00846891" w:rsidRPr="00551147">
              <w:rPr>
                <w:color w:val="000000" w:themeColor="text1"/>
                <w:spacing w:val="-4"/>
                <w:lang w:val="en-GB"/>
              </w:rPr>
              <w:t>1%)</w:t>
            </w:r>
            <w:r w:rsidR="003B2721">
              <w:rPr>
                <w:color w:val="000000" w:themeColor="text1"/>
                <w:spacing w:val="-4"/>
                <w:lang w:val="en-GB"/>
              </w:rPr>
              <w:t xml:space="preserve"> as well as in food service and restaurants </w:t>
            </w:r>
            <w:r w:rsidR="00846891" w:rsidRPr="00551147">
              <w:rPr>
                <w:color w:val="000000" w:themeColor="text1"/>
                <w:spacing w:val="-4"/>
                <w:lang w:val="en-GB"/>
              </w:rPr>
              <w:t>(+10</w:t>
            </w:r>
            <w:r w:rsidR="00816DDF">
              <w:rPr>
                <w:color w:val="000000" w:themeColor="text1"/>
                <w:spacing w:val="-4"/>
                <w:lang w:val="en-GB"/>
              </w:rPr>
              <w:t>.</w:t>
            </w:r>
            <w:r w:rsidR="00846891" w:rsidRPr="00551147">
              <w:rPr>
                <w:color w:val="000000" w:themeColor="text1"/>
                <w:spacing w:val="-4"/>
                <w:lang w:val="en-GB"/>
              </w:rPr>
              <w:t xml:space="preserve">0%). </w:t>
            </w:r>
            <w:r w:rsidR="00816DDF">
              <w:rPr>
                <w:color w:val="000000" w:themeColor="text1"/>
                <w:spacing w:val="-4"/>
                <w:lang w:val="en-GB"/>
              </w:rPr>
              <w:t>Both partial branches benefited from the growing household consumption as well as the development of the incoming tourism</w:t>
            </w:r>
            <w:r w:rsidR="00846891" w:rsidRPr="00551147">
              <w:rPr>
                <w:rStyle w:val="Znakapoznpodarou"/>
                <w:spacing w:val="-4"/>
                <w:lang w:val="en-GB"/>
              </w:rPr>
              <w:footnoteReference w:id="24"/>
            </w:r>
            <w:r w:rsidR="00846891" w:rsidRPr="00551147">
              <w:rPr>
                <w:spacing w:val="-4"/>
                <w:lang w:val="en-GB"/>
              </w:rPr>
              <w:t xml:space="preserve">. </w:t>
            </w:r>
            <w:r w:rsidR="00F8630A">
              <w:rPr>
                <w:spacing w:val="-4"/>
                <w:lang w:val="en-GB"/>
              </w:rPr>
              <w:t xml:space="preserve">Number of overnight stays of guests in the mass accommodation facilities rose by </w:t>
            </w:r>
            <w:r w:rsidR="00846891" w:rsidRPr="00551147">
              <w:rPr>
                <w:spacing w:val="-4"/>
                <w:lang w:val="en-GB"/>
              </w:rPr>
              <w:t>7</w:t>
            </w:r>
            <w:r w:rsidR="00F8630A">
              <w:rPr>
                <w:spacing w:val="-4"/>
                <w:lang w:val="en-GB"/>
              </w:rPr>
              <w:t>.</w:t>
            </w:r>
            <w:r w:rsidR="00846891" w:rsidRPr="00551147">
              <w:rPr>
                <w:spacing w:val="-4"/>
                <w:lang w:val="en-GB"/>
              </w:rPr>
              <w:t xml:space="preserve">3%. </w:t>
            </w:r>
            <w:r w:rsidR="00F8630A">
              <w:rPr>
                <w:spacing w:val="-4"/>
                <w:lang w:val="en-GB"/>
              </w:rPr>
              <w:t xml:space="preserve">Strong demand after the processing of data, web portals and hosting, programming and advisory in the IT area pushed information and communication branch in the long term </w:t>
            </w:r>
            <w:r w:rsidR="00846891" w:rsidRPr="00551147">
              <w:rPr>
                <w:color w:val="0D0D0D" w:themeColor="text1" w:themeTint="F2"/>
                <w:spacing w:val="-4"/>
                <w:lang w:val="en-GB"/>
              </w:rPr>
              <w:t>(+3</w:t>
            </w:r>
            <w:r w:rsidR="00F8630A">
              <w:rPr>
                <w:color w:val="0D0D0D" w:themeColor="text1" w:themeTint="F2"/>
                <w:spacing w:val="-4"/>
                <w:lang w:val="en-GB"/>
              </w:rPr>
              <w:t>.</w:t>
            </w:r>
            <w:r w:rsidR="00846891" w:rsidRPr="00551147">
              <w:rPr>
                <w:color w:val="0D0D0D" w:themeColor="text1" w:themeTint="F2"/>
                <w:spacing w:val="-4"/>
                <w:lang w:val="en-GB"/>
              </w:rPr>
              <w:t>9%)</w:t>
            </w:r>
            <w:r w:rsidR="00F8630A">
              <w:rPr>
                <w:color w:val="0D0D0D" w:themeColor="text1" w:themeTint="F2"/>
                <w:spacing w:val="-4"/>
                <w:lang w:val="en-GB"/>
              </w:rPr>
              <w:t xml:space="preserve">. </w:t>
            </w:r>
            <w:r w:rsidR="00A264F5">
              <w:rPr>
                <w:color w:val="0D0D0D" w:themeColor="text1" w:themeTint="F2"/>
                <w:spacing w:val="-4"/>
                <w:lang w:val="en-GB"/>
              </w:rPr>
              <w:t xml:space="preserve">Travel agencies, offices </w:t>
            </w:r>
            <w:r w:rsidR="00A264F5" w:rsidRPr="00551147">
              <w:rPr>
                <w:color w:val="000000" w:themeColor="text1"/>
                <w:spacing w:val="-4"/>
                <w:lang w:val="en-GB"/>
              </w:rPr>
              <w:t>(+9</w:t>
            </w:r>
            <w:r w:rsidR="00A264F5">
              <w:rPr>
                <w:color w:val="000000" w:themeColor="text1"/>
                <w:spacing w:val="-4"/>
                <w:lang w:val="en-GB"/>
              </w:rPr>
              <w:t>.</w:t>
            </w:r>
            <w:r w:rsidR="00A264F5" w:rsidRPr="00551147">
              <w:rPr>
                <w:color w:val="000000" w:themeColor="text1"/>
                <w:spacing w:val="-4"/>
                <w:lang w:val="en-GB"/>
              </w:rPr>
              <w:t xml:space="preserve">0%, </w:t>
            </w:r>
            <w:r w:rsidR="00A264F5">
              <w:rPr>
                <w:color w:val="000000" w:themeColor="text1"/>
                <w:spacing w:val="-4"/>
                <w:lang w:val="en-GB"/>
              </w:rPr>
              <w:t xml:space="preserve">even though sales fell in total by nearly one fifth in years </w:t>
            </w:r>
            <w:r w:rsidR="00A264F5" w:rsidRPr="00551147">
              <w:rPr>
                <w:color w:val="000000" w:themeColor="text1"/>
                <w:spacing w:val="-4"/>
                <w:lang w:val="en-GB"/>
              </w:rPr>
              <w:t xml:space="preserve">2013 </w:t>
            </w:r>
            <w:r w:rsidR="00A264F5">
              <w:rPr>
                <w:color w:val="000000" w:themeColor="text1"/>
                <w:spacing w:val="-4"/>
                <w:lang w:val="en-GB"/>
              </w:rPr>
              <w:t xml:space="preserve">to </w:t>
            </w:r>
            <w:r w:rsidR="00A264F5" w:rsidRPr="00551147">
              <w:rPr>
                <w:color w:val="000000" w:themeColor="text1"/>
                <w:spacing w:val="-4"/>
                <w:lang w:val="en-GB"/>
              </w:rPr>
              <w:t>2016)</w:t>
            </w:r>
            <w:r w:rsidR="00A264F5">
              <w:rPr>
                <w:color w:val="000000" w:themeColor="text1"/>
                <w:spacing w:val="-4"/>
                <w:lang w:val="en-GB"/>
              </w:rPr>
              <w:t xml:space="preserve"> </w:t>
            </w:r>
            <w:r w:rsidR="00A264F5">
              <w:rPr>
                <w:color w:val="0D0D0D" w:themeColor="text1" w:themeTint="F2"/>
                <w:spacing w:val="-4"/>
                <w:lang w:val="en-GB"/>
              </w:rPr>
              <w:t>contributed to the growth of the a</w:t>
            </w:r>
            <w:r w:rsidR="00002F5C">
              <w:rPr>
                <w:color w:val="0D0D0D" w:themeColor="text1" w:themeTint="F2"/>
                <w:spacing w:val="-4"/>
                <w:lang w:val="en-GB"/>
              </w:rPr>
              <w:t>dmini</w:t>
            </w:r>
            <w:r w:rsidR="00A264F5">
              <w:rPr>
                <w:color w:val="0D0D0D" w:themeColor="text1" w:themeTint="F2"/>
                <w:spacing w:val="-4"/>
                <w:lang w:val="en-GB"/>
              </w:rPr>
              <w:t xml:space="preserve">strative and support service activities </w:t>
            </w:r>
            <w:r w:rsidR="00846891" w:rsidRPr="00551147">
              <w:rPr>
                <w:spacing w:val="-4"/>
                <w:lang w:val="en-GB"/>
              </w:rPr>
              <w:t>(+6</w:t>
            </w:r>
            <w:r w:rsidR="00A264F5">
              <w:rPr>
                <w:spacing w:val="-4"/>
                <w:lang w:val="en-GB"/>
              </w:rPr>
              <w:t>.</w:t>
            </w:r>
            <w:r w:rsidR="00846891" w:rsidRPr="00551147">
              <w:rPr>
                <w:spacing w:val="-4"/>
                <w:lang w:val="en-GB"/>
              </w:rPr>
              <w:t>7%)</w:t>
            </w:r>
            <w:r w:rsidR="00A264F5">
              <w:rPr>
                <w:spacing w:val="-4"/>
                <w:lang w:val="en-GB"/>
              </w:rPr>
              <w:t xml:space="preserve">. The </w:t>
            </w:r>
            <w:r w:rsidR="00A03965">
              <w:rPr>
                <w:spacing w:val="-4"/>
                <w:lang w:val="en-GB"/>
              </w:rPr>
              <w:t>double-digit</w:t>
            </w:r>
            <w:r w:rsidR="00A264F5">
              <w:rPr>
                <w:spacing w:val="-4"/>
                <w:lang w:val="en-GB"/>
              </w:rPr>
              <w:t xml:space="preserve"> growth of sales of the job agencies also continued. </w:t>
            </w:r>
            <w:r w:rsidR="00A03965">
              <w:rPr>
                <w:spacing w:val="-4"/>
                <w:lang w:val="en-GB"/>
              </w:rPr>
              <w:t xml:space="preserve">Branch professional, scientific and technical activities strengthened by </w:t>
            </w:r>
            <w:r w:rsidR="00846891" w:rsidRPr="00551147">
              <w:rPr>
                <w:spacing w:val="-4"/>
                <w:lang w:val="en-GB"/>
              </w:rPr>
              <w:t>2</w:t>
            </w:r>
            <w:r w:rsidR="00A03965">
              <w:rPr>
                <w:spacing w:val="-4"/>
                <w:lang w:val="en-GB"/>
              </w:rPr>
              <w:t>.</w:t>
            </w:r>
            <w:r w:rsidR="00846891" w:rsidRPr="00551147">
              <w:rPr>
                <w:spacing w:val="-4"/>
                <w:lang w:val="en-GB"/>
              </w:rPr>
              <w:t>6% a</w:t>
            </w:r>
            <w:r w:rsidR="00A03965">
              <w:rPr>
                <w:spacing w:val="-4"/>
                <w:lang w:val="en-GB"/>
              </w:rPr>
              <w:t>nd recorded only the second year-on-year growth following year 2</w:t>
            </w:r>
            <w:r w:rsidR="00846891" w:rsidRPr="00551147">
              <w:rPr>
                <w:spacing w:val="-4"/>
                <w:lang w:val="en-GB"/>
              </w:rPr>
              <w:t xml:space="preserve">008. </w:t>
            </w:r>
            <w:r w:rsidR="00E16157">
              <w:rPr>
                <w:spacing w:val="-4"/>
                <w:lang w:val="en-GB"/>
              </w:rPr>
              <w:t xml:space="preserve">Revival in the architectural and engineering activities also manifested </w:t>
            </w:r>
            <w:r w:rsidR="00846891" w:rsidRPr="00551147">
              <w:rPr>
                <w:color w:val="000000" w:themeColor="text1"/>
                <w:spacing w:val="-4"/>
                <w:lang w:val="en-GB"/>
              </w:rPr>
              <w:t>(+1</w:t>
            </w:r>
            <w:r w:rsidR="00E16157">
              <w:rPr>
                <w:color w:val="000000" w:themeColor="text1"/>
                <w:spacing w:val="-4"/>
                <w:lang w:val="en-GB"/>
              </w:rPr>
              <w:t>.</w:t>
            </w:r>
            <w:r w:rsidR="00846891" w:rsidRPr="00551147">
              <w:rPr>
                <w:color w:val="000000" w:themeColor="text1"/>
                <w:spacing w:val="-4"/>
                <w:lang w:val="en-GB"/>
              </w:rPr>
              <w:t>2%, -9</w:t>
            </w:r>
            <w:r w:rsidR="00E16157">
              <w:rPr>
                <w:color w:val="000000" w:themeColor="text1"/>
                <w:spacing w:val="-4"/>
                <w:lang w:val="en-GB"/>
              </w:rPr>
              <w:t>.</w:t>
            </w:r>
            <w:r w:rsidR="00846891" w:rsidRPr="00551147">
              <w:rPr>
                <w:color w:val="000000" w:themeColor="text1"/>
                <w:spacing w:val="-4"/>
                <w:lang w:val="en-GB"/>
              </w:rPr>
              <w:t>3%</w:t>
            </w:r>
            <w:r w:rsidR="00E16157">
              <w:rPr>
                <w:color w:val="000000" w:themeColor="text1"/>
                <w:spacing w:val="-4"/>
                <w:lang w:val="en-GB"/>
              </w:rPr>
              <w:t xml:space="preserve"> the year ago</w:t>
            </w:r>
            <w:r w:rsidR="00846891" w:rsidRPr="00551147">
              <w:rPr>
                <w:color w:val="000000" w:themeColor="text1"/>
                <w:spacing w:val="-4"/>
                <w:lang w:val="en-GB"/>
              </w:rPr>
              <w:t>)</w:t>
            </w:r>
            <w:r w:rsidR="00E16157">
              <w:rPr>
                <w:color w:val="000000" w:themeColor="text1"/>
                <w:spacing w:val="-4"/>
                <w:lang w:val="en-GB"/>
              </w:rPr>
              <w:t xml:space="preserve"> and was connected with the better performance of especially the building construction. </w:t>
            </w:r>
            <w:r w:rsidR="00201E7B">
              <w:rPr>
                <w:color w:val="000000" w:themeColor="text1"/>
                <w:spacing w:val="-4"/>
                <w:lang w:val="en-GB"/>
              </w:rPr>
              <w:t xml:space="preserve">Growth of demand for legal and accounting activities continued for already third year. While sales for the market research and public opinion polling were rising, </w:t>
            </w:r>
            <w:r w:rsidR="00563270">
              <w:rPr>
                <w:color w:val="000000" w:themeColor="text1"/>
                <w:spacing w:val="-4"/>
                <w:lang w:val="en-GB"/>
              </w:rPr>
              <w:t>they on the contrary somewhat decreased for the advertising activities.</w:t>
            </w:r>
          </w:p>
        </w:tc>
      </w:tr>
    </w:tbl>
    <w:p w:rsidR="007B0920" w:rsidRPr="00535F78"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E62A33" w:rsidRDefault="00945904" w:rsidP="00945904">
            <w:pPr>
              <w:pStyle w:val="Textpoznpodarou"/>
              <w:jc w:val="both"/>
              <w:rPr>
                <w:spacing w:val="-2"/>
                <w:highlight w:val="yellow"/>
              </w:rPr>
            </w:pPr>
            <w:r>
              <w:rPr>
                <w:color w:val="000000"/>
                <w:spacing w:val="-2"/>
              </w:rPr>
              <w:t>Chart 8</w:t>
            </w:r>
          </w:p>
        </w:tc>
        <w:tc>
          <w:tcPr>
            <w:tcW w:w="3333" w:type="pct"/>
          </w:tcPr>
          <w:p w:rsidR="007B0920" w:rsidRPr="002133D5" w:rsidRDefault="008A6F67" w:rsidP="00CF0826">
            <w:pPr>
              <w:pStyle w:val="Textpoznpodarou"/>
              <w:rPr>
                <w:b/>
                <w:spacing w:val="-2"/>
                <w:lang w:val="en-GB"/>
              </w:rPr>
            </w:pPr>
            <w:r w:rsidRPr="008A6F67">
              <w:rPr>
                <w:b/>
                <w:spacing w:val="-2"/>
                <w:lang w:val="en-GB"/>
              </w:rPr>
              <w:t>Sales in services</w:t>
            </w:r>
            <w:r w:rsidR="007B0920" w:rsidRPr="008A6F67">
              <w:rPr>
                <w:b/>
                <w:spacing w:val="-2"/>
                <w:lang w:val="en-GB"/>
              </w:rPr>
              <w:t>* a</w:t>
            </w:r>
            <w:r w:rsidRPr="008A6F67">
              <w:rPr>
                <w:b/>
                <w:spacing w:val="-2"/>
                <w:lang w:val="en-GB"/>
              </w:rPr>
              <w:t>nd their selected branch sections</w:t>
            </w:r>
            <w:r w:rsidR="007B0920" w:rsidRPr="008A6F67">
              <w:rPr>
                <w:b/>
                <w:spacing w:val="-2"/>
                <w:lang w:val="en-GB"/>
              </w:rPr>
              <w:t xml:space="preserve"> </w:t>
            </w:r>
            <w:r w:rsidR="007B0920" w:rsidRPr="008A6F67">
              <w:rPr>
                <w:bCs/>
                <w:spacing w:val="-2"/>
                <w:lang w:val="en-GB"/>
              </w:rPr>
              <w:t>(</w:t>
            </w:r>
            <w:r>
              <w:rPr>
                <w:bCs/>
                <w:spacing w:val="-2"/>
                <w:lang w:val="en-GB"/>
              </w:rPr>
              <w:t xml:space="preserve">in real terms, adjusted for effects of number of working days, year-on-year in </w:t>
            </w:r>
            <w:r w:rsidR="007B0920" w:rsidRPr="008A6F67">
              <w:rPr>
                <w:bCs/>
                <w:spacing w:val="-2"/>
                <w:lang w:val="en-GB"/>
              </w:rPr>
              <w:t>%)</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E479D8" w:rsidRPr="002133D5" w:rsidRDefault="00F96E38" w:rsidP="002133D5">
            <w:pPr>
              <w:pStyle w:val="Textpoznpodarou"/>
              <w:ind w:left="-124"/>
              <w:rPr>
                <w:sz w:val="14"/>
                <w:szCs w:val="14"/>
              </w:rPr>
            </w:pPr>
            <w:r>
              <w:rPr>
                <w:noProof/>
                <w:color w:val="0D0D0D" w:themeColor="text1" w:themeTint="F2"/>
                <w:spacing w:val="-4"/>
                <w:sz w:val="14"/>
                <w:szCs w:val="14"/>
              </w:rPr>
              <w:drawing>
                <wp:inline distT="0" distB="0" distL="0" distR="0">
                  <wp:extent cx="4743450" cy="3244850"/>
                  <wp:effectExtent l="19050" t="0" r="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B0920" w:rsidRPr="00612A06">
              <w:rPr>
                <w:color w:val="0D0D0D" w:themeColor="text1" w:themeTint="F2"/>
                <w:spacing w:val="-4"/>
                <w:sz w:val="14"/>
                <w:szCs w:val="14"/>
              </w:rPr>
              <w:t>*</w:t>
            </w:r>
            <w:r w:rsidR="00E479D8" w:rsidRPr="004A59E4">
              <w:rPr>
                <w:color w:val="0D0D0D" w:themeColor="text1" w:themeTint="F2"/>
                <w:spacing w:val="-4"/>
                <w:sz w:val="14"/>
                <w:szCs w:val="14"/>
                <w:lang w:val="en-GB"/>
              </w:rPr>
              <w:t xml:space="preserve"> Excluding trade, financial and insurance activities, science, research and public services</w:t>
            </w:r>
            <w:r w:rsidR="007B0920" w:rsidRPr="00612A06">
              <w:rPr>
                <w:color w:val="0D0D0D" w:themeColor="text1" w:themeTint="F2"/>
                <w:spacing w:val="-4"/>
                <w:sz w:val="14"/>
                <w:szCs w:val="14"/>
              </w:rPr>
              <w:t>.</w:t>
            </w:r>
            <w:r w:rsidR="00E479D8">
              <w:rPr>
                <w:color w:val="0D0D0D" w:themeColor="text1" w:themeTint="F2"/>
                <w:spacing w:val="-4"/>
                <w:sz w:val="14"/>
                <w:szCs w:val="14"/>
              </w:rPr>
              <w:t xml:space="preserve"> </w:t>
            </w:r>
            <w:r w:rsidR="007B0920">
              <w:rPr>
                <w:color w:val="0D0D0D" w:themeColor="text1" w:themeTint="F2"/>
                <w:spacing w:val="-4"/>
                <w:sz w:val="14"/>
                <w:szCs w:val="14"/>
              </w:rPr>
              <w:t xml:space="preserve">                             </w:t>
            </w:r>
            <w:r w:rsidR="00945904">
              <w:rPr>
                <w:color w:val="0D0D0D" w:themeColor="text1" w:themeTint="F2"/>
                <w:spacing w:val="-4"/>
                <w:sz w:val="14"/>
                <w:szCs w:val="14"/>
              </w:rPr>
              <w:t xml:space="preserve">  </w:t>
            </w:r>
            <w:r w:rsidR="007B0920" w:rsidRPr="00612A06">
              <w:rPr>
                <w:color w:val="0D0D0D" w:themeColor="text1" w:themeTint="F2"/>
                <w:spacing w:val="-4"/>
                <w:sz w:val="14"/>
                <w:szCs w:val="14"/>
              </w:rPr>
              <w:t xml:space="preserve">     </w:t>
            </w:r>
            <w:proofErr w:type="spellStart"/>
            <w:r w:rsidR="00945904">
              <w:rPr>
                <w:color w:val="0D0D0D" w:themeColor="text1" w:themeTint="F2"/>
                <w:spacing w:val="-4"/>
                <w:sz w:val="14"/>
                <w:szCs w:val="14"/>
              </w:rPr>
              <w:t>Source</w:t>
            </w:r>
            <w:proofErr w:type="spellEnd"/>
            <w:r w:rsidR="007B0920" w:rsidRPr="00E62A33">
              <w:rPr>
                <w:sz w:val="14"/>
                <w:szCs w:val="14"/>
              </w:rPr>
              <w:t xml:space="preserve">: </w:t>
            </w:r>
            <w:r w:rsidR="00945904">
              <w:rPr>
                <w:sz w:val="14"/>
                <w:szCs w:val="14"/>
              </w:rPr>
              <w:t>CZSO</w:t>
            </w:r>
          </w:p>
        </w:tc>
      </w:tr>
    </w:tbl>
    <w:p w:rsidR="007B0920" w:rsidRPr="00EF66DF"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F638E6" w:rsidRDefault="00F638E6" w:rsidP="00CF0826">
            <w:pPr>
              <w:spacing w:line="240" w:lineRule="auto"/>
              <w:rPr>
                <w:spacing w:val="-2"/>
                <w:sz w:val="16"/>
                <w:szCs w:val="16"/>
                <w:lang w:val="en-GB"/>
              </w:rPr>
            </w:pPr>
            <w:r w:rsidRPr="00F638E6">
              <w:rPr>
                <w:spacing w:val="-2"/>
                <w:sz w:val="16"/>
                <w:szCs w:val="16"/>
                <w:lang w:val="en-GB"/>
              </w:rPr>
              <w:t xml:space="preserve">High rate of growth of retail sales strengthened further last year and hit the </w:t>
            </w:r>
            <w:r w:rsidR="00DF1328" w:rsidRPr="00F638E6">
              <w:rPr>
                <w:spacing w:val="-2"/>
                <w:sz w:val="16"/>
                <w:szCs w:val="16"/>
                <w:lang w:val="en-GB"/>
              </w:rPr>
              <w:t>ten-year</w:t>
            </w:r>
            <w:r w:rsidRPr="00F638E6">
              <w:rPr>
                <w:spacing w:val="-2"/>
                <w:sz w:val="16"/>
                <w:szCs w:val="16"/>
                <w:lang w:val="en-GB"/>
              </w:rPr>
              <w:t xml:space="preserve"> maximum.</w:t>
            </w:r>
          </w:p>
          <w:p w:rsidR="007B0920" w:rsidRPr="00F638E6" w:rsidRDefault="007B0920" w:rsidP="00CF0826">
            <w:pPr>
              <w:spacing w:line="240" w:lineRule="auto"/>
              <w:rPr>
                <w:spacing w:val="-2"/>
                <w:sz w:val="16"/>
                <w:szCs w:val="16"/>
                <w:lang w:val="en-GB"/>
              </w:rPr>
            </w:pPr>
          </w:p>
          <w:p w:rsidR="007B0920" w:rsidRPr="00F638E6" w:rsidRDefault="007B0920" w:rsidP="00CF0826">
            <w:pPr>
              <w:spacing w:line="240" w:lineRule="auto"/>
              <w:rPr>
                <w:spacing w:val="-2"/>
                <w:sz w:val="16"/>
                <w:szCs w:val="16"/>
                <w:lang w:val="en-GB"/>
              </w:rPr>
            </w:pPr>
          </w:p>
          <w:p w:rsidR="007B0920" w:rsidRDefault="007B0920" w:rsidP="00CF0826">
            <w:pPr>
              <w:spacing w:line="240" w:lineRule="auto"/>
              <w:rPr>
                <w:spacing w:val="-2"/>
                <w:sz w:val="16"/>
                <w:szCs w:val="16"/>
                <w:lang w:val="en-GB"/>
              </w:rPr>
            </w:pPr>
          </w:p>
          <w:p w:rsidR="002133D5" w:rsidRPr="00F638E6" w:rsidRDefault="002133D5" w:rsidP="00CF0826">
            <w:pPr>
              <w:spacing w:line="240" w:lineRule="auto"/>
              <w:rPr>
                <w:spacing w:val="-2"/>
                <w:sz w:val="16"/>
                <w:szCs w:val="16"/>
                <w:lang w:val="en-GB"/>
              </w:rPr>
            </w:pPr>
          </w:p>
          <w:p w:rsidR="007B0920" w:rsidRPr="00F638E6" w:rsidRDefault="00F638E6" w:rsidP="00CF0826">
            <w:pPr>
              <w:spacing w:line="240" w:lineRule="auto"/>
              <w:rPr>
                <w:spacing w:val="-2"/>
                <w:sz w:val="16"/>
                <w:szCs w:val="16"/>
                <w:lang w:val="en-GB"/>
              </w:rPr>
            </w:pPr>
            <w:r>
              <w:rPr>
                <w:spacing w:val="-2"/>
                <w:sz w:val="16"/>
                <w:szCs w:val="16"/>
                <w:lang w:val="en-GB"/>
              </w:rPr>
              <w:lastRenderedPageBreak/>
              <w:t xml:space="preserve">Growth of retail sales placed the </w:t>
            </w:r>
            <w:r w:rsidR="00DF1328">
              <w:rPr>
                <w:spacing w:val="-2"/>
                <w:sz w:val="16"/>
                <w:szCs w:val="16"/>
                <w:lang w:val="en-GB"/>
              </w:rPr>
              <w:t>Czech Republic</w:t>
            </w:r>
            <w:r>
              <w:rPr>
                <w:spacing w:val="-2"/>
                <w:sz w:val="16"/>
                <w:szCs w:val="16"/>
                <w:lang w:val="en-GB"/>
              </w:rPr>
              <w:t xml:space="preserve"> on the sixth rank among the EU states, in case of sales for non-food goods on the fifth best position.</w:t>
            </w:r>
            <w:r w:rsidR="007B0920" w:rsidRPr="00F638E6">
              <w:rPr>
                <w:spacing w:val="-2"/>
                <w:sz w:val="16"/>
                <w:szCs w:val="16"/>
                <w:lang w:val="en-GB"/>
              </w:rPr>
              <w:t xml:space="preserve"> </w:t>
            </w:r>
          </w:p>
          <w:p w:rsidR="007B0920" w:rsidRPr="00F638E6" w:rsidRDefault="007B0920" w:rsidP="00CF0826">
            <w:pPr>
              <w:spacing w:line="240" w:lineRule="auto"/>
              <w:rPr>
                <w:spacing w:val="-2"/>
                <w:sz w:val="16"/>
                <w:szCs w:val="16"/>
                <w:lang w:val="en-GB"/>
              </w:rPr>
            </w:pPr>
          </w:p>
        </w:tc>
        <w:tc>
          <w:tcPr>
            <w:tcW w:w="144" w:type="pct"/>
          </w:tcPr>
          <w:p w:rsidR="007B0920" w:rsidRPr="00F638E6" w:rsidRDefault="007B0920" w:rsidP="00CF0826">
            <w:pPr>
              <w:pStyle w:val="Textpoznpodarou"/>
              <w:jc w:val="both"/>
              <w:rPr>
                <w:lang w:val="en-GB"/>
              </w:rPr>
            </w:pPr>
          </w:p>
        </w:tc>
        <w:tc>
          <w:tcPr>
            <w:tcW w:w="3840" w:type="pct"/>
          </w:tcPr>
          <w:p w:rsidR="007B0920" w:rsidRDefault="00F638E6" w:rsidP="00CF0826">
            <w:pPr>
              <w:pStyle w:val="Textpoznpodarou"/>
              <w:jc w:val="both"/>
              <w:rPr>
                <w:spacing w:val="-5"/>
                <w:lang w:val="en-GB"/>
              </w:rPr>
            </w:pPr>
            <w:r>
              <w:rPr>
                <w:spacing w:val="-4"/>
                <w:lang w:val="en-GB"/>
              </w:rPr>
              <w:t xml:space="preserve">Consumer sentiment </w:t>
            </w:r>
            <w:r w:rsidR="00DF1328">
              <w:rPr>
                <w:spacing w:val="-4"/>
                <w:lang w:val="en-GB"/>
              </w:rPr>
              <w:t>satiated by the favourable situation on the labour market moved near the historica</w:t>
            </w:r>
            <w:r w:rsidR="00B111CA">
              <w:rPr>
                <w:spacing w:val="-4"/>
                <w:lang w:val="en-GB"/>
              </w:rPr>
              <w:t>l maximum</w:t>
            </w:r>
            <w:r w:rsidR="00DF1328">
              <w:rPr>
                <w:spacing w:val="-4"/>
                <w:lang w:val="en-GB"/>
              </w:rPr>
              <w:t xml:space="preserve"> during the year 2017. Retail sales</w:t>
            </w:r>
            <w:r w:rsidR="007B0920" w:rsidRPr="00F638E6">
              <w:rPr>
                <w:rStyle w:val="Znakapoznpodarou"/>
                <w:spacing w:val="-4"/>
                <w:lang w:val="en-GB"/>
              </w:rPr>
              <w:footnoteReference w:id="25"/>
            </w:r>
            <w:r w:rsidR="00AF4B98" w:rsidRPr="00F638E6">
              <w:rPr>
                <w:spacing w:val="-4"/>
                <w:lang w:val="en-GB"/>
              </w:rPr>
              <w:t xml:space="preserve"> </w:t>
            </w:r>
            <w:r w:rsidR="00DF1328">
              <w:rPr>
                <w:spacing w:val="-4"/>
                <w:lang w:val="en-GB"/>
              </w:rPr>
              <w:t xml:space="preserve">rose by 5.9% year-on-year, the highest pace after year 2007. While the pace of retail </w:t>
            </w:r>
            <w:r w:rsidR="008D4F04">
              <w:rPr>
                <w:spacing w:val="-4"/>
                <w:lang w:val="en-GB"/>
              </w:rPr>
              <w:t xml:space="preserve">trade </w:t>
            </w:r>
            <w:r w:rsidR="00DF1328">
              <w:rPr>
                <w:spacing w:val="-4"/>
                <w:lang w:val="en-GB"/>
              </w:rPr>
              <w:t xml:space="preserve">with food remained below the 3% boundary already for the second year, the sales of non-food goods – driven by the dynamical growth of the internet shops – jumped up to 8.8%. </w:t>
            </w:r>
            <w:r w:rsidR="00733C96">
              <w:rPr>
                <w:spacing w:val="-4"/>
                <w:lang w:val="en-GB"/>
              </w:rPr>
              <w:t>Retail with clothes, footwear and leather goods (</w:t>
            </w:r>
            <w:r w:rsidR="00A67641" w:rsidRPr="00F638E6">
              <w:rPr>
                <w:spacing w:val="-4"/>
                <w:lang w:val="en-GB"/>
              </w:rPr>
              <w:t>11</w:t>
            </w:r>
            <w:r w:rsidR="00733C96">
              <w:rPr>
                <w:spacing w:val="-4"/>
                <w:lang w:val="en-GB"/>
              </w:rPr>
              <w:t>.</w:t>
            </w:r>
            <w:r w:rsidR="00A67641" w:rsidRPr="00F638E6">
              <w:rPr>
                <w:spacing w:val="-4"/>
                <w:lang w:val="en-GB"/>
              </w:rPr>
              <w:t>5</w:t>
            </w:r>
            <w:r w:rsidR="007B0920" w:rsidRPr="00F638E6">
              <w:rPr>
                <w:spacing w:val="-4"/>
                <w:lang w:val="en-GB"/>
              </w:rPr>
              <w:t>%)</w:t>
            </w:r>
            <w:r w:rsidR="00733C96">
              <w:rPr>
                <w:spacing w:val="-4"/>
                <w:lang w:val="en-GB"/>
              </w:rPr>
              <w:t xml:space="preserve"> and with a mild distance also the goods for culture and recreation fared well among the specialised shops. The </w:t>
            </w:r>
            <w:r w:rsidR="00733C96">
              <w:rPr>
                <w:spacing w:val="-4"/>
                <w:lang w:val="en-GB"/>
              </w:rPr>
              <w:lastRenderedPageBreak/>
              <w:t xml:space="preserve">strong demand for computer as well as communication equipment renewed with a one-year break. Sellers of fuels received by 5.8% higher sales. Sales in the motorist segment slowed down to exact </w:t>
            </w:r>
            <w:r w:rsidR="00A67641" w:rsidRPr="00F638E6">
              <w:rPr>
                <w:spacing w:val="-4"/>
                <w:lang w:val="en-GB"/>
              </w:rPr>
              <w:t>3</w:t>
            </w:r>
            <w:r w:rsidR="007B0920" w:rsidRPr="00F638E6">
              <w:rPr>
                <w:spacing w:val="-4"/>
                <w:lang w:val="en-GB"/>
              </w:rPr>
              <w:t xml:space="preserve">%, </w:t>
            </w:r>
            <w:r w:rsidR="00733C96">
              <w:rPr>
                <w:spacing w:val="-4"/>
                <w:lang w:val="en-GB"/>
              </w:rPr>
              <w:t xml:space="preserve">signs of saturation were visible after strong years of </w:t>
            </w:r>
            <w:r w:rsidR="007B0920" w:rsidRPr="00F638E6">
              <w:rPr>
                <w:spacing w:val="-4"/>
                <w:lang w:val="en-GB"/>
              </w:rPr>
              <w:t xml:space="preserve">2014 </w:t>
            </w:r>
            <w:r w:rsidR="00733C96">
              <w:rPr>
                <w:spacing w:val="-4"/>
                <w:lang w:val="en-GB"/>
              </w:rPr>
              <w:t>to</w:t>
            </w:r>
            <w:r w:rsidR="007B0920" w:rsidRPr="00F638E6">
              <w:rPr>
                <w:spacing w:val="-4"/>
                <w:lang w:val="en-GB"/>
              </w:rPr>
              <w:t xml:space="preserve"> 2016</w:t>
            </w:r>
            <w:r w:rsidR="00797354">
              <w:rPr>
                <w:spacing w:val="-4"/>
                <w:lang w:val="en-GB"/>
              </w:rPr>
              <w:t>. It concerned sales of motor vehicles</w:t>
            </w:r>
            <w:r w:rsidR="00733C96">
              <w:rPr>
                <w:spacing w:val="-4"/>
                <w:lang w:val="en-GB"/>
              </w:rPr>
              <w:t xml:space="preserve">, </w:t>
            </w:r>
            <w:r w:rsidR="00797354">
              <w:rPr>
                <w:spacing w:val="-4"/>
                <w:lang w:val="en-GB"/>
              </w:rPr>
              <w:t xml:space="preserve">on the contrary </w:t>
            </w:r>
            <w:r w:rsidR="00733C96">
              <w:rPr>
                <w:spacing w:val="-4"/>
                <w:lang w:val="en-GB"/>
              </w:rPr>
              <w:t>the rates kept the same as in the previous years for repairs and maintenance of motor vehicles</w:t>
            </w:r>
            <w:r w:rsidR="007B0920" w:rsidRPr="00F638E6">
              <w:rPr>
                <w:spacing w:val="-4"/>
                <w:lang w:val="en-GB"/>
              </w:rPr>
              <w:t xml:space="preserve">. </w:t>
            </w:r>
            <w:r w:rsidR="006C1CE7">
              <w:rPr>
                <w:spacing w:val="-4"/>
                <w:lang w:val="en-GB"/>
              </w:rPr>
              <w:t>The CR belongs to countries with the fastest growth of the retail sales in the EU</w:t>
            </w:r>
            <w:r w:rsidR="002E31A0" w:rsidRPr="00F638E6">
              <w:rPr>
                <w:rStyle w:val="Znakapoznpodarou"/>
                <w:spacing w:val="-4"/>
                <w:lang w:val="en-GB"/>
              </w:rPr>
              <w:footnoteReference w:id="26"/>
            </w:r>
            <w:r w:rsidR="006C1CE7">
              <w:rPr>
                <w:spacing w:val="-4"/>
                <w:lang w:val="en-GB"/>
              </w:rPr>
              <w:t xml:space="preserve"> in the last three years</w:t>
            </w:r>
            <w:r w:rsidR="007B0920" w:rsidRPr="00F638E6">
              <w:rPr>
                <w:spacing w:val="-4"/>
                <w:lang w:val="en-GB"/>
              </w:rPr>
              <w:t xml:space="preserve">. </w:t>
            </w:r>
            <w:r w:rsidR="006C1CE7">
              <w:rPr>
                <w:spacing w:val="-4"/>
                <w:lang w:val="en-GB"/>
              </w:rPr>
              <w:t xml:space="preserve">Only Romania </w:t>
            </w:r>
            <w:r w:rsidR="007B0920" w:rsidRPr="00F638E6">
              <w:rPr>
                <w:spacing w:val="-4"/>
                <w:lang w:val="en-GB"/>
              </w:rPr>
              <w:t>(+11</w:t>
            </w:r>
            <w:r w:rsidR="008A6720">
              <w:rPr>
                <w:spacing w:val="-4"/>
                <w:lang w:val="en-GB"/>
              </w:rPr>
              <w:t>.</w:t>
            </w:r>
            <w:r w:rsidR="007B0920" w:rsidRPr="00F638E6">
              <w:rPr>
                <w:spacing w:val="-4"/>
                <w:lang w:val="en-GB"/>
              </w:rPr>
              <w:t xml:space="preserve">2%), </w:t>
            </w:r>
            <w:r w:rsidR="007B0920" w:rsidRPr="00F638E6">
              <w:rPr>
                <w:spacing w:val="-5"/>
                <w:lang w:val="en-GB"/>
              </w:rPr>
              <w:t>Slov</w:t>
            </w:r>
            <w:r w:rsidR="008A6720">
              <w:rPr>
                <w:spacing w:val="-5"/>
                <w:lang w:val="en-GB"/>
              </w:rPr>
              <w:t xml:space="preserve">enia </w:t>
            </w:r>
            <w:r w:rsidR="007B0920" w:rsidRPr="00F638E6">
              <w:rPr>
                <w:spacing w:val="-5"/>
                <w:lang w:val="en-GB"/>
              </w:rPr>
              <w:t>(+</w:t>
            </w:r>
            <w:r w:rsidR="00770FA7" w:rsidRPr="00F638E6">
              <w:rPr>
                <w:spacing w:val="-5"/>
                <w:lang w:val="en-GB"/>
              </w:rPr>
              <w:t>8</w:t>
            </w:r>
            <w:r w:rsidR="008A6720">
              <w:rPr>
                <w:spacing w:val="-5"/>
                <w:lang w:val="en-GB"/>
              </w:rPr>
              <w:t>.</w:t>
            </w:r>
            <w:r w:rsidR="007B0920" w:rsidRPr="00F638E6">
              <w:rPr>
                <w:spacing w:val="-5"/>
                <w:lang w:val="en-GB"/>
              </w:rPr>
              <w:t>2%) a</w:t>
            </w:r>
            <w:r w:rsidR="008A6720">
              <w:rPr>
                <w:spacing w:val="-5"/>
                <w:lang w:val="en-GB"/>
              </w:rPr>
              <w:t xml:space="preserve">nd Poland </w:t>
            </w:r>
            <w:r w:rsidR="007B0920" w:rsidRPr="00F638E6">
              <w:rPr>
                <w:spacing w:val="-5"/>
                <w:lang w:val="en-GB"/>
              </w:rPr>
              <w:t>(+6</w:t>
            </w:r>
            <w:r w:rsidR="008A6720">
              <w:rPr>
                <w:spacing w:val="-5"/>
                <w:lang w:val="en-GB"/>
              </w:rPr>
              <w:t>.</w:t>
            </w:r>
            <w:r w:rsidR="007B0920" w:rsidRPr="00F638E6">
              <w:rPr>
                <w:spacing w:val="-5"/>
                <w:lang w:val="en-GB"/>
              </w:rPr>
              <w:t>4</w:t>
            </w:r>
            <w:r w:rsidR="00510428" w:rsidRPr="00F638E6">
              <w:rPr>
                <w:spacing w:val="-5"/>
                <w:lang w:val="en-GB"/>
              </w:rPr>
              <w:t>%), Slov</w:t>
            </w:r>
            <w:r w:rsidR="008A6720">
              <w:rPr>
                <w:spacing w:val="-5"/>
                <w:lang w:val="en-GB"/>
              </w:rPr>
              <w:t xml:space="preserve">akia </w:t>
            </w:r>
            <w:r w:rsidR="00510428" w:rsidRPr="00F638E6">
              <w:rPr>
                <w:spacing w:val="-5"/>
                <w:lang w:val="en-GB"/>
              </w:rPr>
              <w:t>(+6</w:t>
            </w:r>
            <w:r w:rsidR="008A6720">
              <w:rPr>
                <w:spacing w:val="-5"/>
                <w:lang w:val="en-GB"/>
              </w:rPr>
              <w:t>.</w:t>
            </w:r>
            <w:r w:rsidR="00510428" w:rsidRPr="00F638E6">
              <w:rPr>
                <w:spacing w:val="-5"/>
                <w:lang w:val="en-GB"/>
              </w:rPr>
              <w:t xml:space="preserve">1%), </w:t>
            </w:r>
            <w:r w:rsidR="008A6720">
              <w:rPr>
                <w:spacing w:val="-5"/>
                <w:lang w:val="en-GB"/>
              </w:rPr>
              <w:t xml:space="preserve">Cyprus </w:t>
            </w:r>
            <w:r w:rsidR="00510428" w:rsidRPr="00F638E6">
              <w:rPr>
                <w:spacing w:val="-5"/>
                <w:lang w:val="en-GB"/>
              </w:rPr>
              <w:t>(+5</w:t>
            </w:r>
            <w:r w:rsidR="008A6720">
              <w:rPr>
                <w:spacing w:val="-5"/>
                <w:lang w:val="en-GB"/>
              </w:rPr>
              <w:t>.</w:t>
            </w:r>
            <w:r w:rsidR="00510428" w:rsidRPr="00F638E6">
              <w:rPr>
                <w:spacing w:val="-5"/>
                <w:lang w:val="en-GB"/>
              </w:rPr>
              <w:t>9%)</w:t>
            </w:r>
            <w:r w:rsidR="008A6720">
              <w:rPr>
                <w:spacing w:val="-5"/>
                <w:lang w:val="en-GB"/>
              </w:rPr>
              <w:t xml:space="preserve"> showed faster pace last year</w:t>
            </w:r>
            <w:r w:rsidR="00510428" w:rsidRPr="00F638E6">
              <w:rPr>
                <w:spacing w:val="-5"/>
                <w:lang w:val="en-GB"/>
              </w:rPr>
              <w:t xml:space="preserve">. </w:t>
            </w:r>
            <w:r w:rsidR="008A6720">
              <w:rPr>
                <w:spacing w:val="-5"/>
                <w:lang w:val="en-GB"/>
              </w:rPr>
              <w:t xml:space="preserve">The pace was 2.5% in the EU, </w:t>
            </w:r>
            <w:r w:rsidR="00770FA7" w:rsidRPr="00F638E6">
              <w:rPr>
                <w:spacing w:val="-5"/>
                <w:lang w:val="en-GB"/>
              </w:rPr>
              <w:t>1</w:t>
            </w:r>
            <w:r w:rsidR="008A6720">
              <w:rPr>
                <w:spacing w:val="-5"/>
                <w:lang w:val="en-GB"/>
              </w:rPr>
              <w:t>.</w:t>
            </w:r>
            <w:r w:rsidR="00770FA7" w:rsidRPr="00F638E6">
              <w:rPr>
                <w:spacing w:val="-5"/>
                <w:lang w:val="en-GB"/>
              </w:rPr>
              <w:t>9</w:t>
            </w:r>
            <w:r w:rsidR="007B0920" w:rsidRPr="00F638E6">
              <w:rPr>
                <w:spacing w:val="-5"/>
                <w:lang w:val="en-GB"/>
              </w:rPr>
              <w:t>%</w:t>
            </w:r>
            <w:r w:rsidR="008A6720">
              <w:rPr>
                <w:spacing w:val="-5"/>
                <w:lang w:val="en-GB"/>
              </w:rPr>
              <w:t xml:space="preserve"> in Germany</w:t>
            </w:r>
            <w:r w:rsidR="00770FA7" w:rsidRPr="00F638E6">
              <w:rPr>
                <w:spacing w:val="-5"/>
                <w:lang w:val="en-GB"/>
              </w:rPr>
              <w:t xml:space="preserve">, </w:t>
            </w:r>
            <w:r w:rsidR="008A6720">
              <w:rPr>
                <w:spacing w:val="-5"/>
                <w:lang w:val="en-GB"/>
              </w:rPr>
              <w:t xml:space="preserve">0.8% in Spain, sales moderately fell in Italy and Belgium. </w:t>
            </w:r>
          </w:p>
          <w:p w:rsidR="006C1CE7" w:rsidRPr="002133D5" w:rsidRDefault="006C1CE7" w:rsidP="00CF0826">
            <w:pPr>
              <w:pStyle w:val="Textpoznpodarou"/>
              <w:jc w:val="both"/>
              <w:rPr>
                <w:spacing w:val="-4"/>
                <w:sz w:val="16"/>
                <w:szCs w:val="16"/>
                <w:lang w:val="en-GB"/>
              </w:rPr>
            </w:pPr>
          </w:p>
        </w:tc>
      </w:tr>
    </w:tbl>
    <w:p w:rsidR="00813CB4" w:rsidRPr="00654093" w:rsidRDefault="00813CB4" w:rsidP="00492991">
      <w:pPr>
        <w:pStyle w:val="Textpoznpodarou"/>
        <w:jc w:val="both"/>
        <w:rPr>
          <w:sz w:val="2"/>
          <w:szCs w:val="2"/>
        </w:rPr>
      </w:pPr>
    </w:p>
    <w:p w:rsidR="00DD0726" w:rsidRPr="00733C96" w:rsidRDefault="00F638E6" w:rsidP="00DD0726">
      <w:pPr>
        <w:pStyle w:val="Nadpis1"/>
        <w:numPr>
          <w:ilvl w:val="0"/>
          <w:numId w:val="12"/>
        </w:numPr>
        <w:ind w:left="709"/>
        <w:jc w:val="both"/>
        <w:rPr>
          <w:lang w:val="en-GB"/>
        </w:rPr>
      </w:pPr>
      <w:bookmarkStart w:id="10" w:name="_Toc469299932"/>
      <w:bookmarkStart w:id="11" w:name="_Toc493683636"/>
      <w:bookmarkStart w:id="12" w:name="_Toc469299933"/>
      <w:r w:rsidRPr="00733C96">
        <w:rPr>
          <w:lang w:val="en-GB"/>
        </w:rPr>
        <w:t>External Economic Relations</w:t>
      </w:r>
      <w:bookmarkEnd w:id="10"/>
      <w:bookmarkEnd w:id="11"/>
    </w:p>
    <w:tbl>
      <w:tblPr>
        <w:tblW w:w="4963" w:type="pct"/>
        <w:tblInd w:w="108" w:type="dxa"/>
        <w:tblLayout w:type="fixed"/>
        <w:tblLook w:val="00A0"/>
      </w:tblPr>
      <w:tblGrid>
        <w:gridCol w:w="1985"/>
        <w:gridCol w:w="282"/>
        <w:gridCol w:w="1135"/>
        <w:gridCol w:w="143"/>
        <w:gridCol w:w="2533"/>
        <w:gridCol w:w="3703"/>
      </w:tblGrid>
      <w:tr w:rsidR="00D41320" w:rsidRPr="00733C96" w:rsidTr="009B0676">
        <w:tc>
          <w:tcPr>
            <w:tcW w:w="1015" w:type="pct"/>
          </w:tcPr>
          <w:p w:rsidR="00D41320" w:rsidRPr="00733C96" w:rsidRDefault="0097040B" w:rsidP="006E4368">
            <w:pPr>
              <w:spacing w:line="240" w:lineRule="auto"/>
              <w:rPr>
                <w:sz w:val="16"/>
                <w:szCs w:val="16"/>
                <w:lang w:val="en-GB"/>
              </w:rPr>
            </w:pPr>
            <w:r>
              <w:rPr>
                <w:sz w:val="16"/>
                <w:szCs w:val="16"/>
                <w:lang w:val="en-GB"/>
              </w:rPr>
              <w:t xml:space="preserve">Positive balance of trade with goods and services contributed to the achievement of the current account of the balance of payment surplus in year </w:t>
            </w:r>
            <w:r w:rsidR="00E932EA" w:rsidRPr="00733C96">
              <w:rPr>
                <w:sz w:val="16"/>
                <w:szCs w:val="16"/>
                <w:lang w:val="en-GB"/>
              </w:rPr>
              <w:t>2017.</w:t>
            </w:r>
          </w:p>
        </w:tc>
        <w:tc>
          <w:tcPr>
            <w:tcW w:w="144" w:type="pct"/>
          </w:tcPr>
          <w:p w:rsidR="00D41320" w:rsidRPr="00733C96" w:rsidRDefault="00D41320" w:rsidP="006E4368">
            <w:pPr>
              <w:pStyle w:val="Textpoznpodarou"/>
              <w:jc w:val="both"/>
              <w:rPr>
                <w:color w:val="FF0000"/>
                <w:highlight w:val="yellow"/>
                <w:lang w:val="en-GB"/>
              </w:rPr>
            </w:pPr>
          </w:p>
        </w:tc>
        <w:tc>
          <w:tcPr>
            <w:tcW w:w="3841" w:type="pct"/>
            <w:gridSpan w:val="4"/>
          </w:tcPr>
          <w:p w:rsidR="00D41320" w:rsidRPr="00733C96" w:rsidRDefault="00EB5410" w:rsidP="006E4368">
            <w:pPr>
              <w:pStyle w:val="Textpoznpodarou"/>
              <w:jc w:val="both"/>
              <w:rPr>
                <w:spacing w:val="-4"/>
                <w:sz w:val="16"/>
                <w:szCs w:val="16"/>
                <w:lang w:val="en-GB"/>
              </w:rPr>
            </w:pPr>
            <w:r>
              <w:rPr>
                <w:spacing w:val="-4"/>
                <w:lang w:val="en-GB"/>
              </w:rPr>
              <w:t xml:space="preserve">Balance of the current account of the balance of payments ended in </w:t>
            </w:r>
            <w:r w:rsidR="00022983">
              <w:rPr>
                <w:spacing w:val="-4"/>
                <w:lang w:val="en-GB"/>
              </w:rPr>
              <w:t>surplus</w:t>
            </w:r>
            <w:r>
              <w:rPr>
                <w:spacing w:val="-4"/>
                <w:lang w:val="en-GB"/>
              </w:rPr>
              <w:t xml:space="preserve"> also in year 2017</w:t>
            </w:r>
            <w:r w:rsidR="0057569E" w:rsidRPr="00733C96">
              <w:rPr>
                <w:rStyle w:val="Znakapoznpodarou"/>
                <w:spacing w:val="-4"/>
                <w:lang w:val="en-GB"/>
              </w:rPr>
              <w:footnoteReference w:id="27"/>
            </w:r>
            <w:r w:rsidR="00D41320" w:rsidRPr="00733C96">
              <w:rPr>
                <w:spacing w:val="-4"/>
                <w:lang w:val="en-GB"/>
              </w:rPr>
              <w:t xml:space="preserve">. </w:t>
            </w:r>
            <w:r w:rsidR="00022983">
              <w:rPr>
                <w:spacing w:val="-4"/>
                <w:lang w:val="en-GB"/>
              </w:rPr>
              <w:t xml:space="preserve">It was in the amount of </w:t>
            </w:r>
            <w:r w:rsidR="004F5950" w:rsidRPr="00733C96">
              <w:rPr>
                <w:spacing w:val="-4"/>
                <w:lang w:val="en-GB"/>
              </w:rPr>
              <w:t>54</w:t>
            </w:r>
            <w:r w:rsidR="00022983">
              <w:rPr>
                <w:spacing w:val="-4"/>
                <w:lang w:val="en-GB"/>
              </w:rPr>
              <w:t>.</w:t>
            </w:r>
            <w:r w:rsidR="004F5950" w:rsidRPr="00733C96">
              <w:rPr>
                <w:spacing w:val="-4"/>
                <w:lang w:val="en-GB"/>
              </w:rPr>
              <w:t>2</w:t>
            </w:r>
            <w:r w:rsidR="00D41320" w:rsidRPr="00733C96">
              <w:rPr>
                <w:spacing w:val="-4"/>
                <w:lang w:val="en-GB"/>
              </w:rPr>
              <w:t> </w:t>
            </w:r>
            <w:r w:rsidR="00022983">
              <w:rPr>
                <w:spacing w:val="-4"/>
                <w:lang w:val="en-GB"/>
              </w:rPr>
              <w:t xml:space="preserve">CZK bn and it lowered by 20.1 bn. The positive balance of the trade with goods (240.9 CZK bn) contributed the most to the surplus. The trade with services also attained a surplus </w:t>
            </w:r>
            <w:r w:rsidR="00D41320" w:rsidRPr="00733C96">
              <w:rPr>
                <w:spacing w:val="-4"/>
                <w:lang w:val="en-GB"/>
              </w:rPr>
              <w:t>(1</w:t>
            </w:r>
            <w:r w:rsidR="00160DCA" w:rsidRPr="00733C96">
              <w:rPr>
                <w:spacing w:val="-4"/>
                <w:lang w:val="en-GB"/>
              </w:rPr>
              <w:t>22</w:t>
            </w:r>
            <w:r w:rsidR="00022983">
              <w:rPr>
                <w:spacing w:val="-4"/>
                <w:lang w:val="en-GB"/>
              </w:rPr>
              <w:t>.</w:t>
            </w:r>
            <w:r w:rsidR="00160DCA" w:rsidRPr="00733C96">
              <w:rPr>
                <w:spacing w:val="-4"/>
                <w:lang w:val="en-GB"/>
              </w:rPr>
              <w:t>0</w:t>
            </w:r>
            <w:r w:rsidR="00D41320" w:rsidRPr="00733C96">
              <w:rPr>
                <w:spacing w:val="-4"/>
                <w:lang w:val="en-GB"/>
              </w:rPr>
              <w:t xml:space="preserve"> </w:t>
            </w:r>
            <w:r w:rsidR="00022983">
              <w:rPr>
                <w:spacing w:val="-4"/>
                <w:lang w:val="en-GB"/>
              </w:rPr>
              <w:t>bn</w:t>
            </w:r>
            <w:r w:rsidR="00D41320" w:rsidRPr="00733C96">
              <w:rPr>
                <w:spacing w:val="-4"/>
                <w:lang w:val="en-GB"/>
              </w:rPr>
              <w:t xml:space="preserve">.), </w:t>
            </w:r>
            <w:r w:rsidR="00022983">
              <w:rPr>
                <w:spacing w:val="-4"/>
                <w:lang w:val="en-GB"/>
              </w:rPr>
              <w:t xml:space="preserve">which increased by 14.4 CZK bn year-on-year. In contrast the balance of both primary and secondary incomes worked in the direction of deficit. </w:t>
            </w:r>
            <w:r w:rsidR="00D41320" w:rsidRPr="00733C96">
              <w:rPr>
                <w:spacing w:val="-4"/>
                <w:lang w:val="en-GB"/>
              </w:rPr>
              <w:t xml:space="preserve">Deficit </w:t>
            </w:r>
            <w:r w:rsidR="006A23E5">
              <w:rPr>
                <w:spacing w:val="-4"/>
                <w:lang w:val="en-GB"/>
              </w:rPr>
              <w:t xml:space="preserve">of the primary incomes was 260.8 CZK bn in </w:t>
            </w:r>
            <w:r w:rsidR="00D41320" w:rsidRPr="00733C96">
              <w:rPr>
                <w:spacing w:val="-4"/>
                <w:lang w:val="en-GB"/>
              </w:rPr>
              <w:t>2017</w:t>
            </w:r>
            <w:r w:rsidR="006A23E5">
              <w:rPr>
                <w:spacing w:val="-4"/>
                <w:lang w:val="en-GB"/>
              </w:rPr>
              <w:t xml:space="preserve"> and deepened by 9.1 bn year-on-year. It was the result of the year-on-year increase of the inflow of the primary incomes by 17.9 CZK bn. Secondary incomes ended in deficit of 45.0 bn in 2017. </w:t>
            </w:r>
            <w:r w:rsidR="00E569D7">
              <w:rPr>
                <w:spacing w:val="-4"/>
                <w:lang w:val="en-GB"/>
              </w:rPr>
              <w:t xml:space="preserve">It is mainly the consequence of the marked fall of the inflow of secondary incomes from abroad. Surplus of the capital account arrived at 46.5 CZK bn. </w:t>
            </w:r>
          </w:p>
          <w:p w:rsidR="00D41320" w:rsidRPr="002133D5" w:rsidRDefault="00D41320" w:rsidP="006E4368">
            <w:pPr>
              <w:pStyle w:val="Textpoznpodarou"/>
              <w:jc w:val="both"/>
              <w:rPr>
                <w:spacing w:val="-4"/>
                <w:sz w:val="12"/>
                <w:szCs w:val="12"/>
                <w:highlight w:val="yellow"/>
                <w:lang w:val="en-GB"/>
              </w:rPr>
            </w:pPr>
          </w:p>
        </w:tc>
      </w:tr>
      <w:tr w:rsidR="00D41320" w:rsidRPr="00A74192" w:rsidTr="009B0676">
        <w:tc>
          <w:tcPr>
            <w:tcW w:w="1015" w:type="pct"/>
          </w:tcPr>
          <w:p w:rsidR="00D41320" w:rsidRPr="00DC176E" w:rsidRDefault="00E932EA" w:rsidP="006E4368">
            <w:pPr>
              <w:spacing w:line="240" w:lineRule="auto"/>
              <w:rPr>
                <w:sz w:val="16"/>
                <w:szCs w:val="16"/>
                <w:lang w:val="en-GB"/>
              </w:rPr>
            </w:pPr>
            <w:r w:rsidRPr="00DC176E">
              <w:rPr>
                <w:sz w:val="16"/>
                <w:szCs w:val="16"/>
                <w:lang w:val="en-GB"/>
              </w:rPr>
              <w:t>Pr</w:t>
            </w:r>
            <w:r w:rsidR="00DC176E" w:rsidRPr="00DC176E">
              <w:rPr>
                <w:sz w:val="16"/>
                <w:szCs w:val="16"/>
                <w:lang w:val="en-GB"/>
              </w:rPr>
              <w:t>imary incomes again worked in the direction of the balance of payments defic</w:t>
            </w:r>
            <w:r w:rsidR="00DC176E">
              <w:rPr>
                <w:sz w:val="16"/>
                <w:szCs w:val="16"/>
                <w:lang w:val="en-GB"/>
              </w:rPr>
              <w:t>i</w:t>
            </w:r>
            <w:r w:rsidR="00DC176E" w:rsidRPr="00DC176E">
              <w:rPr>
                <w:sz w:val="16"/>
                <w:szCs w:val="16"/>
                <w:lang w:val="en-GB"/>
              </w:rPr>
              <w:t xml:space="preserve">t. </w:t>
            </w:r>
          </w:p>
        </w:tc>
        <w:tc>
          <w:tcPr>
            <w:tcW w:w="144" w:type="pct"/>
          </w:tcPr>
          <w:p w:rsidR="00D41320" w:rsidRPr="00DC176E" w:rsidRDefault="00D41320" w:rsidP="006E4368">
            <w:pPr>
              <w:pStyle w:val="Textpoznpodarou"/>
              <w:jc w:val="both"/>
              <w:rPr>
                <w:color w:val="FF0000"/>
                <w:highlight w:val="yellow"/>
                <w:lang w:val="en-GB"/>
              </w:rPr>
            </w:pPr>
          </w:p>
        </w:tc>
        <w:tc>
          <w:tcPr>
            <w:tcW w:w="3841" w:type="pct"/>
            <w:gridSpan w:val="4"/>
          </w:tcPr>
          <w:p w:rsidR="00D41320" w:rsidRDefault="00D41320" w:rsidP="006E4368">
            <w:pPr>
              <w:pStyle w:val="Textpoznpodarou"/>
              <w:jc w:val="both"/>
              <w:rPr>
                <w:spacing w:val="-4"/>
                <w:sz w:val="16"/>
                <w:szCs w:val="16"/>
                <w:lang w:val="en-GB"/>
              </w:rPr>
            </w:pPr>
            <w:r w:rsidRPr="00DC176E">
              <w:rPr>
                <w:spacing w:val="-4"/>
                <w:lang w:val="en-GB"/>
              </w:rPr>
              <w:t xml:space="preserve">Deficit </w:t>
            </w:r>
            <w:r w:rsidR="006122F3">
              <w:rPr>
                <w:spacing w:val="-4"/>
                <w:lang w:val="en-GB"/>
              </w:rPr>
              <w:t xml:space="preserve">of primary incomes was caused by the net outflow of incomes from investment in the amount of 321.2 CZK bn. That is by 9.7 bn more than in year 2016 </w:t>
            </w:r>
            <w:r w:rsidRPr="00DC176E">
              <w:rPr>
                <w:spacing w:val="-4"/>
                <w:lang w:val="en-GB"/>
              </w:rPr>
              <w:t>(</w:t>
            </w:r>
            <w:r w:rsidR="00F40562">
              <w:rPr>
                <w:spacing w:val="-4"/>
                <w:lang w:val="en-GB"/>
              </w:rPr>
              <w:t>the inflow of incomes from investment from abroad increased by 1</w:t>
            </w:r>
            <w:r w:rsidR="00160DCA" w:rsidRPr="00DC176E">
              <w:rPr>
                <w:spacing w:val="-4"/>
                <w:lang w:val="en-GB"/>
              </w:rPr>
              <w:t>5</w:t>
            </w:r>
            <w:r w:rsidR="00F40562">
              <w:rPr>
                <w:spacing w:val="-4"/>
                <w:lang w:val="en-GB"/>
              </w:rPr>
              <w:t>.</w:t>
            </w:r>
            <w:r w:rsidRPr="00DC176E">
              <w:rPr>
                <w:spacing w:val="-4"/>
                <w:lang w:val="en-GB"/>
              </w:rPr>
              <w:t xml:space="preserve">0 </w:t>
            </w:r>
            <w:r w:rsidR="00F40562">
              <w:rPr>
                <w:spacing w:val="-4"/>
                <w:lang w:val="en-GB"/>
              </w:rPr>
              <w:t xml:space="preserve">bn last year). At the same time the net outflow of incomes from direct investment reached 345.9 CZK bn last year, by 20.1 bn more than in year </w:t>
            </w:r>
            <w:r w:rsidRPr="00DC176E">
              <w:rPr>
                <w:spacing w:val="-4"/>
                <w:lang w:val="en-GB"/>
              </w:rPr>
              <w:t>2016. Deficit</w:t>
            </w:r>
            <w:r w:rsidR="00257083">
              <w:rPr>
                <w:spacing w:val="-4"/>
                <w:lang w:val="en-GB"/>
              </w:rPr>
              <w:t xml:space="preserve"> of incomes from the portfolio investment moderated to -14.9 bn in 2017. Compensations to employees mostly mitigated the deficit of the primary incomes. Their balance achieved surplus in the amount of </w:t>
            </w:r>
            <w:r w:rsidRPr="00DC176E">
              <w:rPr>
                <w:spacing w:val="-4"/>
                <w:lang w:val="en-GB"/>
              </w:rPr>
              <w:t>3</w:t>
            </w:r>
            <w:r w:rsidR="00160DCA" w:rsidRPr="00DC176E">
              <w:rPr>
                <w:spacing w:val="-4"/>
                <w:lang w:val="en-GB"/>
              </w:rPr>
              <w:t>7</w:t>
            </w:r>
            <w:r w:rsidR="00257083">
              <w:rPr>
                <w:spacing w:val="-4"/>
                <w:lang w:val="en-GB"/>
              </w:rPr>
              <w:t>.</w:t>
            </w:r>
            <w:r w:rsidR="00160DCA" w:rsidRPr="00DC176E">
              <w:rPr>
                <w:spacing w:val="-4"/>
                <w:lang w:val="en-GB"/>
              </w:rPr>
              <w:t>7</w:t>
            </w:r>
            <w:r w:rsidRPr="00DC176E">
              <w:rPr>
                <w:spacing w:val="-4"/>
                <w:lang w:val="en-GB"/>
              </w:rPr>
              <w:t xml:space="preserve"> </w:t>
            </w:r>
            <w:r w:rsidR="00257083">
              <w:rPr>
                <w:spacing w:val="-4"/>
                <w:lang w:val="en-GB"/>
              </w:rPr>
              <w:t>bn</w:t>
            </w:r>
            <w:r w:rsidRPr="00DC176E">
              <w:rPr>
                <w:spacing w:val="-4"/>
                <w:lang w:val="en-GB"/>
              </w:rPr>
              <w:t xml:space="preserve">. </w:t>
            </w:r>
            <w:r w:rsidR="003C5F05">
              <w:rPr>
                <w:spacing w:val="-4"/>
                <w:lang w:val="en-GB"/>
              </w:rPr>
              <w:t>64.</w:t>
            </w:r>
            <w:r w:rsidR="00230574">
              <w:rPr>
                <w:spacing w:val="-4"/>
                <w:lang w:val="en-GB"/>
              </w:rPr>
              <w:t>0</w:t>
            </w:r>
            <w:r w:rsidR="003C5F05">
              <w:rPr>
                <w:spacing w:val="-4"/>
                <w:lang w:val="en-GB"/>
              </w:rPr>
              <w:t xml:space="preserve"> CZK bn poured in the form of compensations to employees from abroad into the CR </w:t>
            </w:r>
            <w:r w:rsidRPr="00DC176E">
              <w:rPr>
                <w:spacing w:val="-4"/>
                <w:lang w:val="en-GB"/>
              </w:rPr>
              <w:t>(</w:t>
            </w:r>
            <w:r w:rsidR="003C5F05">
              <w:rPr>
                <w:spacing w:val="-4"/>
                <w:lang w:val="en-GB"/>
              </w:rPr>
              <w:t xml:space="preserve">by </w:t>
            </w:r>
            <w:r w:rsidR="00160DCA" w:rsidRPr="00DC176E">
              <w:rPr>
                <w:spacing w:val="-4"/>
                <w:lang w:val="en-GB"/>
              </w:rPr>
              <w:t>6</w:t>
            </w:r>
            <w:r w:rsidR="003C5F05">
              <w:rPr>
                <w:spacing w:val="-4"/>
                <w:lang w:val="en-GB"/>
              </w:rPr>
              <w:t>.</w:t>
            </w:r>
            <w:r w:rsidR="00160DCA" w:rsidRPr="00DC176E">
              <w:rPr>
                <w:spacing w:val="-4"/>
                <w:lang w:val="en-GB"/>
              </w:rPr>
              <w:t>1</w:t>
            </w:r>
            <w:r w:rsidRPr="00DC176E">
              <w:rPr>
                <w:spacing w:val="-4"/>
                <w:lang w:val="en-GB"/>
              </w:rPr>
              <w:t xml:space="preserve"> </w:t>
            </w:r>
            <w:r w:rsidR="003C5F05">
              <w:rPr>
                <w:spacing w:val="-4"/>
                <w:lang w:val="en-GB"/>
              </w:rPr>
              <w:t xml:space="preserve">bn more than in year </w:t>
            </w:r>
            <w:r w:rsidRPr="00DC176E">
              <w:rPr>
                <w:spacing w:val="-4"/>
                <w:lang w:val="en-GB"/>
              </w:rPr>
              <w:t xml:space="preserve">2016). </w:t>
            </w:r>
          </w:p>
          <w:p w:rsidR="002133D5" w:rsidRPr="002133D5" w:rsidRDefault="002133D5" w:rsidP="006E4368">
            <w:pPr>
              <w:pStyle w:val="Textpoznpodarou"/>
              <w:jc w:val="both"/>
              <w:rPr>
                <w:spacing w:val="-4"/>
                <w:sz w:val="12"/>
                <w:szCs w:val="12"/>
                <w:lang w:val="en-GB"/>
              </w:rPr>
            </w:pPr>
          </w:p>
        </w:tc>
      </w:tr>
      <w:tr w:rsidR="00DD0726" w:rsidRPr="006647AD" w:rsidTr="009B0676">
        <w:tc>
          <w:tcPr>
            <w:tcW w:w="1015" w:type="pct"/>
          </w:tcPr>
          <w:p w:rsidR="00DD0726" w:rsidRPr="006647AD" w:rsidRDefault="00DD0726" w:rsidP="006C3DC1">
            <w:pPr>
              <w:spacing w:line="240" w:lineRule="auto"/>
              <w:rPr>
                <w:szCs w:val="20"/>
                <w:highlight w:val="yellow"/>
              </w:rPr>
            </w:pPr>
          </w:p>
        </w:tc>
        <w:tc>
          <w:tcPr>
            <w:tcW w:w="144" w:type="pct"/>
          </w:tcPr>
          <w:p w:rsidR="00DD0726" w:rsidRPr="006647AD" w:rsidRDefault="00DD0726" w:rsidP="006C3DC1">
            <w:pPr>
              <w:pStyle w:val="Textpoznpodarou"/>
              <w:rPr>
                <w:color w:val="FF0000"/>
              </w:rPr>
            </w:pPr>
          </w:p>
        </w:tc>
        <w:tc>
          <w:tcPr>
            <w:tcW w:w="580" w:type="pct"/>
          </w:tcPr>
          <w:p w:rsidR="00DD0726" w:rsidRPr="00DC21E2" w:rsidRDefault="0040501E" w:rsidP="006C3DC1">
            <w:pPr>
              <w:pStyle w:val="Textpoznpodarou"/>
              <w:rPr>
                <w:color w:val="FF0000"/>
                <w:spacing w:val="-4"/>
                <w:highlight w:val="yellow"/>
              </w:rPr>
            </w:pPr>
            <w:r>
              <w:rPr>
                <w:spacing w:val="-4"/>
              </w:rPr>
              <w:t xml:space="preserve">Chart </w:t>
            </w:r>
            <w:r w:rsidR="00DD0726" w:rsidRPr="00DC21E2">
              <w:rPr>
                <w:spacing w:val="-4"/>
              </w:rPr>
              <w:t>9</w:t>
            </w:r>
          </w:p>
        </w:tc>
        <w:tc>
          <w:tcPr>
            <w:tcW w:w="3261" w:type="pct"/>
            <w:gridSpan w:val="3"/>
          </w:tcPr>
          <w:p w:rsidR="00AA7C35" w:rsidRDefault="0040501E" w:rsidP="00BD345F">
            <w:pPr>
              <w:pStyle w:val="Textpoznpodarou"/>
              <w:jc w:val="both"/>
              <w:rPr>
                <w:b/>
                <w:spacing w:val="-4"/>
                <w:lang w:val="en-GB"/>
              </w:rPr>
            </w:pPr>
            <w:r w:rsidRPr="0040501E">
              <w:rPr>
                <w:b/>
                <w:spacing w:val="-4"/>
                <w:lang w:val="en-GB"/>
              </w:rPr>
              <w:t xml:space="preserve">Current account of the balance of payments </w:t>
            </w:r>
          </w:p>
          <w:p w:rsidR="00DD0726" w:rsidRPr="0040501E" w:rsidRDefault="0040501E" w:rsidP="00BD345F">
            <w:pPr>
              <w:pStyle w:val="Textpoznpodarou"/>
              <w:jc w:val="both"/>
              <w:rPr>
                <w:color w:val="FF0000"/>
                <w:spacing w:val="-4"/>
                <w:highlight w:val="yellow"/>
                <w:lang w:val="en-GB"/>
              </w:rPr>
            </w:pPr>
            <w:r w:rsidRPr="00AA7C35">
              <w:rPr>
                <w:spacing w:val="-4"/>
                <w:lang w:val="en-GB"/>
              </w:rPr>
              <w:t>(</w:t>
            </w:r>
            <w:proofErr w:type="spellStart"/>
            <w:r w:rsidR="00D455F9" w:rsidRPr="00F76217">
              <w:rPr>
                <w:spacing w:val="-4"/>
                <w:lang w:val="en-GB"/>
              </w:rPr>
              <w:t>cumulation</w:t>
            </w:r>
            <w:proofErr w:type="spellEnd"/>
            <w:r w:rsidR="00D455F9" w:rsidRPr="00F76217">
              <w:rPr>
                <w:spacing w:val="-4"/>
                <w:lang w:val="en-GB"/>
              </w:rPr>
              <w:t xml:space="preserve"> of Q1 </w:t>
            </w:r>
            <w:r w:rsidR="00BD345F">
              <w:rPr>
                <w:spacing w:val="-4"/>
                <w:lang w:val="en-GB"/>
              </w:rPr>
              <w:t>to</w:t>
            </w:r>
            <w:r w:rsidR="00D455F9" w:rsidRPr="00F76217">
              <w:rPr>
                <w:spacing w:val="-4"/>
                <w:lang w:val="en-GB"/>
              </w:rPr>
              <w:t xml:space="preserve"> Q</w:t>
            </w:r>
            <w:r w:rsidR="00BD345F">
              <w:rPr>
                <w:spacing w:val="-4"/>
                <w:lang w:val="en-GB"/>
              </w:rPr>
              <w:t>4</w:t>
            </w:r>
            <w:r w:rsidR="00D455F9" w:rsidRPr="00F76217">
              <w:rPr>
                <w:spacing w:val="-4"/>
                <w:lang w:val="en-GB"/>
              </w:rPr>
              <w:t xml:space="preserve"> in </w:t>
            </w:r>
            <w:r w:rsidR="00D455F9">
              <w:rPr>
                <w:spacing w:val="-4"/>
                <w:lang w:val="en-GB"/>
              </w:rPr>
              <w:t>CZK bn</w:t>
            </w:r>
            <w:r w:rsidR="00DD0726" w:rsidRPr="0040501E">
              <w:rPr>
                <w:spacing w:val="-4"/>
                <w:lang w:val="en-GB"/>
              </w:rPr>
              <w:t>)</w:t>
            </w:r>
          </w:p>
        </w:tc>
      </w:tr>
      <w:tr w:rsidR="00DD0726" w:rsidRPr="00A74192" w:rsidTr="009B0676">
        <w:tc>
          <w:tcPr>
            <w:tcW w:w="1015" w:type="pct"/>
          </w:tcPr>
          <w:p w:rsidR="00DD0726" w:rsidRPr="002804BB" w:rsidRDefault="00DD0726" w:rsidP="006C3DC1">
            <w:pPr>
              <w:spacing w:line="240" w:lineRule="auto"/>
              <w:rPr>
                <w:sz w:val="16"/>
                <w:szCs w:val="16"/>
                <w:highlight w:val="yellow"/>
              </w:rPr>
            </w:pPr>
          </w:p>
        </w:tc>
        <w:tc>
          <w:tcPr>
            <w:tcW w:w="144" w:type="pct"/>
          </w:tcPr>
          <w:p w:rsidR="00DD0726" w:rsidRPr="00A74192" w:rsidRDefault="00DD0726" w:rsidP="006C3DC1">
            <w:pPr>
              <w:pStyle w:val="Textpoznpodarou"/>
              <w:rPr>
                <w:color w:val="FF0000"/>
              </w:rPr>
            </w:pPr>
          </w:p>
        </w:tc>
        <w:tc>
          <w:tcPr>
            <w:tcW w:w="3841" w:type="pct"/>
            <w:gridSpan w:val="4"/>
          </w:tcPr>
          <w:p w:rsidR="00DD0726" w:rsidRPr="00DC21E2" w:rsidRDefault="00BD345F" w:rsidP="006C3DC1">
            <w:pPr>
              <w:pStyle w:val="Textpoznpodarou"/>
              <w:ind w:left="-73"/>
              <w:jc w:val="both"/>
              <w:rPr>
                <w:spacing w:val="-4"/>
                <w:sz w:val="16"/>
                <w:highlight w:val="yellow"/>
              </w:rPr>
            </w:pPr>
            <w:r w:rsidRPr="00BD345F">
              <w:rPr>
                <w:noProof/>
                <w:spacing w:val="-4"/>
                <w:sz w:val="16"/>
              </w:rPr>
              <w:drawing>
                <wp:inline distT="0" distB="0" distL="0" distR="0">
                  <wp:extent cx="4737100" cy="3251200"/>
                  <wp:effectExtent l="0" t="0" r="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0726" w:rsidRDefault="008F352D" w:rsidP="00BD345F">
            <w:pPr>
              <w:pStyle w:val="Textpoznpodarou"/>
              <w:ind w:left="-73"/>
              <w:jc w:val="right"/>
              <w:rPr>
                <w:spacing w:val="-4"/>
                <w:sz w:val="14"/>
                <w:szCs w:val="14"/>
              </w:rPr>
            </w:pPr>
            <w:proofErr w:type="spellStart"/>
            <w:r>
              <w:rPr>
                <w:spacing w:val="-4"/>
                <w:sz w:val="14"/>
                <w:szCs w:val="14"/>
              </w:rPr>
              <w:t>Source</w:t>
            </w:r>
            <w:proofErr w:type="spellEnd"/>
            <w:r w:rsidR="00DD0726" w:rsidRPr="00DC21E2">
              <w:rPr>
                <w:spacing w:val="-4"/>
                <w:sz w:val="14"/>
                <w:szCs w:val="14"/>
              </w:rPr>
              <w:t xml:space="preserve">: </w:t>
            </w:r>
            <w:r>
              <w:rPr>
                <w:spacing w:val="-4"/>
                <w:sz w:val="14"/>
                <w:szCs w:val="14"/>
              </w:rPr>
              <w:t>C</w:t>
            </w:r>
            <w:r w:rsidR="00DD0726" w:rsidRPr="00DC21E2">
              <w:rPr>
                <w:spacing w:val="-4"/>
                <w:sz w:val="14"/>
                <w:szCs w:val="14"/>
              </w:rPr>
              <w:t>NB</w:t>
            </w:r>
          </w:p>
          <w:p w:rsidR="00BD345F" w:rsidRPr="002133D5" w:rsidRDefault="00BD345F" w:rsidP="002133D5">
            <w:pPr>
              <w:pStyle w:val="Textpoznpodarou"/>
              <w:rPr>
                <w:spacing w:val="-4"/>
                <w:sz w:val="6"/>
                <w:szCs w:val="6"/>
              </w:rPr>
            </w:pPr>
          </w:p>
        </w:tc>
      </w:tr>
      <w:tr w:rsidR="00D41320" w:rsidRPr="00A74192" w:rsidTr="009B0676">
        <w:tc>
          <w:tcPr>
            <w:tcW w:w="1015" w:type="pct"/>
          </w:tcPr>
          <w:p w:rsidR="00D41320" w:rsidRPr="00997301" w:rsidRDefault="00997301" w:rsidP="00E932EA">
            <w:pPr>
              <w:spacing w:line="240" w:lineRule="auto"/>
              <w:rPr>
                <w:sz w:val="16"/>
                <w:szCs w:val="16"/>
                <w:lang w:val="en-GB"/>
              </w:rPr>
            </w:pPr>
            <w:r w:rsidRPr="00997301">
              <w:rPr>
                <w:sz w:val="16"/>
                <w:szCs w:val="16"/>
                <w:lang w:val="en-GB"/>
              </w:rPr>
              <w:lastRenderedPageBreak/>
              <w:t>Results of the financial account were markedly impacted by the development in Q1</w:t>
            </w:r>
            <w:r w:rsidR="00E932EA" w:rsidRPr="00997301">
              <w:rPr>
                <w:sz w:val="16"/>
                <w:szCs w:val="16"/>
                <w:lang w:val="en-GB"/>
              </w:rPr>
              <w:t>.</w:t>
            </w:r>
          </w:p>
        </w:tc>
        <w:tc>
          <w:tcPr>
            <w:tcW w:w="144" w:type="pct"/>
          </w:tcPr>
          <w:p w:rsidR="00D41320" w:rsidRPr="00997301" w:rsidRDefault="00D41320" w:rsidP="006E4368">
            <w:pPr>
              <w:pStyle w:val="Textpoznpodarou"/>
              <w:jc w:val="both"/>
              <w:rPr>
                <w:highlight w:val="yellow"/>
                <w:lang w:val="en-GB"/>
              </w:rPr>
            </w:pPr>
          </w:p>
        </w:tc>
        <w:tc>
          <w:tcPr>
            <w:tcW w:w="3841" w:type="pct"/>
            <w:gridSpan w:val="4"/>
          </w:tcPr>
          <w:p w:rsidR="00D41320" w:rsidRPr="00997301" w:rsidRDefault="00D41320" w:rsidP="006E4368">
            <w:pPr>
              <w:pStyle w:val="Textpoznpodarou"/>
              <w:jc w:val="both"/>
              <w:rPr>
                <w:spacing w:val="-4"/>
                <w:sz w:val="16"/>
                <w:szCs w:val="16"/>
                <w:lang w:val="en-GB"/>
              </w:rPr>
            </w:pPr>
            <w:r w:rsidRPr="00997301">
              <w:rPr>
                <w:spacing w:val="-4"/>
                <w:lang w:val="en-GB"/>
              </w:rPr>
              <w:t>Fina</w:t>
            </w:r>
            <w:r w:rsidR="00173583">
              <w:rPr>
                <w:spacing w:val="-4"/>
                <w:lang w:val="en-GB"/>
              </w:rPr>
              <w:t xml:space="preserve">ncial account </w:t>
            </w:r>
            <w:r w:rsidRPr="00997301">
              <w:rPr>
                <w:spacing w:val="-4"/>
                <w:lang w:val="en-GB"/>
              </w:rPr>
              <w:t>(F</w:t>
            </w:r>
            <w:r w:rsidR="00173583">
              <w:rPr>
                <w:spacing w:val="-4"/>
                <w:lang w:val="en-GB"/>
              </w:rPr>
              <w:t>A</w:t>
            </w:r>
            <w:r w:rsidRPr="00997301">
              <w:rPr>
                <w:spacing w:val="-4"/>
                <w:lang w:val="en-GB"/>
              </w:rPr>
              <w:t xml:space="preserve">) </w:t>
            </w:r>
            <w:r w:rsidR="00173583">
              <w:rPr>
                <w:spacing w:val="-4"/>
                <w:lang w:val="en-GB"/>
              </w:rPr>
              <w:t>finished in surplus of 117.1 CZK bn in 2017.</w:t>
            </w:r>
            <w:r w:rsidR="00230574">
              <w:rPr>
                <w:spacing w:val="-4"/>
                <w:lang w:val="en-GB"/>
              </w:rPr>
              <w:t xml:space="preserve"> </w:t>
            </w:r>
            <w:r w:rsidR="00173583">
              <w:rPr>
                <w:spacing w:val="-4"/>
                <w:lang w:val="en-GB"/>
              </w:rPr>
              <w:t xml:space="preserve">At the same time both asset and liability side of the financial account gained double the level from year 2016. Flows to the FA had the largest volume in Q1, when the investors reacted to the nearing termination of the </w:t>
            </w:r>
            <w:r w:rsidR="00604CF7">
              <w:rPr>
                <w:spacing w:val="-4"/>
                <w:lang w:val="en-GB"/>
              </w:rPr>
              <w:t xml:space="preserve">forex </w:t>
            </w:r>
            <w:r w:rsidR="00173583">
              <w:rPr>
                <w:spacing w:val="-4"/>
                <w:lang w:val="en-GB"/>
              </w:rPr>
              <w:t>intervention of the CNB</w:t>
            </w:r>
            <w:r w:rsidRPr="00997301">
              <w:rPr>
                <w:spacing w:val="-4"/>
                <w:lang w:val="en-GB"/>
              </w:rPr>
              <w:t xml:space="preserve">. </w:t>
            </w:r>
            <w:r w:rsidR="00096747">
              <w:rPr>
                <w:spacing w:val="-4"/>
                <w:lang w:val="en-GB"/>
              </w:rPr>
              <w:t xml:space="preserve">The increase of the reserve assets in the amount of 1 246.4 CZK bn (in that 1 119.2 bn in Q1) exclusively stood behind the resulting surplus, which the FA keeps achieving since year 2012. </w:t>
            </w:r>
            <w:r w:rsidR="006D231B">
              <w:rPr>
                <w:spacing w:val="-4"/>
                <w:lang w:val="en-GB"/>
              </w:rPr>
              <w:t xml:space="preserve">Net inflow of direct investment arrived at </w:t>
            </w:r>
            <w:r w:rsidRPr="00997301">
              <w:rPr>
                <w:spacing w:val="-4"/>
                <w:lang w:val="en-GB"/>
              </w:rPr>
              <w:t>13</w:t>
            </w:r>
            <w:r w:rsidR="0038187C" w:rsidRPr="00997301">
              <w:rPr>
                <w:spacing w:val="-4"/>
                <w:lang w:val="en-GB"/>
              </w:rPr>
              <w:t>5</w:t>
            </w:r>
            <w:r w:rsidR="006D231B">
              <w:rPr>
                <w:spacing w:val="-4"/>
                <w:lang w:val="en-GB"/>
              </w:rPr>
              <w:t>.</w:t>
            </w:r>
            <w:r w:rsidR="0038187C" w:rsidRPr="00997301">
              <w:rPr>
                <w:spacing w:val="-4"/>
                <w:lang w:val="en-GB"/>
              </w:rPr>
              <w:t>3 </w:t>
            </w:r>
            <w:r w:rsidR="006D231B">
              <w:rPr>
                <w:spacing w:val="-4"/>
                <w:lang w:val="en-GB"/>
              </w:rPr>
              <w:t xml:space="preserve">CZK bn </w:t>
            </w:r>
            <w:r w:rsidRPr="00997301">
              <w:rPr>
                <w:spacing w:val="-4"/>
                <w:lang w:val="en-GB"/>
              </w:rPr>
              <w:t>(</w:t>
            </w:r>
            <w:r w:rsidR="006D231B">
              <w:rPr>
                <w:spacing w:val="-4"/>
                <w:lang w:val="en-GB"/>
              </w:rPr>
              <w:t xml:space="preserve">profit reinvestments shared in that from </w:t>
            </w:r>
            <w:r w:rsidRPr="00997301">
              <w:rPr>
                <w:spacing w:val="-4"/>
                <w:lang w:val="en-GB"/>
              </w:rPr>
              <w:t>10</w:t>
            </w:r>
            <w:r w:rsidR="0038187C" w:rsidRPr="00997301">
              <w:rPr>
                <w:spacing w:val="-4"/>
                <w:lang w:val="en-GB"/>
              </w:rPr>
              <w:t>6</w:t>
            </w:r>
            <w:r w:rsidR="006D231B">
              <w:rPr>
                <w:spacing w:val="-4"/>
                <w:lang w:val="en-GB"/>
              </w:rPr>
              <w:t>.</w:t>
            </w:r>
            <w:r w:rsidR="0038187C" w:rsidRPr="00997301">
              <w:rPr>
                <w:spacing w:val="-4"/>
                <w:lang w:val="en-GB"/>
              </w:rPr>
              <w:t>9</w:t>
            </w:r>
            <w:r w:rsidRPr="00997301">
              <w:rPr>
                <w:spacing w:val="-4"/>
                <w:lang w:val="en-GB"/>
              </w:rPr>
              <w:t xml:space="preserve"> </w:t>
            </w:r>
            <w:r w:rsidR="006D231B">
              <w:rPr>
                <w:spacing w:val="-4"/>
                <w:lang w:val="en-GB"/>
              </w:rPr>
              <w:t xml:space="preserve">bn). Net inflow of portfolio investment was 268.3 CZK bn last year. Shares in investment funds </w:t>
            </w:r>
            <w:r w:rsidR="00F64C5B">
              <w:rPr>
                <w:spacing w:val="-4"/>
                <w:lang w:val="en-GB"/>
              </w:rPr>
              <w:t xml:space="preserve">nevertheless </w:t>
            </w:r>
            <w:r w:rsidR="00675E9B">
              <w:rPr>
                <w:spacing w:val="-4"/>
                <w:lang w:val="en-GB"/>
              </w:rPr>
              <w:t xml:space="preserve">made net outflow in the size of 43.5 CZK bn. </w:t>
            </w:r>
            <w:r w:rsidR="006D231B">
              <w:rPr>
                <w:spacing w:val="-4"/>
                <w:lang w:val="en-GB"/>
              </w:rPr>
              <w:t xml:space="preserve"> </w:t>
            </w:r>
            <w:r w:rsidRPr="00997301">
              <w:rPr>
                <w:spacing w:val="-4"/>
                <w:lang w:val="en-GB"/>
              </w:rPr>
              <w:t xml:space="preserve"> </w:t>
            </w:r>
            <w:r w:rsidR="00675E9B">
              <w:rPr>
                <w:spacing w:val="-4"/>
                <w:lang w:val="en-GB"/>
              </w:rPr>
              <w:t>Investment into the debt securities presented the source of the deficit in the item portfolio investment. Their net inflow was 311.8</w:t>
            </w:r>
            <w:r w:rsidR="00230574">
              <w:rPr>
                <w:spacing w:val="-4"/>
                <w:lang w:val="en-GB"/>
              </w:rPr>
              <w:t xml:space="preserve"> </w:t>
            </w:r>
            <w:r w:rsidR="00675E9B">
              <w:rPr>
                <w:spacing w:val="-4"/>
                <w:lang w:val="en-GB"/>
              </w:rPr>
              <w:t>CZK</w:t>
            </w:r>
            <w:r w:rsidR="00230574">
              <w:rPr>
                <w:spacing w:val="-4"/>
                <w:lang w:val="en-GB"/>
              </w:rPr>
              <w:t xml:space="preserve"> bn</w:t>
            </w:r>
            <w:r w:rsidR="00675E9B">
              <w:rPr>
                <w:spacing w:val="-4"/>
                <w:lang w:val="en-GB"/>
              </w:rPr>
              <w:t xml:space="preserve"> for year 2017 </w:t>
            </w:r>
            <w:r w:rsidRPr="00997301">
              <w:rPr>
                <w:spacing w:val="-4"/>
                <w:lang w:val="en-GB"/>
              </w:rPr>
              <w:t>(</w:t>
            </w:r>
            <w:r w:rsidR="009D3757">
              <w:rPr>
                <w:spacing w:val="-4"/>
                <w:lang w:val="en-GB"/>
              </w:rPr>
              <w:t xml:space="preserve">by </w:t>
            </w:r>
            <w:r w:rsidRPr="00997301">
              <w:rPr>
                <w:spacing w:val="-4"/>
                <w:lang w:val="en-GB"/>
              </w:rPr>
              <w:t>1</w:t>
            </w:r>
            <w:r w:rsidR="00232A3C" w:rsidRPr="00997301">
              <w:rPr>
                <w:spacing w:val="-4"/>
                <w:lang w:val="en-GB"/>
              </w:rPr>
              <w:t>40</w:t>
            </w:r>
            <w:r w:rsidR="009D3757">
              <w:rPr>
                <w:spacing w:val="-4"/>
                <w:lang w:val="en-GB"/>
              </w:rPr>
              <w:t>.</w:t>
            </w:r>
            <w:r w:rsidR="00232A3C" w:rsidRPr="00997301">
              <w:rPr>
                <w:spacing w:val="-4"/>
                <w:lang w:val="en-GB"/>
              </w:rPr>
              <w:t>8</w:t>
            </w:r>
            <w:r w:rsidRPr="00997301">
              <w:rPr>
                <w:spacing w:val="-4"/>
                <w:lang w:val="en-GB"/>
              </w:rPr>
              <w:t xml:space="preserve"> </w:t>
            </w:r>
            <w:r w:rsidR="009D3757">
              <w:rPr>
                <w:spacing w:val="-4"/>
                <w:lang w:val="en-GB"/>
              </w:rPr>
              <w:t xml:space="preserve">bn more than in </w:t>
            </w:r>
            <w:r w:rsidRPr="00997301">
              <w:rPr>
                <w:spacing w:val="-4"/>
                <w:lang w:val="en-GB"/>
              </w:rPr>
              <w:t xml:space="preserve">2016). </w:t>
            </w:r>
            <w:r w:rsidR="005A7896">
              <w:rPr>
                <w:spacing w:val="-4"/>
                <w:lang w:val="en-GB"/>
              </w:rPr>
              <w:t>Main focal point of this capital inflow was in Q1 and 2 of the year. Development of the proportion of domestic bonds in the hands of foreign holders</w:t>
            </w:r>
            <w:r w:rsidR="005A7896" w:rsidRPr="00997301">
              <w:rPr>
                <w:rStyle w:val="Znakapoznpodarou"/>
                <w:spacing w:val="-4"/>
                <w:lang w:val="en-GB"/>
              </w:rPr>
              <w:footnoteReference w:id="28"/>
            </w:r>
            <w:r w:rsidR="005A7896" w:rsidRPr="00997301">
              <w:rPr>
                <w:spacing w:val="-4"/>
                <w:lang w:val="en-GB"/>
              </w:rPr>
              <w:t xml:space="preserve"> </w:t>
            </w:r>
            <w:r w:rsidR="005A7896">
              <w:rPr>
                <w:spacing w:val="-4"/>
                <w:lang w:val="en-GB"/>
              </w:rPr>
              <w:t xml:space="preserve"> illustrates </w:t>
            </w:r>
            <w:r w:rsidR="00230574">
              <w:rPr>
                <w:spacing w:val="-4"/>
                <w:lang w:val="en-GB"/>
              </w:rPr>
              <w:t>i</w:t>
            </w:r>
            <w:r w:rsidR="006A1582">
              <w:rPr>
                <w:spacing w:val="-4"/>
                <w:lang w:val="en-GB"/>
              </w:rPr>
              <w:t>t</w:t>
            </w:r>
            <w:r w:rsidR="00230574">
              <w:rPr>
                <w:spacing w:val="-4"/>
                <w:lang w:val="en-GB"/>
              </w:rPr>
              <w:t>. It</w:t>
            </w:r>
            <w:r w:rsidR="006A1582">
              <w:rPr>
                <w:spacing w:val="-4"/>
                <w:lang w:val="en-GB"/>
              </w:rPr>
              <w:t xml:space="preserve"> considerabl</w:t>
            </w:r>
            <w:r w:rsidR="00230574">
              <w:rPr>
                <w:spacing w:val="-4"/>
                <w:lang w:val="en-GB"/>
              </w:rPr>
              <w:t>y</w:t>
            </w:r>
            <w:r w:rsidR="006A1582">
              <w:rPr>
                <w:spacing w:val="-4"/>
                <w:lang w:val="en-GB"/>
              </w:rPr>
              <w:t xml:space="preserve"> increased during the year </w:t>
            </w:r>
            <w:r w:rsidR="00801D15" w:rsidRPr="00997301">
              <w:rPr>
                <w:spacing w:val="-4"/>
                <w:lang w:val="en-GB"/>
              </w:rPr>
              <w:t>2016 (</w:t>
            </w:r>
            <w:r w:rsidR="006A1582">
              <w:rPr>
                <w:spacing w:val="-4"/>
                <w:lang w:val="en-GB"/>
              </w:rPr>
              <w:t xml:space="preserve">from </w:t>
            </w:r>
            <w:r w:rsidR="00801D15" w:rsidRPr="00997301">
              <w:rPr>
                <w:spacing w:val="-4"/>
                <w:lang w:val="en-GB"/>
              </w:rPr>
              <w:t>23</w:t>
            </w:r>
            <w:r w:rsidR="006A1582">
              <w:rPr>
                <w:spacing w:val="-4"/>
                <w:lang w:val="en-GB"/>
              </w:rPr>
              <w:t>.</w:t>
            </w:r>
            <w:r w:rsidR="00801D15" w:rsidRPr="00997301">
              <w:rPr>
                <w:spacing w:val="-4"/>
                <w:lang w:val="en-GB"/>
              </w:rPr>
              <w:t>67</w:t>
            </w:r>
            <w:r w:rsidRPr="00997301">
              <w:rPr>
                <w:spacing w:val="-4"/>
                <w:lang w:val="en-GB"/>
              </w:rPr>
              <w:t xml:space="preserve">% </w:t>
            </w:r>
            <w:r w:rsidR="006A1582">
              <w:rPr>
                <w:spacing w:val="-4"/>
                <w:lang w:val="en-GB"/>
              </w:rPr>
              <w:t>in January 2</w:t>
            </w:r>
            <w:r w:rsidRPr="00997301">
              <w:rPr>
                <w:spacing w:val="-4"/>
                <w:lang w:val="en-GB"/>
              </w:rPr>
              <w:t xml:space="preserve">016 </w:t>
            </w:r>
            <w:r w:rsidR="006A1582">
              <w:rPr>
                <w:spacing w:val="-4"/>
                <w:lang w:val="en-GB"/>
              </w:rPr>
              <w:t xml:space="preserve">to </w:t>
            </w:r>
            <w:r w:rsidRPr="00997301">
              <w:rPr>
                <w:spacing w:val="-4"/>
                <w:lang w:val="en-GB"/>
              </w:rPr>
              <w:t>38</w:t>
            </w:r>
            <w:r w:rsidR="006A1582">
              <w:rPr>
                <w:spacing w:val="-4"/>
                <w:lang w:val="en-GB"/>
              </w:rPr>
              <w:t>.</w:t>
            </w:r>
            <w:r w:rsidRPr="00997301">
              <w:rPr>
                <w:spacing w:val="-4"/>
                <w:lang w:val="en-GB"/>
              </w:rPr>
              <w:t xml:space="preserve">66% </w:t>
            </w:r>
            <w:r w:rsidR="006A1582">
              <w:rPr>
                <w:spacing w:val="-4"/>
                <w:lang w:val="en-GB"/>
              </w:rPr>
              <w:t xml:space="preserve">in January </w:t>
            </w:r>
            <w:r w:rsidRPr="00997301">
              <w:rPr>
                <w:spacing w:val="-4"/>
                <w:lang w:val="en-GB"/>
              </w:rPr>
              <w:t xml:space="preserve">2017). </w:t>
            </w:r>
            <w:r w:rsidR="00E01B6E">
              <w:rPr>
                <w:spacing w:val="-4"/>
                <w:lang w:val="en-GB"/>
              </w:rPr>
              <w:t xml:space="preserve">It was </w:t>
            </w:r>
            <w:r w:rsidRPr="00997301">
              <w:rPr>
                <w:spacing w:val="-4"/>
                <w:lang w:val="en-GB"/>
              </w:rPr>
              <w:t>47</w:t>
            </w:r>
            <w:r w:rsidR="00E01B6E">
              <w:rPr>
                <w:spacing w:val="-4"/>
                <w:lang w:val="en-GB"/>
              </w:rPr>
              <w:t>.</w:t>
            </w:r>
            <w:r w:rsidRPr="00997301">
              <w:rPr>
                <w:spacing w:val="-4"/>
                <w:lang w:val="en-GB"/>
              </w:rPr>
              <w:t>26%</w:t>
            </w:r>
            <w:r w:rsidR="00E01B6E">
              <w:rPr>
                <w:spacing w:val="-4"/>
                <w:lang w:val="en-GB"/>
              </w:rPr>
              <w:t xml:space="preserve"> at the end of March</w:t>
            </w:r>
            <w:r w:rsidRPr="00997301">
              <w:rPr>
                <w:spacing w:val="-4"/>
                <w:lang w:val="en-GB"/>
              </w:rPr>
              <w:t xml:space="preserve"> a</w:t>
            </w:r>
            <w:r w:rsidR="00E01B6E">
              <w:rPr>
                <w:spacing w:val="-4"/>
                <w:lang w:val="en-GB"/>
              </w:rPr>
              <w:t xml:space="preserve">nd it peaked in September </w:t>
            </w:r>
            <w:r w:rsidRPr="00997301">
              <w:rPr>
                <w:spacing w:val="-4"/>
                <w:lang w:val="en-GB"/>
              </w:rPr>
              <w:t>(51</w:t>
            </w:r>
            <w:r w:rsidR="00E01B6E">
              <w:rPr>
                <w:spacing w:val="-4"/>
                <w:lang w:val="en-GB"/>
              </w:rPr>
              <w:t>.</w:t>
            </w:r>
            <w:r w:rsidRPr="00997301">
              <w:rPr>
                <w:spacing w:val="-4"/>
                <w:lang w:val="en-GB"/>
              </w:rPr>
              <w:t xml:space="preserve">35%). </w:t>
            </w:r>
            <w:r w:rsidR="00E01B6E">
              <w:rPr>
                <w:spacing w:val="-4"/>
                <w:lang w:val="en-GB"/>
              </w:rPr>
              <w:t xml:space="preserve">It gradually declines since then. It was 41.64% at the end of December 2017. </w:t>
            </w:r>
          </w:p>
          <w:p w:rsidR="00D41320" w:rsidRPr="00997301" w:rsidRDefault="00D41320" w:rsidP="006E4368">
            <w:pPr>
              <w:pStyle w:val="Textpoznpodarou"/>
              <w:jc w:val="both"/>
              <w:rPr>
                <w:spacing w:val="-4"/>
                <w:sz w:val="16"/>
                <w:szCs w:val="16"/>
                <w:lang w:val="en-GB"/>
              </w:rPr>
            </w:pPr>
          </w:p>
        </w:tc>
      </w:tr>
      <w:tr w:rsidR="00D41320" w:rsidRPr="00A74192" w:rsidTr="009B0676">
        <w:tc>
          <w:tcPr>
            <w:tcW w:w="1015" w:type="pct"/>
          </w:tcPr>
          <w:p w:rsidR="00D41320" w:rsidRPr="00E01B6E" w:rsidRDefault="00096747" w:rsidP="006E4368">
            <w:pPr>
              <w:spacing w:line="240" w:lineRule="auto"/>
              <w:rPr>
                <w:sz w:val="16"/>
                <w:szCs w:val="16"/>
                <w:lang w:val="en-GB"/>
              </w:rPr>
            </w:pPr>
            <w:r w:rsidRPr="00E01B6E">
              <w:rPr>
                <w:sz w:val="16"/>
                <w:szCs w:val="16"/>
                <w:lang w:val="en-GB"/>
              </w:rPr>
              <w:t>Export grew relative</w:t>
            </w:r>
            <w:r w:rsidR="00B56645">
              <w:rPr>
                <w:sz w:val="16"/>
                <w:szCs w:val="16"/>
                <w:lang w:val="en-GB"/>
              </w:rPr>
              <w:t>ly</w:t>
            </w:r>
            <w:r w:rsidRPr="00E01B6E">
              <w:rPr>
                <w:sz w:val="16"/>
                <w:szCs w:val="16"/>
                <w:lang w:val="en-GB"/>
              </w:rPr>
              <w:t xml:space="preserve"> fast last year. </w:t>
            </w:r>
          </w:p>
        </w:tc>
        <w:tc>
          <w:tcPr>
            <w:tcW w:w="144" w:type="pct"/>
          </w:tcPr>
          <w:p w:rsidR="00D41320" w:rsidRPr="00E01B6E" w:rsidRDefault="00D41320" w:rsidP="006E4368">
            <w:pPr>
              <w:pStyle w:val="Textpoznpodarou"/>
              <w:jc w:val="both"/>
              <w:rPr>
                <w:highlight w:val="yellow"/>
                <w:lang w:val="en-GB"/>
              </w:rPr>
            </w:pPr>
          </w:p>
        </w:tc>
        <w:tc>
          <w:tcPr>
            <w:tcW w:w="3841" w:type="pct"/>
            <w:gridSpan w:val="4"/>
          </w:tcPr>
          <w:p w:rsidR="00D41320" w:rsidRPr="00E01B6E" w:rsidRDefault="009870EF" w:rsidP="006E4368">
            <w:pPr>
              <w:pStyle w:val="Textpoznpodarou"/>
              <w:jc w:val="both"/>
              <w:rPr>
                <w:spacing w:val="-4"/>
                <w:sz w:val="16"/>
                <w:szCs w:val="16"/>
                <w:lang w:val="en-GB"/>
              </w:rPr>
            </w:pPr>
            <w:r>
              <w:rPr>
                <w:spacing w:val="-4"/>
                <w:lang w:val="en-GB"/>
              </w:rPr>
              <w:t xml:space="preserve">Value of exports reached </w:t>
            </w:r>
            <w:r w:rsidR="00D41320" w:rsidRPr="00E01B6E">
              <w:rPr>
                <w:spacing w:val="-4"/>
                <w:lang w:val="en-GB"/>
              </w:rPr>
              <w:t>3</w:t>
            </w:r>
            <w:r>
              <w:rPr>
                <w:spacing w:val="-4"/>
                <w:lang w:val="en-GB"/>
              </w:rPr>
              <w:t> </w:t>
            </w:r>
            <w:r w:rsidR="00D41320" w:rsidRPr="00E01B6E">
              <w:rPr>
                <w:spacing w:val="-4"/>
                <w:lang w:val="en-GB"/>
              </w:rPr>
              <w:t>489</w:t>
            </w:r>
            <w:r>
              <w:rPr>
                <w:spacing w:val="-4"/>
                <w:lang w:val="en-GB"/>
              </w:rPr>
              <w:t>.</w:t>
            </w:r>
            <w:r w:rsidR="00D41320" w:rsidRPr="00E01B6E">
              <w:rPr>
                <w:spacing w:val="-4"/>
                <w:lang w:val="en-GB"/>
              </w:rPr>
              <w:t xml:space="preserve">1 </w:t>
            </w:r>
            <w:r>
              <w:rPr>
                <w:spacing w:val="-4"/>
                <w:lang w:val="en-GB"/>
              </w:rPr>
              <w:t>CZK bn in year 2017</w:t>
            </w:r>
            <w:r w:rsidR="00766F78" w:rsidRPr="00E01B6E">
              <w:rPr>
                <w:rStyle w:val="Znakapoznpodarou"/>
                <w:spacing w:val="-4"/>
                <w:lang w:val="en-GB"/>
              </w:rPr>
              <w:footnoteReference w:id="29"/>
            </w:r>
            <w:r w:rsidR="00D41320" w:rsidRPr="00E01B6E">
              <w:rPr>
                <w:spacing w:val="-4"/>
                <w:lang w:val="en-GB"/>
              </w:rPr>
              <w:t xml:space="preserve">. </w:t>
            </w:r>
            <w:r w:rsidR="00077C8D">
              <w:rPr>
                <w:spacing w:val="-4"/>
                <w:lang w:val="en-GB"/>
              </w:rPr>
              <w:t xml:space="preserve">It thus increased by 189.9 bn (5.8%) compared to year </w:t>
            </w:r>
            <w:r w:rsidR="00D41320" w:rsidRPr="00E01B6E">
              <w:rPr>
                <w:spacing w:val="-4"/>
                <w:lang w:val="en-GB"/>
              </w:rPr>
              <w:t>2016</w:t>
            </w:r>
            <w:r w:rsidR="00077C8D">
              <w:rPr>
                <w:spacing w:val="-4"/>
                <w:lang w:val="en-GB"/>
              </w:rPr>
              <w:t xml:space="preserve">. It represents the most significant increase since year </w:t>
            </w:r>
            <w:r w:rsidR="00D41320" w:rsidRPr="00E01B6E">
              <w:rPr>
                <w:spacing w:val="-4"/>
                <w:lang w:val="en-GB"/>
              </w:rPr>
              <w:t>2014 (</w:t>
            </w:r>
            <w:r w:rsidR="00077C8D">
              <w:rPr>
                <w:spacing w:val="-4"/>
                <w:lang w:val="en-GB"/>
              </w:rPr>
              <w:t>when the value of exports was notably impacted by the ko</w:t>
            </w:r>
            <w:r w:rsidR="00DF330C">
              <w:rPr>
                <w:spacing w:val="-4"/>
                <w:lang w:val="en-GB"/>
              </w:rPr>
              <w:t>runa foreign exchange depreciation</w:t>
            </w:r>
            <w:r w:rsidR="00D41320" w:rsidRPr="00E01B6E">
              <w:rPr>
                <w:spacing w:val="-4"/>
                <w:lang w:val="en-GB"/>
              </w:rPr>
              <w:t xml:space="preserve">). </w:t>
            </w:r>
            <w:r w:rsidR="003A61F5">
              <w:rPr>
                <w:spacing w:val="-4"/>
                <w:lang w:val="en-GB"/>
              </w:rPr>
              <w:t xml:space="preserve">If we thus omit the year </w:t>
            </w:r>
            <w:r w:rsidR="00D41320" w:rsidRPr="00E01B6E">
              <w:rPr>
                <w:spacing w:val="-4"/>
                <w:lang w:val="en-GB"/>
              </w:rPr>
              <w:t xml:space="preserve">2014, </w:t>
            </w:r>
            <w:r w:rsidR="003A61F5">
              <w:rPr>
                <w:spacing w:val="-4"/>
                <w:lang w:val="en-GB"/>
              </w:rPr>
              <w:t xml:space="preserve">it is the largest increase since year </w:t>
            </w:r>
            <w:r w:rsidR="00D41320" w:rsidRPr="00E01B6E">
              <w:rPr>
                <w:spacing w:val="-4"/>
                <w:lang w:val="en-GB"/>
              </w:rPr>
              <w:t>2012 (6</w:t>
            </w:r>
            <w:r w:rsidR="003A61F5">
              <w:rPr>
                <w:spacing w:val="-4"/>
                <w:lang w:val="en-GB"/>
              </w:rPr>
              <w:t>.</w:t>
            </w:r>
            <w:r w:rsidR="00D41320" w:rsidRPr="00E01B6E">
              <w:rPr>
                <w:spacing w:val="-4"/>
                <w:lang w:val="en-GB"/>
              </w:rPr>
              <w:t xml:space="preserve">0%). </w:t>
            </w:r>
            <w:r w:rsidR="00B56645">
              <w:rPr>
                <w:spacing w:val="-4"/>
                <w:lang w:val="en-GB"/>
              </w:rPr>
              <w:t xml:space="preserve">Rate of growth of export was maintained relatively strong throughout the whole year </w:t>
            </w:r>
            <w:r w:rsidR="00D41320" w:rsidRPr="00E01B6E">
              <w:rPr>
                <w:spacing w:val="-4"/>
                <w:lang w:val="en-GB"/>
              </w:rPr>
              <w:t xml:space="preserve">2017. </w:t>
            </w:r>
            <w:r w:rsidR="003A61F5">
              <w:rPr>
                <w:spacing w:val="-4"/>
                <w:lang w:val="en-GB"/>
              </w:rPr>
              <w:t>The value of export grew the most year-on-year in Q</w:t>
            </w:r>
            <w:r w:rsidR="00D41320" w:rsidRPr="00E01B6E">
              <w:rPr>
                <w:spacing w:val="-4"/>
                <w:lang w:val="en-GB"/>
              </w:rPr>
              <w:t>1</w:t>
            </w:r>
            <w:r w:rsidR="003A61F5">
              <w:rPr>
                <w:spacing w:val="-4"/>
                <w:lang w:val="en-GB"/>
              </w:rPr>
              <w:t xml:space="preserve"> </w:t>
            </w:r>
            <w:r w:rsidR="00D41320" w:rsidRPr="00E01B6E">
              <w:rPr>
                <w:spacing w:val="-4"/>
                <w:lang w:val="en-GB"/>
              </w:rPr>
              <w:t>(9</w:t>
            </w:r>
            <w:r w:rsidR="003A61F5">
              <w:rPr>
                <w:spacing w:val="-4"/>
                <w:lang w:val="en-GB"/>
              </w:rPr>
              <w:t>.</w:t>
            </w:r>
            <w:r w:rsidR="00D41320" w:rsidRPr="00E01B6E">
              <w:rPr>
                <w:spacing w:val="-4"/>
                <w:lang w:val="en-GB"/>
              </w:rPr>
              <w:t xml:space="preserve">3%), </w:t>
            </w:r>
            <w:r w:rsidR="003A61F5">
              <w:rPr>
                <w:spacing w:val="-4"/>
                <w:lang w:val="en-GB"/>
              </w:rPr>
              <w:t xml:space="preserve">subsequently the pace kept stable above the </w:t>
            </w:r>
            <w:r w:rsidR="00D41320" w:rsidRPr="00E01B6E">
              <w:rPr>
                <w:spacing w:val="-4"/>
                <w:lang w:val="en-GB"/>
              </w:rPr>
              <w:t xml:space="preserve">4% </w:t>
            </w:r>
            <w:r w:rsidR="003A61F5">
              <w:rPr>
                <w:spacing w:val="-4"/>
                <w:lang w:val="en-GB"/>
              </w:rPr>
              <w:t>boundary</w:t>
            </w:r>
            <w:r w:rsidR="00D41320" w:rsidRPr="00E01B6E">
              <w:rPr>
                <w:spacing w:val="-4"/>
                <w:lang w:val="en-GB"/>
              </w:rPr>
              <w:t xml:space="preserve">. </w:t>
            </w:r>
            <w:r w:rsidR="00B56645">
              <w:rPr>
                <w:spacing w:val="-4"/>
                <w:lang w:val="en-GB"/>
              </w:rPr>
              <w:t>The increase was 4.8% year-on-year in Q</w:t>
            </w:r>
            <w:r w:rsidR="00D41320" w:rsidRPr="00E01B6E">
              <w:rPr>
                <w:spacing w:val="-4"/>
                <w:lang w:val="en-GB"/>
              </w:rPr>
              <w:t>4.</w:t>
            </w:r>
            <w:r w:rsidR="00B56645">
              <w:rPr>
                <w:spacing w:val="-4"/>
                <w:lang w:val="en-GB"/>
              </w:rPr>
              <w:t xml:space="preserve"> </w:t>
            </w:r>
            <w:r w:rsidR="001D12FB" w:rsidRPr="00E01B6E">
              <w:rPr>
                <w:spacing w:val="-4"/>
                <w:lang w:val="en-GB"/>
              </w:rPr>
              <w:t> </w:t>
            </w:r>
          </w:p>
          <w:p w:rsidR="00D41320" w:rsidRPr="00E01B6E" w:rsidRDefault="00D41320" w:rsidP="006E4368">
            <w:pPr>
              <w:pStyle w:val="Textpoznpodarou"/>
              <w:jc w:val="both"/>
              <w:rPr>
                <w:spacing w:val="-4"/>
                <w:sz w:val="16"/>
                <w:szCs w:val="16"/>
                <w:highlight w:val="yellow"/>
                <w:lang w:val="en-GB"/>
              </w:rPr>
            </w:pPr>
          </w:p>
        </w:tc>
      </w:tr>
      <w:tr w:rsidR="00D41320" w:rsidRPr="00A74192" w:rsidTr="009B0676">
        <w:tc>
          <w:tcPr>
            <w:tcW w:w="1015" w:type="pct"/>
          </w:tcPr>
          <w:p w:rsidR="00D41320" w:rsidRPr="00E01B6E" w:rsidRDefault="005B513A" w:rsidP="005B513A">
            <w:pPr>
              <w:spacing w:line="240" w:lineRule="auto"/>
              <w:rPr>
                <w:sz w:val="16"/>
                <w:szCs w:val="16"/>
                <w:lang w:val="en-GB"/>
              </w:rPr>
            </w:pPr>
            <w:r w:rsidRPr="00E01B6E">
              <w:rPr>
                <w:sz w:val="16"/>
                <w:szCs w:val="16"/>
                <w:lang w:val="en-GB"/>
              </w:rPr>
              <w:t xml:space="preserve">The EU countries remain as the main business partner of the </w:t>
            </w:r>
            <w:r w:rsidR="00B94DE2" w:rsidRPr="00E01B6E">
              <w:rPr>
                <w:sz w:val="16"/>
                <w:szCs w:val="16"/>
                <w:lang w:val="en-GB"/>
              </w:rPr>
              <w:t>Czech Republic</w:t>
            </w:r>
            <w:r w:rsidR="00D41320" w:rsidRPr="00E01B6E">
              <w:rPr>
                <w:sz w:val="16"/>
                <w:szCs w:val="16"/>
                <w:lang w:val="en-GB"/>
              </w:rPr>
              <w:t>.</w:t>
            </w:r>
          </w:p>
        </w:tc>
        <w:tc>
          <w:tcPr>
            <w:tcW w:w="144" w:type="pct"/>
          </w:tcPr>
          <w:p w:rsidR="00D41320" w:rsidRPr="00E01B6E" w:rsidRDefault="00D41320" w:rsidP="006E4368">
            <w:pPr>
              <w:pStyle w:val="Textpoznpodarou"/>
              <w:jc w:val="both"/>
              <w:rPr>
                <w:highlight w:val="yellow"/>
                <w:lang w:val="en-GB"/>
              </w:rPr>
            </w:pPr>
          </w:p>
        </w:tc>
        <w:tc>
          <w:tcPr>
            <w:tcW w:w="3841" w:type="pct"/>
            <w:gridSpan w:val="4"/>
          </w:tcPr>
          <w:p w:rsidR="00D41320" w:rsidRPr="00F96E38" w:rsidRDefault="005B513A" w:rsidP="006E4368">
            <w:pPr>
              <w:pStyle w:val="Textpoznpodarou"/>
              <w:jc w:val="both"/>
              <w:rPr>
                <w:spacing w:val="-2"/>
                <w:sz w:val="16"/>
                <w:szCs w:val="16"/>
                <w:lang w:val="en-GB"/>
              </w:rPr>
            </w:pPr>
            <w:r w:rsidRPr="00F96E38">
              <w:rPr>
                <w:spacing w:val="-2"/>
                <w:lang w:val="en-GB"/>
              </w:rPr>
              <w:t xml:space="preserve">The territorial structure of exports did not change significantly in </w:t>
            </w:r>
            <w:r w:rsidR="00D41320" w:rsidRPr="00F96E38">
              <w:rPr>
                <w:spacing w:val="-2"/>
                <w:lang w:val="en-GB"/>
              </w:rPr>
              <w:t xml:space="preserve">2017. </w:t>
            </w:r>
            <w:r w:rsidR="007A36DE" w:rsidRPr="00F96E38">
              <w:rPr>
                <w:spacing w:val="-2"/>
                <w:lang w:val="en-GB"/>
              </w:rPr>
              <w:t>The European Union remain</w:t>
            </w:r>
            <w:r w:rsidR="00426E44" w:rsidRPr="00F96E38">
              <w:rPr>
                <w:spacing w:val="-2"/>
                <w:lang w:val="en-GB"/>
              </w:rPr>
              <w:t>ed</w:t>
            </w:r>
            <w:r w:rsidR="007A36DE" w:rsidRPr="00F96E38">
              <w:rPr>
                <w:spacing w:val="-2"/>
                <w:lang w:val="en-GB"/>
              </w:rPr>
              <w:t xml:space="preserve"> the dominant destination for the Czech export </w:t>
            </w:r>
            <w:r w:rsidR="00D41320" w:rsidRPr="00F96E38">
              <w:rPr>
                <w:spacing w:val="-2"/>
                <w:lang w:val="en-GB"/>
              </w:rPr>
              <w:t>(83</w:t>
            </w:r>
            <w:r w:rsidR="007A36DE" w:rsidRPr="00F96E38">
              <w:rPr>
                <w:spacing w:val="-2"/>
                <w:lang w:val="en-GB"/>
              </w:rPr>
              <w:t>.</w:t>
            </w:r>
            <w:r w:rsidR="00D41320" w:rsidRPr="00F96E38">
              <w:rPr>
                <w:spacing w:val="-2"/>
                <w:lang w:val="en-GB"/>
              </w:rPr>
              <w:t xml:space="preserve">9% </w:t>
            </w:r>
            <w:r w:rsidR="007A36DE" w:rsidRPr="00F96E38">
              <w:rPr>
                <w:spacing w:val="-2"/>
                <w:lang w:val="en-GB"/>
              </w:rPr>
              <w:t>of export</w:t>
            </w:r>
            <w:r w:rsidR="00D41320" w:rsidRPr="00F96E38">
              <w:rPr>
                <w:spacing w:val="-2"/>
                <w:lang w:val="en-GB"/>
              </w:rPr>
              <w:t xml:space="preserve">), </w:t>
            </w:r>
            <w:r w:rsidR="007A36DE" w:rsidRPr="00F96E38">
              <w:rPr>
                <w:spacing w:val="-2"/>
                <w:lang w:val="en-GB"/>
              </w:rPr>
              <w:t xml:space="preserve">the share of export into countries outside the EU </w:t>
            </w:r>
            <w:r w:rsidR="00E72BA7" w:rsidRPr="00F96E38">
              <w:rPr>
                <w:spacing w:val="-2"/>
                <w:lang w:val="en-GB"/>
              </w:rPr>
              <w:t xml:space="preserve">stayed at </w:t>
            </w:r>
            <w:r w:rsidR="00D41320" w:rsidRPr="00F96E38">
              <w:rPr>
                <w:spacing w:val="-2"/>
                <w:lang w:val="en-GB"/>
              </w:rPr>
              <w:t xml:space="preserve">16%. </w:t>
            </w:r>
            <w:r w:rsidR="00212491" w:rsidRPr="00F96E38">
              <w:rPr>
                <w:spacing w:val="-2"/>
                <w:lang w:val="en-GB"/>
              </w:rPr>
              <w:t xml:space="preserve">Not even the higher dynamics of exports into countries outside the EU (6.2%) managed to change this structure. The largest proportion of exports </w:t>
            </w:r>
            <w:r w:rsidR="00D41320" w:rsidRPr="00F96E38">
              <w:rPr>
                <w:spacing w:val="-2"/>
                <w:lang w:val="en-GB"/>
              </w:rPr>
              <w:t>(32</w:t>
            </w:r>
            <w:r w:rsidR="00212491" w:rsidRPr="00F96E38">
              <w:rPr>
                <w:spacing w:val="-2"/>
                <w:lang w:val="en-GB"/>
              </w:rPr>
              <w:t>.</w:t>
            </w:r>
            <w:r w:rsidR="00D41320" w:rsidRPr="00F96E38">
              <w:rPr>
                <w:spacing w:val="-2"/>
                <w:lang w:val="en-GB"/>
              </w:rPr>
              <w:t>2%, 1</w:t>
            </w:r>
            <w:r w:rsidR="00212491" w:rsidRPr="00F96E38">
              <w:rPr>
                <w:spacing w:val="-2"/>
                <w:lang w:val="en-GB"/>
              </w:rPr>
              <w:t> </w:t>
            </w:r>
            <w:r w:rsidR="00D41320" w:rsidRPr="00F96E38">
              <w:rPr>
                <w:spacing w:val="-2"/>
                <w:lang w:val="en-GB"/>
              </w:rPr>
              <w:t>125</w:t>
            </w:r>
            <w:r w:rsidR="00212491" w:rsidRPr="00F96E38">
              <w:rPr>
                <w:spacing w:val="-2"/>
                <w:lang w:val="en-GB"/>
              </w:rPr>
              <w:t>.</w:t>
            </w:r>
            <w:r w:rsidR="00D41320" w:rsidRPr="00F96E38">
              <w:rPr>
                <w:spacing w:val="-2"/>
                <w:lang w:val="en-GB"/>
              </w:rPr>
              <w:t xml:space="preserve">0 </w:t>
            </w:r>
            <w:r w:rsidR="00212491" w:rsidRPr="00F96E38">
              <w:rPr>
                <w:spacing w:val="-2"/>
                <w:lang w:val="en-GB"/>
              </w:rPr>
              <w:t>CZK bn)</w:t>
            </w:r>
            <w:r w:rsidR="00D41320" w:rsidRPr="00F96E38">
              <w:rPr>
                <w:spacing w:val="-2"/>
                <w:lang w:val="en-GB"/>
              </w:rPr>
              <w:t xml:space="preserve"> </w:t>
            </w:r>
            <w:r w:rsidR="00212491" w:rsidRPr="00F96E38">
              <w:rPr>
                <w:spacing w:val="-2"/>
                <w:lang w:val="en-GB"/>
              </w:rPr>
              <w:t xml:space="preserve">headed in year 2017 to Germany and the export into this destination rose by 6.1% year-on-year </w:t>
            </w:r>
            <w:r w:rsidR="00D41320" w:rsidRPr="00F96E38">
              <w:rPr>
                <w:spacing w:val="-2"/>
                <w:lang w:val="en-GB"/>
              </w:rPr>
              <w:t>(64</w:t>
            </w:r>
            <w:r w:rsidR="00212491" w:rsidRPr="00F96E38">
              <w:rPr>
                <w:spacing w:val="-2"/>
                <w:lang w:val="en-GB"/>
              </w:rPr>
              <w:t>.</w:t>
            </w:r>
            <w:r w:rsidR="00D41320" w:rsidRPr="00F96E38">
              <w:rPr>
                <w:spacing w:val="-2"/>
                <w:lang w:val="en-GB"/>
              </w:rPr>
              <w:t>5 </w:t>
            </w:r>
            <w:r w:rsidR="00212491" w:rsidRPr="00F96E38">
              <w:rPr>
                <w:spacing w:val="-2"/>
                <w:lang w:val="en-GB"/>
              </w:rPr>
              <w:t>CZK bn</w:t>
            </w:r>
            <w:r w:rsidR="00D41320" w:rsidRPr="00F96E38">
              <w:rPr>
                <w:spacing w:val="-2"/>
                <w:lang w:val="en-GB"/>
              </w:rPr>
              <w:t xml:space="preserve">). </w:t>
            </w:r>
            <w:r w:rsidR="00377E93" w:rsidRPr="00F96E38">
              <w:rPr>
                <w:spacing w:val="-2"/>
                <w:lang w:val="en-GB"/>
              </w:rPr>
              <w:t xml:space="preserve">Its dynamics however lost pace markedly during the year (from 9.9% in Q1 to 3.7% in Q4). </w:t>
            </w:r>
            <w:r w:rsidR="007C5E52" w:rsidRPr="00F96E38">
              <w:rPr>
                <w:spacing w:val="-2"/>
                <w:lang w:val="en-GB"/>
              </w:rPr>
              <w:t xml:space="preserve">The described slowdown however was common to majority of </w:t>
            </w:r>
            <w:r w:rsidR="00377E93" w:rsidRPr="00F96E38">
              <w:rPr>
                <w:spacing w:val="-2"/>
                <w:lang w:val="en-GB"/>
              </w:rPr>
              <w:t>significant</w:t>
            </w:r>
            <w:r w:rsidR="007C5E52" w:rsidRPr="00F96E38">
              <w:rPr>
                <w:spacing w:val="-2"/>
                <w:lang w:val="en-GB"/>
              </w:rPr>
              <w:t xml:space="preserve"> business partners. </w:t>
            </w:r>
            <w:r w:rsidR="00377E93" w:rsidRPr="00F96E38">
              <w:rPr>
                <w:spacing w:val="-2"/>
                <w:lang w:val="en-GB"/>
              </w:rPr>
              <w:t xml:space="preserve">The value of exports to Poland </w:t>
            </w:r>
            <w:r w:rsidR="00D41320" w:rsidRPr="00F96E38">
              <w:rPr>
                <w:spacing w:val="-2"/>
                <w:lang w:val="en-GB"/>
              </w:rPr>
              <w:t>(9</w:t>
            </w:r>
            <w:r w:rsidR="00377E93" w:rsidRPr="00F96E38">
              <w:rPr>
                <w:spacing w:val="-2"/>
                <w:lang w:val="en-GB"/>
              </w:rPr>
              <w:t>.</w:t>
            </w:r>
            <w:r w:rsidR="00D41320" w:rsidRPr="00F96E38">
              <w:rPr>
                <w:spacing w:val="-2"/>
                <w:lang w:val="en-GB"/>
              </w:rPr>
              <w:t>4%, +19</w:t>
            </w:r>
            <w:r w:rsidR="00377E93" w:rsidRPr="00F96E38">
              <w:rPr>
                <w:spacing w:val="-2"/>
                <w:lang w:val="en-GB"/>
              </w:rPr>
              <w:t>.</w:t>
            </w:r>
            <w:r w:rsidR="00D41320" w:rsidRPr="00F96E38">
              <w:rPr>
                <w:spacing w:val="-2"/>
                <w:lang w:val="en-GB"/>
              </w:rPr>
              <w:t>1</w:t>
            </w:r>
            <w:r w:rsidR="003D1FA0" w:rsidRPr="00F96E38">
              <w:rPr>
                <w:spacing w:val="-2"/>
                <w:lang w:val="en-GB"/>
              </w:rPr>
              <w:t> </w:t>
            </w:r>
            <w:r w:rsidR="00377E93" w:rsidRPr="00F96E38">
              <w:rPr>
                <w:spacing w:val="-2"/>
                <w:lang w:val="en-GB"/>
              </w:rPr>
              <w:t>bn</w:t>
            </w:r>
            <w:r w:rsidR="00D41320" w:rsidRPr="00F96E38">
              <w:rPr>
                <w:spacing w:val="-2"/>
                <w:lang w:val="en-GB"/>
              </w:rPr>
              <w:t xml:space="preserve">), </w:t>
            </w:r>
            <w:r w:rsidR="00527F5A" w:rsidRPr="00F96E38">
              <w:rPr>
                <w:spacing w:val="-2"/>
                <w:lang w:val="en-GB"/>
              </w:rPr>
              <w:t xml:space="preserve">Austria </w:t>
            </w:r>
            <w:r w:rsidR="00D41320" w:rsidRPr="00F96E38">
              <w:rPr>
                <w:spacing w:val="-2"/>
                <w:lang w:val="en-GB"/>
              </w:rPr>
              <w:t>(9</w:t>
            </w:r>
            <w:r w:rsidR="00527F5A" w:rsidRPr="00F96E38">
              <w:rPr>
                <w:spacing w:val="-2"/>
                <w:lang w:val="en-GB"/>
              </w:rPr>
              <w:t>.</w:t>
            </w:r>
            <w:r w:rsidR="00D41320" w:rsidRPr="00F96E38">
              <w:rPr>
                <w:spacing w:val="-2"/>
                <w:lang w:val="en-GB"/>
              </w:rPr>
              <w:t>9%, +13</w:t>
            </w:r>
            <w:r w:rsidR="00527F5A" w:rsidRPr="00F96E38">
              <w:rPr>
                <w:spacing w:val="-2"/>
                <w:lang w:val="en-GB"/>
              </w:rPr>
              <w:t>.</w:t>
            </w:r>
            <w:r w:rsidR="00D41320" w:rsidRPr="00F96E38">
              <w:rPr>
                <w:spacing w:val="-2"/>
                <w:lang w:val="en-GB"/>
              </w:rPr>
              <w:t xml:space="preserve">7 </w:t>
            </w:r>
            <w:r w:rsidR="00527F5A" w:rsidRPr="00F96E38">
              <w:rPr>
                <w:spacing w:val="-2"/>
                <w:lang w:val="en-GB"/>
              </w:rPr>
              <w:t>bn</w:t>
            </w:r>
            <w:r w:rsidR="00D41320" w:rsidRPr="00F96E38">
              <w:rPr>
                <w:spacing w:val="-2"/>
                <w:lang w:val="en-GB"/>
              </w:rPr>
              <w:t>) a</w:t>
            </w:r>
            <w:r w:rsidR="00527F5A" w:rsidRPr="00F96E38">
              <w:rPr>
                <w:spacing w:val="-2"/>
                <w:lang w:val="en-GB"/>
              </w:rPr>
              <w:t xml:space="preserve">nd France </w:t>
            </w:r>
            <w:r w:rsidR="00D41320" w:rsidRPr="00F96E38">
              <w:rPr>
                <w:spacing w:val="-2"/>
                <w:lang w:val="en-GB"/>
              </w:rPr>
              <w:t>(7</w:t>
            </w:r>
            <w:r w:rsidR="00527F5A" w:rsidRPr="00F96E38">
              <w:rPr>
                <w:spacing w:val="-2"/>
                <w:lang w:val="en-GB"/>
              </w:rPr>
              <w:t>.</w:t>
            </w:r>
            <w:r w:rsidR="00D41320" w:rsidRPr="00F96E38">
              <w:rPr>
                <w:spacing w:val="-2"/>
                <w:lang w:val="en-GB"/>
              </w:rPr>
              <w:t>9%, +13</w:t>
            </w:r>
            <w:r w:rsidR="00527F5A" w:rsidRPr="00F96E38">
              <w:rPr>
                <w:spacing w:val="-2"/>
                <w:lang w:val="en-GB"/>
              </w:rPr>
              <w:t>.</w:t>
            </w:r>
            <w:r w:rsidR="00D41320" w:rsidRPr="00F96E38">
              <w:rPr>
                <w:spacing w:val="-2"/>
                <w:lang w:val="en-GB"/>
              </w:rPr>
              <w:t>0 </w:t>
            </w:r>
            <w:r w:rsidR="00527F5A" w:rsidRPr="00F96E38">
              <w:rPr>
                <w:spacing w:val="-2"/>
                <w:lang w:val="en-GB"/>
              </w:rPr>
              <w:t>bn</w:t>
            </w:r>
            <w:r w:rsidR="00D41320" w:rsidRPr="00F96E38">
              <w:rPr>
                <w:spacing w:val="-2"/>
                <w:lang w:val="en-GB"/>
              </w:rPr>
              <w:t>)</w:t>
            </w:r>
            <w:r w:rsidR="00527F5A" w:rsidRPr="00F96E38">
              <w:rPr>
                <w:spacing w:val="-2"/>
                <w:lang w:val="en-GB"/>
              </w:rPr>
              <w:t xml:space="preserve"> also recorded marked increase in 2017</w:t>
            </w:r>
            <w:r w:rsidR="00D41320" w:rsidRPr="00F96E38">
              <w:rPr>
                <w:spacing w:val="-2"/>
                <w:lang w:val="en-GB"/>
              </w:rPr>
              <w:t xml:space="preserve">. </w:t>
            </w:r>
            <w:r w:rsidR="00E71C3A" w:rsidRPr="00F96E38">
              <w:rPr>
                <w:spacing w:val="-2"/>
                <w:lang w:val="en-GB"/>
              </w:rPr>
              <w:t xml:space="preserve">The share of export into these countries also moderately </w:t>
            </w:r>
            <w:r w:rsidR="00D41320" w:rsidRPr="00F96E38">
              <w:rPr>
                <w:spacing w:val="-2"/>
                <w:lang w:val="en-GB"/>
              </w:rPr>
              <w:t>(</w:t>
            </w:r>
            <w:r w:rsidR="00E71C3A" w:rsidRPr="00F96E38">
              <w:rPr>
                <w:spacing w:val="-2"/>
                <w:lang w:val="en-GB"/>
              </w:rPr>
              <w:t xml:space="preserve">within the order of tenths of </w:t>
            </w:r>
            <w:r w:rsidR="0030607B" w:rsidRPr="00F96E38">
              <w:rPr>
                <w:spacing w:val="-2"/>
                <w:lang w:val="en-GB"/>
              </w:rPr>
              <w:t>p.p.</w:t>
            </w:r>
            <w:r w:rsidR="00D41320" w:rsidRPr="00F96E38">
              <w:rPr>
                <w:spacing w:val="-2"/>
                <w:lang w:val="en-GB"/>
              </w:rPr>
              <w:t xml:space="preserve">) </w:t>
            </w:r>
            <w:r w:rsidR="00163F4D" w:rsidRPr="00F96E38">
              <w:rPr>
                <w:spacing w:val="-2"/>
                <w:lang w:val="en-GB"/>
              </w:rPr>
              <w:t xml:space="preserve">increased. </w:t>
            </w:r>
            <w:r w:rsidR="00E71C3A" w:rsidRPr="00F96E38">
              <w:rPr>
                <w:spacing w:val="-2"/>
                <w:lang w:val="en-GB"/>
              </w:rPr>
              <w:t xml:space="preserve">On the contrary, export to Slovakia observed a fall </w:t>
            </w:r>
            <w:r w:rsidR="00D41320" w:rsidRPr="00F96E38">
              <w:rPr>
                <w:spacing w:val="-2"/>
                <w:lang w:val="en-GB"/>
              </w:rPr>
              <w:t>(</w:t>
            </w:r>
            <w:r w:rsidR="00044913" w:rsidRPr="00F96E38">
              <w:rPr>
                <w:spacing w:val="-2"/>
                <w:lang w:val="en-GB"/>
              </w:rPr>
              <w:t>-</w:t>
            </w:r>
            <w:r w:rsidR="00D41320" w:rsidRPr="00F96E38">
              <w:rPr>
                <w:spacing w:val="-2"/>
                <w:lang w:val="en-GB"/>
              </w:rPr>
              <w:t>2</w:t>
            </w:r>
            <w:r w:rsidR="00E71C3A" w:rsidRPr="00F96E38">
              <w:rPr>
                <w:spacing w:val="-2"/>
                <w:lang w:val="en-GB"/>
              </w:rPr>
              <w:t>.</w:t>
            </w:r>
            <w:r w:rsidR="00D41320" w:rsidRPr="00F96E38">
              <w:rPr>
                <w:spacing w:val="-2"/>
                <w:lang w:val="en-GB"/>
              </w:rPr>
              <w:t xml:space="preserve">2%, </w:t>
            </w:r>
            <w:r w:rsidR="00044913" w:rsidRPr="00F96E38">
              <w:rPr>
                <w:spacing w:val="-2"/>
                <w:lang w:val="en-GB"/>
              </w:rPr>
              <w:t>-</w:t>
            </w:r>
            <w:r w:rsidR="00D41320" w:rsidRPr="00F96E38">
              <w:rPr>
                <w:spacing w:val="-2"/>
                <w:lang w:val="en-GB"/>
              </w:rPr>
              <w:t>7</w:t>
            </w:r>
            <w:r w:rsidR="00E71C3A" w:rsidRPr="00F96E38">
              <w:rPr>
                <w:spacing w:val="-2"/>
                <w:lang w:val="en-GB"/>
              </w:rPr>
              <w:t>.</w:t>
            </w:r>
            <w:r w:rsidR="00D41320" w:rsidRPr="00F96E38">
              <w:rPr>
                <w:spacing w:val="-2"/>
                <w:lang w:val="en-GB"/>
              </w:rPr>
              <w:t>0</w:t>
            </w:r>
            <w:r w:rsidR="003D1FA0" w:rsidRPr="00F96E38">
              <w:rPr>
                <w:spacing w:val="-2"/>
                <w:lang w:val="en-GB"/>
              </w:rPr>
              <w:t> </w:t>
            </w:r>
            <w:r w:rsidR="00E71C3A" w:rsidRPr="00F96E38">
              <w:rPr>
                <w:spacing w:val="-2"/>
                <w:lang w:val="en-GB"/>
              </w:rPr>
              <w:t>CZK bn</w:t>
            </w:r>
            <w:r w:rsidR="00D41320" w:rsidRPr="00F96E38">
              <w:rPr>
                <w:spacing w:val="-2"/>
                <w:lang w:val="en-GB"/>
              </w:rPr>
              <w:t xml:space="preserve">). </w:t>
            </w:r>
            <w:r w:rsidR="00E71C3A" w:rsidRPr="00F96E38">
              <w:rPr>
                <w:spacing w:val="-2"/>
                <w:lang w:val="en-GB"/>
              </w:rPr>
              <w:t xml:space="preserve">Export to the Great Britain also mildly declined </w:t>
            </w:r>
            <w:r w:rsidR="00D41320" w:rsidRPr="00F96E38">
              <w:rPr>
                <w:spacing w:val="-2"/>
                <w:lang w:val="en-GB"/>
              </w:rPr>
              <w:t>(</w:t>
            </w:r>
            <w:r w:rsidR="00044913" w:rsidRPr="00F96E38">
              <w:rPr>
                <w:spacing w:val="-2"/>
                <w:lang w:val="en-GB"/>
              </w:rPr>
              <w:t>-</w:t>
            </w:r>
            <w:r w:rsidR="00D41320" w:rsidRPr="00F96E38">
              <w:rPr>
                <w:spacing w:val="-2"/>
                <w:lang w:val="en-GB"/>
              </w:rPr>
              <w:t>0</w:t>
            </w:r>
            <w:r w:rsidR="00E71C3A" w:rsidRPr="00F96E38">
              <w:rPr>
                <w:spacing w:val="-2"/>
                <w:lang w:val="en-GB"/>
              </w:rPr>
              <w:t>.</w:t>
            </w:r>
            <w:r w:rsidR="00D41320" w:rsidRPr="00F96E38">
              <w:rPr>
                <w:spacing w:val="-2"/>
                <w:lang w:val="en-GB"/>
              </w:rPr>
              <w:t>7%) a</w:t>
            </w:r>
            <w:r w:rsidR="009F07B5" w:rsidRPr="00F96E38">
              <w:rPr>
                <w:spacing w:val="-2"/>
                <w:lang w:val="en-GB"/>
              </w:rPr>
              <w:t xml:space="preserve">nd its share on the total Czech exports fell below </w:t>
            </w:r>
            <w:r w:rsidR="00D41320" w:rsidRPr="00F96E38">
              <w:rPr>
                <w:spacing w:val="-2"/>
                <w:lang w:val="en-GB"/>
              </w:rPr>
              <w:t xml:space="preserve">5%. </w:t>
            </w:r>
            <w:r w:rsidR="009F07B5" w:rsidRPr="00F96E38">
              <w:rPr>
                <w:spacing w:val="-2"/>
                <w:lang w:val="en-GB"/>
              </w:rPr>
              <w:t xml:space="preserve">Exports to China recorded exceptionally high increase in 2017 </w:t>
            </w:r>
            <w:r w:rsidR="00D41320" w:rsidRPr="00F96E38">
              <w:rPr>
                <w:spacing w:val="-2"/>
                <w:lang w:val="en-GB"/>
              </w:rPr>
              <w:t>(+5</w:t>
            </w:r>
            <w:r w:rsidR="009F07B5" w:rsidRPr="00F96E38">
              <w:rPr>
                <w:spacing w:val="-2"/>
                <w:lang w:val="en-GB"/>
              </w:rPr>
              <w:t>.</w:t>
            </w:r>
            <w:r w:rsidR="00D41320" w:rsidRPr="00F96E38">
              <w:rPr>
                <w:spacing w:val="-2"/>
                <w:lang w:val="en-GB"/>
              </w:rPr>
              <w:t xml:space="preserve">7 </w:t>
            </w:r>
            <w:r w:rsidR="009F07B5" w:rsidRPr="00F96E38">
              <w:rPr>
                <w:spacing w:val="-2"/>
                <w:lang w:val="en-GB"/>
              </w:rPr>
              <w:t>bn</w:t>
            </w:r>
            <w:r w:rsidR="00D41320" w:rsidRPr="00F96E38">
              <w:rPr>
                <w:spacing w:val="-2"/>
                <w:lang w:val="en-GB"/>
              </w:rPr>
              <w:t>, 16</w:t>
            </w:r>
            <w:r w:rsidR="009F07B5" w:rsidRPr="00F96E38">
              <w:rPr>
                <w:spacing w:val="-2"/>
                <w:lang w:val="en-GB"/>
              </w:rPr>
              <w:t>.</w:t>
            </w:r>
            <w:r w:rsidR="00D41320" w:rsidRPr="00F96E38">
              <w:rPr>
                <w:spacing w:val="-2"/>
                <w:lang w:val="en-GB"/>
              </w:rPr>
              <w:t xml:space="preserve">0%). </w:t>
            </w:r>
            <w:r w:rsidR="009F07B5" w:rsidRPr="00F96E38">
              <w:rPr>
                <w:spacing w:val="-2"/>
                <w:lang w:val="en-GB"/>
              </w:rPr>
              <w:t xml:space="preserve">As a result, the proportion of China on the Czech exports increased to </w:t>
            </w:r>
            <w:r w:rsidR="00D41320" w:rsidRPr="00F96E38">
              <w:rPr>
                <w:spacing w:val="-2"/>
                <w:lang w:val="en-GB"/>
              </w:rPr>
              <w:t>1</w:t>
            </w:r>
            <w:r w:rsidR="009F07B5" w:rsidRPr="00F96E38">
              <w:rPr>
                <w:spacing w:val="-2"/>
                <w:lang w:val="en-GB"/>
              </w:rPr>
              <w:t>.</w:t>
            </w:r>
            <w:r w:rsidR="00D41320" w:rsidRPr="00F96E38">
              <w:rPr>
                <w:spacing w:val="-2"/>
                <w:lang w:val="en-GB"/>
              </w:rPr>
              <w:t xml:space="preserve">2%. </w:t>
            </w:r>
            <w:r w:rsidR="004076EE" w:rsidRPr="00F96E38">
              <w:rPr>
                <w:spacing w:val="-2"/>
                <w:lang w:val="en-GB"/>
              </w:rPr>
              <w:t xml:space="preserve">Similarly, also the exports to Russia grew </w:t>
            </w:r>
            <w:r w:rsidR="00D41320" w:rsidRPr="00F96E38">
              <w:rPr>
                <w:spacing w:val="-2"/>
                <w:lang w:val="en-GB"/>
              </w:rPr>
              <w:t>(+5</w:t>
            </w:r>
            <w:r w:rsidR="004076EE" w:rsidRPr="00F96E38">
              <w:rPr>
                <w:spacing w:val="-2"/>
                <w:lang w:val="en-GB"/>
              </w:rPr>
              <w:t>.</w:t>
            </w:r>
            <w:r w:rsidR="00D41320" w:rsidRPr="00F96E38">
              <w:rPr>
                <w:spacing w:val="-2"/>
                <w:lang w:val="en-GB"/>
              </w:rPr>
              <w:t>9 </w:t>
            </w:r>
            <w:r w:rsidR="004076EE" w:rsidRPr="00F96E38">
              <w:rPr>
                <w:spacing w:val="-2"/>
                <w:lang w:val="en-GB"/>
              </w:rPr>
              <w:t>bn</w:t>
            </w:r>
            <w:r w:rsidR="00D41320" w:rsidRPr="00F96E38">
              <w:rPr>
                <w:spacing w:val="-2"/>
                <w:lang w:val="en-GB"/>
              </w:rPr>
              <w:t>, 9</w:t>
            </w:r>
            <w:r w:rsidR="004076EE" w:rsidRPr="00F96E38">
              <w:rPr>
                <w:spacing w:val="-2"/>
                <w:lang w:val="en-GB"/>
              </w:rPr>
              <w:t>.</w:t>
            </w:r>
            <w:r w:rsidR="00D41320" w:rsidRPr="00F96E38">
              <w:rPr>
                <w:spacing w:val="-2"/>
                <w:lang w:val="en-GB"/>
              </w:rPr>
              <w:t xml:space="preserve">4%). </w:t>
            </w:r>
            <w:r w:rsidR="004076EE" w:rsidRPr="00F96E38">
              <w:rPr>
                <w:spacing w:val="-2"/>
                <w:lang w:val="en-GB"/>
              </w:rPr>
              <w:t xml:space="preserve">In the context of the long-term development however it depicted only a small correction, the value of exports still does not attain the level from years </w:t>
            </w:r>
            <w:r w:rsidR="00D41320" w:rsidRPr="00F96E38">
              <w:rPr>
                <w:spacing w:val="-2"/>
                <w:lang w:val="en-GB"/>
              </w:rPr>
              <w:t>2012–2014.</w:t>
            </w:r>
          </w:p>
          <w:p w:rsidR="00D41320" w:rsidRPr="00F96E38" w:rsidRDefault="00D41320" w:rsidP="006E4368">
            <w:pPr>
              <w:pStyle w:val="Textpoznpodarou"/>
              <w:jc w:val="both"/>
              <w:rPr>
                <w:spacing w:val="-2"/>
                <w:sz w:val="16"/>
                <w:szCs w:val="16"/>
                <w:lang w:val="en-GB"/>
              </w:rPr>
            </w:pPr>
          </w:p>
        </w:tc>
      </w:tr>
      <w:tr w:rsidR="00D41320" w:rsidRPr="00A74192" w:rsidTr="009B0676">
        <w:tc>
          <w:tcPr>
            <w:tcW w:w="1015" w:type="pct"/>
          </w:tcPr>
          <w:p w:rsidR="00D41320" w:rsidRPr="00636A55" w:rsidRDefault="00636A55" w:rsidP="006E4368">
            <w:pPr>
              <w:spacing w:line="240" w:lineRule="auto"/>
              <w:rPr>
                <w:sz w:val="16"/>
                <w:szCs w:val="16"/>
                <w:lang w:val="en-GB"/>
              </w:rPr>
            </w:pPr>
            <w:r w:rsidRPr="00636A55">
              <w:rPr>
                <w:sz w:val="16"/>
                <w:szCs w:val="16"/>
                <w:lang w:val="en-GB"/>
              </w:rPr>
              <w:t>Main export articles – motor vehicles, machinery and equipment and electrical appliances supported the growth the most.</w:t>
            </w:r>
          </w:p>
        </w:tc>
        <w:tc>
          <w:tcPr>
            <w:tcW w:w="144" w:type="pct"/>
          </w:tcPr>
          <w:p w:rsidR="00D41320" w:rsidRPr="00636A55" w:rsidRDefault="00D41320" w:rsidP="006E4368">
            <w:pPr>
              <w:pStyle w:val="Textpoznpodarou"/>
              <w:jc w:val="both"/>
              <w:rPr>
                <w:highlight w:val="yellow"/>
                <w:lang w:val="en-GB"/>
              </w:rPr>
            </w:pPr>
          </w:p>
        </w:tc>
        <w:tc>
          <w:tcPr>
            <w:tcW w:w="3841" w:type="pct"/>
            <w:gridSpan w:val="4"/>
          </w:tcPr>
          <w:p w:rsidR="00D41320" w:rsidRPr="00F96E38" w:rsidRDefault="00B77DC3" w:rsidP="006E4368">
            <w:pPr>
              <w:pStyle w:val="Textpoznpodarou"/>
              <w:jc w:val="both"/>
              <w:rPr>
                <w:spacing w:val="-2"/>
                <w:sz w:val="16"/>
                <w:szCs w:val="16"/>
                <w:lang w:val="en-GB"/>
              </w:rPr>
            </w:pPr>
            <w:r w:rsidRPr="00F96E38">
              <w:rPr>
                <w:spacing w:val="-2"/>
                <w:lang w:val="en-GB"/>
              </w:rPr>
              <w:t xml:space="preserve">Year </w:t>
            </w:r>
            <w:r w:rsidR="00D41320" w:rsidRPr="00F96E38">
              <w:rPr>
                <w:spacing w:val="-2"/>
                <w:lang w:val="en-GB"/>
              </w:rPr>
              <w:t xml:space="preserve">2017 </w:t>
            </w:r>
            <w:r w:rsidRPr="00F96E38">
              <w:rPr>
                <w:spacing w:val="-2"/>
                <w:lang w:val="en-GB"/>
              </w:rPr>
              <w:t xml:space="preserve">did not alter anything on the position of motor vehicles as a key product in the structure of the Czech exports. Total value of exports of motor vehicles only tightly did not hit </w:t>
            </w:r>
            <w:r w:rsidR="00D41320" w:rsidRPr="00F96E38">
              <w:rPr>
                <w:spacing w:val="-2"/>
                <w:lang w:val="en-GB"/>
              </w:rPr>
              <w:t xml:space="preserve">1 000 </w:t>
            </w:r>
            <w:r w:rsidRPr="00F96E38">
              <w:rPr>
                <w:spacing w:val="-2"/>
                <w:lang w:val="en-GB"/>
              </w:rPr>
              <w:t xml:space="preserve">CZK bn </w:t>
            </w:r>
            <w:r w:rsidR="00D41320" w:rsidRPr="00F96E38">
              <w:rPr>
                <w:spacing w:val="-2"/>
                <w:lang w:val="en-GB"/>
              </w:rPr>
              <w:t>(995</w:t>
            </w:r>
            <w:r w:rsidRPr="00F96E38">
              <w:rPr>
                <w:spacing w:val="-2"/>
                <w:lang w:val="en-GB"/>
              </w:rPr>
              <w:t>.</w:t>
            </w:r>
            <w:r w:rsidR="00D41320" w:rsidRPr="00F96E38">
              <w:rPr>
                <w:spacing w:val="-2"/>
                <w:lang w:val="en-GB"/>
              </w:rPr>
              <w:t xml:space="preserve">1 </w:t>
            </w:r>
            <w:r w:rsidRPr="00F96E38">
              <w:rPr>
                <w:spacing w:val="-2"/>
                <w:lang w:val="en-GB"/>
              </w:rPr>
              <w:t>bn</w:t>
            </w:r>
            <w:r w:rsidR="00D41320" w:rsidRPr="00F96E38">
              <w:rPr>
                <w:spacing w:val="-2"/>
                <w:lang w:val="en-GB"/>
              </w:rPr>
              <w:t>) a</w:t>
            </w:r>
            <w:r w:rsidRPr="00F96E38">
              <w:rPr>
                <w:spacing w:val="-2"/>
                <w:lang w:val="en-GB"/>
              </w:rPr>
              <w:t xml:space="preserve">nd increased year-on-year by </w:t>
            </w:r>
            <w:r w:rsidR="00D41320" w:rsidRPr="00F96E38">
              <w:rPr>
                <w:spacing w:val="-2"/>
                <w:lang w:val="en-GB"/>
              </w:rPr>
              <w:t>71</w:t>
            </w:r>
            <w:r w:rsidRPr="00F96E38">
              <w:rPr>
                <w:spacing w:val="-2"/>
                <w:lang w:val="en-GB"/>
              </w:rPr>
              <w:t>.</w:t>
            </w:r>
            <w:r w:rsidR="00D41320" w:rsidRPr="00F96E38">
              <w:rPr>
                <w:spacing w:val="-2"/>
                <w:lang w:val="en-GB"/>
              </w:rPr>
              <w:t xml:space="preserve">4 </w:t>
            </w:r>
            <w:r w:rsidRPr="00F96E38">
              <w:rPr>
                <w:spacing w:val="-2"/>
                <w:lang w:val="en-GB"/>
              </w:rPr>
              <w:t xml:space="preserve">bn </w:t>
            </w:r>
            <w:r w:rsidR="00D41320" w:rsidRPr="00F96E38">
              <w:rPr>
                <w:spacing w:val="-2"/>
                <w:lang w:val="en-GB"/>
              </w:rPr>
              <w:t>(7</w:t>
            </w:r>
            <w:r w:rsidRPr="00F96E38">
              <w:rPr>
                <w:spacing w:val="-2"/>
                <w:lang w:val="en-GB"/>
              </w:rPr>
              <w:t>.</w:t>
            </w:r>
            <w:r w:rsidR="00D41320" w:rsidRPr="00F96E38">
              <w:rPr>
                <w:spacing w:val="-2"/>
                <w:lang w:val="en-GB"/>
              </w:rPr>
              <w:t xml:space="preserve">7%). </w:t>
            </w:r>
            <w:r w:rsidRPr="00F96E38">
              <w:rPr>
                <w:spacing w:val="-2"/>
                <w:lang w:val="en-GB"/>
              </w:rPr>
              <w:t xml:space="preserve">Motor vehicles formed </w:t>
            </w:r>
            <w:r w:rsidR="00D41320" w:rsidRPr="00F96E38">
              <w:rPr>
                <w:spacing w:val="-2"/>
                <w:lang w:val="en-GB"/>
              </w:rPr>
              <w:t>28</w:t>
            </w:r>
            <w:r w:rsidRPr="00F96E38">
              <w:rPr>
                <w:spacing w:val="-2"/>
                <w:lang w:val="en-GB"/>
              </w:rPr>
              <w:t>.</w:t>
            </w:r>
            <w:r w:rsidR="00D41320" w:rsidRPr="00F96E38">
              <w:rPr>
                <w:spacing w:val="-2"/>
                <w:lang w:val="en-GB"/>
              </w:rPr>
              <w:t xml:space="preserve">5% </w:t>
            </w:r>
            <w:r w:rsidRPr="00F96E38">
              <w:rPr>
                <w:spacing w:val="-2"/>
                <w:lang w:val="en-GB"/>
              </w:rPr>
              <w:t xml:space="preserve">of export last year. Exporters of machinery and equipment also experienced a favourable year </w:t>
            </w:r>
            <w:r w:rsidR="00D41320" w:rsidRPr="00F96E38">
              <w:rPr>
                <w:spacing w:val="-2"/>
                <w:lang w:val="en-GB"/>
              </w:rPr>
              <w:t>(</w:t>
            </w:r>
            <w:r w:rsidRPr="00F96E38">
              <w:rPr>
                <w:spacing w:val="-2"/>
                <w:lang w:val="en-GB"/>
              </w:rPr>
              <w:t xml:space="preserve">growth of </w:t>
            </w:r>
            <w:r w:rsidR="00D41320" w:rsidRPr="00F96E38">
              <w:rPr>
                <w:spacing w:val="-2"/>
                <w:lang w:val="en-GB"/>
              </w:rPr>
              <w:t>27</w:t>
            </w:r>
            <w:r w:rsidRPr="00F96E38">
              <w:rPr>
                <w:spacing w:val="-2"/>
                <w:lang w:val="en-GB"/>
              </w:rPr>
              <w:t>.</w:t>
            </w:r>
            <w:r w:rsidR="00D41320" w:rsidRPr="00F96E38">
              <w:rPr>
                <w:spacing w:val="-2"/>
                <w:lang w:val="en-GB"/>
              </w:rPr>
              <w:t xml:space="preserve">3 </w:t>
            </w:r>
            <w:r w:rsidRPr="00F96E38">
              <w:rPr>
                <w:spacing w:val="-2"/>
                <w:lang w:val="en-GB"/>
              </w:rPr>
              <w:t>CZK bn</w:t>
            </w:r>
            <w:r w:rsidR="00D41320" w:rsidRPr="00F96E38">
              <w:rPr>
                <w:spacing w:val="-2"/>
                <w:lang w:val="en-GB"/>
              </w:rPr>
              <w:t>, 7</w:t>
            </w:r>
            <w:r w:rsidRPr="00F96E38">
              <w:rPr>
                <w:spacing w:val="-2"/>
                <w:lang w:val="en-GB"/>
              </w:rPr>
              <w:t>.</w:t>
            </w:r>
            <w:r w:rsidR="00D41320" w:rsidRPr="00F96E38">
              <w:rPr>
                <w:spacing w:val="-2"/>
                <w:lang w:val="en-GB"/>
              </w:rPr>
              <w:t>5%) a</w:t>
            </w:r>
            <w:r w:rsidRPr="00F96E38">
              <w:rPr>
                <w:spacing w:val="-2"/>
                <w:lang w:val="en-GB"/>
              </w:rPr>
              <w:t xml:space="preserve">nd electrical appliances </w:t>
            </w:r>
            <w:r w:rsidR="00D41320" w:rsidRPr="00F96E38">
              <w:rPr>
                <w:spacing w:val="-2"/>
                <w:lang w:val="en-GB"/>
              </w:rPr>
              <w:t>(+21</w:t>
            </w:r>
            <w:r w:rsidRPr="00F96E38">
              <w:rPr>
                <w:spacing w:val="-2"/>
                <w:lang w:val="en-GB"/>
              </w:rPr>
              <w:t>.</w:t>
            </w:r>
            <w:r w:rsidR="00D41320" w:rsidRPr="00F96E38">
              <w:rPr>
                <w:spacing w:val="-2"/>
                <w:lang w:val="en-GB"/>
              </w:rPr>
              <w:t xml:space="preserve">8 </w:t>
            </w:r>
            <w:r w:rsidRPr="00F96E38">
              <w:rPr>
                <w:spacing w:val="-2"/>
                <w:lang w:val="en-GB"/>
              </w:rPr>
              <w:t>b</w:t>
            </w:r>
            <w:r w:rsidR="00654E14" w:rsidRPr="00F96E38">
              <w:rPr>
                <w:spacing w:val="-2"/>
                <w:lang w:val="en-GB"/>
              </w:rPr>
              <w:t>n</w:t>
            </w:r>
            <w:r w:rsidR="00D41320" w:rsidRPr="00F96E38">
              <w:rPr>
                <w:spacing w:val="-2"/>
                <w:lang w:val="en-GB"/>
              </w:rPr>
              <w:t>, 8</w:t>
            </w:r>
            <w:r w:rsidRPr="00F96E38">
              <w:rPr>
                <w:spacing w:val="-2"/>
                <w:lang w:val="en-GB"/>
              </w:rPr>
              <w:t>.</w:t>
            </w:r>
            <w:r w:rsidR="00D41320" w:rsidRPr="00F96E38">
              <w:rPr>
                <w:spacing w:val="-2"/>
                <w:lang w:val="en-GB"/>
              </w:rPr>
              <w:t>0</w:t>
            </w:r>
            <w:r w:rsidRPr="00F96E38">
              <w:rPr>
                <w:spacing w:val="-2"/>
                <w:lang w:val="en-GB"/>
              </w:rPr>
              <w:t>%</w:t>
            </w:r>
            <w:r w:rsidR="00D41320" w:rsidRPr="00F96E38">
              <w:rPr>
                <w:spacing w:val="-2"/>
                <w:lang w:val="en-GB"/>
              </w:rPr>
              <w:t xml:space="preserve">). </w:t>
            </w:r>
            <w:r w:rsidR="00F06158" w:rsidRPr="00F96E38">
              <w:rPr>
                <w:spacing w:val="-2"/>
                <w:lang w:val="en-GB"/>
              </w:rPr>
              <w:t xml:space="preserve">The value of export of computers, electrical and optical equipment </w:t>
            </w:r>
            <w:r w:rsidR="00D41320" w:rsidRPr="00F96E38">
              <w:rPr>
                <w:spacing w:val="-2"/>
                <w:lang w:val="en-GB"/>
              </w:rPr>
              <w:t>(+10</w:t>
            </w:r>
            <w:r w:rsidR="00F06158" w:rsidRPr="00F96E38">
              <w:rPr>
                <w:spacing w:val="-2"/>
                <w:lang w:val="en-GB"/>
              </w:rPr>
              <w:t>.</w:t>
            </w:r>
            <w:r w:rsidR="00D41320" w:rsidRPr="00F96E38">
              <w:rPr>
                <w:spacing w:val="-2"/>
                <w:lang w:val="en-GB"/>
              </w:rPr>
              <w:t>8</w:t>
            </w:r>
            <w:r w:rsidR="008D51E9" w:rsidRPr="00F96E38">
              <w:rPr>
                <w:spacing w:val="-2"/>
                <w:lang w:val="en-GB"/>
              </w:rPr>
              <w:t> </w:t>
            </w:r>
            <w:r w:rsidR="00F06158" w:rsidRPr="00F96E38">
              <w:rPr>
                <w:spacing w:val="-2"/>
                <w:lang w:val="en-GB"/>
              </w:rPr>
              <w:t>CZK bn</w:t>
            </w:r>
            <w:r w:rsidR="00D41320" w:rsidRPr="00F96E38">
              <w:rPr>
                <w:spacing w:val="-2"/>
                <w:lang w:val="en-GB"/>
              </w:rPr>
              <w:t>, 3</w:t>
            </w:r>
            <w:r w:rsidR="00F06158" w:rsidRPr="00F96E38">
              <w:rPr>
                <w:spacing w:val="-2"/>
                <w:lang w:val="en-GB"/>
              </w:rPr>
              <w:t>.</w:t>
            </w:r>
            <w:r w:rsidR="00D41320" w:rsidRPr="00F96E38">
              <w:rPr>
                <w:spacing w:val="-2"/>
                <w:lang w:val="en-GB"/>
              </w:rPr>
              <w:t>6</w:t>
            </w:r>
            <w:r w:rsidR="008D51E9" w:rsidRPr="00F96E38">
              <w:rPr>
                <w:spacing w:val="-2"/>
                <w:lang w:val="en-GB"/>
              </w:rPr>
              <w:t>%)</w:t>
            </w:r>
            <w:r w:rsidR="00F06158" w:rsidRPr="00F96E38">
              <w:rPr>
                <w:spacing w:val="-2"/>
                <w:lang w:val="en-GB"/>
              </w:rPr>
              <w:t xml:space="preserve"> also grew mildly in comparison to year 2016</w:t>
            </w:r>
            <w:r w:rsidR="008D51E9" w:rsidRPr="00F96E38">
              <w:rPr>
                <w:spacing w:val="-2"/>
                <w:lang w:val="en-GB"/>
              </w:rPr>
              <w:t xml:space="preserve">, </w:t>
            </w:r>
            <w:r w:rsidR="00F06158" w:rsidRPr="00F96E38">
              <w:rPr>
                <w:spacing w:val="-2"/>
                <w:lang w:val="en-GB"/>
              </w:rPr>
              <w:t xml:space="preserve">the value of export of these goods </w:t>
            </w:r>
            <w:r w:rsidR="00D41320" w:rsidRPr="00F96E38">
              <w:rPr>
                <w:spacing w:val="-2"/>
                <w:lang w:val="en-GB"/>
              </w:rPr>
              <w:t>(309</w:t>
            </w:r>
            <w:r w:rsidR="00F06158" w:rsidRPr="00F96E38">
              <w:rPr>
                <w:spacing w:val="-2"/>
                <w:lang w:val="en-GB"/>
              </w:rPr>
              <w:t>.</w:t>
            </w:r>
            <w:r w:rsidR="00D41320" w:rsidRPr="00F96E38">
              <w:rPr>
                <w:spacing w:val="-2"/>
                <w:lang w:val="en-GB"/>
              </w:rPr>
              <w:t xml:space="preserve">2 </w:t>
            </w:r>
            <w:r w:rsidR="00F06158" w:rsidRPr="00F96E38">
              <w:rPr>
                <w:spacing w:val="-2"/>
                <w:lang w:val="en-GB"/>
              </w:rPr>
              <w:t>CZK bn</w:t>
            </w:r>
            <w:r w:rsidR="00D41320" w:rsidRPr="00F96E38">
              <w:rPr>
                <w:spacing w:val="-2"/>
                <w:lang w:val="en-GB"/>
              </w:rPr>
              <w:t xml:space="preserve">) </w:t>
            </w:r>
            <w:r w:rsidR="00F06158" w:rsidRPr="00F96E38">
              <w:rPr>
                <w:spacing w:val="-2"/>
                <w:lang w:val="en-GB"/>
              </w:rPr>
              <w:t xml:space="preserve">however did not exceed year </w:t>
            </w:r>
            <w:r w:rsidR="00D41320" w:rsidRPr="00F96E38">
              <w:rPr>
                <w:spacing w:val="-2"/>
                <w:lang w:val="en-GB"/>
              </w:rPr>
              <w:t xml:space="preserve">2015. </w:t>
            </w:r>
            <w:r w:rsidR="004A1160" w:rsidRPr="00F96E38">
              <w:rPr>
                <w:spacing w:val="-2"/>
                <w:lang w:val="en-GB"/>
              </w:rPr>
              <w:t xml:space="preserve">The value of chemical </w:t>
            </w:r>
            <w:r w:rsidR="004C0B46" w:rsidRPr="00F96E38">
              <w:rPr>
                <w:spacing w:val="-2"/>
                <w:lang w:val="en-GB"/>
              </w:rPr>
              <w:t xml:space="preserve">substances and </w:t>
            </w:r>
            <w:r w:rsidR="004A1160" w:rsidRPr="00F96E38">
              <w:rPr>
                <w:spacing w:val="-2"/>
                <w:lang w:val="en-GB"/>
              </w:rPr>
              <w:t xml:space="preserve">products again rose following two years of decreases </w:t>
            </w:r>
            <w:r w:rsidR="00D41320" w:rsidRPr="00F96E38">
              <w:rPr>
                <w:spacing w:val="-2"/>
                <w:lang w:val="en-GB"/>
              </w:rPr>
              <w:t>(+18</w:t>
            </w:r>
            <w:r w:rsidR="004A1160" w:rsidRPr="00F96E38">
              <w:rPr>
                <w:spacing w:val="-2"/>
                <w:lang w:val="en-GB"/>
              </w:rPr>
              <w:t>.</w:t>
            </w:r>
            <w:r w:rsidR="00D41320" w:rsidRPr="00F96E38">
              <w:rPr>
                <w:spacing w:val="-2"/>
                <w:lang w:val="en-GB"/>
              </w:rPr>
              <w:t>8</w:t>
            </w:r>
            <w:r w:rsidR="001D12FB" w:rsidRPr="00F96E38">
              <w:rPr>
                <w:spacing w:val="-2"/>
                <w:lang w:val="en-GB"/>
              </w:rPr>
              <w:t> </w:t>
            </w:r>
            <w:r w:rsidR="004A1160" w:rsidRPr="00F96E38">
              <w:rPr>
                <w:spacing w:val="-2"/>
                <w:lang w:val="en-GB"/>
              </w:rPr>
              <w:t>CZK bn</w:t>
            </w:r>
            <w:r w:rsidR="00D41320" w:rsidRPr="00F96E38">
              <w:rPr>
                <w:spacing w:val="-2"/>
                <w:lang w:val="en-GB"/>
              </w:rPr>
              <w:t>, 13</w:t>
            </w:r>
            <w:r w:rsidR="004A1160" w:rsidRPr="00F96E38">
              <w:rPr>
                <w:spacing w:val="-2"/>
                <w:lang w:val="en-GB"/>
              </w:rPr>
              <w:t>.</w:t>
            </w:r>
            <w:r w:rsidR="00D41320" w:rsidRPr="00F96E38">
              <w:rPr>
                <w:spacing w:val="-2"/>
                <w:lang w:val="en-GB"/>
              </w:rPr>
              <w:t xml:space="preserve">4%). </w:t>
            </w:r>
            <w:r w:rsidR="00D74278" w:rsidRPr="00F96E38">
              <w:rPr>
                <w:spacing w:val="-2"/>
                <w:lang w:val="en-GB"/>
              </w:rPr>
              <w:t xml:space="preserve">Following the </w:t>
            </w:r>
            <w:r w:rsidR="00D74278" w:rsidRPr="00F96E38">
              <w:rPr>
                <w:spacing w:val="-2"/>
                <w:lang w:val="en-GB"/>
              </w:rPr>
              <w:lastRenderedPageBreak/>
              <w:t>enforced outage, this branch thus gradually recovers (export reached the value of 159.7 CZK bn, which is more than in years 2015 and 2016, year 2014 has not been exceeded yet).</w:t>
            </w:r>
          </w:p>
          <w:p w:rsidR="00D41320" w:rsidRPr="00F96E38" w:rsidRDefault="00D41320" w:rsidP="006E4368">
            <w:pPr>
              <w:pStyle w:val="Textpoznpodarou"/>
              <w:jc w:val="both"/>
              <w:rPr>
                <w:spacing w:val="-2"/>
                <w:sz w:val="16"/>
                <w:szCs w:val="16"/>
                <w:lang w:val="en-GB"/>
              </w:rPr>
            </w:pPr>
          </w:p>
        </w:tc>
      </w:tr>
      <w:tr w:rsidR="00D41320" w:rsidRPr="00A74192" w:rsidTr="009B0676">
        <w:tc>
          <w:tcPr>
            <w:tcW w:w="1015" w:type="pct"/>
          </w:tcPr>
          <w:p w:rsidR="00D41320" w:rsidRPr="00636A55" w:rsidRDefault="007C5E52" w:rsidP="007C5E52">
            <w:pPr>
              <w:spacing w:line="240" w:lineRule="auto"/>
              <w:rPr>
                <w:sz w:val="16"/>
                <w:szCs w:val="16"/>
                <w:lang w:val="en-GB"/>
              </w:rPr>
            </w:pPr>
            <w:r w:rsidRPr="00636A55">
              <w:rPr>
                <w:sz w:val="16"/>
                <w:szCs w:val="16"/>
                <w:lang w:val="en-GB"/>
              </w:rPr>
              <w:lastRenderedPageBreak/>
              <w:t xml:space="preserve">Price shifts also affected the import dynamics. </w:t>
            </w:r>
          </w:p>
        </w:tc>
        <w:tc>
          <w:tcPr>
            <w:tcW w:w="144" w:type="pct"/>
          </w:tcPr>
          <w:p w:rsidR="00D41320" w:rsidRPr="00636A55" w:rsidRDefault="00D41320" w:rsidP="006E4368">
            <w:pPr>
              <w:pStyle w:val="Textpoznpodarou"/>
              <w:jc w:val="both"/>
              <w:rPr>
                <w:highlight w:val="yellow"/>
                <w:lang w:val="en-GB"/>
              </w:rPr>
            </w:pPr>
          </w:p>
        </w:tc>
        <w:tc>
          <w:tcPr>
            <w:tcW w:w="3841" w:type="pct"/>
            <w:gridSpan w:val="4"/>
          </w:tcPr>
          <w:p w:rsidR="00D41320" w:rsidRPr="00636A55" w:rsidRDefault="007C5E52" w:rsidP="006E4368">
            <w:pPr>
              <w:pStyle w:val="Textpoznpodarou"/>
              <w:jc w:val="both"/>
              <w:rPr>
                <w:spacing w:val="-4"/>
                <w:sz w:val="16"/>
                <w:szCs w:val="16"/>
                <w:lang w:val="en-GB"/>
              </w:rPr>
            </w:pPr>
            <w:r w:rsidRPr="00636A55">
              <w:rPr>
                <w:spacing w:val="-4"/>
                <w:lang w:val="en-GB"/>
              </w:rPr>
              <w:t xml:space="preserve">The value of imports into the CR also grew in </w:t>
            </w:r>
            <w:r w:rsidR="00D41320" w:rsidRPr="00636A55">
              <w:rPr>
                <w:spacing w:val="-4"/>
                <w:lang w:val="en-GB"/>
              </w:rPr>
              <w:t>2017</w:t>
            </w:r>
            <w:r w:rsidRPr="00636A55">
              <w:rPr>
                <w:spacing w:val="-4"/>
                <w:lang w:val="en-GB"/>
              </w:rPr>
              <w:t xml:space="preserve">. It arrived at </w:t>
            </w:r>
            <w:r w:rsidR="00D41320" w:rsidRPr="00636A55">
              <w:rPr>
                <w:spacing w:val="-4"/>
                <w:lang w:val="en-GB"/>
              </w:rPr>
              <w:t>343</w:t>
            </w:r>
            <w:r w:rsidRPr="00636A55">
              <w:rPr>
                <w:spacing w:val="-4"/>
                <w:lang w:val="en-GB"/>
              </w:rPr>
              <w:t>.</w:t>
            </w:r>
            <w:r w:rsidR="00D41320" w:rsidRPr="00636A55">
              <w:rPr>
                <w:spacing w:val="-4"/>
                <w:lang w:val="en-GB"/>
              </w:rPr>
              <w:t xml:space="preserve">8 </w:t>
            </w:r>
            <w:r w:rsidRPr="00636A55">
              <w:rPr>
                <w:spacing w:val="-4"/>
                <w:lang w:val="en-GB"/>
              </w:rPr>
              <w:t xml:space="preserve">CZK bn and increased by </w:t>
            </w:r>
            <w:r w:rsidR="00D41320" w:rsidRPr="00636A55">
              <w:rPr>
                <w:spacing w:val="-4"/>
                <w:lang w:val="en-GB"/>
              </w:rPr>
              <w:t>208</w:t>
            </w:r>
            <w:r w:rsidRPr="00636A55">
              <w:rPr>
                <w:spacing w:val="-4"/>
                <w:lang w:val="en-GB"/>
              </w:rPr>
              <w:t>.</w:t>
            </w:r>
            <w:r w:rsidR="00D41320" w:rsidRPr="00636A55">
              <w:rPr>
                <w:spacing w:val="-4"/>
                <w:lang w:val="en-GB"/>
              </w:rPr>
              <w:t xml:space="preserve">3 </w:t>
            </w:r>
            <w:r w:rsidRPr="00636A55">
              <w:rPr>
                <w:spacing w:val="-4"/>
                <w:lang w:val="en-GB"/>
              </w:rPr>
              <w:t xml:space="preserve">bn </w:t>
            </w:r>
            <w:r w:rsidR="00D41320" w:rsidRPr="00636A55">
              <w:rPr>
                <w:spacing w:val="-4"/>
                <w:lang w:val="en-GB"/>
              </w:rPr>
              <w:t>(6</w:t>
            </w:r>
            <w:r w:rsidRPr="00636A55">
              <w:rPr>
                <w:spacing w:val="-4"/>
                <w:lang w:val="en-GB"/>
              </w:rPr>
              <w:t>.</w:t>
            </w:r>
            <w:r w:rsidR="00D41320" w:rsidRPr="00636A55">
              <w:rPr>
                <w:spacing w:val="-4"/>
                <w:lang w:val="en-GB"/>
              </w:rPr>
              <w:t>6%). Import t</w:t>
            </w:r>
            <w:r w:rsidRPr="00636A55">
              <w:rPr>
                <w:spacing w:val="-4"/>
                <w:lang w:val="en-GB"/>
              </w:rPr>
              <w:t xml:space="preserve">hus grew faster than export last year. </w:t>
            </w:r>
            <w:r w:rsidR="00C31D16" w:rsidRPr="00636A55">
              <w:rPr>
                <w:spacing w:val="-4"/>
                <w:lang w:val="en-GB"/>
              </w:rPr>
              <w:t xml:space="preserve">Raised prices of some materials presented a significant factor (oil and natural gas, basic metals). The </w:t>
            </w:r>
            <w:r w:rsidR="00D74278" w:rsidRPr="00636A55">
              <w:rPr>
                <w:spacing w:val="-4"/>
                <w:lang w:val="en-GB"/>
              </w:rPr>
              <w:t>Czech Republic</w:t>
            </w:r>
            <w:r w:rsidR="00C31D16" w:rsidRPr="00636A55">
              <w:rPr>
                <w:spacing w:val="-4"/>
                <w:lang w:val="en-GB"/>
              </w:rPr>
              <w:t xml:space="preserve"> more imports than exports these materials, thus the price shifts led to a higher growth of import. </w:t>
            </w:r>
            <w:r w:rsidR="00D74278" w:rsidRPr="00636A55">
              <w:rPr>
                <w:spacing w:val="-4"/>
                <w:lang w:val="en-GB"/>
              </w:rPr>
              <w:t>Similarly,</w:t>
            </w:r>
            <w:r w:rsidR="00C31D16" w:rsidRPr="00636A55">
              <w:rPr>
                <w:spacing w:val="-4"/>
                <w:lang w:val="en-GB"/>
              </w:rPr>
              <w:t xml:space="preserve"> to export, the year-on-year growth rate of imports attained the highest values in the first half of the year. In Q4, the year-on-year increase of imports was </w:t>
            </w:r>
            <w:r w:rsidR="00D41320" w:rsidRPr="00636A55">
              <w:rPr>
                <w:spacing w:val="-4"/>
                <w:lang w:val="en-GB"/>
              </w:rPr>
              <w:t>4</w:t>
            </w:r>
            <w:r w:rsidR="00C31D16" w:rsidRPr="00636A55">
              <w:rPr>
                <w:spacing w:val="-4"/>
                <w:lang w:val="en-GB"/>
              </w:rPr>
              <w:t>.</w:t>
            </w:r>
            <w:r w:rsidR="00D41320" w:rsidRPr="00636A55">
              <w:rPr>
                <w:spacing w:val="-4"/>
                <w:lang w:val="en-GB"/>
              </w:rPr>
              <w:t>9%.</w:t>
            </w:r>
          </w:p>
          <w:p w:rsidR="00D41320" w:rsidRPr="00636A55" w:rsidRDefault="00D41320" w:rsidP="006E4368">
            <w:pPr>
              <w:pStyle w:val="Textpoznpodarou"/>
              <w:jc w:val="both"/>
              <w:rPr>
                <w:spacing w:val="-4"/>
                <w:sz w:val="16"/>
                <w:szCs w:val="16"/>
                <w:lang w:val="en-GB"/>
              </w:rPr>
            </w:pPr>
          </w:p>
        </w:tc>
      </w:tr>
      <w:tr w:rsidR="00D41320" w:rsidRPr="00A74192" w:rsidTr="009B0676">
        <w:tc>
          <w:tcPr>
            <w:tcW w:w="1015" w:type="pct"/>
          </w:tcPr>
          <w:p w:rsidR="00D41320" w:rsidRPr="006A7257" w:rsidRDefault="007C5E52" w:rsidP="007C5E52">
            <w:pPr>
              <w:spacing w:line="240" w:lineRule="auto"/>
              <w:rPr>
                <w:sz w:val="16"/>
                <w:szCs w:val="16"/>
                <w:lang w:val="en-GB"/>
              </w:rPr>
            </w:pPr>
            <w:r w:rsidRPr="006A7257">
              <w:rPr>
                <w:sz w:val="16"/>
                <w:szCs w:val="16"/>
                <w:lang w:val="en-GB"/>
              </w:rPr>
              <w:t xml:space="preserve">Imports from countries outside the EU sharply increased. </w:t>
            </w:r>
          </w:p>
        </w:tc>
        <w:tc>
          <w:tcPr>
            <w:tcW w:w="144" w:type="pct"/>
          </w:tcPr>
          <w:p w:rsidR="00D41320" w:rsidRPr="006A7257" w:rsidRDefault="00D41320" w:rsidP="006E4368">
            <w:pPr>
              <w:pStyle w:val="Textpoznpodarou"/>
              <w:jc w:val="both"/>
              <w:rPr>
                <w:highlight w:val="yellow"/>
                <w:lang w:val="en-GB"/>
              </w:rPr>
            </w:pPr>
          </w:p>
        </w:tc>
        <w:tc>
          <w:tcPr>
            <w:tcW w:w="3841" w:type="pct"/>
            <w:gridSpan w:val="4"/>
          </w:tcPr>
          <w:p w:rsidR="00D41320" w:rsidRPr="006A7257" w:rsidRDefault="001D4EEB" w:rsidP="006E4368">
            <w:pPr>
              <w:pStyle w:val="Textpoznpodarou"/>
              <w:jc w:val="both"/>
              <w:rPr>
                <w:spacing w:val="-4"/>
                <w:sz w:val="16"/>
                <w:szCs w:val="16"/>
                <w:lang w:val="en-GB"/>
              </w:rPr>
            </w:pPr>
            <w:r w:rsidRPr="006A7257">
              <w:rPr>
                <w:spacing w:val="-4"/>
                <w:lang w:val="en-GB"/>
              </w:rPr>
              <w:t xml:space="preserve">A more detailed view of the import structure </w:t>
            </w:r>
            <w:r w:rsidR="006A7257" w:rsidRPr="006A7257">
              <w:rPr>
                <w:spacing w:val="-4"/>
                <w:lang w:val="en-GB"/>
              </w:rPr>
              <w:t>further</w:t>
            </w:r>
            <w:r w:rsidRPr="006A7257">
              <w:rPr>
                <w:spacing w:val="-4"/>
                <w:lang w:val="en-GB"/>
              </w:rPr>
              <w:t xml:space="preserve"> illustrates especially the price changes, that occurred in 2017. </w:t>
            </w:r>
            <w:r w:rsidR="0084002E" w:rsidRPr="006A7257">
              <w:rPr>
                <w:spacing w:val="-4"/>
                <w:lang w:val="en-GB"/>
              </w:rPr>
              <w:t xml:space="preserve">The increase of imports from countries outside the EU reached </w:t>
            </w:r>
            <w:r w:rsidR="00D41320" w:rsidRPr="006A7257">
              <w:rPr>
                <w:spacing w:val="-4"/>
                <w:lang w:val="en-GB"/>
              </w:rPr>
              <w:t>11</w:t>
            </w:r>
            <w:r w:rsidR="0084002E" w:rsidRPr="006A7257">
              <w:rPr>
                <w:spacing w:val="-4"/>
                <w:lang w:val="en-GB"/>
              </w:rPr>
              <w:t>.</w:t>
            </w:r>
            <w:r w:rsidR="00D41320" w:rsidRPr="006A7257">
              <w:rPr>
                <w:spacing w:val="-4"/>
                <w:lang w:val="en-GB"/>
              </w:rPr>
              <w:t>1% (104</w:t>
            </w:r>
            <w:r w:rsidR="0084002E" w:rsidRPr="006A7257">
              <w:rPr>
                <w:spacing w:val="-4"/>
                <w:lang w:val="en-GB"/>
              </w:rPr>
              <w:t>.</w:t>
            </w:r>
            <w:r w:rsidR="00D41320" w:rsidRPr="006A7257">
              <w:rPr>
                <w:spacing w:val="-4"/>
                <w:lang w:val="en-GB"/>
              </w:rPr>
              <w:t>3</w:t>
            </w:r>
            <w:r w:rsidR="00D97AAD" w:rsidRPr="006A7257">
              <w:rPr>
                <w:spacing w:val="-4"/>
                <w:lang w:val="en-GB"/>
              </w:rPr>
              <w:t> </w:t>
            </w:r>
            <w:r w:rsidR="0084002E" w:rsidRPr="006A7257">
              <w:rPr>
                <w:spacing w:val="-4"/>
                <w:lang w:val="en-GB"/>
              </w:rPr>
              <w:t>CZ</w:t>
            </w:r>
            <w:r w:rsidR="00C86509">
              <w:rPr>
                <w:spacing w:val="-4"/>
                <w:lang w:val="en-GB"/>
              </w:rPr>
              <w:t>K</w:t>
            </w:r>
            <w:r w:rsidR="0084002E" w:rsidRPr="006A7257">
              <w:rPr>
                <w:spacing w:val="-4"/>
                <w:lang w:val="en-GB"/>
              </w:rPr>
              <w:t xml:space="preserve"> bn</w:t>
            </w:r>
            <w:r w:rsidR="00D41320" w:rsidRPr="006A7257">
              <w:rPr>
                <w:spacing w:val="-4"/>
                <w:lang w:val="en-GB"/>
              </w:rPr>
              <w:t>) a</w:t>
            </w:r>
            <w:r w:rsidR="0084002E" w:rsidRPr="006A7257">
              <w:rPr>
                <w:spacing w:val="-4"/>
                <w:lang w:val="en-GB"/>
              </w:rPr>
              <w:t xml:space="preserve">nd it nearly became equal to the absolute additions to the imports from the EU </w:t>
            </w:r>
            <w:r w:rsidR="00D41320" w:rsidRPr="006A7257">
              <w:rPr>
                <w:spacing w:val="-4"/>
                <w:lang w:val="en-GB"/>
              </w:rPr>
              <w:t>(4</w:t>
            </w:r>
            <w:r w:rsidR="0084002E" w:rsidRPr="006A7257">
              <w:rPr>
                <w:spacing w:val="-4"/>
                <w:lang w:val="en-GB"/>
              </w:rPr>
              <w:t>.</w:t>
            </w:r>
            <w:r w:rsidR="00D41320" w:rsidRPr="006A7257">
              <w:rPr>
                <w:spacing w:val="-4"/>
                <w:lang w:val="en-GB"/>
              </w:rPr>
              <w:t>9%, 105</w:t>
            </w:r>
            <w:r w:rsidR="0084002E" w:rsidRPr="006A7257">
              <w:rPr>
                <w:spacing w:val="-4"/>
                <w:lang w:val="en-GB"/>
              </w:rPr>
              <w:t>.</w:t>
            </w:r>
            <w:r w:rsidR="00D41320" w:rsidRPr="006A7257">
              <w:rPr>
                <w:spacing w:val="-4"/>
                <w:lang w:val="en-GB"/>
              </w:rPr>
              <w:t>4</w:t>
            </w:r>
            <w:r w:rsidR="00D97AAD" w:rsidRPr="006A7257">
              <w:rPr>
                <w:spacing w:val="-4"/>
                <w:lang w:val="en-GB"/>
              </w:rPr>
              <w:t> </w:t>
            </w:r>
            <w:r w:rsidR="0084002E" w:rsidRPr="006A7257">
              <w:rPr>
                <w:spacing w:val="-4"/>
                <w:lang w:val="en-GB"/>
              </w:rPr>
              <w:t>bn</w:t>
            </w:r>
            <w:r w:rsidR="00D41320" w:rsidRPr="006A7257">
              <w:rPr>
                <w:spacing w:val="-4"/>
                <w:lang w:val="en-GB"/>
              </w:rPr>
              <w:t xml:space="preserve">). </w:t>
            </w:r>
            <w:r w:rsidR="0084002E" w:rsidRPr="006A7257">
              <w:rPr>
                <w:spacing w:val="-4"/>
                <w:lang w:val="en-GB"/>
              </w:rPr>
              <w:t xml:space="preserve">The rise of prices of oil and natural gas is the most apparent on the trade with Russia. </w:t>
            </w:r>
            <w:r w:rsidR="00BB51AF">
              <w:rPr>
                <w:spacing w:val="-4"/>
                <w:lang w:val="en-GB"/>
              </w:rPr>
              <w:t xml:space="preserve">Imports from this destination increased by 36.8% in </w:t>
            </w:r>
            <w:r w:rsidR="00D41320" w:rsidRPr="006A7257">
              <w:rPr>
                <w:spacing w:val="-4"/>
                <w:lang w:val="en-GB"/>
              </w:rPr>
              <w:t>2017</w:t>
            </w:r>
            <w:r w:rsidR="00BB51AF">
              <w:rPr>
                <w:spacing w:val="-4"/>
                <w:lang w:val="en-GB"/>
              </w:rPr>
              <w:t xml:space="preserve"> </w:t>
            </w:r>
            <w:r w:rsidR="00D41320" w:rsidRPr="006A7257">
              <w:rPr>
                <w:spacing w:val="-4"/>
                <w:lang w:val="en-GB"/>
              </w:rPr>
              <w:t>(30</w:t>
            </w:r>
            <w:r w:rsidR="00BB51AF">
              <w:rPr>
                <w:spacing w:val="-4"/>
                <w:lang w:val="en-GB"/>
              </w:rPr>
              <w:t>.</w:t>
            </w:r>
            <w:r w:rsidR="00D41320" w:rsidRPr="006A7257">
              <w:rPr>
                <w:spacing w:val="-4"/>
                <w:lang w:val="en-GB"/>
              </w:rPr>
              <w:t>9</w:t>
            </w:r>
            <w:r w:rsidR="00D97AAD" w:rsidRPr="006A7257">
              <w:rPr>
                <w:spacing w:val="-4"/>
                <w:lang w:val="en-GB"/>
              </w:rPr>
              <w:t> </w:t>
            </w:r>
            <w:r w:rsidR="00BB51AF">
              <w:rPr>
                <w:spacing w:val="-4"/>
                <w:lang w:val="en-GB"/>
              </w:rPr>
              <w:t>CZK bn</w:t>
            </w:r>
            <w:r w:rsidR="00D41320" w:rsidRPr="006A7257">
              <w:rPr>
                <w:spacing w:val="-4"/>
                <w:lang w:val="en-GB"/>
              </w:rPr>
              <w:t xml:space="preserve">). </w:t>
            </w:r>
            <w:r w:rsidR="00BB51AF">
              <w:rPr>
                <w:spacing w:val="-4"/>
                <w:lang w:val="en-GB"/>
              </w:rPr>
              <w:t xml:space="preserve">In 2016, the import generally stagnated and the last year changed it. The growth of imports from both Germany </w:t>
            </w:r>
            <w:r w:rsidR="00D41320" w:rsidRPr="006A7257">
              <w:rPr>
                <w:spacing w:val="-4"/>
                <w:lang w:val="en-GB"/>
              </w:rPr>
              <w:t>(+42</w:t>
            </w:r>
            <w:r w:rsidR="00BB51AF">
              <w:rPr>
                <w:spacing w:val="-4"/>
                <w:lang w:val="en-GB"/>
              </w:rPr>
              <w:t>.</w:t>
            </w:r>
            <w:r w:rsidR="00D41320" w:rsidRPr="006A7257">
              <w:rPr>
                <w:spacing w:val="-4"/>
                <w:lang w:val="en-GB"/>
              </w:rPr>
              <w:t>6</w:t>
            </w:r>
            <w:r w:rsidR="001D12FB" w:rsidRPr="006A7257">
              <w:rPr>
                <w:spacing w:val="-4"/>
                <w:lang w:val="en-GB"/>
              </w:rPr>
              <w:t> </w:t>
            </w:r>
            <w:r w:rsidR="00BB51AF">
              <w:rPr>
                <w:spacing w:val="-4"/>
                <w:lang w:val="en-GB"/>
              </w:rPr>
              <w:t>CZK</w:t>
            </w:r>
            <w:r w:rsidR="00784DCA">
              <w:rPr>
                <w:spacing w:val="-4"/>
                <w:lang w:val="en-GB"/>
              </w:rPr>
              <w:t xml:space="preserve"> bn</w:t>
            </w:r>
            <w:r w:rsidR="00D41320" w:rsidRPr="006A7257">
              <w:rPr>
                <w:spacing w:val="-4"/>
                <w:lang w:val="en-GB"/>
              </w:rPr>
              <w:t>, 5</w:t>
            </w:r>
            <w:r w:rsidR="00BB51AF">
              <w:rPr>
                <w:spacing w:val="-4"/>
                <w:lang w:val="en-GB"/>
              </w:rPr>
              <w:t>.</w:t>
            </w:r>
            <w:r w:rsidR="00D41320" w:rsidRPr="006A7257">
              <w:rPr>
                <w:spacing w:val="-4"/>
                <w:lang w:val="en-GB"/>
              </w:rPr>
              <w:t xml:space="preserve">0%) </w:t>
            </w:r>
            <w:r w:rsidR="00BB51AF">
              <w:rPr>
                <w:spacing w:val="-4"/>
                <w:lang w:val="en-GB"/>
              </w:rPr>
              <w:t xml:space="preserve">and Austria </w:t>
            </w:r>
            <w:r w:rsidR="00D41320" w:rsidRPr="006A7257">
              <w:rPr>
                <w:spacing w:val="-4"/>
                <w:lang w:val="en-GB"/>
              </w:rPr>
              <w:t>(+7</w:t>
            </w:r>
            <w:r w:rsidR="00BB51AF">
              <w:rPr>
                <w:spacing w:val="-4"/>
                <w:lang w:val="en-GB"/>
              </w:rPr>
              <w:t>.</w:t>
            </w:r>
            <w:r w:rsidR="00D41320" w:rsidRPr="006A7257">
              <w:rPr>
                <w:spacing w:val="-4"/>
                <w:lang w:val="en-GB"/>
              </w:rPr>
              <w:t xml:space="preserve">7 </w:t>
            </w:r>
            <w:r w:rsidR="00BB51AF">
              <w:rPr>
                <w:spacing w:val="-4"/>
                <w:lang w:val="en-GB"/>
              </w:rPr>
              <w:t>CZK bn</w:t>
            </w:r>
            <w:r w:rsidR="00D41320" w:rsidRPr="006A7257">
              <w:rPr>
                <w:spacing w:val="-4"/>
                <w:lang w:val="en-GB"/>
              </w:rPr>
              <w:t>, 8</w:t>
            </w:r>
            <w:r w:rsidR="00BB51AF">
              <w:rPr>
                <w:spacing w:val="-4"/>
                <w:lang w:val="en-GB"/>
              </w:rPr>
              <w:t>.</w:t>
            </w:r>
            <w:r w:rsidR="00D41320" w:rsidRPr="006A7257">
              <w:rPr>
                <w:spacing w:val="-4"/>
                <w:lang w:val="en-GB"/>
              </w:rPr>
              <w:t>0%)</w:t>
            </w:r>
            <w:r w:rsidR="00BB51AF">
              <w:rPr>
                <w:spacing w:val="-4"/>
                <w:lang w:val="en-GB"/>
              </w:rPr>
              <w:t xml:space="preserve"> fastened its pace</w:t>
            </w:r>
            <w:r w:rsidR="00D41320" w:rsidRPr="006A7257">
              <w:rPr>
                <w:spacing w:val="-4"/>
                <w:lang w:val="en-GB"/>
              </w:rPr>
              <w:t xml:space="preserve">. </w:t>
            </w:r>
            <w:r w:rsidR="002A5D3F">
              <w:rPr>
                <w:spacing w:val="-4"/>
                <w:lang w:val="en-GB"/>
              </w:rPr>
              <w:t xml:space="preserve">The import from the United States also increased by </w:t>
            </w:r>
            <w:r w:rsidR="00D41320" w:rsidRPr="006A7257">
              <w:rPr>
                <w:spacing w:val="-4"/>
                <w:lang w:val="en-GB"/>
              </w:rPr>
              <w:t>11</w:t>
            </w:r>
            <w:r w:rsidR="002A5D3F">
              <w:rPr>
                <w:spacing w:val="-4"/>
                <w:lang w:val="en-GB"/>
              </w:rPr>
              <w:t>.</w:t>
            </w:r>
            <w:r w:rsidR="00D41320" w:rsidRPr="006A7257">
              <w:rPr>
                <w:spacing w:val="-4"/>
                <w:lang w:val="en-GB"/>
              </w:rPr>
              <w:t>2</w:t>
            </w:r>
            <w:r w:rsidR="00D97AAD" w:rsidRPr="006A7257">
              <w:rPr>
                <w:spacing w:val="-4"/>
                <w:lang w:val="en-GB"/>
              </w:rPr>
              <w:t> </w:t>
            </w:r>
            <w:r w:rsidR="002A5D3F">
              <w:rPr>
                <w:spacing w:val="-4"/>
                <w:lang w:val="en-GB"/>
              </w:rPr>
              <w:t xml:space="preserve">bn </w:t>
            </w:r>
            <w:r w:rsidR="00D41320" w:rsidRPr="006A7257">
              <w:rPr>
                <w:spacing w:val="-4"/>
                <w:lang w:val="en-GB"/>
              </w:rPr>
              <w:t>(15</w:t>
            </w:r>
            <w:r w:rsidR="002A5D3F">
              <w:rPr>
                <w:spacing w:val="-4"/>
                <w:lang w:val="en-GB"/>
              </w:rPr>
              <w:t>.</w:t>
            </w:r>
            <w:r w:rsidR="00D41320" w:rsidRPr="006A7257">
              <w:rPr>
                <w:spacing w:val="-4"/>
                <w:lang w:val="en-GB"/>
              </w:rPr>
              <w:t>3%).</w:t>
            </w:r>
          </w:p>
          <w:p w:rsidR="00D41320" w:rsidRPr="006A7257" w:rsidRDefault="00D41320" w:rsidP="006E4368">
            <w:pPr>
              <w:pStyle w:val="Textpoznpodarou"/>
              <w:jc w:val="both"/>
              <w:rPr>
                <w:spacing w:val="-4"/>
                <w:sz w:val="16"/>
                <w:szCs w:val="16"/>
                <w:lang w:val="en-GB"/>
              </w:rPr>
            </w:pPr>
          </w:p>
        </w:tc>
      </w:tr>
      <w:tr w:rsidR="00D41320" w:rsidRPr="00A74192" w:rsidTr="009B0676">
        <w:tc>
          <w:tcPr>
            <w:tcW w:w="1015" w:type="pct"/>
          </w:tcPr>
          <w:p w:rsidR="00D41320" w:rsidRPr="00412044" w:rsidRDefault="00152FDD" w:rsidP="00152FDD">
            <w:pPr>
              <w:spacing w:line="240" w:lineRule="auto"/>
              <w:rPr>
                <w:sz w:val="16"/>
                <w:szCs w:val="16"/>
                <w:highlight w:val="yellow"/>
                <w:lang w:val="en-GB"/>
              </w:rPr>
            </w:pPr>
            <w:r w:rsidRPr="00412044">
              <w:rPr>
                <w:sz w:val="16"/>
                <w:szCs w:val="16"/>
                <w:lang w:val="en-GB"/>
              </w:rPr>
              <w:t xml:space="preserve">The value of oil and natural gas import markedly increased. </w:t>
            </w:r>
          </w:p>
        </w:tc>
        <w:tc>
          <w:tcPr>
            <w:tcW w:w="144" w:type="pct"/>
          </w:tcPr>
          <w:p w:rsidR="00D41320" w:rsidRPr="00412044" w:rsidRDefault="00D41320" w:rsidP="006E4368">
            <w:pPr>
              <w:pStyle w:val="Textpoznpodarou"/>
              <w:jc w:val="both"/>
              <w:rPr>
                <w:highlight w:val="yellow"/>
                <w:lang w:val="en-GB"/>
              </w:rPr>
            </w:pPr>
          </w:p>
        </w:tc>
        <w:tc>
          <w:tcPr>
            <w:tcW w:w="3841" w:type="pct"/>
            <w:gridSpan w:val="4"/>
          </w:tcPr>
          <w:p w:rsidR="00D41320" w:rsidRPr="00412044" w:rsidRDefault="00D41320" w:rsidP="006E4368">
            <w:pPr>
              <w:pStyle w:val="Textpoznpodarou"/>
              <w:jc w:val="both"/>
              <w:rPr>
                <w:spacing w:val="-4"/>
                <w:sz w:val="16"/>
                <w:szCs w:val="16"/>
                <w:lang w:val="en-GB"/>
              </w:rPr>
            </w:pPr>
            <w:r w:rsidRPr="00412044">
              <w:rPr>
                <w:spacing w:val="-4"/>
                <w:lang w:val="en-GB"/>
              </w:rPr>
              <w:t>S</w:t>
            </w:r>
            <w:r w:rsidR="00152FDD" w:rsidRPr="00412044">
              <w:rPr>
                <w:spacing w:val="-4"/>
                <w:lang w:val="en-GB"/>
              </w:rPr>
              <w:t xml:space="preserve">trong domestic demand supported the year-on-year rise of motor vehicle imports in 2017, reaching </w:t>
            </w:r>
            <w:r w:rsidRPr="00412044">
              <w:rPr>
                <w:spacing w:val="-4"/>
                <w:lang w:val="en-GB"/>
              </w:rPr>
              <w:t>40</w:t>
            </w:r>
            <w:r w:rsidR="00152FDD" w:rsidRPr="00412044">
              <w:rPr>
                <w:spacing w:val="-4"/>
                <w:lang w:val="en-GB"/>
              </w:rPr>
              <w:t>.</w:t>
            </w:r>
            <w:r w:rsidRPr="00412044">
              <w:rPr>
                <w:spacing w:val="-4"/>
                <w:lang w:val="en-GB"/>
              </w:rPr>
              <w:t xml:space="preserve">3 </w:t>
            </w:r>
            <w:r w:rsidR="00152FDD" w:rsidRPr="00412044">
              <w:rPr>
                <w:spacing w:val="-4"/>
                <w:lang w:val="en-GB"/>
              </w:rPr>
              <w:t xml:space="preserve">CZK bn </w:t>
            </w:r>
            <w:r w:rsidRPr="00412044">
              <w:rPr>
                <w:spacing w:val="-4"/>
                <w:lang w:val="en-GB"/>
              </w:rPr>
              <w:t>(7</w:t>
            </w:r>
            <w:r w:rsidR="00152FDD" w:rsidRPr="00412044">
              <w:rPr>
                <w:spacing w:val="-4"/>
                <w:lang w:val="en-GB"/>
              </w:rPr>
              <w:t>.</w:t>
            </w:r>
            <w:r w:rsidRPr="00412044">
              <w:rPr>
                <w:spacing w:val="-4"/>
                <w:lang w:val="en-GB"/>
              </w:rPr>
              <w:t xml:space="preserve">9%). </w:t>
            </w:r>
            <w:r w:rsidR="00412044" w:rsidRPr="00412044">
              <w:rPr>
                <w:spacing w:val="-4"/>
                <w:lang w:val="en-GB"/>
              </w:rPr>
              <w:t xml:space="preserve">The imports of electrical appliances also grew significantly </w:t>
            </w:r>
            <w:r w:rsidRPr="00412044">
              <w:rPr>
                <w:spacing w:val="-4"/>
                <w:lang w:val="en-GB"/>
              </w:rPr>
              <w:t>(+20</w:t>
            </w:r>
            <w:r w:rsidR="00412044" w:rsidRPr="00412044">
              <w:rPr>
                <w:spacing w:val="-4"/>
                <w:lang w:val="en-GB"/>
              </w:rPr>
              <w:t>.</w:t>
            </w:r>
            <w:r w:rsidRPr="00412044">
              <w:rPr>
                <w:spacing w:val="-4"/>
                <w:lang w:val="en-GB"/>
              </w:rPr>
              <w:t xml:space="preserve">0 </w:t>
            </w:r>
            <w:r w:rsidR="00412044" w:rsidRPr="00412044">
              <w:rPr>
                <w:spacing w:val="-4"/>
                <w:lang w:val="en-GB"/>
              </w:rPr>
              <w:t>bn</w:t>
            </w:r>
            <w:r w:rsidRPr="00412044">
              <w:rPr>
                <w:spacing w:val="-4"/>
                <w:lang w:val="en-GB"/>
              </w:rPr>
              <w:t>, 8</w:t>
            </w:r>
            <w:r w:rsidR="00412044" w:rsidRPr="00412044">
              <w:rPr>
                <w:spacing w:val="-4"/>
                <w:lang w:val="en-GB"/>
              </w:rPr>
              <w:t>.</w:t>
            </w:r>
            <w:r w:rsidRPr="00412044">
              <w:rPr>
                <w:spacing w:val="-4"/>
                <w:lang w:val="en-GB"/>
              </w:rPr>
              <w:t xml:space="preserve">5%). </w:t>
            </w:r>
            <w:r w:rsidR="00FD33E5">
              <w:rPr>
                <w:spacing w:val="-4"/>
                <w:lang w:val="en-GB"/>
              </w:rPr>
              <w:t xml:space="preserve">Raised prices were reflected in the jump increase of the value of import of basic metals </w:t>
            </w:r>
            <w:r w:rsidRPr="00412044">
              <w:rPr>
                <w:spacing w:val="-4"/>
                <w:lang w:val="en-GB"/>
              </w:rPr>
              <w:t>(+39</w:t>
            </w:r>
            <w:r w:rsidR="00FD33E5">
              <w:rPr>
                <w:spacing w:val="-4"/>
                <w:lang w:val="en-GB"/>
              </w:rPr>
              <w:t>.</w:t>
            </w:r>
            <w:r w:rsidRPr="00412044">
              <w:rPr>
                <w:spacing w:val="-4"/>
                <w:lang w:val="en-GB"/>
              </w:rPr>
              <w:t xml:space="preserve">7 </w:t>
            </w:r>
            <w:r w:rsidR="00FD33E5">
              <w:rPr>
                <w:spacing w:val="-4"/>
                <w:lang w:val="en-GB"/>
              </w:rPr>
              <w:t>bn</w:t>
            </w:r>
            <w:r w:rsidRPr="00412044">
              <w:rPr>
                <w:spacing w:val="-4"/>
                <w:lang w:val="en-GB"/>
              </w:rPr>
              <w:t>, 17</w:t>
            </w:r>
            <w:r w:rsidR="00FD33E5">
              <w:rPr>
                <w:spacing w:val="-4"/>
                <w:lang w:val="en-GB"/>
              </w:rPr>
              <w:t>.</w:t>
            </w:r>
            <w:r w:rsidRPr="00412044">
              <w:rPr>
                <w:spacing w:val="-4"/>
                <w:lang w:val="en-GB"/>
              </w:rPr>
              <w:t xml:space="preserve">7%). </w:t>
            </w:r>
            <w:r w:rsidR="00FD33E5">
              <w:rPr>
                <w:spacing w:val="-4"/>
                <w:lang w:val="en-GB"/>
              </w:rPr>
              <w:t xml:space="preserve">The higher demand on the part of the Czech chemical industry joined the price factor as well for the import of oil and natural gas. It resulted in the increased value of imports by 32.2 CZK bn </w:t>
            </w:r>
            <w:r w:rsidRPr="00412044">
              <w:rPr>
                <w:spacing w:val="-4"/>
                <w:lang w:val="en-GB"/>
              </w:rPr>
              <w:t>(36</w:t>
            </w:r>
            <w:r w:rsidR="00FD33E5">
              <w:rPr>
                <w:spacing w:val="-4"/>
                <w:lang w:val="en-GB"/>
              </w:rPr>
              <w:t>.</w:t>
            </w:r>
            <w:r w:rsidRPr="00412044">
              <w:rPr>
                <w:spacing w:val="-4"/>
                <w:lang w:val="en-GB"/>
              </w:rPr>
              <w:t>1%).</w:t>
            </w:r>
          </w:p>
          <w:p w:rsidR="00D41320" w:rsidRPr="00412044" w:rsidRDefault="00D41320" w:rsidP="006E4368">
            <w:pPr>
              <w:pStyle w:val="Textpoznpodarou"/>
              <w:jc w:val="both"/>
              <w:rPr>
                <w:spacing w:val="-4"/>
                <w:sz w:val="16"/>
                <w:szCs w:val="16"/>
                <w:lang w:val="en-GB"/>
              </w:rPr>
            </w:pPr>
          </w:p>
        </w:tc>
      </w:tr>
      <w:tr w:rsidR="00D41320" w:rsidRPr="00A74192" w:rsidTr="009B0676">
        <w:tc>
          <w:tcPr>
            <w:tcW w:w="1015" w:type="pct"/>
          </w:tcPr>
          <w:p w:rsidR="00D41320" w:rsidRPr="00986746" w:rsidRDefault="00986746" w:rsidP="006E4368">
            <w:pPr>
              <w:spacing w:line="240" w:lineRule="auto"/>
              <w:rPr>
                <w:sz w:val="16"/>
                <w:szCs w:val="16"/>
                <w:lang w:val="en-GB"/>
              </w:rPr>
            </w:pPr>
            <w:r w:rsidRPr="00986746">
              <w:rPr>
                <w:sz w:val="16"/>
                <w:szCs w:val="16"/>
                <w:lang w:val="en-GB"/>
              </w:rPr>
              <w:t xml:space="preserve">Foreign trade balance was positive, but the surplus fell year-on-year. </w:t>
            </w:r>
          </w:p>
        </w:tc>
        <w:tc>
          <w:tcPr>
            <w:tcW w:w="144" w:type="pct"/>
          </w:tcPr>
          <w:p w:rsidR="00D41320" w:rsidRPr="00986746" w:rsidRDefault="00D41320" w:rsidP="006E4368">
            <w:pPr>
              <w:pStyle w:val="Textpoznpodarou"/>
              <w:jc w:val="both"/>
              <w:rPr>
                <w:highlight w:val="yellow"/>
                <w:lang w:val="en-GB"/>
              </w:rPr>
            </w:pPr>
          </w:p>
        </w:tc>
        <w:tc>
          <w:tcPr>
            <w:tcW w:w="3841" w:type="pct"/>
            <w:gridSpan w:val="4"/>
          </w:tcPr>
          <w:p w:rsidR="00D41320" w:rsidRPr="00986746" w:rsidRDefault="00986746" w:rsidP="006E4368">
            <w:pPr>
              <w:pStyle w:val="Textpoznpodarou"/>
              <w:jc w:val="both"/>
              <w:rPr>
                <w:spacing w:val="-4"/>
                <w:sz w:val="16"/>
                <w:szCs w:val="16"/>
                <w:lang w:val="en-GB"/>
              </w:rPr>
            </w:pPr>
            <w:r>
              <w:rPr>
                <w:spacing w:val="-4"/>
                <w:lang w:val="en-GB"/>
              </w:rPr>
              <w:t xml:space="preserve">Balance of the foreign trade with goods achieved a surplus in the amount of 145.3 CZK bn in 2017. The positive balance thus year-on-year decreased by 18.4 bn. The drop can be connected to the above-mentioned year-on-year increase of prices of materials, which raised the value of imports. </w:t>
            </w:r>
            <w:r w:rsidR="001E0241">
              <w:rPr>
                <w:spacing w:val="-4"/>
                <w:lang w:val="en-GB"/>
              </w:rPr>
              <w:t>Also,</w:t>
            </w:r>
            <w:r>
              <w:rPr>
                <w:spacing w:val="-4"/>
                <w:lang w:val="en-GB"/>
              </w:rPr>
              <w:t xml:space="preserve"> for this reason, the deficit of trade with countries outside the EU markedly deepened </w:t>
            </w:r>
            <w:r w:rsidR="00D41320" w:rsidRPr="00986746">
              <w:rPr>
                <w:spacing w:val="-4"/>
                <w:lang w:val="en-GB"/>
              </w:rPr>
              <w:t>(</w:t>
            </w:r>
            <w:r>
              <w:rPr>
                <w:spacing w:val="-4"/>
                <w:lang w:val="en-GB"/>
              </w:rPr>
              <w:t>by</w:t>
            </w:r>
            <w:r w:rsidR="00E24871" w:rsidRPr="00986746">
              <w:rPr>
                <w:spacing w:val="-4"/>
                <w:lang w:val="en-GB"/>
              </w:rPr>
              <w:t> </w:t>
            </w:r>
            <w:r w:rsidR="00D41320" w:rsidRPr="00986746">
              <w:rPr>
                <w:spacing w:val="-4"/>
                <w:lang w:val="en-GB"/>
              </w:rPr>
              <w:t>71</w:t>
            </w:r>
            <w:r>
              <w:rPr>
                <w:spacing w:val="-4"/>
                <w:lang w:val="en-GB"/>
              </w:rPr>
              <w:t>.</w:t>
            </w:r>
            <w:r w:rsidR="00D41320" w:rsidRPr="00986746">
              <w:rPr>
                <w:spacing w:val="-4"/>
                <w:lang w:val="en-GB"/>
              </w:rPr>
              <w:t>7</w:t>
            </w:r>
            <w:r w:rsidR="00E24871" w:rsidRPr="00986746">
              <w:rPr>
                <w:spacing w:val="-4"/>
                <w:lang w:val="en-GB"/>
              </w:rPr>
              <w:t> </w:t>
            </w:r>
            <w:r>
              <w:rPr>
                <w:spacing w:val="-4"/>
                <w:lang w:val="en-GB"/>
              </w:rPr>
              <w:t>bn</w:t>
            </w:r>
            <w:r w:rsidR="00D41320" w:rsidRPr="00986746">
              <w:rPr>
                <w:spacing w:val="-4"/>
                <w:lang w:val="en-GB"/>
              </w:rPr>
              <w:t>)</w:t>
            </w:r>
            <w:r>
              <w:rPr>
                <w:spacing w:val="-4"/>
                <w:lang w:val="en-GB"/>
              </w:rPr>
              <w:t xml:space="preserve">, while the surplus of the trade with the EU increased by 51.3 bn in 2017. </w:t>
            </w:r>
            <w:r w:rsidR="001E0241">
              <w:rPr>
                <w:spacing w:val="-4"/>
                <w:lang w:val="en-GB"/>
              </w:rPr>
              <w:t xml:space="preserve">The positive balance of trade with Germany was growing the most (by </w:t>
            </w:r>
            <w:r w:rsidR="00D41320" w:rsidRPr="00986746">
              <w:rPr>
                <w:spacing w:val="-4"/>
                <w:lang w:val="en-GB"/>
              </w:rPr>
              <w:t>21</w:t>
            </w:r>
            <w:r w:rsidR="001E0241">
              <w:rPr>
                <w:spacing w:val="-4"/>
                <w:lang w:val="en-GB"/>
              </w:rPr>
              <w:t>.</w:t>
            </w:r>
            <w:r w:rsidR="00D41320" w:rsidRPr="00986746">
              <w:rPr>
                <w:spacing w:val="-4"/>
                <w:lang w:val="en-GB"/>
              </w:rPr>
              <w:t xml:space="preserve">9 </w:t>
            </w:r>
            <w:r w:rsidR="001E0241">
              <w:rPr>
                <w:spacing w:val="-4"/>
                <w:lang w:val="en-GB"/>
              </w:rPr>
              <w:t>bn</w:t>
            </w:r>
            <w:r w:rsidR="00D41320" w:rsidRPr="00986746">
              <w:rPr>
                <w:spacing w:val="-4"/>
                <w:lang w:val="en-GB"/>
              </w:rPr>
              <w:t xml:space="preserve">). </w:t>
            </w:r>
            <w:r w:rsidR="001E0241">
              <w:rPr>
                <w:spacing w:val="-4"/>
                <w:lang w:val="en-GB"/>
              </w:rPr>
              <w:t>The CR achieved trade surplus with the Netherlands (in the amount of 7.0 bn) following the five years of deficits. Positive trade balance with France rose by 7.5 CZK bn. Deficit with Poland, growing in the recent years, moderated by 17.6 CZK bn in 2017. Deficit with Russia more than doubled in 2017 (deeper by 24.9 CZK bn)</w:t>
            </w:r>
            <w:r w:rsidR="00D41320" w:rsidRPr="00986746">
              <w:rPr>
                <w:spacing w:val="-4"/>
                <w:lang w:val="en-GB"/>
              </w:rPr>
              <w:t xml:space="preserve">, </w:t>
            </w:r>
            <w:r w:rsidR="001E0241">
              <w:rPr>
                <w:spacing w:val="-4"/>
                <w:lang w:val="en-GB"/>
              </w:rPr>
              <w:t xml:space="preserve">trade deficit with China mildly increased </w:t>
            </w:r>
            <w:r w:rsidR="00D41320" w:rsidRPr="00986746">
              <w:rPr>
                <w:spacing w:val="-4"/>
                <w:lang w:val="en-GB"/>
              </w:rPr>
              <w:t>(</w:t>
            </w:r>
            <w:r w:rsidR="001E0241">
              <w:rPr>
                <w:spacing w:val="-4"/>
                <w:lang w:val="en-GB"/>
              </w:rPr>
              <w:t xml:space="preserve">by </w:t>
            </w:r>
            <w:r w:rsidR="00D41320" w:rsidRPr="00986746">
              <w:rPr>
                <w:spacing w:val="-4"/>
                <w:lang w:val="en-GB"/>
              </w:rPr>
              <w:t>8</w:t>
            </w:r>
            <w:r w:rsidR="001E0241">
              <w:rPr>
                <w:spacing w:val="-4"/>
                <w:lang w:val="en-GB"/>
              </w:rPr>
              <w:t>.</w:t>
            </w:r>
            <w:r w:rsidR="00D41320" w:rsidRPr="00986746">
              <w:rPr>
                <w:spacing w:val="-4"/>
                <w:lang w:val="en-GB"/>
              </w:rPr>
              <w:t xml:space="preserve">0 </w:t>
            </w:r>
            <w:r w:rsidR="001E0241">
              <w:rPr>
                <w:spacing w:val="-4"/>
                <w:lang w:val="en-GB"/>
              </w:rPr>
              <w:t>bn</w:t>
            </w:r>
            <w:r w:rsidR="00D41320" w:rsidRPr="00986746">
              <w:rPr>
                <w:spacing w:val="-4"/>
                <w:lang w:val="en-GB"/>
              </w:rPr>
              <w:t>.).</w:t>
            </w:r>
          </w:p>
          <w:p w:rsidR="00D41320" w:rsidRPr="00986746" w:rsidRDefault="00D41320" w:rsidP="006E4368">
            <w:pPr>
              <w:pStyle w:val="Textpoznpodarou"/>
              <w:jc w:val="both"/>
              <w:rPr>
                <w:spacing w:val="-4"/>
                <w:sz w:val="16"/>
                <w:szCs w:val="16"/>
                <w:lang w:val="en-GB"/>
              </w:rPr>
            </w:pPr>
          </w:p>
        </w:tc>
      </w:tr>
      <w:tr w:rsidR="00D41320" w:rsidRPr="00A74192" w:rsidTr="009B0676">
        <w:tc>
          <w:tcPr>
            <w:tcW w:w="1015" w:type="pct"/>
          </w:tcPr>
          <w:p w:rsidR="00D41320" w:rsidRPr="001E0241" w:rsidRDefault="00986746" w:rsidP="006E4368">
            <w:pPr>
              <w:spacing w:line="240" w:lineRule="auto"/>
              <w:rPr>
                <w:sz w:val="16"/>
                <w:szCs w:val="16"/>
                <w:lang w:val="en-GB"/>
              </w:rPr>
            </w:pPr>
            <w:r w:rsidRPr="001E0241">
              <w:rPr>
                <w:sz w:val="16"/>
                <w:szCs w:val="16"/>
                <w:lang w:val="en-GB"/>
              </w:rPr>
              <w:t xml:space="preserve">Deficit of the trade with the countries outside the EU deepened. </w:t>
            </w:r>
          </w:p>
        </w:tc>
        <w:tc>
          <w:tcPr>
            <w:tcW w:w="144" w:type="pct"/>
          </w:tcPr>
          <w:p w:rsidR="00D41320" w:rsidRPr="001E0241" w:rsidRDefault="00D41320" w:rsidP="006E4368">
            <w:pPr>
              <w:pStyle w:val="Textpoznpodarou"/>
              <w:jc w:val="both"/>
              <w:rPr>
                <w:highlight w:val="yellow"/>
                <w:lang w:val="en-GB"/>
              </w:rPr>
            </w:pPr>
          </w:p>
        </w:tc>
        <w:tc>
          <w:tcPr>
            <w:tcW w:w="3841" w:type="pct"/>
            <w:gridSpan w:val="4"/>
          </w:tcPr>
          <w:p w:rsidR="00D41320" w:rsidRPr="001E0241" w:rsidRDefault="00831E95" w:rsidP="006E4368">
            <w:pPr>
              <w:pStyle w:val="Textpoznpodarou"/>
              <w:jc w:val="both"/>
              <w:rPr>
                <w:spacing w:val="-4"/>
                <w:sz w:val="16"/>
                <w:szCs w:val="16"/>
                <w:lang w:val="en-GB"/>
              </w:rPr>
            </w:pPr>
            <w:r>
              <w:rPr>
                <w:spacing w:val="-4"/>
                <w:lang w:val="en-GB"/>
              </w:rPr>
              <w:t>From the view of the individual divisions of the classification of production, motor vehicles (447.1 CZK bn), machinery and equipment (76.8 CZK bn) and metal products (59.5 CZK bn) contributed the most to the resulting surplus of the trade balance in 2017.</w:t>
            </w:r>
            <w:r w:rsidR="00D41320" w:rsidRPr="001E0241">
              <w:rPr>
                <w:spacing w:val="-4"/>
                <w:lang w:val="en-GB"/>
              </w:rPr>
              <w:t xml:space="preserve"> </w:t>
            </w:r>
            <w:r w:rsidR="00385D71">
              <w:rPr>
                <w:spacing w:val="-4"/>
                <w:lang w:val="en-GB"/>
              </w:rPr>
              <w:t>First two divisions also experienced a considerable enlargement of the surplus (by 31.1 bn for the motor vehicles, 13.4 bn for the machinery and equipment). Basic metals</w:t>
            </w:r>
            <w:r w:rsidR="005C76F1">
              <w:rPr>
                <w:spacing w:val="-4"/>
                <w:lang w:val="en-GB"/>
              </w:rPr>
              <w:t xml:space="preserve"> (deficit in the size of 125.0 bn), oil and natural gas (-117.8 bn) and chemical </w:t>
            </w:r>
            <w:r w:rsidR="004C0B46">
              <w:rPr>
                <w:spacing w:val="-4"/>
                <w:lang w:val="en-GB"/>
              </w:rPr>
              <w:t xml:space="preserve">substances and </w:t>
            </w:r>
            <w:r w:rsidR="005C76F1">
              <w:rPr>
                <w:spacing w:val="-4"/>
                <w:lang w:val="en-GB"/>
              </w:rPr>
              <w:t xml:space="preserve">products (-108.3 bn) had the highest effect in the direction of the negative balance of the foreign trade in 2017. </w:t>
            </w:r>
            <w:r w:rsidR="00EF35CA">
              <w:rPr>
                <w:spacing w:val="-4"/>
                <w:lang w:val="en-GB"/>
              </w:rPr>
              <w:t xml:space="preserve">Because of the changes in prices, the deficit of trade with basic metals deepened by 29.2 CZK bn and the deficit with oil and natural gas by 40.1 bn. Already mentioned revival of the Czech chemical industry was apparent in the moderation of the deficit of trade with the chemical </w:t>
            </w:r>
            <w:r w:rsidR="004C0B46">
              <w:rPr>
                <w:spacing w:val="-4"/>
                <w:lang w:val="en-GB"/>
              </w:rPr>
              <w:t xml:space="preserve">substances and </w:t>
            </w:r>
            <w:r w:rsidR="00EF35CA">
              <w:rPr>
                <w:spacing w:val="-4"/>
                <w:lang w:val="en-GB"/>
              </w:rPr>
              <w:t>products by 11.2 CZK bn.</w:t>
            </w:r>
          </w:p>
          <w:p w:rsidR="00D41320" w:rsidRDefault="00D41320"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Pr="001E0241" w:rsidRDefault="002133D5" w:rsidP="006E4368">
            <w:pPr>
              <w:pStyle w:val="Textpoznpodarou"/>
              <w:jc w:val="both"/>
              <w:rPr>
                <w:spacing w:val="-4"/>
                <w:sz w:val="16"/>
                <w:szCs w:val="16"/>
                <w:lang w:val="en-GB"/>
              </w:rPr>
            </w:pPr>
          </w:p>
        </w:tc>
      </w:tr>
      <w:tr w:rsidR="00DD0726" w:rsidRPr="00A74192" w:rsidTr="009B0676">
        <w:tc>
          <w:tcPr>
            <w:tcW w:w="1015" w:type="pct"/>
          </w:tcPr>
          <w:p w:rsidR="00DD0726" w:rsidRPr="001E0241" w:rsidRDefault="00DD0726" w:rsidP="006C3DC1">
            <w:pPr>
              <w:spacing w:line="240" w:lineRule="auto"/>
              <w:rPr>
                <w:sz w:val="16"/>
                <w:szCs w:val="16"/>
                <w:highlight w:val="yellow"/>
                <w:lang w:val="en-GB"/>
              </w:rPr>
            </w:pPr>
          </w:p>
        </w:tc>
        <w:tc>
          <w:tcPr>
            <w:tcW w:w="144" w:type="pct"/>
          </w:tcPr>
          <w:p w:rsidR="00DD0726" w:rsidRPr="001E0241" w:rsidRDefault="00DD0726" w:rsidP="006C3DC1">
            <w:pPr>
              <w:pStyle w:val="Textpoznpodarou"/>
              <w:jc w:val="both"/>
              <w:rPr>
                <w:lang w:val="en-GB"/>
              </w:rPr>
            </w:pPr>
          </w:p>
        </w:tc>
        <w:tc>
          <w:tcPr>
            <w:tcW w:w="653" w:type="pct"/>
            <w:gridSpan w:val="2"/>
          </w:tcPr>
          <w:p w:rsidR="00DD0726" w:rsidRPr="001E0241" w:rsidRDefault="00986746" w:rsidP="006C3DC1">
            <w:pPr>
              <w:pStyle w:val="Textpoznpodarou"/>
              <w:jc w:val="both"/>
              <w:rPr>
                <w:spacing w:val="-4"/>
                <w:sz w:val="16"/>
                <w:szCs w:val="16"/>
                <w:highlight w:val="yellow"/>
                <w:lang w:val="en-GB"/>
              </w:rPr>
            </w:pPr>
            <w:r w:rsidRPr="001E0241">
              <w:rPr>
                <w:spacing w:val="-4"/>
                <w:lang w:val="en-GB"/>
              </w:rPr>
              <w:t xml:space="preserve">Chart </w:t>
            </w:r>
            <w:r w:rsidR="00DD0726" w:rsidRPr="001E0241">
              <w:rPr>
                <w:spacing w:val="-4"/>
                <w:lang w:val="en-GB"/>
              </w:rPr>
              <w:t>10</w:t>
            </w:r>
          </w:p>
        </w:tc>
        <w:tc>
          <w:tcPr>
            <w:tcW w:w="3188" w:type="pct"/>
            <w:gridSpan w:val="2"/>
          </w:tcPr>
          <w:p w:rsidR="00DD0726" w:rsidRPr="001E0241" w:rsidRDefault="00DD0726" w:rsidP="00D41320">
            <w:pPr>
              <w:pStyle w:val="Textpoznpodarou"/>
              <w:rPr>
                <w:spacing w:val="-4"/>
                <w:sz w:val="16"/>
                <w:szCs w:val="16"/>
                <w:highlight w:val="yellow"/>
                <w:lang w:val="en-GB"/>
              </w:rPr>
            </w:pPr>
            <w:r w:rsidRPr="001E0241">
              <w:rPr>
                <w:b/>
                <w:spacing w:val="-4"/>
                <w:lang w:val="en-GB"/>
              </w:rPr>
              <w:t>B</w:t>
            </w:r>
            <w:r w:rsidR="00ED7AA7">
              <w:rPr>
                <w:b/>
                <w:spacing w:val="-4"/>
                <w:lang w:val="en-GB"/>
              </w:rPr>
              <w:t>alance of foreign trade</w:t>
            </w:r>
            <w:r w:rsidRPr="001E0241">
              <w:rPr>
                <w:b/>
                <w:spacing w:val="-4"/>
                <w:lang w:val="en-GB"/>
              </w:rPr>
              <w:t xml:space="preserve">* </w:t>
            </w:r>
            <w:r w:rsidR="00ED7AA7">
              <w:rPr>
                <w:b/>
                <w:spacing w:val="-4"/>
                <w:lang w:val="en-GB"/>
              </w:rPr>
              <w:t xml:space="preserve">in foreign trade statistics </w:t>
            </w:r>
            <w:r w:rsidR="00ED7AA7" w:rsidRPr="00ED7AA7">
              <w:rPr>
                <w:spacing w:val="-4"/>
                <w:lang w:val="en-GB"/>
              </w:rPr>
              <w:t>(</w:t>
            </w:r>
            <w:r w:rsidR="00ED7AA7">
              <w:rPr>
                <w:spacing w:val="-4"/>
                <w:lang w:val="en-GB"/>
              </w:rPr>
              <w:t xml:space="preserve">accumulation Q1 to Q4, in CZK bn, selected divisions of the CZ-CPA classification) </w:t>
            </w:r>
          </w:p>
        </w:tc>
      </w:tr>
      <w:tr w:rsidR="00254069" w:rsidRPr="00A74192" w:rsidTr="009B0676">
        <w:tc>
          <w:tcPr>
            <w:tcW w:w="1015" w:type="pct"/>
          </w:tcPr>
          <w:p w:rsidR="00254069" w:rsidRPr="002804BB" w:rsidRDefault="00254069" w:rsidP="006C3DC1">
            <w:pPr>
              <w:spacing w:line="240" w:lineRule="auto"/>
              <w:rPr>
                <w:sz w:val="16"/>
                <w:szCs w:val="16"/>
                <w:highlight w:val="yellow"/>
              </w:rPr>
            </w:pPr>
          </w:p>
        </w:tc>
        <w:tc>
          <w:tcPr>
            <w:tcW w:w="144" w:type="pct"/>
          </w:tcPr>
          <w:p w:rsidR="00254069" w:rsidRPr="00A74192" w:rsidRDefault="00254069" w:rsidP="006C3DC1">
            <w:pPr>
              <w:pStyle w:val="Textpoznpodarou"/>
              <w:jc w:val="both"/>
            </w:pPr>
          </w:p>
        </w:tc>
        <w:tc>
          <w:tcPr>
            <w:tcW w:w="3841" w:type="pct"/>
            <w:gridSpan w:val="4"/>
          </w:tcPr>
          <w:p w:rsidR="00254069" w:rsidRPr="00DC21E2" w:rsidRDefault="00BD345F" w:rsidP="00333134">
            <w:pPr>
              <w:pStyle w:val="Textpoznpodarou"/>
              <w:ind w:left="-73"/>
              <w:jc w:val="right"/>
              <w:rPr>
                <w:spacing w:val="-4"/>
                <w:sz w:val="14"/>
                <w:szCs w:val="14"/>
              </w:rPr>
            </w:pPr>
            <w:r w:rsidRPr="00BD345F">
              <w:rPr>
                <w:noProof/>
                <w:spacing w:val="-4"/>
                <w:sz w:val="14"/>
                <w:szCs w:val="14"/>
              </w:rPr>
              <w:drawing>
                <wp:inline distT="0" distB="0" distL="0" distR="0">
                  <wp:extent cx="4734105" cy="3420000"/>
                  <wp:effectExtent l="1905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254069" w:rsidRPr="00ED7AA7" w:rsidTr="009B0676">
        <w:tc>
          <w:tcPr>
            <w:tcW w:w="1015" w:type="pct"/>
          </w:tcPr>
          <w:p w:rsidR="00254069" w:rsidRPr="00ED7AA7" w:rsidRDefault="00254069" w:rsidP="006C3DC1">
            <w:pPr>
              <w:spacing w:line="240" w:lineRule="auto"/>
              <w:rPr>
                <w:sz w:val="16"/>
                <w:szCs w:val="16"/>
                <w:lang w:val="en-GB"/>
              </w:rPr>
            </w:pPr>
          </w:p>
        </w:tc>
        <w:tc>
          <w:tcPr>
            <w:tcW w:w="144" w:type="pct"/>
          </w:tcPr>
          <w:p w:rsidR="00254069" w:rsidRPr="00ED7AA7" w:rsidRDefault="00254069" w:rsidP="006C3DC1">
            <w:pPr>
              <w:pStyle w:val="Textpoznpodarou"/>
              <w:jc w:val="both"/>
              <w:rPr>
                <w:highlight w:val="yellow"/>
                <w:lang w:val="en-GB"/>
              </w:rPr>
            </w:pPr>
          </w:p>
        </w:tc>
        <w:tc>
          <w:tcPr>
            <w:tcW w:w="1948" w:type="pct"/>
            <w:gridSpan w:val="3"/>
          </w:tcPr>
          <w:p w:rsidR="004C0B46" w:rsidRPr="00BD345F" w:rsidRDefault="00254069" w:rsidP="00BD345F">
            <w:pPr>
              <w:pStyle w:val="Textpoznpodarou"/>
              <w:jc w:val="both"/>
              <w:rPr>
                <w:spacing w:val="-4"/>
                <w:sz w:val="14"/>
                <w:szCs w:val="14"/>
                <w:lang w:val="en-GB"/>
              </w:rPr>
            </w:pPr>
            <w:r w:rsidRPr="00ED7AA7">
              <w:rPr>
                <w:spacing w:val="-4"/>
                <w:sz w:val="14"/>
                <w:szCs w:val="14"/>
                <w:lang w:val="en-GB"/>
              </w:rPr>
              <w:t>*</w:t>
            </w:r>
            <w:r w:rsidR="00ED7AA7" w:rsidRPr="00ED7AA7">
              <w:rPr>
                <w:spacing w:val="-4"/>
                <w:sz w:val="14"/>
                <w:szCs w:val="14"/>
                <w:lang w:val="en-GB"/>
              </w:rPr>
              <w:t>in the national conception</w:t>
            </w:r>
          </w:p>
          <w:p w:rsidR="004C0B46" w:rsidRPr="00ED7AA7" w:rsidRDefault="004C0B46" w:rsidP="006C3DC1">
            <w:pPr>
              <w:pStyle w:val="Textpoznpodarou"/>
              <w:jc w:val="both"/>
              <w:rPr>
                <w:spacing w:val="-4"/>
                <w:sz w:val="14"/>
                <w:szCs w:val="14"/>
                <w:lang w:val="en-GB"/>
              </w:rPr>
            </w:pPr>
          </w:p>
        </w:tc>
        <w:tc>
          <w:tcPr>
            <w:tcW w:w="1893" w:type="pct"/>
          </w:tcPr>
          <w:p w:rsidR="004C0B46" w:rsidRDefault="00ED7AA7" w:rsidP="00BD345F">
            <w:pPr>
              <w:pStyle w:val="Textpoznpodarou"/>
              <w:jc w:val="right"/>
              <w:rPr>
                <w:spacing w:val="-4"/>
                <w:sz w:val="14"/>
                <w:szCs w:val="14"/>
                <w:lang w:val="en-GB"/>
              </w:rPr>
            </w:pPr>
            <w:r w:rsidRPr="00ED7AA7">
              <w:rPr>
                <w:spacing w:val="-4"/>
                <w:sz w:val="14"/>
                <w:szCs w:val="14"/>
                <w:lang w:val="en-GB"/>
              </w:rPr>
              <w:t>Source</w:t>
            </w:r>
            <w:r w:rsidR="00254069" w:rsidRPr="00ED7AA7">
              <w:rPr>
                <w:spacing w:val="-4"/>
                <w:sz w:val="14"/>
                <w:szCs w:val="14"/>
                <w:lang w:val="en-GB"/>
              </w:rPr>
              <w:t xml:space="preserve">: </w:t>
            </w:r>
            <w:r w:rsidRPr="00ED7AA7">
              <w:rPr>
                <w:spacing w:val="-4"/>
                <w:sz w:val="14"/>
                <w:szCs w:val="14"/>
                <w:lang w:val="en-GB"/>
              </w:rPr>
              <w:t>CZSO</w:t>
            </w:r>
          </w:p>
          <w:p w:rsidR="00BD345F" w:rsidRDefault="00BD345F" w:rsidP="00BD345F">
            <w:pPr>
              <w:pStyle w:val="Textpoznpodarou"/>
              <w:jc w:val="right"/>
              <w:rPr>
                <w:spacing w:val="-4"/>
                <w:sz w:val="14"/>
                <w:szCs w:val="14"/>
                <w:lang w:val="en-GB"/>
              </w:rPr>
            </w:pPr>
          </w:p>
          <w:p w:rsidR="002133D5" w:rsidRPr="00BD345F" w:rsidRDefault="002133D5" w:rsidP="00BD345F">
            <w:pPr>
              <w:pStyle w:val="Textpoznpodarou"/>
              <w:jc w:val="right"/>
              <w:rPr>
                <w:spacing w:val="-4"/>
                <w:sz w:val="14"/>
                <w:szCs w:val="14"/>
                <w:lang w:val="en-GB"/>
              </w:rPr>
            </w:pPr>
          </w:p>
        </w:tc>
      </w:tr>
    </w:tbl>
    <w:p w:rsidR="00DD0726" w:rsidRPr="00ED7AA7" w:rsidRDefault="00ED7AA7" w:rsidP="00DD0726">
      <w:pPr>
        <w:pStyle w:val="Nadpis1"/>
        <w:numPr>
          <w:ilvl w:val="0"/>
          <w:numId w:val="12"/>
        </w:numPr>
        <w:ind w:left="709"/>
        <w:jc w:val="both"/>
        <w:rPr>
          <w:lang w:val="en-GB"/>
        </w:rPr>
      </w:pPr>
      <w:bookmarkStart w:id="13" w:name="_Toc493683637"/>
      <w:bookmarkStart w:id="14" w:name="_Toc454185153"/>
      <w:bookmarkEnd w:id="12"/>
      <w:r>
        <w:rPr>
          <w:lang w:val="en-GB"/>
        </w:rPr>
        <w:t>Prices</w:t>
      </w:r>
      <w:bookmarkEnd w:id="13"/>
    </w:p>
    <w:tbl>
      <w:tblPr>
        <w:tblW w:w="4963" w:type="pct"/>
        <w:tblInd w:w="108" w:type="dxa"/>
        <w:tblLayout w:type="fixed"/>
        <w:tblLook w:val="00A0"/>
      </w:tblPr>
      <w:tblGrid>
        <w:gridCol w:w="1985"/>
        <w:gridCol w:w="282"/>
        <w:gridCol w:w="1135"/>
        <w:gridCol w:w="6379"/>
      </w:tblGrid>
      <w:tr w:rsidR="009B0676" w:rsidRPr="00A74192" w:rsidTr="006C3DC1">
        <w:tc>
          <w:tcPr>
            <w:tcW w:w="1015" w:type="pct"/>
          </w:tcPr>
          <w:p w:rsidR="009B0676" w:rsidRPr="00424F18" w:rsidRDefault="00424F18" w:rsidP="00DF18C6">
            <w:pPr>
              <w:spacing w:line="240" w:lineRule="auto"/>
              <w:ind w:right="-19"/>
              <w:rPr>
                <w:sz w:val="16"/>
                <w:szCs w:val="16"/>
                <w:lang w:val="en-GB"/>
              </w:rPr>
            </w:pPr>
            <w:r w:rsidRPr="00424F18">
              <w:rPr>
                <w:sz w:val="16"/>
                <w:szCs w:val="16"/>
                <w:lang w:val="en-GB"/>
              </w:rPr>
              <w:t xml:space="preserve">Total price level went up. </w:t>
            </w:r>
          </w:p>
        </w:tc>
        <w:tc>
          <w:tcPr>
            <w:tcW w:w="144" w:type="pct"/>
          </w:tcPr>
          <w:p w:rsidR="009B0676" w:rsidRPr="00424F18" w:rsidRDefault="009B0676" w:rsidP="006E4368">
            <w:pPr>
              <w:pStyle w:val="Textpoznpodarou"/>
              <w:jc w:val="both"/>
              <w:rPr>
                <w:lang w:val="en-GB"/>
              </w:rPr>
            </w:pPr>
          </w:p>
        </w:tc>
        <w:tc>
          <w:tcPr>
            <w:tcW w:w="3841" w:type="pct"/>
            <w:gridSpan w:val="2"/>
          </w:tcPr>
          <w:p w:rsidR="009B0676" w:rsidRPr="002133D5" w:rsidRDefault="00424F18" w:rsidP="006E4368">
            <w:pPr>
              <w:pStyle w:val="Textpoznpodarou"/>
              <w:ind w:right="-35"/>
              <w:jc w:val="both"/>
              <w:rPr>
                <w:spacing w:val="-4"/>
                <w:sz w:val="16"/>
                <w:szCs w:val="16"/>
                <w:lang w:val="en-GB"/>
              </w:rPr>
            </w:pPr>
            <w:r w:rsidRPr="002133D5">
              <w:rPr>
                <w:spacing w:val="-4"/>
                <w:lang w:val="en-GB"/>
              </w:rPr>
              <w:t>Growth of the total price level gauged by the GDP deflator attained 1.3% in year 2</w:t>
            </w:r>
            <w:r w:rsidR="009B0676" w:rsidRPr="002133D5">
              <w:rPr>
                <w:spacing w:val="-4"/>
                <w:lang w:val="en-GB"/>
              </w:rPr>
              <w:t>017</w:t>
            </w:r>
            <w:r w:rsidRPr="002133D5">
              <w:rPr>
                <w:spacing w:val="-4"/>
                <w:lang w:val="en-GB"/>
              </w:rPr>
              <w:t xml:space="preserve">. Growth of the total price level thus did not reflect the increase of prices of goods consumed by households </w:t>
            </w:r>
            <w:r w:rsidR="009B0676" w:rsidRPr="002133D5">
              <w:rPr>
                <w:spacing w:val="-4"/>
                <w:lang w:val="en-GB"/>
              </w:rPr>
              <w:t>(2</w:t>
            </w:r>
            <w:r w:rsidRPr="002133D5">
              <w:rPr>
                <w:spacing w:val="-4"/>
                <w:lang w:val="en-GB"/>
              </w:rPr>
              <w:t>.</w:t>
            </w:r>
            <w:r w:rsidR="009B0676" w:rsidRPr="002133D5">
              <w:rPr>
                <w:spacing w:val="-4"/>
                <w:lang w:val="en-GB"/>
              </w:rPr>
              <w:t>5%) a</w:t>
            </w:r>
            <w:r w:rsidRPr="002133D5">
              <w:rPr>
                <w:spacing w:val="-4"/>
                <w:lang w:val="en-GB"/>
              </w:rPr>
              <w:t xml:space="preserve">nd the government sector </w:t>
            </w:r>
            <w:r w:rsidR="009B0676" w:rsidRPr="002133D5">
              <w:rPr>
                <w:spacing w:val="-4"/>
                <w:lang w:val="en-GB"/>
              </w:rPr>
              <w:t>(</w:t>
            </w:r>
            <w:r w:rsidR="00EE450E" w:rsidRPr="002133D5">
              <w:rPr>
                <w:spacing w:val="-4"/>
                <w:lang w:val="en-GB"/>
              </w:rPr>
              <w:t>3.3%). Prices</w:t>
            </w:r>
            <w:r w:rsidRPr="002133D5">
              <w:rPr>
                <w:spacing w:val="-4"/>
                <w:lang w:val="en-GB"/>
              </w:rPr>
              <w:t xml:space="preserve"> of the investment products also increased slightly </w:t>
            </w:r>
            <w:r w:rsidR="009B0676" w:rsidRPr="002133D5">
              <w:rPr>
                <w:spacing w:val="-4"/>
                <w:lang w:val="en-GB"/>
              </w:rPr>
              <w:t>(1</w:t>
            </w:r>
            <w:r w:rsidRPr="002133D5">
              <w:rPr>
                <w:spacing w:val="-4"/>
                <w:lang w:val="en-GB"/>
              </w:rPr>
              <w:t>.</w:t>
            </w:r>
            <w:r w:rsidR="009B0676" w:rsidRPr="002133D5">
              <w:rPr>
                <w:spacing w:val="-4"/>
                <w:lang w:val="en-GB"/>
              </w:rPr>
              <w:t xml:space="preserve">1%). </w:t>
            </w:r>
            <w:r w:rsidRPr="002133D5">
              <w:rPr>
                <w:spacing w:val="-4"/>
                <w:lang w:val="en-GB"/>
              </w:rPr>
              <w:t xml:space="preserve">Total growth of the price level was however softened by the negative terms of trade </w:t>
            </w:r>
            <w:r w:rsidR="009B0676" w:rsidRPr="002133D5">
              <w:rPr>
                <w:spacing w:val="-4"/>
                <w:lang w:val="en-GB"/>
              </w:rPr>
              <w:t>(99</w:t>
            </w:r>
            <w:r w:rsidRPr="002133D5">
              <w:rPr>
                <w:spacing w:val="-4"/>
                <w:lang w:val="en-GB"/>
              </w:rPr>
              <w:t>.</w:t>
            </w:r>
            <w:r w:rsidR="009B0676" w:rsidRPr="002133D5">
              <w:rPr>
                <w:spacing w:val="-4"/>
                <w:lang w:val="en-GB"/>
              </w:rPr>
              <w:t>0%).</w:t>
            </w:r>
          </w:p>
          <w:p w:rsidR="009B0676" w:rsidRPr="002133D5" w:rsidRDefault="009B0676" w:rsidP="006E4368">
            <w:pPr>
              <w:pStyle w:val="Textpoznpodarou"/>
              <w:ind w:right="-35"/>
              <w:jc w:val="both"/>
              <w:rPr>
                <w:spacing w:val="-4"/>
                <w:sz w:val="16"/>
                <w:szCs w:val="16"/>
                <w:lang w:val="en-GB"/>
              </w:rPr>
            </w:pPr>
          </w:p>
        </w:tc>
      </w:tr>
      <w:tr w:rsidR="009B0676" w:rsidRPr="00F81A26" w:rsidTr="006C3DC1">
        <w:tc>
          <w:tcPr>
            <w:tcW w:w="1015" w:type="pct"/>
          </w:tcPr>
          <w:p w:rsidR="009B0676" w:rsidRPr="00424F18" w:rsidRDefault="00424F18" w:rsidP="006E4368">
            <w:pPr>
              <w:spacing w:line="240" w:lineRule="auto"/>
              <w:ind w:right="-19"/>
              <w:rPr>
                <w:spacing w:val="-4"/>
                <w:sz w:val="16"/>
                <w:szCs w:val="16"/>
                <w:lang w:val="en-GB"/>
              </w:rPr>
            </w:pPr>
            <w:r>
              <w:rPr>
                <w:spacing w:val="-4"/>
                <w:sz w:val="16"/>
                <w:szCs w:val="16"/>
                <w:lang w:val="en-GB"/>
              </w:rPr>
              <w:t xml:space="preserve">Growth of consumer prices was the highest since </w:t>
            </w:r>
            <w:r w:rsidR="00184DE8" w:rsidRPr="00424F18">
              <w:rPr>
                <w:spacing w:val="-4"/>
                <w:sz w:val="16"/>
                <w:szCs w:val="16"/>
                <w:lang w:val="en-GB"/>
              </w:rPr>
              <w:t>2012</w:t>
            </w:r>
            <w:r w:rsidR="009B0676" w:rsidRPr="00424F18">
              <w:rPr>
                <w:spacing w:val="-4"/>
                <w:sz w:val="16"/>
                <w:szCs w:val="16"/>
                <w:lang w:val="en-GB"/>
              </w:rPr>
              <w:t>.</w:t>
            </w:r>
          </w:p>
        </w:tc>
        <w:tc>
          <w:tcPr>
            <w:tcW w:w="144" w:type="pct"/>
          </w:tcPr>
          <w:p w:rsidR="009B0676" w:rsidRPr="00424F18" w:rsidRDefault="009B0676" w:rsidP="006E4368">
            <w:pPr>
              <w:pStyle w:val="Textpoznpodarou"/>
              <w:jc w:val="both"/>
              <w:rPr>
                <w:spacing w:val="-4"/>
                <w:lang w:val="en-GB"/>
              </w:rPr>
            </w:pPr>
          </w:p>
        </w:tc>
        <w:tc>
          <w:tcPr>
            <w:tcW w:w="3841" w:type="pct"/>
            <w:gridSpan w:val="2"/>
          </w:tcPr>
          <w:p w:rsidR="009B0676" w:rsidRPr="002133D5" w:rsidRDefault="005D1E78" w:rsidP="006E4368">
            <w:pPr>
              <w:pStyle w:val="Textpoznpodarou"/>
              <w:jc w:val="both"/>
              <w:rPr>
                <w:spacing w:val="-4"/>
                <w:sz w:val="16"/>
                <w:szCs w:val="16"/>
                <w:lang w:val="en-GB"/>
              </w:rPr>
            </w:pPr>
            <w:r w:rsidRPr="002133D5">
              <w:rPr>
                <w:spacing w:val="-4"/>
                <w:lang w:val="en-GB"/>
              </w:rPr>
              <w:t xml:space="preserve">Year 2017 significantly differed with respect to the development of the consumer prices from the preceding three years. The consumer price index rose by 2.5% compared to year 2016. That is the most since year </w:t>
            </w:r>
            <w:r w:rsidR="009B0676" w:rsidRPr="002133D5">
              <w:rPr>
                <w:spacing w:val="-4"/>
                <w:lang w:val="en-GB"/>
              </w:rPr>
              <w:t>2012 (3</w:t>
            </w:r>
            <w:r w:rsidR="00B17335" w:rsidRPr="002133D5">
              <w:rPr>
                <w:spacing w:val="-4"/>
                <w:lang w:val="en-GB"/>
              </w:rPr>
              <w:t>.</w:t>
            </w:r>
            <w:r w:rsidR="009B0676" w:rsidRPr="002133D5">
              <w:rPr>
                <w:spacing w:val="-4"/>
                <w:lang w:val="en-GB"/>
              </w:rPr>
              <w:t xml:space="preserve">3%). </w:t>
            </w:r>
            <w:r w:rsidR="006C1AA9" w:rsidRPr="002133D5">
              <w:rPr>
                <w:spacing w:val="-4"/>
                <w:lang w:val="en-GB"/>
              </w:rPr>
              <w:t>Viewed in the individual quarters, the year-on-year rate of growth of prices gradually accelerat</w:t>
            </w:r>
            <w:r w:rsidR="00EE450E" w:rsidRPr="002133D5">
              <w:rPr>
                <w:spacing w:val="-4"/>
                <w:lang w:val="en-GB"/>
              </w:rPr>
              <w:t xml:space="preserve">ed </w:t>
            </w:r>
            <w:r w:rsidR="006C1AA9" w:rsidRPr="002133D5">
              <w:rPr>
                <w:spacing w:val="-4"/>
                <w:lang w:val="en-GB"/>
              </w:rPr>
              <w:t>(with the exception of Q2</w:t>
            </w:r>
            <w:r w:rsidR="009B0676" w:rsidRPr="002133D5">
              <w:rPr>
                <w:spacing w:val="-4"/>
                <w:lang w:val="en-GB"/>
              </w:rPr>
              <w:t xml:space="preserve">). </w:t>
            </w:r>
            <w:r w:rsidR="00021B1D" w:rsidRPr="002133D5">
              <w:rPr>
                <w:spacing w:val="-4"/>
                <w:lang w:val="en-GB"/>
              </w:rPr>
              <w:t xml:space="preserve">Already in Q1, the sharp acceleration was impacted by the marked increase of the prices of transport, </w:t>
            </w:r>
            <w:r w:rsidR="007C3289" w:rsidRPr="002133D5">
              <w:rPr>
                <w:spacing w:val="-4"/>
                <w:lang w:val="en-GB"/>
              </w:rPr>
              <w:t xml:space="preserve">in the rest of the year the main determinants of the dynamics of the consumer price index </w:t>
            </w:r>
            <w:r w:rsidR="0004442E" w:rsidRPr="002133D5">
              <w:rPr>
                <w:spacing w:val="-4"/>
                <w:lang w:val="en-GB"/>
              </w:rPr>
              <w:t xml:space="preserve">was </w:t>
            </w:r>
            <w:r w:rsidR="007C3289" w:rsidRPr="002133D5">
              <w:rPr>
                <w:spacing w:val="-4"/>
                <w:lang w:val="en-GB"/>
              </w:rPr>
              <w:t xml:space="preserve">the food. Food and non-alcoholic beverages added to the yearly increase of prices </w:t>
            </w:r>
            <w:r w:rsidR="009B0676" w:rsidRPr="002133D5">
              <w:rPr>
                <w:spacing w:val="-4"/>
                <w:lang w:val="en-GB"/>
              </w:rPr>
              <w:t>0</w:t>
            </w:r>
            <w:r w:rsidR="007C3289" w:rsidRPr="002133D5">
              <w:rPr>
                <w:spacing w:val="-4"/>
                <w:lang w:val="en-GB"/>
              </w:rPr>
              <w:t>.</w:t>
            </w:r>
            <w:r w:rsidR="009B0676" w:rsidRPr="002133D5">
              <w:rPr>
                <w:spacing w:val="-4"/>
                <w:lang w:val="en-GB"/>
              </w:rPr>
              <w:t>9</w:t>
            </w:r>
            <w:r w:rsidR="00184DE8" w:rsidRPr="002133D5">
              <w:rPr>
                <w:spacing w:val="-4"/>
                <w:lang w:val="en-GB"/>
              </w:rPr>
              <w:t> </w:t>
            </w:r>
            <w:r w:rsidR="0030607B" w:rsidRPr="002133D5">
              <w:rPr>
                <w:spacing w:val="-4"/>
                <w:lang w:val="en-GB"/>
              </w:rPr>
              <w:t>p.p.</w:t>
            </w:r>
            <w:r w:rsidR="009B0676" w:rsidRPr="002133D5">
              <w:rPr>
                <w:spacing w:val="-4"/>
                <w:lang w:val="en-GB"/>
              </w:rPr>
              <w:t xml:space="preserve"> </w:t>
            </w:r>
            <w:r w:rsidR="007C3289" w:rsidRPr="002133D5">
              <w:rPr>
                <w:spacing w:val="-4"/>
                <w:lang w:val="en-GB"/>
              </w:rPr>
              <w:t xml:space="preserve">Items housing, water, energies and fuels and transport in the order of the size of their addition ranked behind them </w:t>
            </w:r>
            <w:r w:rsidR="009B0676" w:rsidRPr="002133D5">
              <w:rPr>
                <w:spacing w:val="-4"/>
                <w:lang w:val="en-GB"/>
              </w:rPr>
              <w:t>(0</w:t>
            </w:r>
            <w:r w:rsidR="007C3289" w:rsidRPr="002133D5">
              <w:rPr>
                <w:spacing w:val="-4"/>
                <w:lang w:val="en-GB"/>
              </w:rPr>
              <w:t>.</w:t>
            </w:r>
            <w:r w:rsidR="009B0676" w:rsidRPr="002133D5">
              <w:rPr>
                <w:spacing w:val="-4"/>
                <w:lang w:val="en-GB"/>
              </w:rPr>
              <w:t>4</w:t>
            </w:r>
            <w:r w:rsidR="00184DE8" w:rsidRPr="002133D5">
              <w:rPr>
                <w:spacing w:val="-4"/>
                <w:lang w:val="en-GB"/>
              </w:rPr>
              <w:t> </w:t>
            </w:r>
            <w:r w:rsidR="0030607B" w:rsidRPr="002133D5">
              <w:rPr>
                <w:spacing w:val="-4"/>
                <w:lang w:val="en-GB"/>
              </w:rPr>
              <w:t>p.p.</w:t>
            </w:r>
            <w:r w:rsidR="009B0676" w:rsidRPr="002133D5">
              <w:rPr>
                <w:spacing w:val="-4"/>
                <w:lang w:val="en-GB"/>
              </w:rPr>
              <w:t xml:space="preserve">). </w:t>
            </w:r>
            <w:r w:rsidR="00AA0CDE" w:rsidRPr="002133D5">
              <w:rPr>
                <w:spacing w:val="-4"/>
                <w:lang w:val="en-GB"/>
              </w:rPr>
              <w:t>Influence of costs of housing however strengthened during the year</w:t>
            </w:r>
            <w:r w:rsidR="009B0676" w:rsidRPr="002133D5">
              <w:rPr>
                <w:spacing w:val="-4"/>
                <w:lang w:val="en-GB"/>
              </w:rPr>
              <w:t xml:space="preserve">, </w:t>
            </w:r>
            <w:r w:rsidR="00AA0CDE" w:rsidRPr="002133D5">
              <w:rPr>
                <w:spacing w:val="-4"/>
                <w:lang w:val="en-GB"/>
              </w:rPr>
              <w:t xml:space="preserve">mainly due to the accelerating growth of the imputed rent. </w:t>
            </w:r>
          </w:p>
          <w:p w:rsidR="009B0676" w:rsidRPr="002133D5" w:rsidRDefault="009B0676" w:rsidP="006E4368">
            <w:pPr>
              <w:pStyle w:val="Textpoznpodarou"/>
              <w:ind w:right="-35"/>
              <w:jc w:val="both"/>
              <w:rPr>
                <w:spacing w:val="-4"/>
                <w:sz w:val="16"/>
                <w:szCs w:val="16"/>
                <w:lang w:val="en-GB"/>
              </w:rPr>
            </w:pPr>
          </w:p>
        </w:tc>
      </w:tr>
      <w:tr w:rsidR="009B0676" w:rsidRPr="00F81A26" w:rsidTr="006C3DC1">
        <w:tc>
          <w:tcPr>
            <w:tcW w:w="1015" w:type="pct"/>
          </w:tcPr>
          <w:p w:rsidR="009B0676" w:rsidRPr="00AA0CDE" w:rsidRDefault="00136B6B" w:rsidP="006E4368">
            <w:pPr>
              <w:spacing w:line="240" w:lineRule="auto"/>
              <w:ind w:right="-19"/>
              <w:rPr>
                <w:spacing w:val="-4"/>
                <w:sz w:val="16"/>
                <w:szCs w:val="16"/>
                <w:lang w:val="en-GB"/>
              </w:rPr>
            </w:pPr>
            <w:r>
              <w:rPr>
                <w:spacing w:val="-4"/>
                <w:sz w:val="16"/>
                <w:szCs w:val="16"/>
                <w:lang w:val="en-GB"/>
              </w:rPr>
              <w:t xml:space="preserve">The effect of the low comparative basis of year 2016 was evaporating </w:t>
            </w:r>
            <w:r w:rsidR="0097242E">
              <w:rPr>
                <w:spacing w:val="-4"/>
                <w:sz w:val="16"/>
                <w:szCs w:val="16"/>
                <w:lang w:val="en-GB"/>
              </w:rPr>
              <w:t>at the end of the year and the year-on-year pace of growth of prices weakened.</w:t>
            </w:r>
          </w:p>
        </w:tc>
        <w:tc>
          <w:tcPr>
            <w:tcW w:w="144" w:type="pct"/>
          </w:tcPr>
          <w:p w:rsidR="009B0676" w:rsidRPr="00AA0CDE" w:rsidRDefault="009B0676" w:rsidP="006E4368">
            <w:pPr>
              <w:pStyle w:val="Textpoznpodarou"/>
              <w:jc w:val="both"/>
              <w:rPr>
                <w:spacing w:val="-4"/>
                <w:lang w:val="en-GB"/>
              </w:rPr>
            </w:pPr>
          </w:p>
        </w:tc>
        <w:tc>
          <w:tcPr>
            <w:tcW w:w="3841" w:type="pct"/>
            <w:gridSpan w:val="2"/>
          </w:tcPr>
          <w:p w:rsidR="009B0676" w:rsidRPr="002133D5" w:rsidRDefault="0097242E" w:rsidP="006E4368">
            <w:pPr>
              <w:pStyle w:val="Textpoznpodarou"/>
              <w:jc w:val="both"/>
              <w:rPr>
                <w:spacing w:val="-2"/>
                <w:sz w:val="16"/>
                <w:szCs w:val="16"/>
                <w:lang w:val="en-GB"/>
              </w:rPr>
            </w:pPr>
            <w:r w:rsidRPr="002133D5">
              <w:rPr>
                <w:spacing w:val="-2"/>
                <w:lang w:val="en-GB"/>
              </w:rPr>
              <w:t>Year-on-year increase of prices was 2.6% in Q</w:t>
            </w:r>
            <w:r w:rsidR="009B0676" w:rsidRPr="002133D5">
              <w:rPr>
                <w:spacing w:val="-2"/>
                <w:lang w:val="en-GB"/>
              </w:rPr>
              <w:t xml:space="preserve">4. </w:t>
            </w:r>
            <w:r w:rsidRPr="002133D5">
              <w:rPr>
                <w:spacing w:val="-2"/>
                <w:lang w:val="en-GB"/>
              </w:rPr>
              <w:t>A</w:t>
            </w:r>
            <w:r w:rsidR="00426B7F" w:rsidRPr="002133D5">
              <w:rPr>
                <w:spacing w:val="-2"/>
                <w:lang w:val="en-GB"/>
              </w:rPr>
              <w:t>t</w:t>
            </w:r>
            <w:r w:rsidRPr="002133D5">
              <w:rPr>
                <w:spacing w:val="-2"/>
                <w:lang w:val="en-GB"/>
              </w:rPr>
              <w:t xml:space="preserve"> the same time the year-on-year rate of growth was weakening during the last three months</w:t>
            </w:r>
            <w:r w:rsidR="009B0676" w:rsidRPr="002133D5">
              <w:rPr>
                <w:spacing w:val="-2"/>
                <w:lang w:val="en-GB"/>
              </w:rPr>
              <w:t>.</w:t>
            </w:r>
            <w:r w:rsidR="00426B7F" w:rsidRPr="002133D5">
              <w:rPr>
                <w:spacing w:val="-2"/>
                <w:lang w:val="en-GB"/>
              </w:rPr>
              <w:t xml:space="preserve"> Because the effect of the low basis of year 2016 was evaporating. In October, the year-on-year addition thus neared the 3% boundary, in December it fell below 2.5%. The impact of food and non-alcoholic beverages (contribution 1.1 </w:t>
            </w:r>
            <w:r w:rsidR="0030607B" w:rsidRPr="002133D5">
              <w:rPr>
                <w:spacing w:val="-2"/>
                <w:lang w:val="en-GB"/>
              </w:rPr>
              <w:t>p.p.</w:t>
            </w:r>
            <w:r w:rsidR="00426B7F" w:rsidRPr="002133D5">
              <w:rPr>
                <w:spacing w:val="-2"/>
                <w:lang w:val="en-GB"/>
              </w:rPr>
              <w:t>) even more than in the preceding quarters strengthened in the last quarter of 2017</w:t>
            </w:r>
            <w:r w:rsidR="009B0676" w:rsidRPr="002133D5">
              <w:rPr>
                <w:spacing w:val="-2"/>
                <w:lang w:val="en-GB"/>
              </w:rPr>
              <w:t xml:space="preserve">. </w:t>
            </w:r>
            <w:r w:rsidR="00930CD7" w:rsidRPr="002133D5">
              <w:rPr>
                <w:spacing w:val="-2"/>
                <w:lang w:val="en-GB"/>
              </w:rPr>
              <w:t>Growing of prices of housing and energies also continued,</w:t>
            </w:r>
            <w:r w:rsidR="007904B2" w:rsidRPr="002133D5">
              <w:rPr>
                <w:spacing w:val="-2"/>
                <w:lang w:val="en-GB"/>
              </w:rPr>
              <w:t xml:space="preserve"> at the end</w:t>
            </w:r>
            <w:r w:rsidR="00930CD7" w:rsidRPr="002133D5">
              <w:rPr>
                <w:spacing w:val="-2"/>
                <w:lang w:val="en-GB"/>
              </w:rPr>
              <w:t xml:space="preserve"> they contributed to the growth of the total index</w:t>
            </w:r>
            <w:r w:rsidR="007904B2" w:rsidRPr="002133D5">
              <w:rPr>
                <w:spacing w:val="-2"/>
                <w:lang w:val="en-GB"/>
              </w:rPr>
              <w:t xml:space="preserve"> by</w:t>
            </w:r>
            <w:r w:rsidR="00930CD7" w:rsidRPr="002133D5">
              <w:rPr>
                <w:spacing w:val="-2"/>
                <w:lang w:val="en-GB"/>
              </w:rPr>
              <w:t xml:space="preserve"> 0.6 </w:t>
            </w:r>
            <w:r w:rsidR="0030607B" w:rsidRPr="002133D5">
              <w:rPr>
                <w:spacing w:val="-2"/>
                <w:lang w:val="en-GB"/>
              </w:rPr>
              <w:t>p.p.</w:t>
            </w:r>
            <w:r w:rsidR="00930CD7" w:rsidRPr="002133D5">
              <w:rPr>
                <w:spacing w:val="-2"/>
                <w:lang w:val="en-GB"/>
              </w:rPr>
              <w:t xml:space="preserve"> Transportation, as well as food service and accommodation added to the growth </w:t>
            </w:r>
            <w:proofErr w:type="gramStart"/>
            <w:r w:rsidR="00930CD7" w:rsidRPr="002133D5">
              <w:rPr>
                <w:spacing w:val="-2"/>
                <w:lang w:val="en-GB"/>
              </w:rPr>
              <w:t xml:space="preserve">0.3 </w:t>
            </w:r>
            <w:r w:rsidR="0030607B" w:rsidRPr="002133D5">
              <w:rPr>
                <w:spacing w:val="-2"/>
                <w:lang w:val="en-GB"/>
              </w:rPr>
              <w:t>p.p</w:t>
            </w:r>
            <w:proofErr w:type="gramEnd"/>
            <w:r w:rsidR="0030607B" w:rsidRPr="002133D5">
              <w:rPr>
                <w:spacing w:val="-2"/>
                <w:lang w:val="en-GB"/>
              </w:rPr>
              <w:t>.</w:t>
            </w:r>
            <w:r w:rsidR="00930CD7" w:rsidRPr="002133D5">
              <w:rPr>
                <w:spacing w:val="-2"/>
                <w:lang w:val="en-GB"/>
              </w:rPr>
              <w:t xml:space="preserve"> </w:t>
            </w:r>
          </w:p>
          <w:p w:rsidR="009B0676" w:rsidRDefault="009B0676"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Default="002133D5" w:rsidP="006E4368">
            <w:pPr>
              <w:pStyle w:val="Textpoznpodarou"/>
              <w:jc w:val="both"/>
              <w:rPr>
                <w:spacing w:val="-4"/>
                <w:sz w:val="16"/>
                <w:szCs w:val="16"/>
                <w:lang w:val="en-GB"/>
              </w:rPr>
            </w:pPr>
          </w:p>
          <w:p w:rsidR="002133D5" w:rsidRPr="002133D5" w:rsidRDefault="002133D5" w:rsidP="006E4368">
            <w:pPr>
              <w:pStyle w:val="Textpoznpodarou"/>
              <w:jc w:val="both"/>
              <w:rPr>
                <w:spacing w:val="-4"/>
                <w:sz w:val="16"/>
                <w:szCs w:val="16"/>
                <w:lang w:val="en-GB"/>
              </w:rPr>
            </w:pPr>
          </w:p>
        </w:tc>
      </w:tr>
      <w:tr w:rsidR="00DD0726" w:rsidRPr="00F81A26" w:rsidTr="006C3DC1">
        <w:tc>
          <w:tcPr>
            <w:tcW w:w="1015" w:type="pct"/>
          </w:tcPr>
          <w:p w:rsidR="00DD0726" w:rsidRPr="00AA0CDE" w:rsidRDefault="00DD0726" w:rsidP="006C3DC1">
            <w:pPr>
              <w:spacing w:line="240" w:lineRule="auto"/>
              <w:ind w:right="-19"/>
              <w:jc w:val="center"/>
              <w:rPr>
                <w:spacing w:val="-4"/>
                <w:szCs w:val="20"/>
                <w:lang w:val="en-GB"/>
              </w:rPr>
            </w:pPr>
          </w:p>
        </w:tc>
        <w:tc>
          <w:tcPr>
            <w:tcW w:w="144" w:type="pct"/>
          </w:tcPr>
          <w:p w:rsidR="00DD0726" w:rsidRPr="00AA0CDE" w:rsidRDefault="00DD0726" w:rsidP="006C3DC1">
            <w:pPr>
              <w:pStyle w:val="Textpoznpodarou"/>
              <w:jc w:val="both"/>
              <w:rPr>
                <w:spacing w:val="-4"/>
                <w:lang w:val="en-GB"/>
              </w:rPr>
            </w:pPr>
          </w:p>
        </w:tc>
        <w:tc>
          <w:tcPr>
            <w:tcW w:w="580" w:type="pct"/>
          </w:tcPr>
          <w:p w:rsidR="00DD0726" w:rsidRPr="00AA0CDE" w:rsidRDefault="005D1E78" w:rsidP="006C3DC1">
            <w:pPr>
              <w:pStyle w:val="Textpoznpodarou"/>
              <w:jc w:val="both"/>
              <w:rPr>
                <w:spacing w:val="-4"/>
                <w:lang w:val="en-GB"/>
              </w:rPr>
            </w:pPr>
            <w:r w:rsidRPr="00AA0CDE">
              <w:rPr>
                <w:spacing w:val="-4"/>
                <w:lang w:val="en-GB"/>
              </w:rPr>
              <w:t>Chart 11</w:t>
            </w:r>
          </w:p>
        </w:tc>
        <w:tc>
          <w:tcPr>
            <w:tcW w:w="3261" w:type="pct"/>
          </w:tcPr>
          <w:p w:rsidR="00AA7C35" w:rsidRDefault="00930CD7" w:rsidP="006C3DC1">
            <w:pPr>
              <w:pStyle w:val="Textpoznpodarou"/>
              <w:rPr>
                <w:b/>
                <w:spacing w:val="-4"/>
                <w:lang w:val="en-GB"/>
              </w:rPr>
            </w:pPr>
            <w:r>
              <w:rPr>
                <w:b/>
                <w:spacing w:val="-4"/>
                <w:lang w:val="en-GB"/>
              </w:rPr>
              <w:t xml:space="preserve">Prices in the selected divisions of the consumer price index </w:t>
            </w:r>
          </w:p>
          <w:p w:rsidR="00DD0726" w:rsidRPr="00AA0CDE" w:rsidRDefault="00930CD7" w:rsidP="006C3DC1">
            <w:pPr>
              <w:pStyle w:val="Textpoznpodarou"/>
              <w:rPr>
                <w:spacing w:val="-4"/>
                <w:lang w:val="en-GB"/>
              </w:rPr>
            </w:pPr>
            <w:r w:rsidRPr="00AA7C35">
              <w:rPr>
                <w:spacing w:val="-4"/>
                <w:lang w:val="en-GB"/>
              </w:rPr>
              <w:t>(</w:t>
            </w:r>
            <w:r w:rsidRPr="00930CD7">
              <w:rPr>
                <w:spacing w:val="-4"/>
                <w:lang w:val="en-GB"/>
              </w:rPr>
              <w:t>year-on-year change, in</w:t>
            </w:r>
            <w:r w:rsidR="00DD0726" w:rsidRPr="00930CD7">
              <w:rPr>
                <w:spacing w:val="-4"/>
                <w:lang w:val="en-GB"/>
              </w:rPr>
              <w:t xml:space="preserve"> %)</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BD345F" w:rsidP="006C3DC1">
            <w:pPr>
              <w:pStyle w:val="Textpoznpodarou"/>
              <w:ind w:left="-54"/>
              <w:jc w:val="both"/>
              <w:rPr>
                <w:spacing w:val="-4"/>
              </w:rPr>
            </w:pPr>
            <w:r w:rsidRPr="00BD345F">
              <w:rPr>
                <w:noProof/>
                <w:spacing w:val="-4"/>
              </w:rPr>
              <w:drawing>
                <wp:inline distT="0" distB="0" distL="0" distR="0">
                  <wp:extent cx="4735902" cy="3420000"/>
                  <wp:effectExtent l="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D0726" w:rsidRDefault="00930CD7" w:rsidP="006C3DC1">
            <w:pPr>
              <w:pStyle w:val="Textpoznpodarou"/>
              <w:ind w:left="-54"/>
              <w:jc w:val="right"/>
              <w:rPr>
                <w:spacing w:val="-4"/>
                <w:sz w:val="14"/>
                <w:szCs w:val="14"/>
              </w:rPr>
            </w:pPr>
            <w:r>
              <w:rPr>
                <w:spacing w:val="-4"/>
                <w:sz w:val="14"/>
                <w:szCs w:val="14"/>
              </w:rPr>
              <w:t>Source</w:t>
            </w:r>
            <w:r w:rsidR="00DD0726" w:rsidRPr="00F81A26">
              <w:rPr>
                <w:spacing w:val="-4"/>
                <w:sz w:val="14"/>
                <w:szCs w:val="14"/>
              </w:rPr>
              <w:t xml:space="preserve">: </w:t>
            </w:r>
            <w:r>
              <w:rPr>
                <w:spacing w:val="-4"/>
                <w:sz w:val="14"/>
                <w:szCs w:val="14"/>
              </w:rPr>
              <w:t>CZSO</w:t>
            </w:r>
          </w:p>
          <w:p w:rsidR="00DD0726" w:rsidRPr="00F81A26" w:rsidRDefault="00DD0726" w:rsidP="006C3DC1">
            <w:pPr>
              <w:pStyle w:val="Textpoznpodarou"/>
              <w:ind w:left="-54"/>
              <w:jc w:val="right"/>
              <w:rPr>
                <w:spacing w:val="-4"/>
                <w:sz w:val="14"/>
                <w:szCs w:val="14"/>
              </w:rPr>
            </w:pPr>
          </w:p>
        </w:tc>
      </w:tr>
      <w:tr w:rsidR="009B0676" w:rsidRPr="00F81A26" w:rsidTr="006C3DC1">
        <w:tc>
          <w:tcPr>
            <w:tcW w:w="1015" w:type="pct"/>
          </w:tcPr>
          <w:p w:rsidR="009B0676" w:rsidRPr="00C027C8" w:rsidRDefault="00C027C8" w:rsidP="006E4368">
            <w:pPr>
              <w:spacing w:line="240" w:lineRule="auto"/>
              <w:ind w:right="-19"/>
              <w:rPr>
                <w:spacing w:val="-4"/>
                <w:sz w:val="16"/>
                <w:szCs w:val="16"/>
                <w:lang w:val="en-GB"/>
              </w:rPr>
            </w:pPr>
            <w:r w:rsidRPr="00C027C8">
              <w:rPr>
                <w:spacing w:val="-4"/>
                <w:sz w:val="16"/>
                <w:szCs w:val="16"/>
                <w:lang w:val="en-GB"/>
              </w:rPr>
              <w:t xml:space="preserve">Food and non-alcoholic beverages contributed the most to the growth of consumer prices. </w:t>
            </w:r>
            <w:r w:rsidR="009B0676" w:rsidRPr="00C027C8">
              <w:rPr>
                <w:spacing w:val="-4"/>
                <w:sz w:val="16"/>
                <w:szCs w:val="16"/>
                <w:lang w:val="en-GB"/>
              </w:rPr>
              <w:t xml:space="preserve"> </w:t>
            </w:r>
          </w:p>
        </w:tc>
        <w:tc>
          <w:tcPr>
            <w:tcW w:w="144" w:type="pct"/>
          </w:tcPr>
          <w:p w:rsidR="009B0676" w:rsidRPr="00C027C8" w:rsidRDefault="009B0676" w:rsidP="006E4368">
            <w:pPr>
              <w:pStyle w:val="Textpoznpodarou"/>
              <w:jc w:val="both"/>
              <w:rPr>
                <w:spacing w:val="-4"/>
                <w:lang w:val="en-GB"/>
              </w:rPr>
            </w:pPr>
          </w:p>
        </w:tc>
        <w:tc>
          <w:tcPr>
            <w:tcW w:w="3841" w:type="pct"/>
            <w:gridSpan w:val="2"/>
          </w:tcPr>
          <w:p w:rsidR="009B0676" w:rsidRPr="002133D5" w:rsidRDefault="00C027C8" w:rsidP="006E4368">
            <w:pPr>
              <w:pStyle w:val="Textpoznpodarou"/>
              <w:jc w:val="both"/>
              <w:rPr>
                <w:spacing w:val="-3"/>
                <w:sz w:val="16"/>
                <w:szCs w:val="16"/>
                <w:lang w:val="en-GB"/>
              </w:rPr>
            </w:pPr>
            <w:r w:rsidRPr="002133D5">
              <w:rPr>
                <w:spacing w:val="-3"/>
                <w:lang w:val="en-GB"/>
              </w:rPr>
              <w:t xml:space="preserve">Prices of food and non-alcoholic beverages were raised by 5.2% in 2017. It is the most since year 2012. Prices grew relatively </w:t>
            </w:r>
            <w:r w:rsidR="0014514D" w:rsidRPr="002133D5">
              <w:rPr>
                <w:spacing w:val="-3"/>
                <w:lang w:val="en-GB"/>
              </w:rPr>
              <w:t xml:space="preserve">significantly for most of the divisions of the classification, however the </w:t>
            </w:r>
            <w:r w:rsidR="00BF1907" w:rsidRPr="002133D5">
              <w:rPr>
                <w:spacing w:val="-3"/>
                <w:lang w:val="en-GB"/>
              </w:rPr>
              <w:t>raising of prices of baking products and cereals by 5.1%, milk, cheese and eggs by 10.8% and meat by 4.4% played a key role</w:t>
            </w:r>
            <w:r w:rsidR="009B0676" w:rsidRPr="002133D5">
              <w:rPr>
                <w:spacing w:val="-3"/>
                <w:lang w:val="en-GB"/>
              </w:rPr>
              <w:t>. T</w:t>
            </w:r>
            <w:r w:rsidR="00BF1907" w:rsidRPr="002133D5">
              <w:rPr>
                <w:spacing w:val="-3"/>
                <w:lang w:val="en-GB"/>
              </w:rPr>
              <w:t xml:space="preserve">hese three items together comprise more than 10% of the consumer basket weight. Increased prices of oils and fats (mostly butter) by 14.2% presented a somewhat lesser burden on consumers. </w:t>
            </w:r>
            <w:r w:rsidR="00CB49F6" w:rsidRPr="002133D5">
              <w:rPr>
                <w:spacing w:val="-3"/>
                <w:lang w:val="en-GB"/>
              </w:rPr>
              <w:t>Development</w:t>
            </w:r>
            <w:r w:rsidR="00BA622C" w:rsidRPr="002133D5">
              <w:rPr>
                <w:spacing w:val="-3"/>
                <w:lang w:val="en-GB"/>
              </w:rPr>
              <w:t xml:space="preserve"> in Q4 did not differ much from the rest of the year. </w:t>
            </w:r>
            <w:r w:rsidR="00471B64" w:rsidRPr="002133D5">
              <w:rPr>
                <w:spacing w:val="-3"/>
                <w:lang w:val="en-GB"/>
              </w:rPr>
              <w:t xml:space="preserve">The prices of food and non-alcoholic beverages rose by 6.3% year-on-year towards the end of the </w:t>
            </w:r>
            <w:r w:rsidR="00B079BC" w:rsidRPr="002133D5">
              <w:rPr>
                <w:spacing w:val="-3"/>
                <w:lang w:val="en-GB"/>
              </w:rPr>
              <w:t>year and</w:t>
            </w:r>
            <w:r w:rsidR="00471B64" w:rsidRPr="002133D5">
              <w:rPr>
                <w:spacing w:val="-3"/>
                <w:lang w:val="en-GB"/>
              </w:rPr>
              <w:t xml:space="preserve"> especially the </w:t>
            </w:r>
            <w:r w:rsidR="00B079BC" w:rsidRPr="002133D5">
              <w:rPr>
                <w:spacing w:val="-3"/>
                <w:lang w:val="en-GB"/>
              </w:rPr>
              <w:t>above-mentioned</w:t>
            </w:r>
            <w:r w:rsidR="00471B64" w:rsidRPr="002133D5">
              <w:rPr>
                <w:spacing w:val="-3"/>
                <w:lang w:val="en-GB"/>
              </w:rPr>
              <w:t xml:space="preserve"> groups of goods participated. </w:t>
            </w:r>
          </w:p>
          <w:p w:rsidR="009B0676" w:rsidRPr="002133D5" w:rsidRDefault="009B0676" w:rsidP="006E4368">
            <w:pPr>
              <w:pStyle w:val="Textpoznpodarou"/>
              <w:jc w:val="both"/>
              <w:rPr>
                <w:spacing w:val="-3"/>
                <w:sz w:val="16"/>
                <w:szCs w:val="16"/>
                <w:lang w:val="en-GB"/>
              </w:rPr>
            </w:pPr>
          </w:p>
        </w:tc>
      </w:tr>
      <w:tr w:rsidR="009B0676" w:rsidRPr="00F81A26" w:rsidTr="006C3DC1">
        <w:tc>
          <w:tcPr>
            <w:tcW w:w="1015" w:type="pct"/>
          </w:tcPr>
          <w:p w:rsidR="009B0676" w:rsidRPr="00B079BC" w:rsidRDefault="00B079BC" w:rsidP="006E4368">
            <w:pPr>
              <w:spacing w:line="240" w:lineRule="auto"/>
              <w:ind w:right="-19"/>
              <w:rPr>
                <w:spacing w:val="-4"/>
                <w:sz w:val="16"/>
                <w:szCs w:val="16"/>
                <w:lang w:val="en-GB"/>
              </w:rPr>
            </w:pPr>
            <w:r w:rsidRPr="00B079BC">
              <w:rPr>
                <w:spacing w:val="-4"/>
                <w:sz w:val="16"/>
                <w:szCs w:val="16"/>
                <w:lang w:val="en-GB"/>
              </w:rPr>
              <w:t xml:space="preserve">Prices of housing accelerated during the year. </w:t>
            </w:r>
          </w:p>
          <w:p w:rsidR="009B0676" w:rsidRPr="00B079BC" w:rsidRDefault="009B0676" w:rsidP="006E4368">
            <w:pPr>
              <w:spacing w:line="240" w:lineRule="auto"/>
              <w:ind w:right="-19"/>
              <w:rPr>
                <w:spacing w:val="-4"/>
                <w:sz w:val="16"/>
                <w:szCs w:val="16"/>
                <w:lang w:val="en-GB"/>
              </w:rPr>
            </w:pPr>
          </w:p>
          <w:p w:rsidR="009B0676" w:rsidRPr="00B079BC" w:rsidRDefault="009B0676" w:rsidP="006E4368">
            <w:pPr>
              <w:spacing w:line="240" w:lineRule="auto"/>
              <w:ind w:right="-19"/>
              <w:rPr>
                <w:spacing w:val="-4"/>
                <w:sz w:val="16"/>
                <w:szCs w:val="16"/>
                <w:lang w:val="en-GB"/>
              </w:rPr>
            </w:pPr>
          </w:p>
          <w:p w:rsidR="009B0676" w:rsidRPr="00B079BC" w:rsidRDefault="009B0676" w:rsidP="006E4368">
            <w:pPr>
              <w:spacing w:line="240" w:lineRule="auto"/>
              <w:ind w:right="-19"/>
              <w:rPr>
                <w:spacing w:val="-4"/>
                <w:sz w:val="16"/>
                <w:szCs w:val="16"/>
                <w:lang w:val="en-GB"/>
              </w:rPr>
            </w:pPr>
          </w:p>
        </w:tc>
        <w:tc>
          <w:tcPr>
            <w:tcW w:w="144" w:type="pct"/>
          </w:tcPr>
          <w:p w:rsidR="009B0676" w:rsidRPr="00B079BC" w:rsidRDefault="009B0676" w:rsidP="006E4368">
            <w:pPr>
              <w:pStyle w:val="Textpoznpodarou"/>
              <w:jc w:val="both"/>
              <w:rPr>
                <w:spacing w:val="-4"/>
                <w:lang w:val="en-GB"/>
              </w:rPr>
            </w:pPr>
          </w:p>
        </w:tc>
        <w:tc>
          <w:tcPr>
            <w:tcW w:w="3841" w:type="pct"/>
            <w:gridSpan w:val="2"/>
          </w:tcPr>
          <w:p w:rsidR="009B0676" w:rsidRPr="002133D5" w:rsidRDefault="00B079BC" w:rsidP="006E4368">
            <w:pPr>
              <w:pStyle w:val="Textpoznpodarou"/>
              <w:ind w:right="-35"/>
              <w:jc w:val="both"/>
              <w:rPr>
                <w:spacing w:val="-3"/>
                <w:sz w:val="16"/>
                <w:szCs w:val="16"/>
                <w:lang w:val="en-GB"/>
              </w:rPr>
            </w:pPr>
            <w:r w:rsidRPr="002133D5">
              <w:rPr>
                <w:spacing w:val="-3"/>
                <w:lang w:val="en-GB"/>
              </w:rPr>
              <w:t>Prices of housing, water, energies and fuels in total grew by 1.7% for year 2017, but the growth accelerated during the year.</w:t>
            </w:r>
            <w:r w:rsidR="009B0676" w:rsidRPr="002133D5">
              <w:rPr>
                <w:spacing w:val="-3"/>
                <w:lang w:val="en-GB"/>
              </w:rPr>
              <w:t xml:space="preserve"> </w:t>
            </w:r>
            <w:r w:rsidR="008D5BAD" w:rsidRPr="002133D5">
              <w:rPr>
                <w:spacing w:val="-3"/>
                <w:lang w:val="en-GB"/>
              </w:rPr>
              <w:t xml:space="preserve">Especially imputed rents increased </w:t>
            </w:r>
            <w:r w:rsidR="009B0676" w:rsidRPr="002133D5">
              <w:rPr>
                <w:spacing w:val="-3"/>
                <w:lang w:val="en-GB"/>
              </w:rPr>
              <w:t>(4</w:t>
            </w:r>
            <w:r w:rsidR="008D5BAD" w:rsidRPr="002133D5">
              <w:rPr>
                <w:spacing w:val="-3"/>
                <w:lang w:val="en-GB"/>
              </w:rPr>
              <w:t>.</w:t>
            </w:r>
            <w:r w:rsidR="009B0676" w:rsidRPr="002133D5">
              <w:rPr>
                <w:spacing w:val="-3"/>
                <w:lang w:val="en-GB"/>
              </w:rPr>
              <w:t xml:space="preserve">2%), </w:t>
            </w:r>
            <w:r w:rsidR="008D5BAD" w:rsidRPr="002133D5">
              <w:rPr>
                <w:spacing w:val="-3"/>
                <w:lang w:val="en-GB"/>
              </w:rPr>
              <w:t xml:space="preserve">however the conditions on the real estate market affected the prices of rents from flats as well </w:t>
            </w:r>
            <w:r w:rsidR="009B0676" w:rsidRPr="002133D5">
              <w:rPr>
                <w:spacing w:val="-3"/>
                <w:lang w:val="en-GB"/>
              </w:rPr>
              <w:t>(2</w:t>
            </w:r>
            <w:r w:rsidR="008D5BAD" w:rsidRPr="002133D5">
              <w:rPr>
                <w:spacing w:val="-3"/>
                <w:lang w:val="en-GB"/>
              </w:rPr>
              <w:t>.</w:t>
            </w:r>
            <w:r w:rsidR="009B0676" w:rsidRPr="002133D5">
              <w:rPr>
                <w:spacing w:val="-3"/>
                <w:lang w:val="en-GB"/>
              </w:rPr>
              <w:t xml:space="preserve">2%). </w:t>
            </w:r>
            <w:r w:rsidR="008D5BAD" w:rsidRPr="002133D5">
              <w:rPr>
                <w:spacing w:val="-3"/>
                <w:lang w:val="en-GB"/>
              </w:rPr>
              <w:t>The prices of electricity, heat, gas and also other fuels mildly decreased during the whole year (</w:t>
            </w:r>
            <w:r w:rsidR="0092465F" w:rsidRPr="002133D5">
              <w:rPr>
                <w:spacing w:val="-3"/>
                <w:lang w:val="en-GB"/>
              </w:rPr>
              <w:t>-</w:t>
            </w:r>
            <w:r w:rsidR="009B0676" w:rsidRPr="002133D5">
              <w:rPr>
                <w:spacing w:val="-3"/>
                <w:lang w:val="en-GB"/>
              </w:rPr>
              <w:t>0</w:t>
            </w:r>
            <w:r w:rsidR="008D5BAD" w:rsidRPr="002133D5">
              <w:rPr>
                <w:spacing w:val="-3"/>
                <w:lang w:val="en-GB"/>
              </w:rPr>
              <w:t>.</w:t>
            </w:r>
            <w:r w:rsidR="009B0676" w:rsidRPr="002133D5">
              <w:rPr>
                <w:spacing w:val="-3"/>
                <w:lang w:val="en-GB"/>
              </w:rPr>
              <w:t xml:space="preserve">7%). </w:t>
            </w:r>
            <w:r w:rsidR="008D5BAD" w:rsidRPr="002133D5">
              <w:rPr>
                <w:spacing w:val="-3"/>
                <w:lang w:val="en-GB"/>
              </w:rPr>
              <w:t>In Q4 itself, the prices of housing and energies rose by 2.2% yea</w:t>
            </w:r>
            <w:r w:rsidR="001663DE" w:rsidRPr="002133D5">
              <w:rPr>
                <w:spacing w:val="-3"/>
                <w:lang w:val="en-GB"/>
              </w:rPr>
              <w:t>r-</w:t>
            </w:r>
            <w:r w:rsidR="008D5BAD" w:rsidRPr="002133D5">
              <w:rPr>
                <w:spacing w:val="-3"/>
                <w:lang w:val="en-GB"/>
              </w:rPr>
              <w:t>on-year (</w:t>
            </w:r>
            <w:r w:rsidR="001663DE" w:rsidRPr="002133D5">
              <w:rPr>
                <w:spacing w:val="-3"/>
                <w:lang w:val="en-GB"/>
              </w:rPr>
              <w:t>in that imputed rent</w:t>
            </w:r>
            <w:r w:rsidR="0004442E" w:rsidRPr="002133D5">
              <w:rPr>
                <w:spacing w:val="-3"/>
                <w:lang w:val="en-GB"/>
              </w:rPr>
              <w:t xml:space="preserve"> </w:t>
            </w:r>
            <w:r w:rsidR="001663DE" w:rsidRPr="002133D5">
              <w:rPr>
                <w:spacing w:val="-3"/>
                <w:lang w:val="en-GB"/>
              </w:rPr>
              <w:t>by 5.</w:t>
            </w:r>
            <w:r w:rsidR="009B0676" w:rsidRPr="002133D5">
              <w:rPr>
                <w:spacing w:val="-3"/>
                <w:lang w:val="en-GB"/>
              </w:rPr>
              <w:t xml:space="preserve">1%). </w:t>
            </w:r>
            <w:r w:rsidR="000A1B31" w:rsidRPr="002133D5">
              <w:rPr>
                <w:spacing w:val="-3"/>
                <w:lang w:val="en-GB"/>
              </w:rPr>
              <w:t xml:space="preserve">Prices of transport increased by 3.7% in 2017. In the first half of the year, their growth was driven by the year-on-year increase of the prices of fuels, heightened by the extraordinarily low comparative basis of year </w:t>
            </w:r>
            <w:r w:rsidR="009B0676" w:rsidRPr="002133D5">
              <w:rPr>
                <w:spacing w:val="-3"/>
                <w:lang w:val="en-GB"/>
              </w:rPr>
              <w:t xml:space="preserve">2016. </w:t>
            </w:r>
            <w:r w:rsidR="000A1B31" w:rsidRPr="002133D5">
              <w:rPr>
                <w:spacing w:val="-3"/>
                <w:lang w:val="en-GB"/>
              </w:rPr>
              <w:t>In H2, the prices of personal transportation vehicles grew faster.</w:t>
            </w:r>
          </w:p>
          <w:p w:rsidR="009B0676" w:rsidRPr="002133D5" w:rsidRDefault="009B0676" w:rsidP="006E4368">
            <w:pPr>
              <w:pStyle w:val="Textpoznpodarou"/>
              <w:ind w:right="-35"/>
              <w:jc w:val="both"/>
              <w:rPr>
                <w:spacing w:val="-3"/>
                <w:sz w:val="16"/>
                <w:szCs w:val="16"/>
                <w:lang w:val="en-GB"/>
              </w:rPr>
            </w:pPr>
          </w:p>
        </w:tc>
      </w:tr>
      <w:tr w:rsidR="009B0676" w:rsidRPr="00F81A26" w:rsidTr="006C3DC1">
        <w:tc>
          <w:tcPr>
            <w:tcW w:w="1015" w:type="pct"/>
          </w:tcPr>
          <w:p w:rsidR="009B0676" w:rsidRPr="00E46F78" w:rsidRDefault="00E46F78" w:rsidP="00DF18C6">
            <w:pPr>
              <w:spacing w:line="240" w:lineRule="auto"/>
              <w:ind w:right="-19"/>
              <w:rPr>
                <w:spacing w:val="-4"/>
                <w:sz w:val="16"/>
                <w:szCs w:val="16"/>
                <w:lang w:val="en-GB"/>
              </w:rPr>
            </w:pPr>
            <w:r w:rsidRPr="00E46F78">
              <w:rPr>
                <w:spacing w:val="-4"/>
                <w:sz w:val="16"/>
                <w:szCs w:val="16"/>
                <w:lang w:val="en-GB"/>
              </w:rPr>
              <w:t xml:space="preserve">Prices </w:t>
            </w:r>
            <w:r w:rsidR="00DF18C6">
              <w:rPr>
                <w:spacing w:val="-4"/>
                <w:sz w:val="16"/>
                <w:szCs w:val="16"/>
                <w:lang w:val="en-GB"/>
              </w:rPr>
              <w:t>in restaurants</w:t>
            </w:r>
            <w:r w:rsidRPr="00E46F78">
              <w:rPr>
                <w:spacing w:val="-4"/>
                <w:sz w:val="16"/>
                <w:szCs w:val="16"/>
                <w:lang w:val="en-GB"/>
              </w:rPr>
              <w:t xml:space="preserve"> markedly increased.</w:t>
            </w:r>
          </w:p>
        </w:tc>
        <w:tc>
          <w:tcPr>
            <w:tcW w:w="144" w:type="pct"/>
          </w:tcPr>
          <w:p w:rsidR="009B0676" w:rsidRPr="00E46F78" w:rsidRDefault="009B0676" w:rsidP="006E4368">
            <w:pPr>
              <w:pStyle w:val="Textpoznpodarou"/>
              <w:jc w:val="both"/>
              <w:rPr>
                <w:spacing w:val="-4"/>
                <w:lang w:val="en-GB"/>
              </w:rPr>
            </w:pPr>
          </w:p>
        </w:tc>
        <w:tc>
          <w:tcPr>
            <w:tcW w:w="3841" w:type="pct"/>
            <w:gridSpan w:val="2"/>
          </w:tcPr>
          <w:p w:rsidR="009B0676" w:rsidRPr="002133D5" w:rsidRDefault="0056303C" w:rsidP="00766F78">
            <w:pPr>
              <w:pStyle w:val="Textpoznpodarou"/>
              <w:ind w:right="-35"/>
              <w:jc w:val="both"/>
              <w:rPr>
                <w:spacing w:val="-3"/>
                <w:sz w:val="16"/>
                <w:szCs w:val="16"/>
                <w:lang w:val="en-GB"/>
              </w:rPr>
            </w:pPr>
            <w:r w:rsidRPr="002133D5">
              <w:rPr>
                <w:spacing w:val="-3"/>
                <w:lang w:val="en-GB"/>
              </w:rPr>
              <w:t xml:space="preserve">The fourth item, which considerably affected the growth of the consumer price index throughout the whole </w:t>
            </w:r>
            <w:r w:rsidR="00DF18C6" w:rsidRPr="002133D5">
              <w:rPr>
                <w:spacing w:val="-3"/>
                <w:lang w:val="en-GB"/>
              </w:rPr>
              <w:t>year,</w:t>
            </w:r>
            <w:r w:rsidRPr="002133D5">
              <w:rPr>
                <w:spacing w:val="-3"/>
                <w:lang w:val="en-GB"/>
              </w:rPr>
              <w:t xml:space="preserve"> was </w:t>
            </w:r>
            <w:r w:rsidR="00DF18C6" w:rsidRPr="002133D5">
              <w:rPr>
                <w:spacing w:val="-3"/>
                <w:lang w:val="en-GB"/>
              </w:rPr>
              <w:t>restaurants and hotels</w:t>
            </w:r>
            <w:r w:rsidRPr="002133D5">
              <w:rPr>
                <w:spacing w:val="-3"/>
                <w:lang w:val="en-GB"/>
              </w:rPr>
              <w:t>. Price</w:t>
            </w:r>
            <w:r w:rsidR="0024644F" w:rsidRPr="002133D5">
              <w:rPr>
                <w:spacing w:val="-3"/>
                <w:lang w:val="en-GB"/>
              </w:rPr>
              <w:t>s</w:t>
            </w:r>
            <w:r w:rsidRPr="002133D5">
              <w:rPr>
                <w:spacing w:val="-3"/>
                <w:lang w:val="en-GB"/>
              </w:rPr>
              <w:t xml:space="preserve"> increased by 5.7% here for the whole year 2017. The relatively high increase of wages in food service and accommodation, which also transferred into the final prices, can be seen behind this development. </w:t>
            </w:r>
          </w:p>
          <w:p w:rsidR="00766F78" w:rsidRPr="002133D5" w:rsidRDefault="00766F78" w:rsidP="00766F78">
            <w:pPr>
              <w:pStyle w:val="Textpoznpodarou"/>
              <w:ind w:right="-35"/>
              <w:jc w:val="both"/>
              <w:rPr>
                <w:spacing w:val="-3"/>
                <w:sz w:val="16"/>
                <w:szCs w:val="16"/>
                <w:lang w:val="en-GB"/>
              </w:rPr>
            </w:pPr>
          </w:p>
        </w:tc>
      </w:tr>
      <w:tr w:rsidR="009B0676" w:rsidRPr="00F81A26" w:rsidTr="006C3DC1">
        <w:tc>
          <w:tcPr>
            <w:tcW w:w="1015" w:type="pct"/>
          </w:tcPr>
          <w:p w:rsidR="009B0676" w:rsidRPr="0024644F" w:rsidRDefault="0024644F" w:rsidP="006E4368">
            <w:pPr>
              <w:spacing w:line="240" w:lineRule="auto"/>
              <w:ind w:right="-19"/>
              <w:rPr>
                <w:spacing w:val="-4"/>
                <w:sz w:val="16"/>
                <w:szCs w:val="16"/>
                <w:lang w:val="en-GB"/>
              </w:rPr>
            </w:pPr>
            <w:r>
              <w:rPr>
                <w:spacing w:val="-4"/>
                <w:sz w:val="16"/>
                <w:szCs w:val="16"/>
                <w:lang w:val="en-GB"/>
              </w:rPr>
              <w:t>Growth of prices for sales of older flats slowed down in H2 2017.</w:t>
            </w:r>
          </w:p>
        </w:tc>
        <w:tc>
          <w:tcPr>
            <w:tcW w:w="144" w:type="pct"/>
          </w:tcPr>
          <w:p w:rsidR="009B0676" w:rsidRPr="0024644F" w:rsidRDefault="009B0676" w:rsidP="006E4368">
            <w:pPr>
              <w:pStyle w:val="Textpoznpodarou"/>
              <w:jc w:val="both"/>
              <w:rPr>
                <w:spacing w:val="-4"/>
                <w:lang w:val="en-GB"/>
              </w:rPr>
            </w:pPr>
          </w:p>
        </w:tc>
        <w:tc>
          <w:tcPr>
            <w:tcW w:w="3841" w:type="pct"/>
            <w:gridSpan w:val="2"/>
          </w:tcPr>
          <w:p w:rsidR="000B3C13" w:rsidRPr="002133D5" w:rsidRDefault="00CE29D6" w:rsidP="00AD675A">
            <w:pPr>
              <w:pStyle w:val="Textpoznpodarou"/>
              <w:ind w:right="-35"/>
              <w:jc w:val="both"/>
              <w:rPr>
                <w:spacing w:val="-3"/>
                <w:sz w:val="16"/>
                <w:szCs w:val="16"/>
                <w:lang w:val="en-GB"/>
              </w:rPr>
            </w:pPr>
            <w:r w:rsidRPr="002133D5">
              <w:rPr>
                <w:spacing w:val="-3"/>
                <w:lang w:val="en-GB"/>
              </w:rPr>
              <w:t xml:space="preserve">The question of housing availability became even more </w:t>
            </w:r>
            <w:r w:rsidR="002250AD" w:rsidRPr="002133D5">
              <w:rPr>
                <w:spacing w:val="-3"/>
                <w:lang w:val="en-GB"/>
              </w:rPr>
              <w:t>acute</w:t>
            </w:r>
            <w:r w:rsidRPr="002133D5">
              <w:rPr>
                <w:spacing w:val="-3"/>
                <w:lang w:val="en-GB"/>
              </w:rPr>
              <w:t xml:space="preserve"> in year</w:t>
            </w:r>
            <w:r w:rsidR="002250AD" w:rsidRPr="002133D5">
              <w:rPr>
                <w:spacing w:val="-3"/>
                <w:lang w:val="en-GB"/>
              </w:rPr>
              <w:t xml:space="preserve"> 2017</w:t>
            </w:r>
            <w:r w:rsidR="00D277FF" w:rsidRPr="002133D5">
              <w:rPr>
                <w:spacing w:val="-3"/>
                <w:lang w:val="en-GB"/>
              </w:rPr>
              <w:t xml:space="preserve">. </w:t>
            </w:r>
            <w:r w:rsidRPr="002133D5">
              <w:rPr>
                <w:spacing w:val="-3"/>
                <w:lang w:val="en-GB"/>
              </w:rPr>
              <w:t xml:space="preserve">Year-on-year </w:t>
            </w:r>
            <w:r w:rsidR="002250AD" w:rsidRPr="002133D5">
              <w:rPr>
                <w:spacing w:val="-3"/>
                <w:lang w:val="en-GB"/>
              </w:rPr>
              <w:t>growth</w:t>
            </w:r>
            <w:r w:rsidRPr="002133D5">
              <w:rPr>
                <w:spacing w:val="-3"/>
                <w:lang w:val="en-GB"/>
              </w:rPr>
              <w:t xml:space="preserve"> of the index of supply prices of flats in the CR moved around 10% already since the end of year </w:t>
            </w:r>
            <w:r w:rsidR="000B3C13" w:rsidRPr="002133D5">
              <w:rPr>
                <w:spacing w:val="-3"/>
                <w:lang w:val="en-GB"/>
              </w:rPr>
              <w:t>2015 a</w:t>
            </w:r>
            <w:r w:rsidRPr="002133D5">
              <w:rPr>
                <w:spacing w:val="-3"/>
                <w:lang w:val="en-GB"/>
              </w:rPr>
              <w:t>nd it accelerated to 12.5% in Q</w:t>
            </w:r>
            <w:r w:rsidR="000B3C13" w:rsidRPr="002133D5">
              <w:rPr>
                <w:spacing w:val="-3"/>
                <w:lang w:val="en-GB"/>
              </w:rPr>
              <w:t>3</w:t>
            </w:r>
            <w:r w:rsidRPr="002133D5">
              <w:rPr>
                <w:spacing w:val="-3"/>
                <w:lang w:val="en-GB"/>
              </w:rPr>
              <w:t xml:space="preserve"> </w:t>
            </w:r>
            <w:r w:rsidR="000B3C13" w:rsidRPr="002133D5">
              <w:rPr>
                <w:spacing w:val="-3"/>
                <w:lang w:val="en-GB"/>
              </w:rPr>
              <w:t>a</w:t>
            </w:r>
            <w:r w:rsidRPr="002133D5">
              <w:rPr>
                <w:spacing w:val="-3"/>
                <w:lang w:val="en-GB"/>
              </w:rPr>
              <w:t>nd</w:t>
            </w:r>
            <w:r w:rsidR="000B3C13" w:rsidRPr="002133D5">
              <w:rPr>
                <w:spacing w:val="-3"/>
                <w:lang w:val="en-GB"/>
              </w:rPr>
              <w:t xml:space="preserve"> </w:t>
            </w:r>
            <w:r w:rsidRPr="002133D5">
              <w:rPr>
                <w:spacing w:val="-3"/>
                <w:lang w:val="en-GB"/>
              </w:rPr>
              <w:t>Q</w:t>
            </w:r>
            <w:r w:rsidR="000B3C13" w:rsidRPr="002133D5">
              <w:rPr>
                <w:spacing w:val="-3"/>
                <w:lang w:val="en-GB"/>
              </w:rPr>
              <w:t>4</w:t>
            </w:r>
            <w:r w:rsidRPr="002133D5">
              <w:rPr>
                <w:spacing w:val="-3"/>
                <w:lang w:val="en-GB"/>
              </w:rPr>
              <w:t xml:space="preserve"> </w:t>
            </w:r>
            <w:r w:rsidR="000B3C13" w:rsidRPr="002133D5">
              <w:rPr>
                <w:spacing w:val="-3"/>
                <w:lang w:val="en-GB"/>
              </w:rPr>
              <w:t>2017</w:t>
            </w:r>
            <w:r w:rsidRPr="002133D5">
              <w:rPr>
                <w:spacing w:val="-3"/>
                <w:lang w:val="en-GB"/>
              </w:rPr>
              <w:t xml:space="preserve">. </w:t>
            </w:r>
            <w:r w:rsidR="002250AD" w:rsidRPr="002133D5">
              <w:rPr>
                <w:spacing w:val="-3"/>
                <w:lang w:val="en-GB"/>
              </w:rPr>
              <w:t xml:space="preserve">Even though the supply prices of flats outside Prague grew only on average by 4.7% year-on-year during the last year.  </w:t>
            </w:r>
            <w:r w:rsidR="009B6342" w:rsidRPr="002133D5">
              <w:rPr>
                <w:spacing w:val="-3"/>
                <w:lang w:val="en-GB"/>
              </w:rPr>
              <w:t xml:space="preserve">But supply prices of flats in Prague grew by staggering pace (on average </w:t>
            </w:r>
            <w:r w:rsidR="000B3C13" w:rsidRPr="002133D5">
              <w:rPr>
                <w:spacing w:val="-3"/>
                <w:lang w:val="en-GB"/>
              </w:rPr>
              <w:t>16</w:t>
            </w:r>
            <w:r w:rsidR="009B6342" w:rsidRPr="002133D5">
              <w:rPr>
                <w:spacing w:val="-3"/>
                <w:lang w:val="en-GB"/>
              </w:rPr>
              <w:t>.</w:t>
            </w:r>
            <w:r w:rsidR="000B3C13" w:rsidRPr="002133D5">
              <w:rPr>
                <w:spacing w:val="-3"/>
                <w:lang w:val="en-GB"/>
              </w:rPr>
              <w:t>4</w:t>
            </w:r>
            <w:r w:rsidR="009B6342" w:rsidRPr="002133D5">
              <w:rPr>
                <w:spacing w:val="-3"/>
                <w:lang w:val="en-GB"/>
              </w:rPr>
              <w:t>%</w:t>
            </w:r>
            <w:r w:rsidR="000B3C13" w:rsidRPr="002133D5">
              <w:rPr>
                <w:spacing w:val="-3"/>
                <w:lang w:val="en-GB"/>
              </w:rPr>
              <w:t>)</w:t>
            </w:r>
            <w:r w:rsidR="009B6342" w:rsidRPr="002133D5">
              <w:rPr>
                <w:spacing w:val="-3"/>
                <w:lang w:val="en-GB"/>
              </w:rPr>
              <w:t>. Their growth accelerated during the year and it reached 18.8% in Q4.</w:t>
            </w:r>
            <w:r w:rsidR="00A45E2F" w:rsidRPr="002133D5">
              <w:rPr>
                <w:spacing w:val="-3"/>
                <w:lang w:val="en-GB"/>
              </w:rPr>
              <w:t xml:space="preserve"> </w:t>
            </w:r>
            <w:r w:rsidR="009B6342" w:rsidRPr="002133D5">
              <w:rPr>
                <w:spacing w:val="-3"/>
                <w:lang w:val="en-GB"/>
              </w:rPr>
              <w:t xml:space="preserve">Year-on-year growth of prices of the completed sales of </w:t>
            </w:r>
            <w:r w:rsidR="00DF18C6" w:rsidRPr="002133D5">
              <w:rPr>
                <w:spacing w:val="-3"/>
                <w:lang w:val="en-GB"/>
              </w:rPr>
              <w:lastRenderedPageBreak/>
              <w:t>second-hand</w:t>
            </w:r>
            <w:r w:rsidR="009B6342" w:rsidRPr="002133D5">
              <w:rPr>
                <w:spacing w:val="-3"/>
                <w:lang w:val="en-GB"/>
              </w:rPr>
              <w:t xml:space="preserve"> flats in the CR peaked (18.7%) in Q2 2017 and it subsequently slowed down. It was however still higher than </w:t>
            </w:r>
            <w:r w:rsidR="00AD5D71" w:rsidRPr="002133D5">
              <w:rPr>
                <w:spacing w:val="-3"/>
                <w:lang w:val="en-GB"/>
              </w:rPr>
              <w:t xml:space="preserve">10%. </w:t>
            </w:r>
            <w:r w:rsidR="00E92A8C" w:rsidRPr="002133D5">
              <w:rPr>
                <w:spacing w:val="-3"/>
                <w:lang w:val="en-GB"/>
              </w:rPr>
              <w:t xml:space="preserve">Prices of completed sales of </w:t>
            </w:r>
            <w:r w:rsidR="00DF18C6" w:rsidRPr="002133D5">
              <w:rPr>
                <w:spacing w:val="-3"/>
                <w:lang w:val="en-GB"/>
              </w:rPr>
              <w:t>second-hand</w:t>
            </w:r>
            <w:r w:rsidR="00E92A8C" w:rsidRPr="002133D5">
              <w:rPr>
                <w:spacing w:val="-3"/>
                <w:lang w:val="en-GB"/>
              </w:rPr>
              <w:t xml:space="preserve"> flats </w:t>
            </w:r>
            <w:r w:rsidR="0004442E" w:rsidRPr="002133D5">
              <w:rPr>
                <w:spacing w:val="-3"/>
                <w:lang w:val="en-GB"/>
              </w:rPr>
              <w:t xml:space="preserve">grew </w:t>
            </w:r>
            <w:r w:rsidR="00E92A8C" w:rsidRPr="002133D5">
              <w:rPr>
                <w:spacing w:val="-3"/>
                <w:lang w:val="en-GB"/>
              </w:rPr>
              <w:t xml:space="preserve">in Prague on average slightly slower than in the rest of the CR last year. Viewed from the quarter-on-quarter development, there is a turn apparent in the prices of completed sales of </w:t>
            </w:r>
            <w:r w:rsidR="00DF18C6" w:rsidRPr="002133D5">
              <w:rPr>
                <w:spacing w:val="-3"/>
                <w:lang w:val="en-GB"/>
              </w:rPr>
              <w:t>second-hand</w:t>
            </w:r>
            <w:r w:rsidR="00E92A8C" w:rsidRPr="002133D5">
              <w:rPr>
                <w:spacing w:val="-3"/>
                <w:lang w:val="en-GB"/>
              </w:rPr>
              <w:t xml:space="preserve"> flats</w:t>
            </w:r>
            <w:r w:rsidR="00AD675A" w:rsidRPr="002133D5">
              <w:rPr>
                <w:spacing w:val="-3"/>
                <w:lang w:val="en-GB"/>
              </w:rPr>
              <w:t>.</w:t>
            </w:r>
            <w:r w:rsidR="00E92A8C" w:rsidRPr="002133D5">
              <w:rPr>
                <w:spacing w:val="-3"/>
                <w:lang w:val="en-GB"/>
              </w:rPr>
              <w:t xml:space="preserve"> Index considerably slowed down its growth in H</w:t>
            </w:r>
            <w:r w:rsidR="00AD675A" w:rsidRPr="002133D5">
              <w:rPr>
                <w:spacing w:val="-3"/>
                <w:lang w:val="en-GB"/>
              </w:rPr>
              <w:t>2</w:t>
            </w:r>
            <w:r w:rsidR="00E92A8C" w:rsidRPr="002133D5">
              <w:rPr>
                <w:spacing w:val="-3"/>
                <w:lang w:val="en-GB"/>
              </w:rPr>
              <w:t xml:space="preserve">, the prices fell in Prague </w:t>
            </w:r>
            <w:r w:rsidR="00107FF4" w:rsidRPr="002133D5">
              <w:rPr>
                <w:spacing w:val="-3"/>
                <w:lang w:val="en-GB"/>
              </w:rPr>
              <w:t xml:space="preserve">in Q4 </w:t>
            </w:r>
            <w:r w:rsidR="00E92A8C" w:rsidRPr="002133D5">
              <w:rPr>
                <w:spacing w:val="-3"/>
                <w:lang w:val="en-GB"/>
              </w:rPr>
              <w:t>for the first time</w:t>
            </w:r>
            <w:r w:rsidR="00107FF4" w:rsidRPr="002133D5">
              <w:rPr>
                <w:spacing w:val="-3"/>
                <w:lang w:val="en-GB"/>
              </w:rPr>
              <w:t xml:space="preserve"> since the end of year </w:t>
            </w:r>
            <w:r w:rsidR="00AD675A" w:rsidRPr="002133D5">
              <w:rPr>
                <w:spacing w:val="-3"/>
                <w:lang w:val="en-GB"/>
              </w:rPr>
              <w:t>2013</w:t>
            </w:r>
            <w:r w:rsidR="00107FF4" w:rsidRPr="002133D5">
              <w:rPr>
                <w:spacing w:val="-3"/>
                <w:lang w:val="en-GB"/>
              </w:rPr>
              <w:t xml:space="preserve">. Completed prices of new flats in Prague reflected the sharp rise of prices of flats in new construction projects and they grew on average by </w:t>
            </w:r>
            <w:r w:rsidR="00A45E2F" w:rsidRPr="002133D5">
              <w:rPr>
                <w:spacing w:val="-3"/>
                <w:lang w:val="en-GB"/>
              </w:rPr>
              <w:t>13</w:t>
            </w:r>
            <w:r w:rsidR="00107FF4" w:rsidRPr="002133D5">
              <w:rPr>
                <w:spacing w:val="-3"/>
                <w:lang w:val="en-GB"/>
              </w:rPr>
              <w:t>.</w:t>
            </w:r>
            <w:r w:rsidR="00A45E2F" w:rsidRPr="002133D5">
              <w:rPr>
                <w:spacing w:val="-3"/>
                <w:lang w:val="en-GB"/>
              </w:rPr>
              <w:t xml:space="preserve">6%. </w:t>
            </w:r>
            <w:r w:rsidR="00ED0C9B" w:rsidRPr="002133D5">
              <w:rPr>
                <w:spacing w:val="-3"/>
                <w:lang w:val="en-GB"/>
              </w:rPr>
              <w:t xml:space="preserve">Towards the end of the year however the year-on-year increase markedly slowed down </w:t>
            </w:r>
            <w:r w:rsidR="00AD675A" w:rsidRPr="002133D5">
              <w:rPr>
                <w:spacing w:val="-3"/>
                <w:lang w:val="en-GB"/>
              </w:rPr>
              <w:t>a</w:t>
            </w:r>
            <w:r w:rsidR="00ED0C9B" w:rsidRPr="002133D5">
              <w:rPr>
                <w:spacing w:val="-3"/>
                <w:lang w:val="en-GB"/>
              </w:rPr>
              <w:t xml:space="preserve">nd the quarter-on-quarter growth was negative in Q7 2017 for the first time since Q2 2014. </w:t>
            </w:r>
            <w:r w:rsidR="00AD675A" w:rsidRPr="002133D5">
              <w:rPr>
                <w:spacing w:val="-3"/>
                <w:lang w:val="en-GB"/>
              </w:rPr>
              <w:t xml:space="preserve"> </w:t>
            </w:r>
          </w:p>
          <w:p w:rsidR="009B0676" w:rsidRPr="002133D5" w:rsidRDefault="009B0676" w:rsidP="006E4368">
            <w:pPr>
              <w:pStyle w:val="Textpoznpodarou"/>
              <w:ind w:right="-35"/>
              <w:jc w:val="both"/>
              <w:rPr>
                <w:spacing w:val="-3"/>
                <w:sz w:val="16"/>
                <w:lang w:val="en-GB"/>
              </w:rPr>
            </w:pPr>
          </w:p>
        </w:tc>
      </w:tr>
      <w:tr w:rsidR="00DD0726" w:rsidRPr="00F81A26" w:rsidTr="006C3DC1">
        <w:tc>
          <w:tcPr>
            <w:tcW w:w="1015" w:type="pct"/>
          </w:tcPr>
          <w:p w:rsidR="00DD0726" w:rsidRPr="00F81A26" w:rsidRDefault="00DD0726" w:rsidP="006C3DC1">
            <w:pPr>
              <w:pStyle w:val="Textpoznpodarou"/>
              <w:jc w:val="center"/>
              <w:rPr>
                <w:spacing w:val="-4"/>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56303C" w:rsidP="006C3DC1">
            <w:pPr>
              <w:pStyle w:val="Textpoznpodarou"/>
              <w:ind w:right="-35"/>
              <w:jc w:val="both"/>
              <w:rPr>
                <w:spacing w:val="-4"/>
              </w:rPr>
            </w:pPr>
            <w:r>
              <w:rPr>
                <w:spacing w:val="-4"/>
              </w:rPr>
              <w:t xml:space="preserve">Chart </w:t>
            </w:r>
            <w:r w:rsidR="00DD0726" w:rsidRPr="00F81A26">
              <w:rPr>
                <w:spacing w:val="-4"/>
              </w:rPr>
              <w:t>12</w:t>
            </w:r>
          </w:p>
        </w:tc>
        <w:tc>
          <w:tcPr>
            <w:tcW w:w="3261" w:type="pct"/>
          </w:tcPr>
          <w:p w:rsidR="00DD0726" w:rsidRPr="00ED0C9B" w:rsidRDefault="00ED0C9B" w:rsidP="006C3DC1">
            <w:pPr>
              <w:pStyle w:val="Textpoznpodarou"/>
              <w:ind w:right="-35"/>
              <w:rPr>
                <w:spacing w:val="-4"/>
                <w:lang w:val="en-GB"/>
              </w:rPr>
            </w:pPr>
            <w:r w:rsidRPr="00ED0C9B">
              <w:rPr>
                <w:b/>
                <w:spacing w:val="-4"/>
                <w:lang w:val="en-GB" w:eastAsia="en-US"/>
              </w:rPr>
              <w:t xml:space="preserve">Prices of real estate </w:t>
            </w:r>
            <w:r w:rsidR="00DD0726" w:rsidRPr="00ED0C9B">
              <w:rPr>
                <w:spacing w:val="-4"/>
                <w:lang w:val="en-GB" w:eastAsia="en-US"/>
              </w:rPr>
              <w:t>(</w:t>
            </w:r>
            <w:r w:rsidRPr="00ED0C9B">
              <w:rPr>
                <w:spacing w:val="-4"/>
                <w:lang w:val="en-GB" w:eastAsia="en-US"/>
              </w:rPr>
              <w:t>year-on-year change</w:t>
            </w:r>
            <w:r w:rsidR="00DD0726" w:rsidRPr="00ED0C9B">
              <w:rPr>
                <w:spacing w:val="-4"/>
                <w:lang w:val="en-GB" w:eastAsia="en-US"/>
              </w:rPr>
              <w:t xml:space="preserve">, </w:t>
            </w:r>
            <w:r w:rsidRPr="00ED0C9B">
              <w:rPr>
                <w:spacing w:val="-4"/>
                <w:lang w:val="en-GB" w:eastAsia="en-US"/>
              </w:rPr>
              <w:t>in</w:t>
            </w:r>
            <w:r w:rsidR="00DD0726" w:rsidRPr="00ED0C9B">
              <w:rPr>
                <w:spacing w:val="-4"/>
                <w:lang w:val="en-GB" w:eastAsia="en-US"/>
              </w:rPr>
              <w:t xml:space="preserve"> %)</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BD345F" w:rsidP="006C3DC1">
            <w:pPr>
              <w:pStyle w:val="Textpoznpodarou"/>
              <w:ind w:left="-54" w:right="-35"/>
              <w:jc w:val="both"/>
              <w:rPr>
                <w:spacing w:val="-4"/>
              </w:rPr>
            </w:pPr>
            <w:r w:rsidRPr="00BD345F">
              <w:rPr>
                <w:noProof/>
                <w:spacing w:val="-4"/>
              </w:rPr>
              <w:drawing>
                <wp:inline distT="0" distB="0" distL="0" distR="0">
                  <wp:extent cx="4737100" cy="3365500"/>
                  <wp:effectExtent l="1905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D0726" w:rsidRDefault="00ED0C9B" w:rsidP="006C3DC1">
            <w:pPr>
              <w:pStyle w:val="Textpoznpodarou"/>
              <w:ind w:left="-54" w:right="-35"/>
              <w:jc w:val="right"/>
              <w:rPr>
                <w:spacing w:val="-4"/>
                <w:sz w:val="14"/>
                <w:szCs w:val="14"/>
              </w:rPr>
            </w:pPr>
            <w:r>
              <w:rPr>
                <w:spacing w:val="-4"/>
                <w:sz w:val="14"/>
                <w:szCs w:val="14"/>
              </w:rPr>
              <w:t>Source</w:t>
            </w:r>
            <w:r w:rsidR="00DD0726" w:rsidRPr="00F81A26">
              <w:rPr>
                <w:spacing w:val="-4"/>
                <w:sz w:val="14"/>
                <w:szCs w:val="14"/>
              </w:rPr>
              <w:t xml:space="preserve">: </w:t>
            </w:r>
            <w:r>
              <w:rPr>
                <w:spacing w:val="-4"/>
                <w:sz w:val="14"/>
                <w:szCs w:val="14"/>
              </w:rPr>
              <w:t>CZSO</w:t>
            </w:r>
          </w:p>
          <w:p w:rsidR="00DD0726" w:rsidRPr="00F81A26" w:rsidRDefault="00DD0726" w:rsidP="006C3DC1">
            <w:pPr>
              <w:pStyle w:val="Textpoznpodarou"/>
              <w:ind w:left="-54" w:right="-35"/>
              <w:jc w:val="right"/>
              <w:rPr>
                <w:spacing w:val="-4"/>
                <w:sz w:val="14"/>
                <w:szCs w:val="14"/>
              </w:rPr>
            </w:pPr>
          </w:p>
        </w:tc>
      </w:tr>
      <w:tr w:rsidR="009B0676" w:rsidRPr="00F81A26" w:rsidTr="006C3DC1">
        <w:tc>
          <w:tcPr>
            <w:tcW w:w="1015" w:type="pct"/>
          </w:tcPr>
          <w:p w:rsidR="009B0676" w:rsidRPr="00ED0C9B" w:rsidRDefault="00ED0C9B" w:rsidP="006E4368">
            <w:pPr>
              <w:spacing w:line="240" w:lineRule="auto"/>
              <w:ind w:right="-19"/>
              <w:rPr>
                <w:spacing w:val="-4"/>
                <w:sz w:val="16"/>
                <w:szCs w:val="16"/>
                <w:lang w:val="en-GB"/>
              </w:rPr>
            </w:pPr>
            <w:r w:rsidRPr="00ED0C9B">
              <w:rPr>
                <w:spacing w:val="-4"/>
                <w:sz w:val="16"/>
                <w:szCs w:val="16"/>
                <w:lang w:val="en-GB"/>
              </w:rPr>
              <w:t xml:space="preserve">Consumer prices grew faster also in Europe. </w:t>
            </w:r>
          </w:p>
        </w:tc>
        <w:tc>
          <w:tcPr>
            <w:tcW w:w="144" w:type="pct"/>
          </w:tcPr>
          <w:p w:rsidR="009B0676" w:rsidRPr="00ED0C9B" w:rsidRDefault="009B0676" w:rsidP="006E4368">
            <w:pPr>
              <w:pStyle w:val="Textpoznpodarou"/>
              <w:jc w:val="both"/>
              <w:rPr>
                <w:spacing w:val="-4"/>
                <w:lang w:val="en-GB"/>
              </w:rPr>
            </w:pPr>
          </w:p>
        </w:tc>
        <w:tc>
          <w:tcPr>
            <w:tcW w:w="3841" w:type="pct"/>
            <w:gridSpan w:val="2"/>
          </w:tcPr>
          <w:p w:rsidR="009B0676" w:rsidRPr="002133D5" w:rsidRDefault="00ED0C9B" w:rsidP="006E4368">
            <w:pPr>
              <w:pStyle w:val="Textpoznpodarou"/>
              <w:ind w:right="-35"/>
              <w:jc w:val="both"/>
              <w:rPr>
                <w:spacing w:val="-4"/>
                <w:sz w:val="16"/>
                <w:szCs w:val="16"/>
                <w:lang w:val="en-GB"/>
              </w:rPr>
            </w:pPr>
            <w:r w:rsidRPr="002133D5">
              <w:rPr>
                <w:spacing w:val="-4"/>
                <w:lang w:val="en-GB"/>
              </w:rPr>
              <w:t xml:space="preserve">Increase of the harmonised index of the consumer prices reached 1.7% in the European Union in year </w:t>
            </w:r>
            <w:r w:rsidR="009B0676" w:rsidRPr="002133D5">
              <w:rPr>
                <w:spacing w:val="-4"/>
                <w:lang w:val="en-GB"/>
              </w:rPr>
              <w:t>2017</w:t>
            </w:r>
            <w:r w:rsidRPr="002133D5">
              <w:rPr>
                <w:spacing w:val="-4"/>
                <w:lang w:val="en-GB"/>
              </w:rPr>
              <w:t xml:space="preserve">. Development of the consumer prices in the euro area started to lag behind the average of the whole union in Q2 of the year. The prices rose by 1.5% in the euro are for the whole year </w:t>
            </w:r>
            <w:r w:rsidR="009B0676" w:rsidRPr="002133D5">
              <w:rPr>
                <w:spacing w:val="-4"/>
                <w:lang w:val="en-GB"/>
              </w:rPr>
              <w:t>2017</w:t>
            </w:r>
            <w:r w:rsidRPr="002133D5">
              <w:rPr>
                <w:spacing w:val="-4"/>
                <w:lang w:val="en-GB"/>
              </w:rPr>
              <w:t xml:space="preserve">. The Czech Republic was placed between the states with the highest price growth for the whole year. The consumer prices grew the fastest in 2017 in Lithuania </w:t>
            </w:r>
            <w:r w:rsidR="009B0676" w:rsidRPr="002133D5">
              <w:rPr>
                <w:spacing w:val="-4"/>
                <w:lang w:val="en-GB"/>
              </w:rPr>
              <w:t>(3</w:t>
            </w:r>
            <w:r w:rsidRPr="002133D5">
              <w:rPr>
                <w:spacing w:val="-4"/>
                <w:lang w:val="en-GB"/>
              </w:rPr>
              <w:t>.</w:t>
            </w:r>
            <w:r w:rsidR="009B0676" w:rsidRPr="002133D5">
              <w:rPr>
                <w:spacing w:val="-4"/>
                <w:lang w:val="en-GB"/>
              </w:rPr>
              <w:t>7%), Eston</w:t>
            </w:r>
            <w:r w:rsidRPr="002133D5">
              <w:rPr>
                <w:spacing w:val="-4"/>
                <w:lang w:val="en-GB"/>
              </w:rPr>
              <w:t xml:space="preserve">ia </w:t>
            </w:r>
            <w:r w:rsidR="009B0676" w:rsidRPr="002133D5">
              <w:rPr>
                <w:spacing w:val="-4"/>
                <w:lang w:val="en-GB"/>
              </w:rPr>
              <w:t>(3</w:t>
            </w:r>
            <w:r w:rsidRPr="002133D5">
              <w:rPr>
                <w:spacing w:val="-4"/>
                <w:lang w:val="en-GB"/>
              </w:rPr>
              <w:t>.</w:t>
            </w:r>
            <w:r w:rsidR="009B0676" w:rsidRPr="002133D5">
              <w:rPr>
                <w:spacing w:val="-4"/>
                <w:lang w:val="en-GB"/>
              </w:rPr>
              <w:t>6%) a</w:t>
            </w:r>
            <w:r w:rsidRPr="002133D5">
              <w:rPr>
                <w:spacing w:val="-4"/>
                <w:lang w:val="en-GB"/>
              </w:rPr>
              <w:t xml:space="preserve">nd Latvia </w:t>
            </w:r>
            <w:r w:rsidR="009B0676" w:rsidRPr="002133D5">
              <w:rPr>
                <w:spacing w:val="-4"/>
                <w:lang w:val="en-GB"/>
              </w:rPr>
              <w:t>(2</w:t>
            </w:r>
            <w:r w:rsidRPr="002133D5">
              <w:rPr>
                <w:spacing w:val="-4"/>
                <w:lang w:val="en-GB"/>
              </w:rPr>
              <w:t>.</w:t>
            </w:r>
            <w:r w:rsidR="009B0676" w:rsidRPr="002133D5">
              <w:rPr>
                <w:spacing w:val="-4"/>
                <w:lang w:val="en-GB"/>
              </w:rPr>
              <w:t xml:space="preserve">9%, </w:t>
            </w:r>
            <w:r w:rsidRPr="002133D5">
              <w:rPr>
                <w:spacing w:val="-4"/>
                <w:lang w:val="en-GB"/>
              </w:rPr>
              <w:t xml:space="preserve">here it however slowed down at the end of the year). </w:t>
            </w:r>
            <w:r w:rsidR="009B0676" w:rsidRPr="002133D5">
              <w:rPr>
                <w:spacing w:val="-4"/>
                <w:lang w:val="en-GB"/>
              </w:rPr>
              <w:t xml:space="preserve"> </w:t>
            </w:r>
            <w:r w:rsidR="008F3F1C" w:rsidRPr="002133D5">
              <w:rPr>
                <w:spacing w:val="-4"/>
                <w:lang w:val="en-GB"/>
              </w:rPr>
              <w:t xml:space="preserve">The price growth remained near zero for the whole year in Ireland </w:t>
            </w:r>
            <w:r w:rsidR="009B0676" w:rsidRPr="002133D5">
              <w:rPr>
                <w:spacing w:val="-4"/>
                <w:lang w:val="en-GB"/>
              </w:rPr>
              <w:t>(0</w:t>
            </w:r>
            <w:r w:rsidR="008F3F1C" w:rsidRPr="002133D5">
              <w:rPr>
                <w:spacing w:val="-4"/>
                <w:lang w:val="en-GB"/>
              </w:rPr>
              <w:t>.</w:t>
            </w:r>
            <w:r w:rsidR="009B0676" w:rsidRPr="002133D5">
              <w:rPr>
                <w:spacing w:val="-4"/>
                <w:lang w:val="en-GB"/>
              </w:rPr>
              <w:t xml:space="preserve">3%). </w:t>
            </w:r>
            <w:r w:rsidR="00BD08A0" w:rsidRPr="002133D5">
              <w:rPr>
                <w:spacing w:val="-4"/>
                <w:lang w:val="en-GB"/>
              </w:rPr>
              <w:t xml:space="preserve">Following the revival in the first half of the year, the year-on-year rate of growth of prices also dropped in Cyprus </w:t>
            </w:r>
            <w:r w:rsidR="009B0676" w:rsidRPr="002133D5">
              <w:rPr>
                <w:spacing w:val="-4"/>
                <w:lang w:val="en-GB"/>
              </w:rPr>
              <w:t>(0</w:t>
            </w:r>
            <w:r w:rsidR="00BD08A0" w:rsidRPr="002133D5">
              <w:rPr>
                <w:spacing w:val="-4"/>
                <w:lang w:val="en-GB"/>
              </w:rPr>
              <w:t>.</w:t>
            </w:r>
            <w:r w:rsidR="009B0676" w:rsidRPr="002133D5">
              <w:rPr>
                <w:spacing w:val="-4"/>
                <w:lang w:val="en-GB"/>
              </w:rPr>
              <w:t xml:space="preserve">7%). </w:t>
            </w:r>
            <w:r w:rsidR="00456EA3" w:rsidRPr="002133D5">
              <w:rPr>
                <w:spacing w:val="-4"/>
                <w:lang w:val="en-GB"/>
              </w:rPr>
              <w:t>Consumer prices grew by less than 1% in Finland (0.8%) in 2017</w:t>
            </w:r>
            <w:r w:rsidR="009B0676" w:rsidRPr="002133D5">
              <w:rPr>
                <w:spacing w:val="-4"/>
                <w:lang w:val="en-GB"/>
              </w:rPr>
              <w:t>.</w:t>
            </w:r>
          </w:p>
          <w:p w:rsidR="009B0676" w:rsidRPr="002133D5" w:rsidRDefault="009B0676" w:rsidP="006E4368">
            <w:pPr>
              <w:pStyle w:val="Textpoznpodarou"/>
              <w:ind w:right="-35"/>
              <w:jc w:val="both"/>
              <w:rPr>
                <w:spacing w:val="-4"/>
                <w:sz w:val="16"/>
                <w:szCs w:val="16"/>
                <w:lang w:val="en-GB"/>
              </w:rPr>
            </w:pPr>
          </w:p>
        </w:tc>
      </w:tr>
      <w:tr w:rsidR="009B0676" w:rsidRPr="00F81A26" w:rsidTr="006C3DC1">
        <w:tc>
          <w:tcPr>
            <w:tcW w:w="1015" w:type="pct"/>
          </w:tcPr>
          <w:p w:rsidR="009B0676" w:rsidRPr="00425612" w:rsidRDefault="00425612" w:rsidP="006E4368">
            <w:pPr>
              <w:spacing w:line="240" w:lineRule="auto"/>
              <w:ind w:right="-19"/>
              <w:rPr>
                <w:spacing w:val="-4"/>
                <w:sz w:val="16"/>
                <w:szCs w:val="16"/>
                <w:lang w:val="en-GB"/>
              </w:rPr>
            </w:pPr>
            <w:r>
              <w:rPr>
                <w:spacing w:val="-4"/>
                <w:sz w:val="16"/>
                <w:szCs w:val="16"/>
                <w:lang w:val="en-GB"/>
              </w:rPr>
              <w:t>Producer prices grew the fastest in the recent years last year. Their dynamics was accelerating towards the end of the year.</w:t>
            </w:r>
          </w:p>
        </w:tc>
        <w:tc>
          <w:tcPr>
            <w:tcW w:w="144" w:type="pct"/>
          </w:tcPr>
          <w:p w:rsidR="009B0676" w:rsidRPr="00425612" w:rsidRDefault="009B0676" w:rsidP="006E4368">
            <w:pPr>
              <w:pStyle w:val="Textpoznpodarou"/>
              <w:jc w:val="both"/>
              <w:rPr>
                <w:spacing w:val="-4"/>
                <w:lang w:val="en-GB"/>
              </w:rPr>
            </w:pPr>
          </w:p>
        </w:tc>
        <w:tc>
          <w:tcPr>
            <w:tcW w:w="3841" w:type="pct"/>
            <w:gridSpan w:val="2"/>
          </w:tcPr>
          <w:p w:rsidR="009B0676" w:rsidRPr="002133D5" w:rsidRDefault="00425612" w:rsidP="006E4368">
            <w:pPr>
              <w:pStyle w:val="Textpoznpodarou"/>
              <w:ind w:right="-35"/>
              <w:jc w:val="both"/>
              <w:rPr>
                <w:spacing w:val="-4"/>
                <w:sz w:val="16"/>
                <w:szCs w:val="16"/>
                <w:lang w:val="en-GB"/>
              </w:rPr>
            </w:pPr>
            <w:r w:rsidRPr="002133D5">
              <w:rPr>
                <w:spacing w:val="-4"/>
                <w:lang w:val="en-GB"/>
              </w:rPr>
              <w:t xml:space="preserve">Industrial producer prices grew by 1.8% in 2017. It is the highest value since year 2012 and change compared to dynamics of years </w:t>
            </w:r>
            <w:r w:rsidR="009B0676" w:rsidRPr="002133D5">
              <w:rPr>
                <w:spacing w:val="-4"/>
                <w:lang w:val="en-GB"/>
              </w:rPr>
              <w:t xml:space="preserve">2014–2016, </w:t>
            </w:r>
            <w:r w:rsidRPr="002133D5">
              <w:rPr>
                <w:spacing w:val="-4"/>
                <w:lang w:val="en-GB"/>
              </w:rPr>
              <w:t>when the industrial producer prices were sinking.</w:t>
            </w:r>
            <w:r w:rsidR="009B0676" w:rsidRPr="002133D5">
              <w:rPr>
                <w:spacing w:val="-4"/>
                <w:lang w:val="en-GB"/>
              </w:rPr>
              <w:t xml:space="preserve"> </w:t>
            </w:r>
            <w:r w:rsidR="00D53B5F" w:rsidRPr="002133D5">
              <w:rPr>
                <w:spacing w:val="-4"/>
                <w:lang w:val="en-GB"/>
              </w:rPr>
              <w:t xml:space="preserve">Nevertheless, the growth of prices was slowing down during the </w:t>
            </w:r>
            <w:r w:rsidR="00CF56A8" w:rsidRPr="002133D5">
              <w:rPr>
                <w:spacing w:val="-4"/>
                <w:lang w:val="en-GB"/>
              </w:rPr>
              <w:t>year, year</w:t>
            </w:r>
            <w:r w:rsidR="00D53B5F" w:rsidRPr="002133D5">
              <w:rPr>
                <w:spacing w:val="-4"/>
                <w:lang w:val="en-GB"/>
              </w:rPr>
              <w:t xml:space="preserve">-on-year pace fell to 0.9% in Q4. </w:t>
            </w:r>
            <w:r w:rsidR="00CF56A8" w:rsidRPr="002133D5">
              <w:rPr>
                <w:spacing w:val="-4"/>
                <w:lang w:val="en-GB"/>
              </w:rPr>
              <w:t xml:space="preserve">Development of prices of coke and refined oil products </w:t>
            </w:r>
            <w:r w:rsidR="00E1409E" w:rsidRPr="002133D5">
              <w:rPr>
                <w:spacing w:val="-4"/>
                <w:lang w:val="en-GB"/>
              </w:rPr>
              <w:t>contributed to the growth of the index in 2</w:t>
            </w:r>
            <w:r w:rsidR="009B0676" w:rsidRPr="002133D5">
              <w:rPr>
                <w:spacing w:val="-4"/>
                <w:lang w:val="en-GB"/>
              </w:rPr>
              <w:t xml:space="preserve">017, </w:t>
            </w:r>
            <w:r w:rsidR="00CF56A8" w:rsidRPr="002133D5">
              <w:rPr>
                <w:spacing w:val="-4"/>
                <w:lang w:val="en-GB"/>
              </w:rPr>
              <w:t xml:space="preserve">increase of the prices of </w:t>
            </w:r>
            <w:r w:rsidR="0004442E" w:rsidRPr="002133D5">
              <w:rPr>
                <w:spacing w:val="-4"/>
                <w:lang w:val="en-GB"/>
              </w:rPr>
              <w:t xml:space="preserve">food </w:t>
            </w:r>
            <w:r w:rsidR="00CF56A8" w:rsidRPr="002133D5">
              <w:rPr>
                <w:spacing w:val="-4"/>
                <w:lang w:val="en-GB"/>
              </w:rPr>
              <w:t xml:space="preserve">products, beverages and tobacco by 2.6% was also significant. </w:t>
            </w:r>
            <w:r w:rsidR="006A683F" w:rsidRPr="002133D5">
              <w:rPr>
                <w:spacing w:val="-4"/>
                <w:lang w:val="en-GB"/>
              </w:rPr>
              <w:t xml:space="preserve">Raised prices of general metals and metal products by 5.3% also added to the increase considerably in 2017. </w:t>
            </w:r>
            <w:r w:rsidR="00946552" w:rsidRPr="002133D5">
              <w:rPr>
                <w:spacing w:val="-4"/>
                <w:lang w:val="en-GB"/>
              </w:rPr>
              <w:t xml:space="preserve">In contrast, the prices of transport </w:t>
            </w:r>
            <w:r w:rsidR="006A683F" w:rsidRPr="002133D5">
              <w:rPr>
                <w:spacing w:val="-4"/>
                <w:lang w:val="en-GB"/>
              </w:rPr>
              <w:t xml:space="preserve">equipment </w:t>
            </w:r>
            <w:r w:rsidR="00A9334B" w:rsidRPr="002133D5">
              <w:rPr>
                <w:spacing w:val="-4"/>
                <w:lang w:val="en-GB"/>
              </w:rPr>
              <w:t>were</w:t>
            </w:r>
            <w:r w:rsidR="00946552" w:rsidRPr="002133D5">
              <w:rPr>
                <w:spacing w:val="-4"/>
                <w:lang w:val="en-GB"/>
              </w:rPr>
              <w:t xml:space="preserve"> falling, by 2.2% for the whole year. </w:t>
            </w:r>
            <w:r w:rsidR="001D05E6" w:rsidRPr="002133D5">
              <w:rPr>
                <w:spacing w:val="-4"/>
                <w:lang w:val="en-GB"/>
              </w:rPr>
              <w:t xml:space="preserve">In Q4 itself, the prices of general metals and metal products were growing the most year-on-year </w:t>
            </w:r>
            <w:r w:rsidR="009B0676" w:rsidRPr="002133D5">
              <w:rPr>
                <w:spacing w:val="-4"/>
                <w:lang w:val="en-GB"/>
              </w:rPr>
              <w:t>(5</w:t>
            </w:r>
            <w:r w:rsidR="001D05E6" w:rsidRPr="002133D5">
              <w:rPr>
                <w:spacing w:val="-4"/>
                <w:lang w:val="en-GB"/>
              </w:rPr>
              <w:t>.</w:t>
            </w:r>
            <w:r w:rsidR="009B0676" w:rsidRPr="002133D5">
              <w:rPr>
                <w:spacing w:val="-4"/>
                <w:lang w:val="en-GB"/>
              </w:rPr>
              <w:t xml:space="preserve">1%). </w:t>
            </w:r>
            <w:r w:rsidR="000341F6" w:rsidRPr="002133D5">
              <w:rPr>
                <w:spacing w:val="-4"/>
                <w:lang w:val="en-GB"/>
              </w:rPr>
              <w:t xml:space="preserve">Thanks to a high weight in the index, </w:t>
            </w:r>
            <w:r w:rsidR="003301FD" w:rsidRPr="002133D5">
              <w:rPr>
                <w:spacing w:val="-4"/>
                <w:lang w:val="en-GB"/>
              </w:rPr>
              <w:t xml:space="preserve">the food products, beverages and tobacco also had a more notable contribution to the total growth </w:t>
            </w:r>
            <w:r w:rsidR="009B0676" w:rsidRPr="002133D5">
              <w:rPr>
                <w:spacing w:val="-4"/>
                <w:lang w:val="en-GB"/>
              </w:rPr>
              <w:t>(</w:t>
            </w:r>
            <w:r w:rsidR="003301FD" w:rsidRPr="002133D5">
              <w:rPr>
                <w:spacing w:val="-4"/>
                <w:lang w:val="en-GB"/>
              </w:rPr>
              <w:t xml:space="preserve">year-on-year growth </w:t>
            </w:r>
            <w:r w:rsidR="009B0676" w:rsidRPr="002133D5">
              <w:rPr>
                <w:spacing w:val="-4"/>
                <w:lang w:val="en-GB"/>
              </w:rPr>
              <w:t>2</w:t>
            </w:r>
            <w:r w:rsidR="003301FD" w:rsidRPr="002133D5">
              <w:rPr>
                <w:spacing w:val="-4"/>
                <w:lang w:val="en-GB"/>
              </w:rPr>
              <w:t>.</w:t>
            </w:r>
            <w:r w:rsidR="009B0676" w:rsidRPr="002133D5">
              <w:rPr>
                <w:spacing w:val="-4"/>
                <w:lang w:val="en-GB"/>
              </w:rPr>
              <w:t>2%</w:t>
            </w:r>
            <w:r w:rsidR="000B7A90" w:rsidRPr="002133D5">
              <w:rPr>
                <w:spacing w:val="-4"/>
                <w:lang w:val="en-GB"/>
              </w:rPr>
              <w:t xml:space="preserve"> </w:t>
            </w:r>
            <w:r w:rsidR="003301FD" w:rsidRPr="002133D5">
              <w:rPr>
                <w:spacing w:val="-4"/>
                <w:lang w:val="en-GB"/>
              </w:rPr>
              <w:t>in Q4</w:t>
            </w:r>
            <w:r w:rsidR="009B0676" w:rsidRPr="002133D5">
              <w:rPr>
                <w:spacing w:val="-4"/>
                <w:lang w:val="en-GB"/>
              </w:rPr>
              <w:t xml:space="preserve">, </w:t>
            </w:r>
            <w:r w:rsidR="003301FD" w:rsidRPr="002133D5">
              <w:rPr>
                <w:spacing w:val="-4"/>
                <w:lang w:val="en-GB"/>
              </w:rPr>
              <w:t>slowdown compared to the previous quarters</w:t>
            </w:r>
            <w:r w:rsidR="009B0676" w:rsidRPr="002133D5">
              <w:rPr>
                <w:spacing w:val="-4"/>
                <w:lang w:val="en-GB"/>
              </w:rPr>
              <w:t xml:space="preserve">). </w:t>
            </w:r>
            <w:r w:rsidR="00392B9E" w:rsidRPr="002133D5">
              <w:rPr>
                <w:spacing w:val="-4"/>
                <w:lang w:val="en-GB"/>
              </w:rPr>
              <w:t xml:space="preserve">Prices of transport equipment worked in the direction of fall, by 3.4% in Q4 and also the prices of </w:t>
            </w:r>
            <w:r w:rsidR="003301FD" w:rsidRPr="002133D5">
              <w:rPr>
                <w:spacing w:val="-4"/>
                <w:lang w:val="en-GB"/>
              </w:rPr>
              <w:t>electricity, and</w:t>
            </w:r>
            <w:r w:rsidR="00392B9E" w:rsidRPr="002133D5">
              <w:rPr>
                <w:spacing w:val="-4"/>
                <w:lang w:val="en-GB"/>
              </w:rPr>
              <w:t xml:space="preserve"> gas, steam and air condi</w:t>
            </w:r>
            <w:r w:rsidR="003301FD" w:rsidRPr="002133D5">
              <w:rPr>
                <w:spacing w:val="-4"/>
                <w:lang w:val="en-GB"/>
              </w:rPr>
              <w:t xml:space="preserve">tioning supply, which were falling the last four years.  </w:t>
            </w:r>
          </w:p>
        </w:tc>
      </w:tr>
      <w:tr w:rsidR="009B0676" w:rsidRPr="00F81A26" w:rsidTr="006C3DC1">
        <w:tc>
          <w:tcPr>
            <w:tcW w:w="1015" w:type="pct"/>
          </w:tcPr>
          <w:p w:rsidR="009B0676" w:rsidRPr="00425612" w:rsidRDefault="00425612" w:rsidP="006E4368">
            <w:pPr>
              <w:spacing w:line="240" w:lineRule="auto"/>
              <w:ind w:right="-19"/>
              <w:rPr>
                <w:spacing w:val="-4"/>
                <w:sz w:val="16"/>
                <w:szCs w:val="16"/>
                <w:lang w:val="en-GB"/>
              </w:rPr>
            </w:pPr>
            <w:r w:rsidRPr="00425612">
              <w:rPr>
                <w:spacing w:val="-4"/>
                <w:sz w:val="16"/>
                <w:szCs w:val="16"/>
                <w:lang w:val="en-GB"/>
              </w:rPr>
              <w:lastRenderedPageBreak/>
              <w:t xml:space="preserve">Growth of producer prices reached 3.5% in the EU.  </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Pr="002133D5" w:rsidRDefault="0076290D" w:rsidP="006E4368">
            <w:pPr>
              <w:pStyle w:val="Textpoznpodarou"/>
              <w:ind w:right="-35"/>
              <w:jc w:val="both"/>
              <w:rPr>
                <w:spacing w:val="-4"/>
                <w:sz w:val="16"/>
                <w:szCs w:val="16"/>
                <w:lang w:val="en-GB"/>
              </w:rPr>
            </w:pPr>
            <w:r w:rsidRPr="002133D5">
              <w:rPr>
                <w:spacing w:val="-4"/>
                <w:lang w:val="en-GB"/>
              </w:rPr>
              <w:t>Gradual slowdown of the growth of prices of industrial producers did not avoid even</w:t>
            </w:r>
            <w:r w:rsidR="0004442E" w:rsidRPr="002133D5">
              <w:rPr>
                <w:spacing w:val="-4"/>
                <w:lang w:val="en-GB"/>
              </w:rPr>
              <w:t xml:space="preserve"> </w:t>
            </w:r>
            <w:r w:rsidRPr="002133D5">
              <w:rPr>
                <w:spacing w:val="-4"/>
                <w:lang w:val="en-GB"/>
              </w:rPr>
              <w:t xml:space="preserve">the European Union </w:t>
            </w:r>
            <w:r w:rsidR="00D26E27" w:rsidRPr="002133D5">
              <w:rPr>
                <w:spacing w:val="-4"/>
                <w:lang w:val="en-GB"/>
              </w:rPr>
              <w:t>(EU28)</w:t>
            </w:r>
            <w:r w:rsidR="009B0676" w:rsidRPr="002133D5">
              <w:rPr>
                <w:spacing w:val="-4"/>
                <w:lang w:val="en-GB"/>
              </w:rPr>
              <w:t xml:space="preserve">. </w:t>
            </w:r>
            <w:r w:rsidRPr="002133D5">
              <w:rPr>
                <w:spacing w:val="-4"/>
                <w:lang w:val="en-GB"/>
              </w:rPr>
              <w:t>Industrial producer index here increased by 3.</w:t>
            </w:r>
            <w:r w:rsidR="007430BF" w:rsidRPr="002133D5">
              <w:rPr>
                <w:spacing w:val="-4"/>
                <w:lang w:val="en-GB"/>
              </w:rPr>
              <w:t>6%</w:t>
            </w:r>
            <w:r w:rsidRPr="002133D5">
              <w:rPr>
                <w:spacing w:val="-4"/>
                <w:lang w:val="en-GB"/>
              </w:rPr>
              <w:t xml:space="preserve"> in 2017. </w:t>
            </w:r>
            <w:r w:rsidR="007430BF" w:rsidRPr="002133D5">
              <w:rPr>
                <w:spacing w:val="-4"/>
                <w:lang w:val="en-GB"/>
              </w:rPr>
              <w:t xml:space="preserve">While the growth of prices reached 5.0% in Q1, it was 2.9% year-on-year in the last quarter. The index grew the fastest in Belgium </w:t>
            </w:r>
            <w:r w:rsidR="009B0676" w:rsidRPr="002133D5">
              <w:rPr>
                <w:spacing w:val="-4"/>
              </w:rPr>
              <w:t>(</w:t>
            </w:r>
            <w:r w:rsidR="00D26E27" w:rsidRPr="002133D5">
              <w:rPr>
                <w:spacing w:val="-4"/>
                <w:lang w:val="en-GB"/>
              </w:rPr>
              <w:t>8</w:t>
            </w:r>
            <w:r w:rsidR="007430BF" w:rsidRPr="002133D5">
              <w:rPr>
                <w:spacing w:val="-4"/>
                <w:lang w:val="en-GB"/>
              </w:rPr>
              <w:t>.</w:t>
            </w:r>
            <w:r w:rsidR="009B0676" w:rsidRPr="002133D5">
              <w:rPr>
                <w:spacing w:val="-4"/>
                <w:lang w:val="en-GB"/>
              </w:rPr>
              <w:t xml:space="preserve">9%), </w:t>
            </w:r>
            <w:r w:rsidR="007430BF" w:rsidRPr="002133D5">
              <w:rPr>
                <w:spacing w:val="-4"/>
                <w:lang w:val="en-GB"/>
              </w:rPr>
              <w:t xml:space="preserve">Great Britain </w:t>
            </w:r>
            <w:r w:rsidR="009B0676" w:rsidRPr="002133D5">
              <w:rPr>
                <w:spacing w:val="-4"/>
                <w:lang w:val="en-GB"/>
              </w:rPr>
              <w:t>(6</w:t>
            </w:r>
            <w:r w:rsidR="007430BF" w:rsidRPr="002133D5">
              <w:rPr>
                <w:spacing w:val="-4"/>
                <w:lang w:val="en-GB"/>
              </w:rPr>
              <w:t>.</w:t>
            </w:r>
            <w:r w:rsidR="009B0676" w:rsidRPr="002133D5">
              <w:rPr>
                <w:spacing w:val="-4"/>
                <w:lang w:val="en-GB"/>
              </w:rPr>
              <w:t>2%)</w:t>
            </w:r>
            <w:r w:rsidR="003E7F69" w:rsidRPr="002133D5">
              <w:rPr>
                <w:spacing w:val="-4"/>
                <w:lang w:val="en-GB"/>
              </w:rPr>
              <w:t xml:space="preserve"> a</w:t>
            </w:r>
            <w:r w:rsidR="007430BF" w:rsidRPr="002133D5">
              <w:rPr>
                <w:spacing w:val="-4"/>
                <w:lang w:val="en-GB"/>
              </w:rPr>
              <w:t xml:space="preserve">nd Poland </w:t>
            </w:r>
            <w:r w:rsidR="009B0676" w:rsidRPr="002133D5">
              <w:rPr>
                <w:spacing w:val="-4"/>
                <w:lang w:val="en-GB"/>
              </w:rPr>
              <w:t>(</w:t>
            </w:r>
            <w:r w:rsidR="00D26E27" w:rsidRPr="002133D5">
              <w:rPr>
                <w:spacing w:val="-4"/>
                <w:lang w:val="en-GB"/>
              </w:rPr>
              <w:t>4</w:t>
            </w:r>
            <w:r w:rsidR="007430BF" w:rsidRPr="002133D5">
              <w:rPr>
                <w:spacing w:val="-4"/>
                <w:lang w:val="en-GB"/>
              </w:rPr>
              <w:t>.</w:t>
            </w:r>
            <w:r w:rsidR="001520AF" w:rsidRPr="002133D5">
              <w:rPr>
                <w:spacing w:val="-4"/>
                <w:lang w:val="en-GB"/>
              </w:rPr>
              <w:t>7</w:t>
            </w:r>
            <w:r w:rsidR="009B0676" w:rsidRPr="002133D5">
              <w:rPr>
                <w:spacing w:val="-4"/>
                <w:lang w:val="en-GB"/>
              </w:rPr>
              <w:t>%)</w:t>
            </w:r>
            <w:r w:rsidR="007430BF" w:rsidRPr="002133D5">
              <w:rPr>
                <w:spacing w:val="-4"/>
                <w:lang w:val="en-GB"/>
              </w:rPr>
              <w:t xml:space="preserve"> in 2017</w:t>
            </w:r>
            <w:r w:rsidR="009B0676" w:rsidRPr="002133D5">
              <w:rPr>
                <w:spacing w:val="-4"/>
                <w:lang w:val="en-GB"/>
              </w:rPr>
              <w:t xml:space="preserve">. </w:t>
            </w:r>
            <w:r w:rsidR="007430BF" w:rsidRPr="002133D5">
              <w:rPr>
                <w:spacing w:val="-4"/>
                <w:lang w:val="en-GB"/>
              </w:rPr>
              <w:t>The Czech Republic belonged among countries with the lowest growth of the industrial producer</w:t>
            </w:r>
            <w:r w:rsidR="001350B3" w:rsidRPr="002133D5">
              <w:rPr>
                <w:spacing w:val="-4"/>
                <w:lang w:val="en-GB"/>
              </w:rPr>
              <w:t xml:space="preserve"> prices</w:t>
            </w:r>
            <w:r w:rsidR="007430BF" w:rsidRPr="002133D5">
              <w:rPr>
                <w:spacing w:val="-4"/>
                <w:lang w:val="en-GB"/>
              </w:rPr>
              <w:t xml:space="preserve">. The prices grew slower only in Luxembourg </w:t>
            </w:r>
            <w:r w:rsidR="009B0676" w:rsidRPr="002133D5">
              <w:rPr>
                <w:spacing w:val="-4"/>
                <w:lang w:val="en-GB"/>
              </w:rPr>
              <w:t>(-</w:t>
            </w:r>
            <w:r w:rsidR="001520AF" w:rsidRPr="002133D5">
              <w:rPr>
                <w:spacing w:val="-4"/>
                <w:lang w:val="en-GB"/>
              </w:rPr>
              <w:t>1</w:t>
            </w:r>
            <w:r w:rsidR="007430BF" w:rsidRPr="002133D5">
              <w:rPr>
                <w:spacing w:val="-4"/>
                <w:lang w:val="en-GB"/>
              </w:rPr>
              <w:t>.</w:t>
            </w:r>
            <w:r w:rsidR="009B0676" w:rsidRPr="002133D5">
              <w:rPr>
                <w:spacing w:val="-4"/>
                <w:lang w:val="en-GB"/>
              </w:rPr>
              <w:t xml:space="preserve">9%), </w:t>
            </w:r>
            <w:r w:rsidR="007430BF" w:rsidRPr="002133D5">
              <w:rPr>
                <w:spacing w:val="-4"/>
                <w:lang w:val="en-GB"/>
              </w:rPr>
              <w:t>Malta (</w:t>
            </w:r>
            <w:r w:rsidR="009B0676" w:rsidRPr="002133D5">
              <w:rPr>
                <w:spacing w:val="-4"/>
                <w:lang w:val="en-GB"/>
              </w:rPr>
              <w:t>0</w:t>
            </w:r>
            <w:r w:rsidR="007430BF" w:rsidRPr="002133D5">
              <w:rPr>
                <w:spacing w:val="-4"/>
                <w:lang w:val="en-GB"/>
              </w:rPr>
              <w:t>.</w:t>
            </w:r>
            <w:r w:rsidR="001520AF" w:rsidRPr="002133D5">
              <w:rPr>
                <w:spacing w:val="-4"/>
                <w:lang w:val="en-GB"/>
              </w:rPr>
              <w:t>7</w:t>
            </w:r>
            <w:r w:rsidR="009B0676" w:rsidRPr="002133D5">
              <w:rPr>
                <w:spacing w:val="-4"/>
                <w:lang w:val="en-GB"/>
              </w:rPr>
              <w:t>%) a</w:t>
            </w:r>
            <w:r w:rsidR="007430BF" w:rsidRPr="002133D5">
              <w:rPr>
                <w:spacing w:val="-4"/>
                <w:lang w:val="en-GB"/>
              </w:rPr>
              <w:t>nd Slovenia (</w:t>
            </w:r>
            <w:r w:rsidR="009B0676" w:rsidRPr="002133D5">
              <w:rPr>
                <w:spacing w:val="-4"/>
                <w:lang w:val="en-GB"/>
              </w:rPr>
              <w:t>1</w:t>
            </w:r>
            <w:r w:rsidR="007430BF" w:rsidRPr="002133D5">
              <w:rPr>
                <w:spacing w:val="-4"/>
                <w:lang w:val="en-GB"/>
              </w:rPr>
              <w:t>.</w:t>
            </w:r>
            <w:r w:rsidR="009B0676" w:rsidRPr="002133D5">
              <w:rPr>
                <w:spacing w:val="-4"/>
                <w:lang w:val="en-GB"/>
              </w:rPr>
              <w:t>3%)</w:t>
            </w:r>
            <w:r w:rsidR="007430BF" w:rsidRPr="002133D5">
              <w:rPr>
                <w:spacing w:val="-4"/>
                <w:lang w:val="en-GB"/>
              </w:rPr>
              <w:t xml:space="preserve"> in 2017</w:t>
            </w:r>
            <w:r w:rsidR="009B0676" w:rsidRPr="002133D5">
              <w:rPr>
                <w:spacing w:val="-4"/>
                <w:lang w:val="en-GB"/>
              </w:rPr>
              <w:t>.</w:t>
            </w:r>
          </w:p>
          <w:p w:rsidR="009B0676" w:rsidRPr="002133D5" w:rsidRDefault="009B0676" w:rsidP="006E4368">
            <w:pPr>
              <w:pStyle w:val="Textpoznpodarou"/>
              <w:ind w:right="-35"/>
              <w:jc w:val="both"/>
              <w:rPr>
                <w:spacing w:val="-4"/>
                <w:sz w:val="16"/>
                <w:szCs w:val="16"/>
              </w:rPr>
            </w:pPr>
          </w:p>
        </w:tc>
      </w:tr>
      <w:tr w:rsidR="00DD0726" w:rsidRPr="00F81A26" w:rsidTr="006C3DC1">
        <w:tc>
          <w:tcPr>
            <w:tcW w:w="1015" w:type="pct"/>
          </w:tcPr>
          <w:p w:rsidR="00DD0726" w:rsidRPr="00F81A26" w:rsidRDefault="00DD0726" w:rsidP="006C3DC1">
            <w:pPr>
              <w:spacing w:line="240" w:lineRule="auto"/>
              <w:ind w:right="-19"/>
              <w:jc w:val="center"/>
              <w:rPr>
                <w:spacing w:val="-4"/>
                <w:szCs w:val="20"/>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CF56A8" w:rsidP="006C3DC1">
            <w:pPr>
              <w:pStyle w:val="Textpoznpodarou"/>
              <w:ind w:right="-35"/>
              <w:jc w:val="both"/>
              <w:rPr>
                <w:spacing w:val="-4"/>
              </w:rPr>
            </w:pPr>
            <w:r>
              <w:rPr>
                <w:spacing w:val="-4"/>
              </w:rPr>
              <w:t>Chart 13</w:t>
            </w:r>
          </w:p>
        </w:tc>
        <w:tc>
          <w:tcPr>
            <w:tcW w:w="3261" w:type="pct"/>
          </w:tcPr>
          <w:p w:rsidR="00DD0726" w:rsidRPr="007430BF" w:rsidRDefault="007430BF" w:rsidP="006C3DC1">
            <w:pPr>
              <w:pStyle w:val="Textpoznpodarou"/>
              <w:ind w:right="-35"/>
              <w:rPr>
                <w:spacing w:val="-4"/>
                <w:lang w:val="en-GB"/>
              </w:rPr>
            </w:pPr>
            <w:r w:rsidRPr="007430BF">
              <w:rPr>
                <w:b/>
                <w:spacing w:val="-4"/>
                <w:lang w:val="en-GB" w:eastAsia="en-US"/>
              </w:rPr>
              <w:t xml:space="preserve">Prices of main groups of industrial producers </w:t>
            </w:r>
            <w:r w:rsidR="00DD0726" w:rsidRPr="007430BF">
              <w:rPr>
                <w:spacing w:val="-4"/>
                <w:lang w:val="en-GB" w:eastAsia="en-US"/>
              </w:rPr>
              <w:t>(</w:t>
            </w:r>
            <w:r w:rsidRPr="007430BF">
              <w:rPr>
                <w:spacing w:val="-4"/>
                <w:lang w:val="en-GB" w:eastAsia="en-US"/>
              </w:rPr>
              <w:t>year-on-</w:t>
            </w:r>
            <w:r w:rsidR="001350B3">
              <w:rPr>
                <w:spacing w:val="-4"/>
                <w:lang w:val="en-GB" w:eastAsia="en-US"/>
              </w:rPr>
              <w:t>y</w:t>
            </w:r>
            <w:r w:rsidRPr="007430BF">
              <w:rPr>
                <w:spacing w:val="-4"/>
                <w:lang w:val="en-GB" w:eastAsia="en-US"/>
              </w:rPr>
              <w:t xml:space="preserve">ear change, in </w:t>
            </w:r>
            <w:r w:rsidR="00DD0726" w:rsidRPr="007430BF">
              <w:rPr>
                <w:spacing w:val="-4"/>
                <w:lang w:val="en-GB" w:eastAsia="en-US"/>
              </w:rPr>
              <w:t xml:space="preserve">%, </w:t>
            </w:r>
            <w:r w:rsidRPr="007430BF">
              <w:rPr>
                <w:spacing w:val="-4"/>
                <w:lang w:val="en-GB" w:eastAsia="en-US"/>
              </w:rPr>
              <w:t>based on CZ-CPA classification</w:t>
            </w:r>
            <w:r w:rsidR="00DD0726" w:rsidRPr="007430BF">
              <w:rPr>
                <w:spacing w:val="-4"/>
                <w:lang w:val="en-GB" w:eastAsia="en-US"/>
              </w:rPr>
              <w:t>)</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BD345F" w:rsidP="006C3DC1">
            <w:pPr>
              <w:pStyle w:val="Textpoznpodarou"/>
              <w:ind w:left="-54" w:right="-35"/>
              <w:jc w:val="both"/>
              <w:rPr>
                <w:spacing w:val="-4"/>
              </w:rPr>
            </w:pPr>
            <w:r w:rsidRPr="00BD345F">
              <w:rPr>
                <w:noProof/>
                <w:spacing w:val="-4"/>
              </w:rPr>
              <w:drawing>
                <wp:inline distT="0" distB="0" distL="0" distR="0">
                  <wp:extent cx="4735902" cy="3420000"/>
                  <wp:effectExtent l="0" t="0" r="0"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0726" w:rsidRDefault="00185D56" w:rsidP="006C3DC1">
            <w:pPr>
              <w:pStyle w:val="Textpoznpodarou"/>
              <w:ind w:left="-54" w:right="-35"/>
              <w:jc w:val="right"/>
              <w:rPr>
                <w:spacing w:val="-4"/>
                <w:sz w:val="14"/>
                <w:szCs w:val="14"/>
              </w:rPr>
            </w:pPr>
            <w:r>
              <w:rPr>
                <w:spacing w:val="-4"/>
                <w:sz w:val="14"/>
                <w:szCs w:val="14"/>
              </w:rPr>
              <w:t>Source</w:t>
            </w:r>
            <w:r w:rsidR="00DD0726" w:rsidRPr="00F81A26">
              <w:rPr>
                <w:spacing w:val="-4"/>
                <w:sz w:val="14"/>
                <w:szCs w:val="14"/>
              </w:rPr>
              <w:t xml:space="preserve">: </w:t>
            </w:r>
            <w:r>
              <w:rPr>
                <w:spacing w:val="-4"/>
                <w:sz w:val="14"/>
                <w:szCs w:val="14"/>
              </w:rPr>
              <w:t>CZSO</w:t>
            </w:r>
          </w:p>
          <w:p w:rsidR="00DD0726" w:rsidRPr="00F81A26" w:rsidRDefault="00DD0726" w:rsidP="006C3DC1">
            <w:pPr>
              <w:pStyle w:val="Textpoznpodarou"/>
              <w:ind w:left="-54" w:right="-35"/>
              <w:jc w:val="right"/>
              <w:rPr>
                <w:spacing w:val="-4"/>
                <w:sz w:val="14"/>
                <w:szCs w:val="14"/>
              </w:rPr>
            </w:pPr>
          </w:p>
        </w:tc>
      </w:tr>
      <w:tr w:rsidR="009B0676" w:rsidRPr="00F81A26" w:rsidTr="006C3DC1">
        <w:tc>
          <w:tcPr>
            <w:tcW w:w="1015" w:type="pct"/>
          </w:tcPr>
          <w:p w:rsidR="009B0676" w:rsidRPr="00B05A37" w:rsidRDefault="00B05A37" w:rsidP="006E4368">
            <w:pPr>
              <w:spacing w:line="240" w:lineRule="auto"/>
              <w:ind w:right="-19"/>
              <w:rPr>
                <w:spacing w:val="-4"/>
                <w:sz w:val="16"/>
                <w:szCs w:val="16"/>
                <w:lang w:val="en-GB"/>
              </w:rPr>
            </w:pPr>
            <w:r w:rsidRPr="00B05A37">
              <w:rPr>
                <w:spacing w:val="-4"/>
                <w:sz w:val="16"/>
                <w:szCs w:val="16"/>
                <w:lang w:val="en-GB"/>
              </w:rPr>
              <w:t>Agriculture producer prices grew the most out of the monitored price indices.</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Pr="002133D5" w:rsidRDefault="00B05A37" w:rsidP="006E4368">
            <w:pPr>
              <w:pStyle w:val="Textpoznpodarou"/>
              <w:ind w:right="-35"/>
              <w:jc w:val="both"/>
              <w:rPr>
                <w:spacing w:val="-4"/>
                <w:sz w:val="16"/>
                <w:szCs w:val="16"/>
                <w:lang w:val="en-GB"/>
              </w:rPr>
            </w:pPr>
            <w:r w:rsidRPr="002133D5">
              <w:rPr>
                <w:spacing w:val="-4"/>
                <w:lang w:val="en-GB"/>
              </w:rPr>
              <w:t>Prices of agricultural producers grew by 7.3% in 2017. It is the most since 2011. At the same time, it represents a significant change against the falls in years 2014-2016. The price dynamics reached its peak in Q3, but the year-on-year increase arrived at relatively high value of 8.</w:t>
            </w:r>
            <w:r w:rsidR="00B17335" w:rsidRPr="002133D5">
              <w:rPr>
                <w:spacing w:val="-4"/>
                <w:lang w:val="en-GB"/>
              </w:rPr>
              <w:t>0</w:t>
            </w:r>
            <w:r w:rsidRPr="002133D5">
              <w:rPr>
                <w:spacing w:val="-4"/>
                <w:lang w:val="en-GB"/>
              </w:rPr>
              <w:t xml:space="preserve">% also, in the last quarter. Prices grew in both animal and plant production. In plant production, they increased by 1.7% in 2017. Increase of the prices of fruit and vegetables by 6.3% contributed (price index excluding vegetables rose only by 1.1%). </w:t>
            </w:r>
            <w:r w:rsidR="009B0676" w:rsidRPr="002133D5">
              <w:rPr>
                <w:spacing w:val="-4"/>
                <w:lang w:val="en-GB"/>
              </w:rPr>
              <w:t xml:space="preserve"> </w:t>
            </w:r>
            <w:r w:rsidR="0032330F" w:rsidRPr="002133D5">
              <w:rPr>
                <w:spacing w:val="-4"/>
                <w:lang w:val="en-GB"/>
              </w:rPr>
              <w:t xml:space="preserve">However, a turn also occurred with the development of prices of cereals (growth by 1.7%), especially wheat </w:t>
            </w:r>
            <w:r w:rsidR="009B0676" w:rsidRPr="002133D5">
              <w:rPr>
                <w:spacing w:val="-4"/>
                <w:lang w:val="en-GB"/>
              </w:rPr>
              <w:t>(3</w:t>
            </w:r>
            <w:r w:rsidR="0032330F" w:rsidRPr="002133D5">
              <w:rPr>
                <w:spacing w:val="-4"/>
                <w:lang w:val="en-GB"/>
              </w:rPr>
              <w:t>.</w:t>
            </w:r>
            <w:r w:rsidR="009B0676" w:rsidRPr="002133D5">
              <w:rPr>
                <w:spacing w:val="-4"/>
                <w:lang w:val="en-GB"/>
              </w:rPr>
              <w:t>0%) a</w:t>
            </w:r>
            <w:r w:rsidR="0032330F" w:rsidRPr="002133D5">
              <w:rPr>
                <w:spacing w:val="-4"/>
                <w:lang w:val="en-GB"/>
              </w:rPr>
              <w:t xml:space="preserve">nd rye </w:t>
            </w:r>
            <w:r w:rsidR="009B0676" w:rsidRPr="002133D5">
              <w:rPr>
                <w:spacing w:val="-4"/>
                <w:lang w:val="en-GB"/>
              </w:rPr>
              <w:t>(2</w:t>
            </w:r>
            <w:r w:rsidR="0032330F" w:rsidRPr="002133D5">
              <w:rPr>
                <w:spacing w:val="-4"/>
                <w:lang w:val="en-GB"/>
              </w:rPr>
              <w:t>.</w:t>
            </w:r>
            <w:r w:rsidR="00323486" w:rsidRPr="002133D5">
              <w:rPr>
                <w:spacing w:val="-4"/>
                <w:lang w:val="en-GB"/>
              </w:rPr>
              <w:t>3</w:t>
            </w:r>
            <w:r w:rsidR="009B0676" w:rsidRPr="002133D5">
              <w:rPr>
                <w:spacing w:val="-4"/>
                <w:lang w:val="en-GB"/>
              </w:rPr>
              <w:t xml:space="preserve">%). </w:t>
            </w:r>
            <w:r w:rsidR="0032330F" w:rsidRPr="002133D5">
              <w:rPr>
                <w:spacing w:val="-4"/>
                <w:lang w:val="en-GB"/>
              </w:rPr>
              <w:t xml:space="preserve">Prices of oil plants increased after four years of declines </w:t>
            </w:r>
            <w:r w:rsidR="009B0676" w:rsidRPr="002133D5">
              <w:rPr>
                <w:spacing w:val="-4"/>
                <w:lang w:val="en-GB"/>
              </w:rPr>
              <w:t>(</w:t>
            </w:r>
            <w:r w:rsidR="00323486" w:rsidRPr="002133D5">
              <w:rPr>
                <w:spacing w:val="-4"/>
                <w:lang w:val="en-GB"/>
              </w:rPr>
              <w:t>4</w:t>
            </w:r>
            <w:r w:rsidR="0032330F" w:rsidRPr="002133D5">
              <w:rPr>
                <w:spacing w:val="-4"/>
                <w:lang w:val="en-GB"/>
              </w:rPr>
              <w:t>.</w:t>
            </w:r>
            <w:r w:rsidR="00323486" w:rsidRPr="002133D5">
              <w:rPr>
                <w:spacing w:val="-4"/>
                <w:lang w:val="en-GB"/>
              </w:rPr>
              <w:t>1</w:t>
            </w:r>
            <w:r w:rsidR="009B0676" w:rsidRPr="002133D5">
              <w:rPr>
                <w:spacing w:val="-4"/>
                <w:lang w:val="en-GB"/>
              </w:rPr>
              <w:t xml:space="preserve">%). </w:t>
            </w:r>
            <w:r w:rsidR="001F3D52" w:rsidRPr="002133D5">
              <w:rPr>
                <w:spacing w:val="-4"/>
                <w:lang w:val="en-GB"/>
              </w:rPr>
              <w:t>The acceleration of the growth of prices of oilseed rape contributed 4.</w:t>
            </w:r>
            <w:r w:rsidR="009B0676" w:rsidRPr="002133D5">
              <w:rPr>
                <w:spacing w:val="-4"/>
                <w:lang w:val="en-GB"/>
              </w:rPr>
              <w:t xml:space="preserve">4%. </w:t>
            </w:r>
            <w:r w:rsidR="001F3D52" w:rsidRPr="002133D5">
              <w:rPr>
                <w:spacing w:val="-4"/>
                <w:lang w:val="en-GB"/>
              </w:rPr>
              <w:t xml:space="preserve">Animal production added to the total growth of the agricultural products more </w:t>
            </w:r>
            <w:r w:rsidR="009B0676" w:rsidRPr="002133D5">
              <w:rPr>
                <w:spacing w:val="-4"/>
                <w:lang w:val="en-GB"/>
              </w:rPr>
              <w:t>(</w:t>
            </w:r>
            <w:r w:rsidR="001F3D52" w:rsidRPr="002133D5">
              <w:rPr>
                <w:spacing w:val="-4"/>
                <w:lang w:val="en-GB"/>
              </w:rPr>
              <w:t xml:space="preserve">increase of </w:t>
            </w:r>
            <w:r w:rsidR="009B0676" w:rsidRPr="002133D5">
              <w:rPr>
                <w:spacing w:val="-4"/>
                <w:lang w:val="en-GB"/>
              </w:rPr>
              <w:t>1</w:t>
            </w:r>
            <w:r w:rsidR="00323486" w:rsidRPr="002133D5">
              <w:rPr>
                <w:spacing w:val="-4"/>
                <w:lang w:val="en-GB"/>
              </w:rPr>
              <w:t>5</w:t>
            </w:r>
            <w:r w:rsidR="001F3D52" w:rsidRPr="002133D5">
              <w:rPr>
                <w:spacing w:val="-4"/>
                <w:lang w:val="en-GB"/>
              </w:rPr>
              <w:t>.2</w:t>
            </w:r>
            <w:r w:rsidR="009B0676" w:rsidRPr="002133D5">
              <w:rPr>
                <w:spacing w:val="-4"/>
                <w:lang w:val="en-GB"/>
              </w:rPr>
              <w:t xml:space="preserve">%). </w:t>
            </w:r>
            <w:r w:rsidR="005177BB" w:rsidRPr="002133D5">
              <w:rPr>
                <w:spacing w:val="-4"/>
                <w:lang w:val="en-GB"/>
              </w:rPr>
              <w:t xml:space="preserve">Increase of prices of </w:t>
            </w:r>
            <w:r w:rsidR="000A1A47" w:rsidRPr="002133D5">
              <w:rPr>
                <w:spacing w:val="-4"/>
                <w:lang w:val="en-GB"/>
              </w:rPr>
              <w:t xml:space="preserve">livestock participated by </w:t>
            </w:r>
            <w:r w:rsidR="00323486" w:rsidRPr="002133D5">
              <w:rPr>
                <w:spacing w:val="-4"/>
                <w:lang w:val="en-GB"/>
              </w:rPr>
              <w:t>4</w:t>
            </w:r>
            <w:r w:rsidR="000A1A47" w:rsidRPr="002133D5">
              <w:rPr>
                <w:spacing w:val="-4"/>
                <w:lang w:val="en-GB"/>
              </w:rPr>
              <w:t>.</w:t>
            </w:r>
            <w:r w:rsidR="00323486" w:rsidRPr="002133D5">
              <w:rPr>
                <w:spacing w:val="-4"/>
                <w:lang w:val="en-GB"/>
              </w:rPr>
              <w:t>9</w:t>
            </w:r>
            <w:r w:rsidR="009B0676" w:rsidRPr="002133D5">
              <w:rPr>
                <w:spacing w:val="-4"/>
                <w:lang w:val="en-GB"/>
              </w:rPr>
              <w:t>% (</w:t>
            </w:r>
            <w:r w:rsidR="000A1A47" w:rsidRPr="002133D5">
              <w:rPr>
                <w:spacing w:val="-4"/>
                <w:lang w:val="en-GB"/>
              </w:rPr>
              <w:t xml:space="preserve">especially pigs and piglets by 11.2%). However, the increase of prices of animal products by 25.4% was the strongest impulse. Prices of milk rose by 25.8%, prices of eggs by 23.0%. </w:t>
            </w:r>
          </w:p>
          <w:p w:rsidR="009B0676" w:rsidRPr="002133D5" w:rsidRDefault="009B0676" w:rsidP="006E4368">
            <w:pPr>
              <w:pStyle w:val="Textpoznpodarou"/>
              <w:ind w:right="-35"/>
              <w:jc w:val="both"/>
              <w:rPr>
                <w:spacing w:val="-4"/>
                <w:sz w:val="16"/>
                <w:szCs w:val="16"/>
              </w:rPr>
            </w:pPr>
          </w:p>
        </w:tc>
      </w:tr>
      <w:tr w:rsidR="009B0676" w:rsidRPr="00F81A26" w:rsidTr="006C3DC1">
        <w:tc>
          <w:tcPr>
            <w:tcW w:w="1015" w:type="pct"/>
          </w:tcPr>
          <w:p w:rsidR="009B0676" w:rsidRPr="00652CF0" w:rsidRDefault="00652CF0" w:rsidP="006E4368">
            <w:pPr>
              <w:spacing w:line="240" w:lineRule="auto"/>
              <w:ind w:right="-19"/>
              <w:rPr>
                <w:spacing w:val="-4"/>
                <w:sz w:val="16"/>
                <w:szCs w:val="16"/>
                <w:lang w:val="en-GB"/>
              </w:rPr>
            </w:pPr>
            <w:r>
              <w:rPr>
                <w:spacing w:val="-4"/>
                <w:sz w:val="16"/>
                <w:szCs w:val="16"/>
                <w:lang w:val="en-GB"/>
              </w:rPr>
              <w:t xml:space="preserve">Market services in the price area recorded recovery. Total growth reached </w:t>
            </w:r>
            <w:r w:rsidR="009B0676" w:rsidRPr="00652CF0">
              <w:rPr>
                <w:spacing w:val="-4"/>
                <w:sz w:val="16"/>
                <w:szCs w:val="16"/>
                <w:lang w:val="en-GB"/>
              </w:rPr>
              <w:t>1</w:t>
            </w:r>
            <w:r>
              <w:rPr>
                <w:spacing w:val="-4"/>
                <w:sz w:val="16"/>
                <w:szCs w:val="16"/>
                <w:lang w:val="en-GB"/>
              </w:rPr>
              <w:t>.</w:t>
            </w:r>
            <w:r w:rsidR="009B0676" w:rsidRPr="00652CF0">
              <w:rPr>
                <w:spacing w:val="-4"/>
                <w:sz w:val="16"/>
                <w:szCs w:val="16"/>
                <w:lang w:val="en-GB"/>
              </w:rPr>
              <w:t>3%.</w:t>
            </w:r>
          </w:p>
        </w:tc>
        <w:tc>
          <w:tcPr>
            <w:tcW w:w="144" w:type="pct"/>
          </w:tcPr>
          <w:p w:rsidR="009B0676" w:rsidRPr="00652CF0" w:rsidRDefault="009B0676" w:rsidP="006E4368">
            <w:pPr>
              <w:pStyle w:val="Textpoznpodarou"/>
              <w:jc w:val="both"/>
              <w:rPr>
                <w:spacing w:val="-4"/>
                <w:lang w:val="en-GB"/>
              </w:rPr>
            </w:pPr>
          </w:p>
        </w:tc>
        <w:tc>
          <w:tcPr>
            <w:tcW w:w="3841" w:type="pct"/>
            <w:gridSpan w:val="2"/>
          </w:tcPr>
          <w:p w:rsidR="009B0676" w:rsidRPr="002133D5" w:rsidRDefault="00652CF0" w:rsidP="006E4368">
            <w:pPr>
              <w:pStyle w:val="Textpoznpodarou"/>
              <w:ind w:right="-35"/>
              <w:jc w:val="both"/>
              <w:rPr>
                <w:spacing w:val="-4"/>
                <w:sz w:val="16"/>
                <w:szCs w:val="16"/>
                <w:lang w:val="en-GB"/>
              </w:rPr>
            </w:pPr>
            <w:r w:rsidRPr="002133D5">
              <w:rPr>
                <w:spacing w:val="-4"/>
                <w:lang w:val="en-GB"/>
              </w:rPr>
              <w:t>Prices of market services likely broke the stagnation lasting practically since 2010 in 2017. The prices rose by 1.3%, that is the most since year 2009.</w:t>
            </w:r>
            <w:r w:rsidR="009B0676" w:rsidRPr="002133D5">
              <w:rPr>
                <w:spacing w:val="-4"/>
                <w:lang w:val="en-GB"/>
              </w:rPr>
              <w:t xml:space="preserve"> </w:t>
            </w:r>
            <w:r w:rsidR="009D4076" w:rsidRPr="002133D5">
              <w:rPr>
                <w:spacing w:val="-4"/>
                <w:lang w:val="en-GB"/>
              </w:rPr>
              <w:t>At the same time the growth was accelerati</w:t>
            </w:r>
            <w:r w:rsidR="00CD2DA6" w:rsidRPr="002133D5">
              <w:rPr>
                <w:spacing w:val="-4"/>
                <w:lang w:val="en-GB"/>
              </w:rPr>
              <w:t>ng</w:t>
            </w:r>
            <w:r w:rsidR="009D4076" w:rsidRPr="002133D5">
              <w:rPr>
                <w:spacing w:val="-4"/>
                <w:lang w:val="en-GB"/>
              </w:rPr>
              <w:t xml:space="preserve"> during the year – it reached 1.7% in Q4. </w:t>
            </w:r>
            <w:r w:rsidR="00171E6C" w:rsidRPr="002133D5">
              <w:rPr>
                <w:spacing w:val="-4"/>
                <w:lang w:val="en-GB"/>
              </w:rPr>
              <w:t xml:space="preserve">Towards the end of the year, the year-on-year growth of prices of individual services also accelerated. Among the weight significant items, mainly the prices of advertising services and market research increased by 2.7% </w:t>
            </w:r>
            <w:r w:rsidR="009B0676" w:rsidRPr="002133D5">
              <w:rPr>
                <w:spacing w:val="-4"/>
                <w:lang w:val="en-GB"/>
              </w:rPr>
              <w:t>(</w:t>
            </w:r>
            <w:r w:rsidR="00171E6C" w:rsidRPr="002133D5">
              <w:rPr>
                <w:spacing w:val="-4"/>
                <w:lang w:val="en-GB"/>
              </w:rPr>
              <w:t>by 4.1% in Q</w:t>
            </w:r>
            <w:r w:rsidR="009B0676" w:rsidRPr="002133D5">
              <w:rPr>
                <w:spacing w:val="-4"/>
                <w:lang w:val="en-GB"/>
              </w:rPr>
              <w:t>4)</w:t>
            </w:r>
            <w:r w:rsidR="00171E6C" w:rsidRPr="002133D5">
              <w:rPr>
                <w:spacing w:val="-4"/>
                <w:lang w:val="en-GB"/>
              </w:rPr>
              <w:t xml:space="preserve"> last year</w:t>
            </w:r>
            <w:r w:rsidR="009B0676" w:rsidRPr="002133D5">
              <w:rPr>
                <w:spacing w:val="-4"/>
                <w:lang w:val="en-GB"/>
              </w:rPr>
              <w:t xml:space="preserve">. </w:t>
            </w:r>
            <w:r w:rsidR="00171E6C" w:rsidRPr="002133D5">
              <w:rPr>
                <w:spacing w:val="-4"/>
                <w:lang w:val="en-GB"/>
              </w:rPr>
              <w:t>Architectural and engineering se</w:t>
            </w:r>
            <w:r w:rsidR="00CD2DA6" w:rsidRPr="002133D5">
              <w:rPr>
                <w:spacing w:val="-4"/>
                <w:lang w:val="en-GB"/>
              </w:rPr>
              <w:t xml:space="preserve">rvices </w:t>
            </w:r>
            <w:r w:rsidR="00171E6C" w:rsidRPr="002133D5">
              <w:rPr>
                <w:spacing w:val="-4"/>
                <w:lang w:val="en-GB"/>
              </w:rPr>
              <w:t xml:space="preserve">and technical testing and analysis in total increased prices by </w:t>
            </w:r>
            <w:r w:rsidR="009B0676" w:rsidRPr="002133D5">
              <w:rPr>
                <w:spacing w:val="-4"/>
                <w:lang w:val="en-GB"/>
              </w:rPr>
              <w:t>1</w:t>
            </w:r>
            <w:r w:rsidR="00171E6C" w:rsidRPr="002133D5">
              <w:rPr>
                <w:spacing w:val="-4"/>
                <w:lang w:val="en-GB"/>
              </w:rPr>
              <w:t>.</w:t>
            </w:r>
            <w:r w:rsidR="009B0676" w:rsidRPr="002133D5">
              <w:rPr>
                <w:spacing w:val="-4"/>
                <w:lang w:val="en-GB"/>
              </w:rPr>
              <w:t>4% (</w:t>
            </w:r>
            <w:r w:rsidR="00171E6C" w:rsidRPr="002133D5">
              <w:rPr>
                <w:spacing w:val="-4"/>
                <w:lang w:val="en-GB"/>
              </w:rPr>
              <w:t xml:space="preserve">by </w:t>
            </w:r>
            <w:r w:rsidR="009B0676" w:rsidRPr="002133D5">
              <w:rPr>
                <w:spacing w:val="-4"/>
                <w:lang w:val="en-GB"/>
              </w:rPr>
              <w:t>3</w:t>
            </w:r>
            <w:r w:rsidR="00171E6C" w:rsidRPr="002133D5">
              <w:rPr>
                <w:spacing w:val="-4"/>
                <w:lang w:val="en-GB"/>
              </w:rPr>
              <w:t>.</w:t>
            </w:r>
            <w:r w:rsidR="009B0676" w:rsidRPr="002133D5">
              <w:rPr>
                <w:spacing w:val="-4"/>
                <w:lang w:val="en-GB"/>
              </w:rPr>
              <w:t xml:space="preserve">0% </w:t>
            </w:r>
            <w:r w:rsidR="00171E6C" w:rsidRPr="002133D5">
              <w:rPr>
                <w:spacing w:val="-4"/>
                <w:lang w:val="en-GB"/>
              </w:rPr>
              <w:t>in Q</w:t>
            </w:r>
            <w:r w:rsidR="009B0676" w:rsidRPr="002133D5">
              <w:rPr>
                <w:spacing w:val="-4"/>
                <w:lang w:val="en-GB"/>
              </w:rPr>
              <w:t xml:space="preserve">4). </w:t>
            </w:r>
            <w:r w:rsidR="00DE74A8" w:rsidRPr="002133D5">
              <w:rPr>
                <w:spacing w:val="-4"/>
                <w:lang w:val="en-GB"/>
              </w:rPr>
              <w:t>Total development affected in the positive direction also the increase of prices of services in the area of programming and advisory by 1.3% in</w:t>
            </w:r>
            <w:r w:rsidR="009B0676" w:rsidRPr="002133D5">
              <w:rPr>
                <w:spacing w:val="-4"/>
                <w:lang w:val="en-GB"/>
              </w:rPr>
              <w:t xml:space="preserve"> 2017 (1</w:t>
            </w:r>
            <w:r w:rsidR="00DE74A8" w:rsidRPr="002133D5">
              <w:rPr>
                <w:spacing w:val="-4"/>
                <w:lang w:val="en-GB"/>
              </w:rPr>
              <w:t>.</w:t>
            </w:r>
            <w:r w:rsidR="009B0676" w:rsidRPr="002133D5">
              <w:rPr>
                <w:spacing w:val="-4"/>
                <w:lang w:val="en-GB"/>
              </w:rPr>
              <w:t xml:space="preserve">8% </w:t>
            </w:r>
            <w:r w:rsidR="00DE74A8" w:rsidRPr="002133D5">
              <w:rPr>
                <w:spacing w:val="-4"/>
                <w:lang w:val="en-GB"/>
              </w:rPr>
              <w:t>in Q</w:t>
            </w:r>
            <w:r w:rsidR="009B0676" w:rsidRPr="002133D5">
              <w:rPr>
                <w:spacing w:val="-4"/>
                <w:lang w:val="en-GB"/>
              </w:rPr>
              <w:t>4).</w:t>
            </w:r>
          </w:p>
          <w:p w:rsidR="009B0676" w:rsidRDefault="009B0676" w:rsidP="006E4368">
            <w:pPr>
              <w:pStyle w:val="Textpoznpodarou"/>
              <w:ind w:right="-35"/>
              <w:jc w:val="both"/>
              <w:rPr>
                <w:spacing w:val="-4"/>
                <w:sz w:val="16"/>
                <w:szCs w:val="16"/>
                <w:lang w:val="en-GB"/>
              </w:rPr>
            </w:pPr>
          </w:p>
          <w:p w:rsidR="002133D5" w:rsidRDefault="002133D5" w:rsidP="006E4368">
            <w:pPr>
              <w:pStyle w:val="Textpoznpodarou"/>
              <w:ind w:right="-35"/>
              <w:jc w:val="both"/>
              <w:rPr>
                <w:spacing w:val="-4"/>
                <w:sz w:val="16"/>
                <w:szCs w:val="16"/>
                <w:lang w:val="en-GB"/>
              </w:rPr>
            </w:pPr>
          </w:p>
          <w:p w:rsidR="002133D5" w:rsidRPr="002133D5" w:rsidRDefault="002133D5" w:rsidP="006E4368">
            <w:pPr>
              <w:pStyle w:val="Textpoznpodarou"/>
              <w:ind w:right="-35"/>
              <w:jc w:val="both"/>
              <w:rPr>
                <w:spacing w:val="-4"/>
                <w:sz w:val="16"/>
                <w:szCs w:val="16"/>
                <w:lang w:val="en-GB"/>
              </w:rPr>
            </w:pPr>
          </w:p>
        </w:tc>
      </w:tr>
      <w:tr w:rsidR="009B0676" w:rsidRPr="00F81A26" w:rsidTr="006C3DC1">
        <w:tc>
          <w:tcPr>
            <w:tcW w:w="1015" w:type="pct"/>
          </w:tcPr>
          <w:p w:rsidR="009B0676" w:rsidRPr="005F5A4E" w:rsidRDefault="005F5A4E" w:rsidP="006E4368">
            <w:pPr>
              <w:spacing w:line="240" w:lineRule="auto"/>
              <w:ind w:right="-19"/>
              <w:rPr>
                <w:spacing w:val="-4"/>
                <w:sz w:val="16"/>
                <w:szCs w:val="16"/>
                <w:lang w:val="en-GB"/>
              </w:rPr>
            </w:pPr>
            <w:r>
              <w:rPr>
                <w:spacing w:val="-4"/>
                <w:sz w:val="16"/>
                <w:szCs w:val="16"/>
                <w:lang w:val="en-GB"/>
              </w:rPr>
              <w:lastRenderedPageBreak/>
              <w:t>Export prices grew in the first half of the year, they however sank in H2</w:t>
            </w:r>
            <w:r w:rsidR="00CD2DA6">
              <w:rPr>
                <w:spacing w:val="-4"/>
                <w:sz w:val="16"/>
                <w:szCs w:val="16"/>
                <w:lang w:val="en-GB"/>
              </w:rPr>
              <w:t>.</w:t>
            </w:r>
          </w:p>
        </w:tc>
        <w:tc>
          <w:tcPr>
            <w:tcW w:w="144" w:type="pct"/>
          </w:tcPr>
          <w:p w:rsidR="009B0676" w:rsidRPr="005F5A4E" w:rsidRDefault="009B0676" w:rsidP="006E4368">
            <w:pPr>
              <w:pStyle w:val="Textpoznpodarou"/>
              <w:jc w:val="both"/>
              <w:rPr>
                <w:spacing w:val="-4"/>
                <w:lang w:val="en-GB"/>
              </w:rPr>
            </w:pPr>
          </w:p>
        </w:tc>
        <w:tc>
          <w:tcPr>
            <w:tcW w:w="3841" w:type="pct"/>
            <w:gridSpan w:val="2"/>
          </w:tcPr>
          <w:p w:rsidR="009B0676" w:rsidRPr="002133D5" w:rsidRDefault="007E5036" w:rsidP="006E4368">
            <w:pPr>
              <w:pStyle w:val="Textpoznpodarou"/>
              <w:ind w:right="-35"/>
              <w:jc w:val="both"/>
              <w:rPr>
                <w:spacing w:val="-4"/>
                <w:sz w:val="16"/>
                <w:szCs w:val="16"/>
                <w:lang w:val="en-GB"/>
              </w:rPr>
            </w:pPr>
            <w:r w:rsidRPr="002133D5">
              <w:rPr>
                <w:spacing w:val="-4"/>
                <w:lang w:val="en-GB"/>
              </w:rPr>
              <w:t xml:space="preserve">Export prices fell in total year-on-year by 0.1% in </w:t>
            </w:r>
            <w:r w:rsidR="009B0676" w:rsidRPr="002133D5">
              <w:rPr>
                <w:spacing w:val="-4"/>
                <w:lang w:val="en-GB"/>
              </w:rPr>
              <w:t xml:space="preserve">2017. </w:t>
            </w:r>
            <w:r w:rsidRPr="002133D5">
              <w:rPr>
                <w:spacing w:val="-4"/>
                <w:lang w:val="en-GB"/>
              </w:rPr>
              <w:t>The year-on-year dynamics w</w:t>
            </w:r>
            <w:r w:rsidR="00CD2DA6" w:rsidRPr="002133D5">
              <w:rPr>
                <w:spacing w:val="-4"/>
                <w:lang w:val="en-GB"/>
              </w:rPr>
              <w:t>ere</w:t>
            </w:r>
            <w:r w:rsidRPr="002133D5">
              <w:rPr>
                <w:spacing w:val="-4"/>
                <w:lang w:val="en-GB"/>
              </w:rPr>
              <w:t xml:space="preserve"> positive in the </w:t>
            </w:r>
            <w:r w:rsidR="00C6517A" w:rsidRPr="002133D5">
              <w:rPr>
                <w:spacing w:val="-4"/>
                <w:lang w:val="en-GB"/>
              </w:rPr>
              <w:t>first</w:t>
            </w:r>
            <w:r w:rsidRPr="002133D5">
              <w:rPr>
                <w:spacing w:val="-4"/>
                <w:lang w:val="en-GB"/>
              </w:rPr>
              <w:t xml:space="preserve"> half of the year, the prices were falling year-in-year in H2. </w:t>
            </w:r>
            <w:r w:rsidR="00C6517A" w:rsidRPr="002133D5">
              <w:rPr>
                <w:spacing w:val="-4"/>
                <w:lang w:val="en-GB"/>
              </w:rPr>
              <w:t xml:space="preserve">Especially the prices of exported machines and transport equipment </w:t>
            </w:r>
            <w:r w:rsidR="008F1723" w:rsidRPr="002133D5">
              <w:rPr>
                <w:spacing w:val="-4"/>
                <w:lang w:val="en-GB"/>
              </w:rPr>
              <w:t>(-2</w:t>
            </w:r>
            <w:r w:rsidR="00C6517A" w:rsidRPr="002133D5">
              <w:rPr>
                <w:spacing w:val="-4"/>
                <w:lang w:val="en-GB"/>
              </w:rPr>
              <w:t>.</w:t>
            </w:r>
            <w:r w:rsidR="008F1723" w:rsidRPr="002133D5">
              <w:rPr>
                <w:spacing w:val="-4"/>
                <w:lang w:val="en-GB"/>
              </w:rPr>
              <w:t>2</w:t>
            </w:r>
            <w:r w:rsidR="009B0676" w:rsidRPr="002133D5">
              <w:rPr>
                <w:spacing w:val="-4"/>
                <w:lang w:val="en-GB"/>
              </w:rPr>
              <w:t>%)</w:t>
            </w:r>
            <w:r w:rsidR="00C6517A" w:rsidRPr="002133D5">
              <w:rPr>
                <w:spacing w:val="-4"/>
                <w:lang w:val="en-GB"/>
              </w:rPr>
              <w:t xml:space="preserve"> and industrial consumer goods </w:t>
            </w:r>
            <w:r w:rsidR="008F1723" w:rsidRPr="002133D5">
              <w:rPr>
                <w:spacing w:val="-4"/>
                <w:lang w:val="en-GB"/>
              </w:rPr>
              <w:t>(-1</w:t>
            </w:r>
            <w:r w:rsidR="00C6517A" w:rsidRPr="002133D5">
              <w:rPr>
                <w:spacing w:val="-4"/>
                <w:lang w:val="en-GB"/>
              </w:rPr>
              <w:t>.</w:t>
            </w:r>
            <w:r w:rsidR="008F1723" w:rsidRPr="002133D5">
              <w:rPr>
                <w:spacing w:val="-4"/>
                <w:lang w:val="en-GB"/>
              </w:rPr>
              <w:t>0</w:t>
            </w:r>
            <w:r w:rsidR="009B0676" w:rsidRPr="002133D5">
              <w:rPr>
                <w:spacing w:val="-4"/>
                <w:lang w:val="en-GB"/>
              </w:rPr>
              <w:t>%)</w:t>
            </w:r>
            <w:r w:rsidR="00C6517A" w:rsidRPr="002133D5">
              <w:rPr>
                <w:spacing w:val="-4"/>
                <w:lang w:val="en-GB"/>
              </w:rPr>
              <w:t xml:space="preserve"> were sinking in 2017</w:t>
            </w:r>
            <w:r w:rsidR="009B0676" w:rsidRPr="002133D5">
              <w:rPr>
                <w:spacing w:val="-4"/>
                <w:lang w:val="en-GB"/>
              </w:rPr>
              <w:t xml:space="preserve">. </w:t>
            </w:r>
            <w:r w:rsidR="00C6517A" w:rsidRPr="002133D5">
              <w:rPr>
                <w:spacing w:val="-4"/>
                <w:lang w:val="en-GB"/>
              </w:rPr>
              <w:t>In contrast, the prices of export of mineral fuels (16.3%) and other materials (10.3%) were markedly growing. Prices of imports in total increased by 0.9% year-on-year in 2017.</w:t>
            </w:r>
            <w:r w:rsidR="00CD2DA6" w:rsidRPr="002133D5">
              <w:rPr>
                <w:spacing w:val="-4"/>
                <w:lang w:val="en-GB"/>
              </w:rPr>
              <w:t xml:space="preserve"> </w:t>
            </w:r>
            <w:r w:rsidR="00C6517A" w:rsidRPr="002133D5">
              <w:rPr>
                <w:spacing w:val="-4"/>
                <w:lang w:val="en-GB"/>
              </w:rPr>
              <w:t xml:space="preserve">Similarly to exports, the prices of mineral fuels </w:t>
            </w:r>
            <w:r w:rsidR="009B0676" w:rsidRPr="002133D5">
              <w:rPr>
                <w:spacing w:val="-4"/>
                <w:lang w:val="en-GB"/>
              </w:rPr>
              <w:t>(13</w:t>
            </w:r>
            <w:r w:rsidR="00C6517A" w:rsidRPr="002133D5">
              <w:rPr>
                <w:spacing w:val="-4"/>
                <w:lang w:val="en-GB"/>
              </w:rPr>
              <w:t>.</w:t>
            </w:r>
            <w:r w:rsidR="009B0676" w:rsidRPr="002133D5">
              <w:rPr>
                <w:spacing w:val="-4"/>
                <w:lang w:val="en-GB"/>
              </w:rPr>
              <w:t xml:space="preserve">9%) </w:t>
            </w:r>
            <w:r w:rsidR="00C6517A" w:rsidRPr="002133D5">
              <w:rPr>
                <w:spacing w:val="-4"/>
                <w:lang w:val="en-GB"/>
              </w:rPr>
              <w:t xml:space="preserve">as well as other materials </w:t>
            </w:r>
            <w:r w:rsidR="009B0676" w:rsidRPr="002133D5">
              <w:rPr>
                <w:spacing w:val="-4"/>
                <w:lang w:val="en-GB"/>
              </w:rPr>
              <w:t>(10</w:t>
            </w:r>
            <w:r w:rsidR="00C6517A" w:rsidRPr="002133D5">
              <w:rPr>
                <w:spacing w:val="-4"/>
                <w:lang w:val="en-GB"/>
              </w:rPr>
              <w:t>.</w:t>
            </w:r>
            <w:r w:rsidR="009B0676" w:rsidRPr="002133D5">
              <w:rPr>
                <w:spacing w:val="-4"/>
                <w:lang w:val="en-GB"/>
              </w:rPr>
              <w:t>3%)</w:t>
            </w:r>
            <w:r w:rsidR="00C6517A" w:rsidRPr="002133D5">
              <w:rPr>
                <w:spacing w:val="-4"/>
                <w:lang w:val="en-GB"/>
              </w:rPr>
              <w:t xml:space="preserve"> were growing and machines and transport equipment (-2.9%), industrial consumption goods (-2.2%) and animal and plant oils (2.6%) worked in the direction of fall in 2017. The terms of trade were 99.0% in 2</w:t>
            </w:r>
            <w:r w:rsidR="009B0676" w:rsidRPr="002133D5">
              <w:rPr>
                <w:spacing w:val="-4"/>
                <w:lang w:val="en-GB"/>
              </w:rPr>
              <w:t>017</w:t>
            </w:r>
            <w:r w:rsidR="00D45B52" w:rsidRPr="002133D5">
              <w:rPr>
                <w:spacing w:val="-4"/>
                <w:lang w:val="en-GB"/>
              </w:rPr>
              <w:t xml:space="preserve">. Trade with animal and plant oils </w:t>
            </w:r>
            <w:r w:rsidR="009B0676" w:rsidRPr="002133D5">
              <w:rPr>
                <w:spacing w:val="-4"/>
                <w:lang w:val="en-GB"/>
              </w:rPr>
              <w:t>(105</w:t>
            </w:r>
            <w:r w:rsidR="00D45B52" w:rsidRPr="002133D5">
              <w:rPr>
                <w:spacing w:val="-4"/>
                <w:lang w:val="en-GB"/>
              </w:rPr>
              <w:t>.</w:t>
            </w:r>
            <w:r w:rsidR="009B0676" w:rsidRPr="002133D5">
              <w:rPr>
                <w:spacing w:val="-4"/>
                <w:lang w:val="en-GB"/>
              </w:rPr>
              <w:t xml:space="preserve">6%), </w:t>
            </w:r>
            <w:r w:rsidR="00D45B52" w:rsidRPr="002133D5">
              <w:rPr>
                <w:spacing w:val="-4"/>
                <w:lang w:val="en-GB"/>
              </w:rPr>
              <w:t xml:space="preserve">mineral fuels </w:t>
            </w:r>
            <w:r w:rsidR="009B0676" w:rsidRPr="002133D5">
              <w:rPr>
                <w:spacing w:val="-4"/>
                <w:lang w:val="en-GB"/>
              </w:rPr>
              <w:t>(102</w:t>
            </w:r>
            <w:r w:rsidR="00D45B52" w:rsidRPr="002133D5">
              <w:rPr>
                <w:spacing w:val="-4"/>
                <w:lang w:val="en-GB"/>
              </w:rPr>
              <w:t>.</w:t>
            </w:r>
            <w:r w:rsidR="009B0676" w:rsidRPr="002133D5">
              <w:rPr>
                <w:spacing w:val="-4"/>
                <w:lang w:val="en-GB"/>
              </w:rPr>
              <w:t xml:space="preserve">1%), </w:t>
            </w:r>
            <w:r w:rsidR="00D45B52" w:rsidRPr="002133D5">
              <w:rPr>
                <w:spacing w:val="-4"/>
                <w:lang w:val="en-GB"/>
              </w:rPr>
              <w:t>industrial consumption goods (</w:t>
            </w:r>
            <w:r w:rsidR="009B0676" w:rsidRPr="002133D5">
              <w:rPr>
                <w:spacing w:val="-4"/>
                <w:lang w:val="en-GB"/>
              </w:rPr>
              <w:t>101</w:t>
            </w:r>
            <w:r w:rsidR="00D45B52" w:rsidRPr="002133D5">
              <w:rPr>
                <w:spacing w:val="-4"/>
                <w:lang w:val="en-GB"/>
              </w:rPr>
              <w:t>.</w:t>
            </w:r>
            <w:r w:rsidR="009B0676" w:rsidRPr="002133D5">
              <w:rPr>
                <w:spacing w:val="-4"/>
                <w:lang w:val="en-GB"/>
              </w:rPr>
              <w:t xml:space="preserve">2%) </w:t>
            </w:r>
            <w:r w:rsidR="00D45B52" w:rsidRPr="002133D5">
              <w:rPr>
                <w:spacing w:val="-4"/>
                <w:lang w:val="en-GB"/>
              </w:rPr>
              <w:t xml:space="preserve">as well as machines and transport equipment </w:t>
            </w:r>
            <w:r w:rsidR="009B0676" w:rsidRPr="002133D5">
              <w:rPr>
                <w:spacing w:val="-4"/>
                <w:lang w:val="en-GB"/>
              </w:rPr>
              <w:t>(100</w:t>
            </w:r>
            <w:r w:rsidR="00D45B52" w:rsidRPr="002133D5">
              <w:rPr>
                <w:spacing w:val="-4"/>
                <w:lang w:val="en-GB"/>
              </w:rPr>
              <w:t>.</w:t>
            </w:r>
            <w:r w:rsidR="009B0676" w:rsidRPr="002133D5">
              <w:rPr>
                <w:spacing w:val="-4"/>
                <w:lang w:val="en-GB"/>
              </w:rPr>
              <w:t>7%)</w:t>
            </w:r>
            <w:r w:rsidR="00D45B52" w:rsidRPr="002133D5">
              <w:rPr>
                <w:spacing w:val="-4"/>
                <w:lang w:val="en-GB"/>
              </w:rPr>
              <w:t xml:space="preserve"> achieved positive terms of trade</w:t>
            </w:r>
            <w:r w:rsidR="009B0676" w:rsidRPr="002133D5">
              <w:rPr>
                <w:spacing w:val="-4"/>
                <w:lang w:val="en-GB"/>
              </w:rPr>
              <w:t xml:space="preserve">. </w:t>
            </w:r>
            <w:r w:rsidR="00D45B52" w:rsidRPr="002133D5">
              <w:rPr>
                <w:spacing w:val="-4"/>
                <w:lang w:val="en-GB"/>
              </w:rPr>
              <w:t xml:space="preserve">Terms of trade for semi-finished products </w:t>
            </w:r>
            <w:r w:rsidR="009B0676" w:rsidRPr="002133D5">
              <w:rPr>
                <w:spacing w:val="-4"/>
                <w:lang w:val="en-GB"/>
              </w:rPr>
              <w:t>(96</w:t>
            </w:r>
            <w:r w:rsidR="00D45B52" w:rsidRPr="002133D5">
              <w:rPr>
                <w:spacing w:val="-4"/>
                <w:lang w:val="en-GB"/>
              </w:rPr>
              <w:t>.</w:t>
            </w:r>
            <w:r w:rsidR="009B0676" w:rsidRPr="002133D5">
              <w:rPr>
                <w:spacing w:val="-4"/>
                <w:lang w:val="en-GB"/>
              </w:rPr>
              <w:t>9%) a</w:t>
            </w:r>
            <w:r w:rsidR="00D45B52" w:rsidRPr="002133D5">
              <w:rPr>
                <w:spacing w:val="-4"/>
                <w:lang w:val="en-GB"/>
              </w:rPr>
              <w:t xml:space="preserve">nd beverages and tobacco </w:t>
            </w:r>
            <w:r w:rsidR="009B0676" w:rsidRPr="002133D5">
              <w:rPr>
                <w:spacing w:val="-4"/>
                <w:lang w:val="en-GB"/>
              </w:rPr>
              <w:t>(97</w:t>
            </w:r>
            <w:r w:rsidR="00D45B52" w:rsidRPr="002133D5">
              <w:rPr>
                <w:spacing w:val="-4"/>
                <w:lang w:val="en-GB"/>
              </w:rPr>
              <w:t>.</w:t>
            </w:r>
            <w:r w:rsidR="009B0676" w:rsidRPr="002133D5">
              <w:rPr>
                <w:spacing w:val="-4"/>
                <w:lang w:val="en-GB"/>
              </w:rPr>
              <w:t>5%)</w:t>
            </w:r>
            <w:r w:rsidR="00D45B52" w:rsidRPr="002133D5">
              <w:rPr>
                <w:spacing w:val="-4"/>
                <w:lang w:val="en-GB"/>
              </w:rPr>
              <w:t xml:space="preserve"> were significantly negative</w:t>
            </w:r>
            <w:r w:rsidR="009B0676" w:rsidRPr="002133D5">
              <w:rPr>
                <w:spacing w:val="-4"/>
                <w:lang w:val="en-GB"/>
              </w:rPr>
              <w:t>.</w:t>
            </w:r>
          </w:p>
          <w:p w:rsidR="009B0676" w:rsidRPr="005F5A4E" w:rsidRDefault="009B0676" w:rsidP="006E4368">
            <w:pPr>
              <w:pStyle w:val="Textpoznpodarou"/>
              <w:ind w:right="-35"/>
              <w:jc w:val="both"/>
              <w:rPr>
                <w:spacing w:val="-5"/>
                <w:sz w:val="16"/>
                <w:szCs w:val="16"/>
                <w:lang w:val="en-GB"/>
              </w:rPr>
            </w:pPr>
          </w:p>
        </w:tc>
      </w:tr>
      <w:tr w:rsidR="00DD0726" w:rsidRPr="00F81A26" w:rsidTr="006C3DC1">
        <w:tc>
          <w:tcPr>
            <w:tcW w:w="1015" w:type="pct"/>
          </w:tcPr>
          <w:p w:rsidR="00DD0726" w:rsidRPr="00F81A26" w:rsidRDefault="00DD0726" w:rsidP="006C3DC1">
            <w:pPr>
              <w:spacing w:line="240" w:lineRule="auto"/>
              <w:ind w:right="-19"/>
              <w:jc w:val="center"/>
              <w:rPr>
                <w:spacing w:val="-4"/>
                <w:szCs w:val="20"/>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B05A37" w:rsidP="006C3DC1">
            <w:pPr>
              <w:pStyle w:val="Textpoznpodarou"/>
              <w:ind w:right="-35"/>
              <w:jc w:val="both"/>
              <w:rPr>
                <w:spacing w:val="-4"/>
              </w:rPr>
            </w:pPr>
            <w:r>
              <w:rPr>
                <w:spacing w:val="-4"/>
              </w:rPr>
              <w:t>Chart 14</w:t>
            </w:r>
          </w:p>
        </w:tc>
        <w:tc>
          <w:tcPr>
            <w:tcW w:w="3261" w:type="pct"/>
          </w:tcPr>
          <w:p w:rsidR="00DD0726" w:rsidRPr="00B05A37" w:rsidRDefault="00DD0726" w:rsidP="006C3DC1">
            <w:pPr>
              <w:pStyle w:val="Textpoznpodarou"/>
              <w:ind w:right="-35"/>
              <w:rPr>
                <w:spacing w:val="-4"/>
                <w:lang w:val="en-GB" w:eastAsia="en-US"/>
              </w:rPr>
            </w:pPr>
            <w:r w:rsidRPr="00B05A37">
              <w:rPr>
                <w:b/>
                <w:spacing w:val="-4"/>
                <w:lang w:val="en-GB" w:eastAsia="en-US"/>
              </w:rPr>
              <w:t>Defl</w:t>
            </w:r>
            <w:r w:rsidR="00B05A37" w:rsidRPr="00B05A37">
              <w:rPr>
                <w:b/>
                <w:spacing w:val="-4"/>
                <w:lang w:val="en-GB" w:eastAsia="en-US"/>
              </w:rPr>
              <w:t>ators</w:t>
            </w:r>
            <w:r w:rsidRPr="00B05A37">
              <w:rPr>
                <w:spacing w:val="-4"/>
                <w:lang w:val="en-GB" w:eastAsia="en-US"/>
              </w:rPr>
              <w:t xml:space="preserve"> (</w:t>
            </w:r>
            <w:r w:rsidR="00B05A37" w:rsidRPr="00B05A37">
              <w:rPr>
                <w:spacing w:val="-4"/>
                <w:lang w:val="en-GB" w:eastAsia="en-US"/>
              </w:rPr>
              <w:t xml:space="preserve">adjusted for seasonal and calendar effects, year-on-year change, in </w:t>
            </w:r>
            <w:r w:rsidRPr="00B05A37">
              <w:rPr>
                <w:spacing w:val="-4"/>
                <w:lang w:val="en-GB" w:eastAsia="en-US"/>
              </w:rPr>
              <w:t>%)</w:t>
            </w:r>
          </w:p>
        </w:tc>
      </w:tr>
      <w:tr w:rsidR="00DD0726" w:rsidRPr="00F81A26" w:rsidTr="006C3DC1">
        <w:tc>
          <w:tcPr>
            <w:tcW w:w="1015" w:type="pct"/>
          </w:tcPr>
          <w:p w:rsidR="00DD0726" w:rsidRPr="00F81A26" w:rsidRDefault="00DD0726" w:rsidP="006C3DC1">
            <w:pPr>
              <w:spacing w:line="240" w:lineRule="auto"/>
              <w:ind w:right="-19"/>
              <w:rPr>
                <w:rFonts w:cs="Arial"/>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BD345F" w:rsidP="006C3DC1">
            <w:pPr>
              <w:pStyle w:val="Textpoznpodarou"/>
              <w:ind w:left="-54" w:right="-35"/>
              <w:jc w:val="both"/>
              <w:rPr>
                <w:spacing w:val="-4"/>
                <w:sz w:val="14"/>
                <w:szCs w:val="14"/>
              </w:rPr>
            </w:pPr>
            <w:r w:rsidRPr="00BD345F">
              <w:rPr>
                <w:noProof/>
                <w:spacing w:val="-4"/>
                <w:sz w:val="14"/>
                <w:szCs w:val="14"/>
              </w:rPr>
              <w:drawing>
                <wp:inline distT="0" distB="0" distL="0" distR="0">
                  <wp:extent cx="4735902" cy="3420000"/>
                  <wp:effectExtent l="0" t="0" r="0" b="0"/>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45B52" w:rsidRPr="00D45B52" w:rsidRDefault="00B6724D" w:rsidP="00BD345F">
            <w:pPr>
              <w:pStyle w:val="Textpoznpodarou"/>
              <w:ind w:left="-54" w:right="-35"/>
              <w:jc w:val="right"/>
              <w:rPr>
                <w:spacing w:val="-4"/>
                <w:sz w:val="18"/>
                <w:szCs w:val="18"/>
              </w:rPr>
            </w:pPr>
            <w:proofErr w:type="spellStart"/>
            <w:r>
              <w:rPr>
                <w:spacing w:val="-4"/>
                <w:sz w:val="14"/>
                <w:szCs w:val="14"/>
              </w:rPr>
              <w:t>Source</w:t>
            </w:r>
            <w:proofErr w:type="spellEnd"/>
            <w:r w:rsidR="00DD0726" w:rsidRPr="00F81A26">
              <w:rPr>
                <w:spacing w:val="-4"/>
                <w:sz w:val="14"/>
                <w:szCs w:val="14"/>
              </w:rPr>
              <w:t xml:space="preserve">: </w:t>
            </w:r>
            <w:r>
              <w:rPr>
                <w:spacing w:val="-4"/>
                <w:sz w:val="14"/>
                <w:szCs w:val="14"/>
              </w:rPr>
              <w:t>CZSO</w:t>
            </w:r>
          </w:p>
        </w:tc>
      </w:tr>
      <w:bookmarkEnd w:id="14"/>
    </w:tbl>
    <w:p w:rsidR="00FD77BB" w:rsidRDefault="00FD77BB">
      <w:pPr>
        <w:spacing w:line="240" w:lineRule="auto"/>
      </w:pPr>
    </w:p>
    <w:p w:rsidR="002133D5" w:rsidRDefault="002133D5">
      <w:pPr>
        <w:spacing w:line="240" w:lineRule="auto"/>
      </w:pPr>
    </w:p>
    <w:p w:rsidR="00CC212E" w:rsidRPr="001827CE" w:rsidRDefault="00B6724D" w:rsidP="00BD345F">
      <w:pPr>
        <w:pStyle w:val="Nadpis1"/>
        <w:numPr>
          <w:ilvl w:val="0"/>
          <w:numId w:val="12"/>
        </w:numPr>
        <w:ind w:left="709"/>
        <w:rPr>
          <w:lang w:val="en-GB"/>
        </w:rPr>
      </w:pPr>
      <w:bookmarkStart w:id="15" w:name="_Toc493683638"/>
      <w:r w:rsidRPr="001827CE">
        <w:rPr>
          <w:lang w:val="en-GB"/>
        </w:rPr>
        <w:t>Labour Market</w:t>
      </w:r>
      <w:bookmarkEnd w:id="15"/>
    </w:p>
    <w:tbl>
      <w:tblPr>
        <w:tblW w:w="4995" w:type="pct"/>
        <w:tblInd w:w="108" w:type="dxa"/>
        <w:tblLayout w:type="fixed"/>
        <w:tblLook w:val="00A0"/>
      </w:tblPr>
      <w:tblGrid>
        <w:gridCol w:w="2000"/>
        <w:gridCol w:w="284"/>
        <w:gridCol w:w="7560"/>
      </w:tblGrid>
      <w:tr w:rsidR="00FD77BB" w:rsidRPr="001827CE" w:rsidTr="00CF0826">
        <w:trPr>
          <w:trHeight w:val="145"/>
        </w:trPr>
        <w:tc>
          <w:tcPr>
            <w:tcW w:w="1016" w:type="pct"/>
            <w:shd w:val="clear" w:color="auto" w:fill="auto"/>
          </w:tcPr>
          <w:p w:rsidR="00FD77BB" w:rsidRPr="001827CE" w:rsidRDefault="001827CE"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 xml:space="preserve">Growing economy was heightening the demand for labour force, which however still more markedly faced the inadequate supply. Employment kept significantly growing, the largest number of persons had a job in the history of the CR.  </w:t>
            </w:r>
          </w:p>
        </w:tc>
        <w:tc>
          <w:tcPr>
            <w:tcW w:w="144" w:type="pct"/>
          </w:tcPr>
          <w:p w:rsidR="00FD77BB" w:rsidRPr="001827CE" w:rsidRDefault="00FD77BB" w:rsidP="00CF0826">
            <w:pPr>
              <w:pStyle w:val="Textpoznpodarou"/>
              <w:jc w:val="both"/>
              <w:rPr>
                <w:rFonts w:cs="Arial"/>
                <w:color w:val="0D0D0D" w:themeColor="text1" w:themeTint="F2"/>
                <w:lang w:val="en-GB"/>
              </w:rPr>
            </w:pPr>
          </w:p>
        </w:tc>
        <w:tc>
          <w:tcPr>
            <w:tcW w:w="3840" w:type="pct"/>
          </w:tcPr>
          <w:p w:rsidR="00FD77BB" w:rsidRPr="001827CE" w:rsidRDefault="00B6724D" w:rsidP="00CF0826">
            <w:pPr>
              <w:pStyle w:val="Textpoznpodarou"/>
              <w:jc w:val="both"/>
              <w:rPr>
                <w:rFonts w:cs="Arial"/>
                <w:color w:val="0D0D0D" w:themeColor="text1" w:themeTint="F2"/>
                <w:spacing w:val="-4"/>
                <w:lang w:val="en-GB"/>
              </w:rPr>
            </w:pPr>
            <w:r w:rsidRPr="001827CE">
              <w:rPr>
                <w:rFonts w:cs="Arial"/>
                <w:color w:val="0D0D0D" w:themeColor="text1" w:themeTint="F2"/>
                <w:spacing w:val="-4"/>
                <w:lang w:val="en-GB"/>
              </w:rPr>
              <w:t xml:space="preserve">Favourable tendencies from the previous years continued on the labour market during 2017. Simultaneously, the growing tension arising from the non-satiated demand of business for the labour forces was still more apparent. At the background of this fact, the employment was </w:t>
            </w:r>
            <w:r w:rsidR="001827CE" w:rsidRPr="001827CE">
              <w:rPr>
                <w:rFonts w:cs="Arial"/>
                <w:color w:val="0D0D0D" w:themeColor="text1" w:themeTint="F2"/>
                <w:spacing w:val="-4"/>
                <w:lang w:val="en-GB"/>
              </w:rPr>
              <w:t>strengthening</w:t>
            </w:r>
            <w:r w:rsidRPr="001827CE">
              <w:rPr>
                <w:rFonts w:cs="Arial"/>
                <w:color w:val="0D0D0D" w:themeColor="text1" w:themeTint="F2"/>
                <w:spacing w:val="-4"/>
                <w:lang w:val="en-GB"/>
              </w:rPr>
              <w:t xml:space="preserve"> for the most part of the year. The number of workers</w:t>
            </w:r>
            <w:r w:rsidR="00FD77BB" w:rsidRPr="001827CE">
              <w:rPr>
                <w:rStyle w:val="Znakapoznpodarou"/>
                <w:color w:val="0D0D0D" w:themeColor="text1" w:themeTint="F2"/>
                <w:spacing w:val="-4"/>
                <w:lang w:val="en-GB"/>
              </w:rPr>
              <w:footnoteReference w:id="30"/>
            </w:r>
            <w:r w:rsidR="001827CE" w:rsidRPr="001827CE">
              <w:rPr>
                <w:rFonts w:cs="Arial"/>
                <w:color w:val="0D0D0D" w:themeColor="text1" w:themeTint="F2"/>
                <w:spacing w:val="-4"/>
                <w:lang w:val="en-GB"/>
              </w:rPr>
              <w:t xml:space="preserve"> increased by 1.6% compared to year 2016, it was the highest year-on-year rate of growth since the expansion year </w:t>
            </w:r>
            <w:r w:rsidR="00FD77BB" w:rsidRPr="001827CE">
              <w:rPr>
                <w:rFonts w:cs="Arial"/>
                <w:color w:val="0D0D0D" w:themeColor="text1" w:themeTint="F2"/>
                <w:spacing w:val="-4"/>
                <w:lang w:val="en-GB"/>
              </w:rPr>
              <w:t xml:space="preserve">2008. </w:t>
            </w:r>
            <w:r w:rsidR="00893269">
              <w:rPr>
                <w:rFonts w:cs="Arial"/>
                <w:color w:val="0D0D0D" w:themeColor="text1" w:themeTint="F2"/>
                <w:spacing w:val="-4"/>
                <w:lang w:val="en-GB"/>
              </w:rPr>
              <w:t xml:space="preserve">Nevertheless, the quarter-on-quarter growth of employment halted in the last three months of the last year. </w:t>
            </w:r>
            <w:r w:rsidR="008929A0">
              <w:rPr>
                <w:rFonts w:cs="Arial"/>
                <w:color w:val="0D0D0D" w:themeColor="text1" w:themeTint="F2"/>
                <w:spacing w:val="-4"/>
                <w:lang w:val="en-GB"/>
              </w:rPr>
              <w:t xml:space="preserve">Mainly the </w:t>
            </w:r>
            <w:r w:rsidR="00633C64">
              <w:rPr>
                <w:rFonts w:cs="Arial"/>
                <w:color w:val="0D0D0D" w:themeColor="text1" w:themeTint="F2"/>
                <w:spacing w:val="-4"/>
                <w:lang w:val="en-GB"/>
              </w:rPr>
              <w:t>high</w:t>
            </w:r>
            <w:r w:rsidR="008929A0">
              <w:rPr>
                <w:rFonts w:cs="Arial"/>
                <w:color w:val="0D0D0D" w:themeColor="text1" w:themeTint="F2"/>
                <w:spacing w:val="-4"/>
                <w:lang w:val="en-GB"/>
              </w:rPr>
              <w:t xml:space="preserve"> basis stood behind it </w:t>
            </w:r>
            <w:r w:rsidR="00FD77BB" w:rsidRPr="001827CE">
              <w:rPr>
                <w:rFonts w:cs="Arial"/>
                <w:color w:val="0D0D0D" w:themeColor="text1" w:themeTint="F2"/>
                <w:spacing w:val="-4"/>
                <w:lang w:val="en-GB"/>
              </w:rPr>
              <w:t>(</w:t>
            </w:r>
            <w:r w:rsidR="008929A0">
              <w:rPr>
                <w:rFonts w:cs="Arial"/>
                <w:color w:val="0D0D0D" w:themeColor="text1" w:themeTint="F2"/>
                <w:spacing w:val="-4"/>
                <w:lang w:val="en-GB"/>
              </w:rPr>
              <w:t>growth in the preceding quarter was the strongest since the end of expansion in the previous decade</w:t>
            </w:r>
            <w:r w:rsidR="00FD77BB" w:rsidRPr="001827CE">
              <w:rPr>
                <w:rStyle w:val="Znakapoznpodarou"/>
                <w:color w:val="0D0D0D" w:themeColor="text1" w:themeTint="F2"/>
                <w:spacing w:val="-4"/>
                <w:lang w:val="en-GB"/>
              </w:rPr>
              <w:footnoteReference w:id="31"/>
            </w:r>
            <w:r w:rsidR="00DF3A10">
              <w:rPr>
                <w:rFonts w:cs="Arial"/>
                <w:color w:val="0D0D0D" w:themeColor="text1" w:themeTint="F2"/>
                <w:spacing w:val="-4"/>
                <w:lang w:val="en-GB"/>
              </w:rPr>
              <w:t>)</w:t>
            </w:r>
            <w:r w:rsidR="00FD77BB" w:rsidRPr="001827CE">
              <w:rPr>
                <w:rFonts w:cs="Arial"/>
                <w:color w:val="0D0D0D" w:themeColor="text1" w:themeTint="F2"/>
                <w:spacing w:val="-4"/>
                <w:lang w:val="en-GB"/>
              </w:rPr>
              <w:t xml:space="preserve">. </w:t>
            </w:r>
            <w:r w:rsidR="00A90B8B">
              <w:rPr>
                <w:rFonts w:cs="Arial"/>
                <w:color w:val="0D0D0D" w:themeColor="text1" w:themeTint="F2"/>
                <w:spacing w:val="-4"/>
                <w:lang w:val="en-GB"/>
              </w:rPr>
              <w:t xml:space="preserve">The largest number of people were </w:t>
            </w:r>
            <w:r w:rsidR="00633C64">
              <w:rPr>
                <w:rFonts w:cs="Arial"/>
                <w:color w:val="0D0D0D" w:themeColor="text1" w:themeTint="F2"/>
                <w:spacing w:val="-4"/>
                <w:lang w:val="en-GB"/>
              </w:rPr>
              <w:t>employed</w:t>
            </w:r>
            <w:r w:rsidR="00A90B8B">
              <w:rPr>
                <w:rFonts w:cs="Arial"/>
                <w:color w:val="0D0D0D" w:themeColor="text1" w:themeTint="F2"/>
                <w:spacing w:val="-4"/>
                <w:lang w:val="en-GB"/>
              </w:rPr>
              <w:t xml:space="preserve"> at the end of last year in </w:t>
            </w:r>
            <w:r w:rsidR="00633C64">
              <w:rPr>
                <w:rFonts w:cs="Arial"/>
                <w:color w:val="0D0D0D" w:themeColor="text1" w:themeTint="F2"/>
                <w:spacing w:val="-4"/>
                <w:lang w:val="en-GB"/>
              </w:rPr>
              <w:t xml:space="preserve">the CR in its history (5.36 mil). The business cycle impacted here together with the inflow of the labour force from abroad, but also the shift in the age </w:t>
            </w:r>
            <w:r w:rsidR="00F57CAD">
              <w:rPr>
                <w:rFonts w:cs="Arial"/>
                <w:color w:val="0D0D0D" w:themeColor="text1" w:themeTint="F2"/>
                <w:spacing w:val="-4"/>
                <w:lang w:val="en-GB"/>
              </w:rPr>
              <w:t>structure</w:t>
            </w:r>
            <w:r w:rsidR="00633C64">
              <w:rPr>
                <w:rFonts w:cs="Arial"/>
                <w:color w:val="0D0D0D" w:themeColor="text1" w:themeTint="F2"/>
                <w:spacing w:val="-4"/>
                <w:lang w:val="en-GB"/>
              </w:rPr>
              <w:t xml:space="preserve"> of the population or the regular increases of the retirement age.</w:t>
            </w:r>
            <w:r w:rsidR="00FD77BB" w:rsidRPr="001827CE">
              <w:rPr>
                <w:rFonts w:cs="Arial"/>
                <w:color w:val="0D0D0D" w:themeColor="text1" w:themeTint="F2"/>
                <w:spacing w:val="-4"/>
                <w:lang w:val="en-GB"/>
              </w:rPr>
              <w:t xml:space="preserve"> </w:t>
            </w:r>
          </w:p>
          <w:p w:rsidR="00FD77BB" w:rsidRPr="001827CE" w:rsidRDefault="00FD77BB" w:rsidP="00CF0826">
            <w:pPr>
              <w:pStyle w:val="Textpoznpodarou"/>
              <w:jc w:val="both"/>
              <w:rPr>
                <w:rFonts w:cs="Arial"/>
                <w:color w:val="0D0D0D" w:themeColor="text1" w:themeTint="F2"/>
                <w:spacing w:val="-4"/>
                <w:sz w:val="14"/>
                <w:szCs w:val="14"/>
                <w:lang w:val="en-GB"/>
              </w:rPr>
            </w:pPr>
          </w:p>
        </w:tc>
      </w:tr>
      <w:tr w:rsidR="00FD77BB" w:rsidRPr="008A4BA8" w:rsidTr="00CF0826">
        <w:trPr>
          <w:trHeight w:val="145"/>
        </w:trPr>
        <w:tc>
          <w:tcPr>
            <w:tcW w:w="1016" w:type="pct"/>
            <w:shd w:val="clear" w:color="auto" w:fill="auto"/>
          </w:tcPr>
          <w:p w:rsidR="00FD77BB" w:rsidRPr="00F57CAD" w:rsidRDefault="00F57CAD" w:rsidP="00CF0826">
            <w:pPr>
              <w:spacing w:line="240" w:lineRule="auto"/>
              <w:rPr>
                <w:rFonts w:cs="Arial"/>
                <w:color w:val="0D0D0D" w:themeColor="text1" w:themeTint="F2"/>
                <w:spacing w:val="-4"/>
                <w:sz w:val="16"/>
                <w:szCs w:val="16"/>
                <w:lang w:val="en-GB"/>
              </w:rPr>
            </w:pPr>
            <w:r w:rsidRPr="00F57CAD">
              <w:rPr>
                <w:rFonts w:cs="Arial"/>
                <w:color w:val="0D0D0D" w:themeColor="text1" w:themeTint="F2"/>
                <w:spacing w:val="-4"/>
                <w:sz w:val="16"/>
                <w:szCs w:val="16"/>
                <w:lang w:val="en-GB"/>
              </w:rPr>
              <w:lastRenderedPageBreak/>
              <w:t>Employment rate kept further increasing. The CR held fron</w:t>
            </w:r>
            <w:r>
              <w:rPr>
                <w:rFonts w:cs="Arial"/>
                <w:color w:val="0D0D0D" w:themeColor="text1" w:themeTint="F2"/>
                <w:spacing w:val="-4"/>
                <w:sz w:val="16"/>
                <w:szCs w:val="16"/>
                <w:lang w:val="en-GB"/>
              </w:rPr>
              <w:t>t</w:t>
            </w:r>
            <w:r w:rsidRPr="00F57CAD">
              <w:rPr>
                <w:rFonts w:cs="Arial"/>
                <w:color w:val="0D0D0D" w:themeColor="text1" w:themeTint="F2"/>
                <w:spacing w:val="-4"/>
                <w:sz w:val="16"/>
                <w:szCs w:val="16"/>
                <w:lang w:val="en-GB"/>
              </w:rPr>
              <w:t xml:space="preserve"> position in the whole EU </w:t>
            </w:r>
            <w:r>
              <w:rPr>
                <w:rFonts w:cs="Arial"/>
                <w:color w:val="0D0D0D" w:themeColor="text1" w:themeTint="F2"/>
                <w:spacing w:val="-4"/>
                <w:sz w:val="16"/>
                <w:szCs w:val="16"/>
                <w:lang w:val="en-GB"/>
              </w:rPr>
              <w:t xml:space="preserve">in case of </w:t>
            </w:r>
            <w:r w:rsidRPr="00F57CAD">
              <w:rPr>
                <w:rFonts w:cs="Arial"/>
                <w:color w:val="0D0D0D" w:themeColor="text1" w:themeTint="F2"/>
                <w:spacing w:val="-4"/>
                <w:sz w:val="16"/>
                <w:szCs w:val="16"/>
                <w:lang w:val="en-GB"/>
              </w:rPr>
              <w:t>male</w:t>
            </w:r>
            <w:r>
              <w:rPr>
                <w:rFonts w:cs="Arial"/>
                <w:color w:val="0D0D0D" w:themeColor="text1" w:themeTint="F2"/>
                <w:spacing w:val="-4"/>
                <w:sz w:val="16"/>
                <w:szCs w:val="16"/>
                <w:lang w:val="en-GB"/>
              </w:rPr>
              <w:t>s</w:t>
            </w:r>
            <w:r w:rsidRPr="00F57CAD">
              <w:rPr>
                <w:rFonts w:cs="Arial"/>
                <w:color w:val="0D0D0D" w:themeColor="text1" w:themeTint="F2"/>
                <w:spacing w:val="-4"/>
                <w:sz w:val="16"/>
                <w:szCs w:val="16"/>
                <w:lang w:val="en-GB"/>
              </w:rPr>
              <w:t>.</w:t>
            </w:r>
            <w:r w:rsidR="00FD77BB" w:rsidRPr="00F57CAD">
              <w:rPr>
                <w:rFonts w:cs="Arial"/>
                <w:color w:val="0D0D0D" w:themeColor="text1" w:themeTint="F2"/>
                <w:spacing w:val="-4"/>
                <w:sz w:val="16"/>
                <w:szCs w:val="16"/>
                <w:lang w:val="en-GB"/>
              </w:rPr>
              <w:t xml:space="preserve"> </w:t>
            </w:r>
          </w:p>
        </w:tc>
        <w:tc>
          <w:tcPr>
            <w:tcW w:w="144" w:type="pct"/>
          </w:tcPr>
          <w:p w:rsidR="00FD77BB" w:rsidRPr="00F57CAD" w:rsidRDefault="00FD77BB" w:rsidP="00CF0826">
            <w:pPr>
              <w:pStyle w:val="Textpoznpodarou"/>
              <w:jc w:val="both"/>
              <w:rPr>
                <w:rFonts w:cs="Arial"/>
                <w:color w:val="0D0D0D" w:themeColor="text1" w:themeTint="F2"/>
                <w:lang w:val="en-GB"/>
              </w:rPr>
            </w:pPr>
          </w:p>
        </w:tc>
        <w:tc>
          <w:tcPr>
            <w:tcW w:w="3840" w:type="pct"/>
          </w:tcPr>
          <w:p w:rsidR="00FD77BB" w:rsidRPr="00F57CAD" w:rsidRDefault="00F57CAD" w:rsidP="00CF0826">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More detailed data of the Labour force sample survey (LFSS) suggest, that the main source of the employment growth was the net inflow from unemployment in Q1 to Q3 2017 (resulting from its further reduction). Already 74.3% of population aged 15-64 years held </w:t>
            </w:r>
            <w:r w:rsidR="007B70B8">
              <w:rPr>
                <w:rFonts w:cs="Arial"/>
                <w:color w:val="0D0D0D" w:themeColor="text1" w:themeTint="F2"/>
                <w:spacing w:val="-4"/>
                <w:lang w:val="en-GB"/>
              </w:rPr>
              <w:t xml:space="preserve">a </w:t>
            </w:r>
            <w:r>
              <w:rPr>
                <w:rFonts w:cs="Arial"/>
                <w:color w:val="0D0D0D" w:themeColor="text1" w:themeTint="F2"/>
                <w:spacing w:val="-4"/>
                <w:lang w:val="en-GB"/>
              </w:rPr>
              <w:t>job in Q4 2017.</w:t>
            </w:r>
            <w:r w:rsidR="00E94ADB" w:rsidRPr="00F57CAD">
              <w:rPr>
                <w:rFonts w:cs="Arial"/>
                <w:color w:val="0D0D0D" w:themeColor="text1" w:themeTint="F2"/>
                <w:spacing w:val="-4"/>
                <w:lang w:val="en-GB"/>
              </w:rPr>
              <w:t xml:space="preserve"> </w:t>
            </w:r>
            <w:r w:rsidR="00821C4A">
              <w:rPr>
                <w:rFonts w:cs="Arial"/>
                <w:color w:val="0D0D0D" w:themeColor="text1" w:themeTint="F2"/>
                <w:spacing w:val="-4"/>
                <w:lang w:val="en-GB"/>
              </w:rPr>
              <w:t xml:space="preserve">Year-on-year rate of growth of the employment rate slightly weakened – from 2.1 </w:t>
            </w:r>
            <w:r w:rsidR="0030607B">
              <w:rPr>
                <w:rFonts w:cs="Arial"/>
                <w:color w:val="0D0D0D" w:themeColor="text1" w:themeTint="F2"/>
                <w:spacing w:val="-4"/>
                <w:lang w:val="en-GB"/>
              </w:rPr>
              <w:t>p.p.</w:t>
            </w:r>
            <w:r w:rsidR="00821C4A">
              <w:rPr>
                <w:rFonts w:cs="Arial"/>
                <w:color w:val="0D0D0D" w:themeColor="text1" w:themeTint="F2"/>
                <w:spacing w:val="-4"/>
                <w:lang w:val="en-GB"/>
              </w:rPr>
              <w:t xml:space="preserve"> (in Q4 2016) to 1.4 </w:t>
            </w:r>
            <w:r w:rsidR="0030607B">
              <w:rPr>
                <w:rFonts w:cs="Arial"/>
                <w:color w:val="0D0D0D" w:themeColor="text1" w:themeTint="F2"/>
                <w:spacing w:val="-4"/>
                <w:lang w:val="en-GB"/>
              </w:rPr>
              <w:t>p.p.</w:t>
            </w:r>
            <w:r w:rsidR="00821C4A">
              <w:rPr>
                <w:rFonts w:cs="Arial"/>
                <w:color w:val="0D0D0D" w:themeColor="text1" w:themeTint="F2"/>
                <w:spacing w:val="-4"/>
                <w:lang w:val="en-GB"/>
              </w:rPr>
              <w:t xml:space="preserve"> (a year later)</w:t>
            </w:r>
            <w:r w:rsidR="00FD77BB" w:rsidRPr="00F57CAD">
              <w:rPr>
                <w:rFonts w:cs="Arial"/>
                <w:color w:val="0D0D0D" w:themeColor="text1" w:themeTint="F2"/>
                <w:spacing w:val="-4"/>
                <w:lang w:val="en-GB"/>
              </w:rPr>
              <w:t xml:space="preserve">. </w:t>
            </w:r>
            <w:r w:rsidR="00821C4A">
              <w:rPr>
                <w:rFonts w:cs="Arial"/>
                <w:color w:val="0D0D0D" w:themeColor="text1" w:themeTint="F2"/>
                <w:spacing w:val="-4"/>
                <w:lang w:val="en-GB"/>
              </w:rPr>
              <w:t>Older employees held a larger share on this growth (above 55 years)</w:t>
            </w:r>
            <w:proofErr w:type="gramStart"/>
            <w:r w:rsidR="00821C4A">
              <w:rPr>
                <w:rFonts w:cs="Arial"/>
                <w:color w:val="0D0D0D" w:themeColor="text1" w:themeTint="F2"/>
                <w:spacing w:val="-4"/>
                <w:lang w:val="en-GB"/>
              </w:rPr>
              <w:t>,</w:t>
            </w:r>
            <w:proofErr w:type="gramEnd"/>
            <w:r w:rsidR="00821C4A">
              <w:rPr>
                <w:rFonts w:cs="Arial"/>
                <w:color w:val="0D0D0D" w:themeColor="text1" w:themeTint="F2"/>
                <w:spacing w:val="-4"/>
                <w:lang w:val="en-GB"/>
              </w:rPr>
              <w:t xml:space="preserve"> however the employment rate rose in all age groups (apart from females aged 35 – 3</w:t>
            </w:r>
            <w:r w:rsidR="00C905B2">
              <w:rPr>
                <w:rFonts w:cs="Arial"/>
                <w:color w:val="0D0D0D" w:themeColor="text1" w:themeTint="F2"/>
                <w:spacing w:val="-4"/>
                <w:lang w:val="en-GB"/>
              </w:rPr>
              <w:t>9</w:t>
            </w:r>
            <w:r w:rsidR="00821C4A">
              <w:rPr>
                <w:rFonts w:cs="Arial"/>
                <w:color w:val="0D0D0D" w:themeColor="text1" w:themeTint="F2"/>
                <w:spacing w:val="-4"/>
                <w:lang w:val="en-GB"/>
              </w:rPr>
              <w:t xml:space="preserve"> years). Employment of males achieved 81.4% in Q3 and it was the highest in the EU already for more than one year. Employment of females ranked the CR still only to the eleventh place, even though it grew year-on-year by double pace compared to the Union (from 64.5% to 66.7%).</w:t>
            </w:r>
          </w:p>
        </w:tc>
      </w:tr>
    </w:tbl>
    <w:p w:rsidR="00FD77BB" w:rsidRPr="00FD77BB" w:rsidRDefault="00FD77BB" w:rsidP="00FD77BB">
      <w:pPr>
        <w:rPr>
          <w:sz w:val="14"/>
          <w:szCs w:val="14"/>
          <w:lang w:eastAsia="ar-SA"/>
        </w:rPr>
      </w:pPr>
    </w:p>
    <w:tbl>
      <w:tblPr>
        <w:tblW w:w="5000" w:type="pct"/>
        <w:tblInd w:w="80" w:type="dxa"/>
        <w:tblLayout w:type="fixed"/>
        <w:tblLook w:val="00A0"/>
      </w:tblPr>
      <w:tblGrid>
        <w:gridCol w:w="27"/>
        <w:gridCol w:w="1973"/>
        <w:gridCol w:w="24"/>
        <w:gridCol w:w="260"/>
        <w:gridCol w:w="24"/>
        <w:gridCol w:w="1096"/>
        <w:gridCol w:w="6387"/>
        <w:gridCol w:w="63"/>
      </w:tblGrid>
      <w:tr w:rsidR="00FD77BB" w:rsidRPr="000117D0" w:rsidTr="007F45FF">
        <w:trPr>
          <w:gridAfter w:val="1"/>
          <w:wAfter w:w="32" w:type="pct"/>
          <w:trHeight w:val="145"/>
        </w:trPr>
        <w:tc>
          <w:tcPr>
            <w:tcW w:w="1015" w:type="pct"/>
            <w:gridSpan w:val="2"/>
            <w:shd w:val="clear" w:color="auto" w:fill="auto"/>
          </w:tcPr>
          <w:p w:rsidR="00FD77BB" w:rsidRPr="00AA4A76" w:rsidRDefault="00FD77BB" w:rsidP="00CF0826">
            <w:pPr>
              <w:spacing w:line="240" w:lineRule="auto"/>
              <w:jc w:val="center"/>
              <w:rPr>
                <w:color w:val="000000"/>
                <w:szCs w:val="20"/>
              </w:rPr>
            </w:pPr>
          </w:p>
        </w:tc>
        <w:tc>
          <w:tcPr>
            <w:tcW w:w="144" w:type="pct"/>
            <w:gridSpan w:val="2"/>
          </w:tcPr>
          <w:p w:rsidR="00FD77BB" w:rsidRPr="00AA4A76" w:rsidRDefault="00FD77BB" w:rsidP="00CF0826">
            <w:pPr>
              <w:pStyle w:val="Textpoznpodarou"/>
              <w:jc w:val="both"/>
              <w:rPr>
                <w:highlight w:val="yellow"/>
              </w:rPr>
            </w:pPr>
          </w:p>
        </w:tc>
        <w:tc>
          <w:tcPr>
            <w:tcW w:w="568" w:type="pct"/>
            <w:gridSpan w:val="2"/>
          </w:tcPr>
          <w:p w:rsidR="00FD77BB" w:rsidRPr="00AA4A76" w:rsidRDefault="00F57CAD" w:rsidP="00CF0826">
            <w:pPr>
              <w:pStyle w:val="Textpoznpodarou"/>
              <w:jc w:val="both"/>
              <w:rPr>
                <w:highlight w:val="yellow"/>
              </w:rPr>
            </w:pPr>
            <w:r>
              <w:rPr>
                <w:color w:val="000000"/>
              </w:rPr>
              <w:t xml:space="preserve">Chart </w:t>
            </w:r>
            <w:r w:rsidR="00FD77BB">
              <w:rPr>
                <w:color w:val="000000"/>
              </w:rPr>
              <w:t>15</w:t>
            </w:r>
          </w:p>
        </w:tc>
        <w:tc>
          <w:tcPr>
            <w:tcW w:w="3241" w:type="pct"/>
          </w:tcPr>
          <w:p w:rsidR="00FD77BB" w:rsidRPr="002B725B" w:rsidRDefault="00C844CA" w:rsidP="00C844CA">
            <w:pPr>
              <w:pStyle w:val="Textpoznpodarou"/>
              <w:rPr>
                <w:b/>
                <w:lang w:val="en-GB" w:eastAsia="en-US"/>
              </w:rPr>
            </w:pPr>
            <w:r>
              <w:rPr>
                <w:b/>
                <w:lang w:val="en-GB" w:eastAsia="en-US"/>
              </w:rPr>
              <w:t xml:space="preserve">Total employment in selected branches and </w:t>
            </w:r>
            <w:r w:rsidR="002B725B" w:rsidRPr="002B725B">
              <w:rPr>
                <w:b/>
                <w:lang w:val="en-GB" w:eastAsia="en-US"/>
              </w:rPr>
              <w:t xml:space="preserve">number of employees </w:t>
            </w:r>
            <w:r w:rsidR="00FD77BB" w:rsidRPr="002B725B">
              <w:rPr>
                <w:spacing w:val="-4"/>
                <w:lang w:val="en-GB" w:eastAsia="en-US"/>
              </w:rPr>
              <w:t>(</w:t>
            </w:r>
            <w:r w:rsidR="002B725B" w:rsidRPr="002B725B">
              <w:rPr>
                <w:spacing w:val="-4"/>
                <w:lang w:val="en-GB" w:eastAsia="en-US"/>
              </w:rPr>
              <w:t xml:space="preserve">seasonally adjusted, year-on-year in </w:t>
            </w:r>
            <w:r w:rsidR="00FD77BB" w:rsidRPr="002B725B">
              <w:rPr>
                <w:bCs/>
                <w:spacing w:val="-2"/>
                <w:lang w:val="en-GB"/>
              </w:rPr>
              <w:t>%)</w:t>
            </w:r>
          </w:p>
        </w:tc>
      </w:tr>
      <w:tr w:rsidR="00FD77BB" w:rsidRPr="000C70D9" w:rsidTr="007F45FF">
        <w:trPr>
          <w:gridAfter w:val="1"/>
          <w:wAfter w:w="32" w:type="pct"/>
          <w:trHeight w:val="145"/>
        </w:trPr>
        <w:tc>
          <w:tcPr>
            <w:tcW w:w="1015" w:type="pct"/>
            <w:gridSpan w:val="2"/>
            <w:shd w:val="clear" w:color="auto" w:fill="auto"/>
          </w:tcPr>
          <w:p w:rsidR="00FD77BB" w:rsidRPr="000C70D9" w:rsidRDefault="00FD77BB" w:rsidP="00CF0826">
            <w:pPr>
              <w:spacing w:line="240" w:lineRule="auto"/>
              <w:rPr>
                <w:color w:val="000000"/>
                <w:sz w:val="16"/>
                <w:szCs w:val="16"/>
                <w:highlight w:val="yellow"/>
                <w:lang w:val="en-GB"/>
              </w:rPr>
            </w:pPr>
          </w:p>
        </w:tc>
        <w:tc>
          <w:tcPr>
            <w:tcW w:w="144" w:type="pct"/>
            <w:gridSpan w:val="2"/>
          </w:tcPr>
          <w:p w:rsidR="00FD77BB" w:rsidRPr="000C70D9" w:rsidRDefault="00FD77BB" w:rsidP="00CF0826">
            <w:pPr>
              <w:pStyle w:val="Textpoznpodarou"/>
              <w:jc w:val="both"/>
              <w:rPr>
                <w:lang w:val="en-GB"/>
              </w:rPr>
            </w:pPr>
          </w:p>
        </w:tc>
        <w:tc>
          <w:tcPr>
            <w:tcW w:w="3809" w:type="pct"/>
            <w:gridSpan w:val="3"/>
          </w:tcPr>
          <w:p w:rsidR="00FD77BB" w:rsidRPr="000C70D9" w:rsidRDefault="00C844CA" w:rsidP="00CF0826">
            <w:pPr>
              <w:pStyle w:val="Textpoznpodarou"/>
              <w:ind w:left="-124"/>
              <w:jc w:val="both"/>
              <w:rPr>
                <w:sz w:val="16"/>
                <w:szCs w:val="16"/>
                <w:lang w:val="en-GB"/>
              </w:rPr>
            </w:pPr>
            <w:r w:rsidRPr="00C844CA">
              <w:rPr>
                <w:noProof/>
                <w:sz w:val="16"/>
                <w:szCs w:val="16"/>
              </w:rPr>
              <w:drawing>
                <wp:inline distT="0" distB="0" distL="0" distR="0">
                  <wp:extent cx="4771464" cy="3531727"/>
                  <wp:effectExtent l="0" t="0" r="0" b="0"/>
                  <wp:docPr id="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B725B" w:rsidRPr="00C844CA" w:rsidRDefault="000C70D9" w:rsidP="00C844CA">
            <w:pPr>
              <w:pStyle w:val="Textpoznpodarou"/>
              <w:ind w:left="-124"/>
              <w:jc w:val="right"/>
              <w:rPr>
                <w:rFonts w:cs="Arial"/>
                <w:sz w:val="14"/>
                <w:szCs w:val="14"/>
                <w:lang w:val="en-GB"/>
              </w:rPr>
            </w:pPr>
            <w:r w:rsidRPr="000C70D9">
              <w:rPr>
                <w:rFonts w:cs="Arial"/>
                <w:sz w:val="14"/>
                <w:szCs w:val="14"/>
                <w:lang w:val="en-GB"/>
              </w:rPr>
              <w:t>Source</w:t>
            </w:r>
            <w:r w:rsidR="00FD77BB" w:rsidRPr="000C70D9">
              <w:rPr>
                <w:rFonts w:cs="Arial"/>
                <w:sz w:val="14"/>
                <w:szCs w:val="14"/>
                <w:lang w:val="en-GB"/>
              </w:rPr>
              <w:t xml:space="preserve">: </w:t>
            </w:r>
            <w:r w:rsidRPr="000C70D9">
              <w:rPr>
                <w:rFonts w:cs="Arial"/>
                <w:sz w:val="14"/>
                <w:szCs w:val="14"/>
                <w:lang w:val="en-GB"/>
              </w:rPr>
              <w:t>CZSO</w:t>
            </w:r>
            <w:r w:rsidR="00FD77BB" w:rsidRPr="000C70D9">
              <w:rPr>
                <w:rFonts w:cs="Arial"/>
                <w:sz w:val="14"/>
                <w:szCs w:val="14"/>
                <w:lang w:val="en-GB"/>
              </w:rPr>
              <w:t xml:space="preserve"> (n</w:t>
            </w:r>
            <w:r w:rsidRPr="000C70D9">
              <w:rPr>
                <w:rFonts w:cs="Arial"/>
                <w:sz w:val="14"/>
                <w:szCs w:val="14"/>
                <w:lang w:val="en-GB"/>
              </w:rPr>
              <w:t>ational accounts</w:t>
            </w:r>
            <w:r w:rsidR="00FD77BB" w:rsidRPr="000C70D9">
              <w:rPr>
                <w:rFonts w:cs="Arial"/>
                <w:sz w:val="14"/>
                <w:szCs w:val="14"/>
                <w:lang w:val="en-GB"/>
              </w:rPr>
              <w:t>)</w:t>
            </w:r>
          </w:p>
        </w:tc>
      </w:tr>
      <w:tr w:rsidR="007F45FF" w:rsidRPr="000C70D9" w:rsidTr="007F45FF">
        <w:trPr>
          <w:gridAfter w:val="1"/>
          <w:wAfter w:w="32" w:type="pct"/>
          <w:trHeight w:val="145"/>
        </w:trPr>
        <w:tc>
          <w:tcPr>
            <w:tcW w:w="1015" w:type="pct"/>
            <w:gridSpan w:val="2"/>
            <w:shd w:val="clear" w:color="auto" w:fill="auto"/>
          </w:tcPr>
          <w:p w:rsidR="007F45FF" w:rsidRPr="000C70D9" w:rsidRDefault="007F45FF" w:rsidP="00CF0826">
            <w:pPr>
              <w:spacing w:line="240" w:lineRule="auto"/>
              <w:rPr>
                <w:color w:val="000000"/>
                <w:sz w:val="16"/>
                <w:szCs w:val="16"/>
                <w:highlight w:val="yellow"/>
                <w:lang w:val="en-GB"/>
              </w:rPr>
            </w:pPr>
          </w:p>
        </w:tc>
        <w:tc>
          <w:tcPr>
            <w:tcW w:w="144" w:type="pct"/>
            <w:gridSpan w:val="2"/>
          </w:tcPr>
          <w:p w:rsidR="007F45FF" w:rsidRPr="000C70D9" w:rsidRDefault="007F45FF" w:rsidP="00CF0826">
            <w:pPr>
              <w:pStyle w:val="Textpoznpodarou"/>
              <w:jc w:val="both"/>
              <w:rPr>
                <w:lang w:val="en-GB"/>
              </w:rPr>
            </w:pPr>
          </w:p>
        </w:tc>
        <w:tc>
          <w:tcPr>
            <w:tcW w:w="3809" w:type="pct"/>
            <w:gridSpan w:val="3"/>
          </w:tcPr>
          <w:p w:rsidR="007F45FF" w:rsidRPr="000C70D9" w:rsidRDefault="007F45FF" w:rsidP="00CF0826">
            <w:pPr>
              <w:pStyle w:val="Textpoznpodarou"/>
              <w:ind w:left="-124"/>
              <w:jc w:val="both"/>
              <w:rPr>
                <w:noProof/>
                <w:sz w:val="16"/>
                <w:szCs w:val="16"/>
                <w:lang w:val="en-GB" w:eastAsia="en-US"/>
              </w:rPr>
            </w:pPr>
          </w:p>
        </w:tc>
      </w:tr>
      <w:tr w:rsidR="00FD77BB" w:rsidRPr="00F06A1D" w:rsidTr="007F45FF">
        <w:trPr>
          <w:gridBefore w:val="1"/>
          <w:wBefore w:w="14" w:type="pct"/>
          <w:trHeight w:val="145"/>
        </w:trPr>
        <w:tc>
          <w:tcPr>
            <w:tcW w:w="1013" w:type="pct"/>
            <w:gridSpan w:val="2"/>
            <w:shd w:val="clear" w:color="auto" w:fill="auto"/>
          </w:tcPr>
          <w:p w:rsidR="00FD77BB" w:rsidRPr="000B4550" w:rsidRDefault="00416618" w:rsidP="00CF0826">
            <w:pPr>
              <w:spacing w:line="240" w:lineRule="auto"/>
              <w:rPr>
                <w:rFonts w:cs="Arial"/>
                <w:color w:val="0D0D0D" w:themeColor="text1" w:themeTint="F2"/>
                <w:spacing w:val="-2"/>
                <w:sz w:val="16"/>
                <w:szCs w:val="16"/>
                <w:lang w:val="en-GB"/>
              </w:rPr>
            </w:pPr>
            <w:r w:rsidRPr="000B4550">
              <w:rPr>
                <w:rFonts w:cs="Arial"/>
                <w:color w:val="0D0D0D" w:themeColor="text1" w:themeTint="F2"/>
                <w:spacing w:val="-2"/>
                <w:sz w:val="16"/>
                <w:szCs w:val="16"/>
                <w:lang w:val="en-GB"/>
              </w:rPr>
              <w:t xml:space="preserve">Both employees and self-employed </w:t>
            </w:r>
            <w:r w:rsidR="00E00CCA" w:rsidRPr="000B4550">
              <w:rPr>
                <w:rFonts w:cs="Arial"/>
                <w:color w:val="0D0D0D" w:themeColor="text1" w:themeTint="F2"/>
                <w:spacing w:val="-2"/>
                <w:sz w:val="16"/>
                <w:szCs w:val="16"/>
                <w:lang w:val="en-GB"/>
              </w:rPr>
              <w:t>contributed to the higher employment last year.</w:t>
            </w:r>
          </w:p>
          <w:p w:rsidR="00FD77BB" w:rsidRPr="000B4550" w:rsidRDefault="00FD77BB" w:rsidP="00CF0826">
            <w:pPr>
              <w:spacing w:line="240" w:lineRule="auto"/>
              <w:rPr>
                <w:rFonts w:cs="Arial"/>
                <w:color w:val="0D0D0D" w:themeColor="text1" w:themeTint="F2"/>
                <w:spacing w:val="-4"/>
                <w:sz w:val="16"/>
                <w:szCs w:val="16"/>
                <w:lang w:val="en-GB"/>
              </w:rPr>
            </w:pPr>
          </w:p>
          <w:p w:rsidR="00FD77BB" w:rsidRPr="000B4550" w:rsidRDefault="00FD77BB" w:rsidP="00CF0826">
            <w:pPr>
              <w:spacing w:line="240" w:lineRule="auto"/>
              <w:rPr>
                <w:rFonts w:cs="Arial"/>
                <w:color w:val="0D0D0D" w:themeColor="text1" w:themeTint="F2"/>
                <w:spacing w:val="-4"/>
                <w:sz w:val="16"/>
                <w:szCs w:val="16"/>
                <w:lang w:val="en-GB"/>
              </w:rPr>
            </w:pPr>
          </w:p>
          <w:p w:rsidR="00FD77BB" w:rsidRPr="000B4550" w:rsidRDefault="000B4550"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 xml:space="preserve">Focal point of growth of new job positions moved from manufacturing to services. Construction revived, recession in mining and quarrying on the contrary continued.  </w:t>
            </w:r>
          </w:p>
        </w:tc>
        <w:tc>
          <w:tcPr>
            <w:tcW w:w="144" w:type="pct"/>
            <w:gridSpan w:val="2"/>
          </w:tcPr>
          <w:p w:rsidR="00FD77BB" w:rsidRPr="000B4550" w:rsidRDefault="00FD77BB" w:rsidP="00CF0826">
            <w:pPr>
              <w:pStyle w:val="Textpoznpodarou"/>
              <w:jc w:val="both"/>
              <w:rPr>
                <w:rFonts w:cs="Arial"/>
                <w:color w:val="0D0D0D" w:themeColor="text1" w:themeTint="F2"/>
                <w:lang w:val="en-GB"/>
              </w:rPr>
            </w:pPr>
          </w:p>
        </w:tc>
        <w:tc>
          <w:tcPr>
            <w:tcW w:w="3829" w:type="pct"/>
            <w:gridSpan w:val="3"/>
          </w:tcPr>
          <w:p w:rsidR="00FD77BB" w:rsidRPr="000B4550" w:rsidRDefault="00E00CCA" w:rsidP="0037040B">
            <w:pPr>
              <w:pStyle w:val="Textpoznpodarou"/>
              <w:jc w:val="both"/>
              <w:rPr>
                <w:rFonts w:cs="Arial"/>
                <w:color w:val="0D0D0D" w:themeColor="text1" w:themeTint="F2"/>
                <w:spacing w:val="-4"/>
                <w:lang w:val="en-GB"/>
              </w:rPr>
            </w:pPr>
            <w:r w:rsidRPr="000B4550">
              <w:rPr>
                <w:rFonts w:cs="Arial"/>
                <w:color w:val="0D0D0D" w:themeColor="text1" w:themeTint="F2"/>
                <w:spacing w:val="-4"/>
                <w:lang w:val="en-GB"/>
              </w:rPr>
              <w:t xml:space="preserve">Mostly employees contributed to the higher employment in 2017. Self-employed however also </w:t>
            </w:r>
            <w:r w:rsidR="000B4550" w:rsidRPr="000B4550">
              <w:rPr>
                <w:rFonts w:cs="Arial"/>
                <w:color w:val="0D0D0D" w:themeColor="text1" w:themeTint="F2"/>
                <w:spacing w:val="-4"/>
                <w:lang w:val="en-GB"/>
              </w:rPr>
              <w:t>participated</w:t>
            </w:r>
            <w:r w:rsidRPr="000B4550">
              <w:rPr>
                <w:rFonts w:cs="Arial"/>
                <w:color w:val="0D0D0D" w:themeColor="text1" w:themeTint="F2"/>
                <w:spacing w:val="-4"/>
                <w:lang w:val="en-GB"/>
              </w:rPr>
              <w:t xml:space="preserve"> by one sixth, their growth </w:t>
            </w:r>
            <w:r w:rsidR="000B4550" w:rsidRPr="000B4550">
              <w:rPr>
                <w:rFonts w:cs="Arial"/>
                <w:color w:val="0D0D0D" w:themeColor="text1" w:themeTint="F2"/>
                <w:spacing w:val="-4"/>
                <w:lang w:val="en-GB"/>
              </w:rPr>
              <w:t>pervaded</w:t>
            </w:r>
            <w:r w:rsidRPr="000B4550">
              <w:rPr>
                <w:rFonts w:cs="Arial"/>
                <w:color w:val="0D0D0D" w:themeColor="text1" w:themeTint="F2"/>
                <w:spacing w:val="-4"/>
                <w:lang w:val="en-GB"/>
              </w:rPr>
              <w:t xml:space="preserve"> majority of significant branches. Number of self-employed increased already second year in a row. </w:t>
            </w:r>
            <w:r w:rsidR="0026595E" w:rsidRPr="000B4550">
              <w:rPr>
                <w:rFonts w:cs="Arial"/>
                <w:color w:val="0D0D0D" w:themeColor="text1" w:themeTint="F2"/>
                <w:spacing w:val="-4"/>
                <w:lang w:val="en-GB"/>
              </w:rPr>
              <w:t xml:space="preserve"> </w:t>
            </w:r>
            <w:r w:rsidR="000B4550" w:rsidRPr="000B4550">
              <w:rPr>
                <w:rFonts w:cs="Arial"/>
                <w:color w:val="0D0D0D" w:themeColor="text1" w:themeTint="F2"/>
                <w:spacing w:val="-4"/>
                <w:lang w:val="en-GB"/>
              </w:rPr>
              <w:t xml:space="preserve">From the point of view of branches, especially services drove the growth of the total employment in 2017. The role of manufacturing, which intensively hired employees in years 2015 and 2016, gradually weakened. </w:t>
            </w:r>
            <w:r w:rsidR="00615023">
              <w:rPr>
                <w:rFonts w:cs="Arial"/>
                <w:color w:val="0D0D0D" w:themeColor="text1" w:themeTint="F2"/>
                <w:spacing w:val="-4"/>
                <w:lang w:val="en-GB"/>
              </w:rPr>
              <w:t xml:space="preserve">By 71 thousand people more worked in the </w:t>
            </w:r>
            <w:r w:rsidR="00E42C77">
              <w:rPr>
                <w:rFonts w:cs="Arial"/>
                <w:color w:val="0D0D0D" w:themeColor="text1" w:themeTint="F2"/>
                <w:spacing w:val="-4"/>
                <w:lang w:val="en-GB"/>
              </w:rPr>
              <w:t>services</w:t>
            </w:r>
            <w:r w:rsidR="00615023">
              <w:rPr>
                <w:rFonts w:cs="Arial"/>
                <w:color w:val="0D0D0D" w:themeColor="text1" w:themeTint="F2"/>
                <w:spacing w:val="-4"/>
                <w:lang w:val="en-GB"/>
              </w:rPr>
              <w:t xml:space="preserve"> sector compared to year 2016, by 8 thousand more in manufacturing. </w:t>
            </w:r>
            <w:r w:rsidR="009C0CD4">
              <w:rPr>
                <w:rFonts w:cs="Arial"/>
                <w:color w:val="0D0D0D" w:themeColor="text1" w:themeTint="F2"/>
                <w:spacing w:val="-4"/>
                <w:lang w:val="en-GB"/>
              </w:rPr>
              <w:t>Within</w:t>
            </w:r>
            <w:r w:rsidR="00615023">
              <w:rPr>
                <w:rFonts w:cs="Arial"/>
                <w:color w:val="0D0D0D" w:themeColor="text1" w:themeTint="F2"/>
                <w:spacing w:val="-4"/>
                <w:lang w:val="en-GB"/>
              </w:rPr>
              <w:t xml:space="preserve"> </w:t>
            </w:r>
            <w:r w:rsidR="009C0CD4">
              <w:rPr>
                <w:rFonts w:cs="Arial"/>
                <w:color w:val="0D0D0D" w:themeColor="text1" w:themeTint="F2"/>
                <w:spacing w:val="-4"/>
                <w:lang w:val="en-GB"/>
              </w:rPr>
              <w:t>the services sector</w:t>
            </w:r>
            <w:r w:rsidR="00615023">
              <w:rPr>
                <w:rFonts w:cs="Arial"/>
                <w:color w:val="0D0D0D" w:themeColor="text1" w:themeTint="F2"/>
                <w:spacing w:val="-4"/>
                <w:lang w:val="en-GB"/>
              </w:rPr>
              <w:t xml:space="preserve">, the branch professional, </w:t>
            </w:r>
            <w:r w:rsidR="009C0CD4">
              <w:rPr>
                <w:rFonts w:cs="Arial"/>
                <w:color w:val="0D0D0D" w:themeColor="text1" w:themeTint="F2"/>
                <w:spacing w:val="-4"/>
                <w:lang w:val="en-GB"/>
              </w:rPr>
              <w:t>scientific</w:t>
            </w:r>
            <w:r w:rsidR="00615023">
              <w:rPr>
                <w:rFonts w:cs="Arial"/>
                <w:color w:val="0D0D0D" w:themeColor="text1" w:themeTint="F2"/>
                <w:spacing w:val="-4"/>
                <w:lang w:val="en-GB"/>
              </w:rPr>
              <w:t>, technical and administrative activities and also information and communication created</w:t>
            </w:r>
            <w:r w:rsidR="009C0CD4">
              <w:rPr>
                <w:rFonts w:cs="Arial"/>
                <w:color w:val="0D0D0D" w:themeColor="text1" w:themeTint="F2"/>
                <w:spacing w:val="-4"/>
                <w:lang w:val="en-GB"/>
              </w:rPr>
              <w:t xml:space="preserve"> </w:t>
            </w:r>
            <w:r w:rsidR="00615023">
              <w:rPr>
                <w:rFonts w:cs="Arial"/>
                <w:color w:val="0D0D0D" w:themeColor="text1" w:themeTint="F2"/>
                <w:spacing w:val="-4"/>
                <w:lang w:val="en-GB"/>
              </w:rPr>
              <w:t xml:space="preserve">relatively the </w:t>
            </w:r>
            <w:r w:rsidR="00136168">
              <w:rPr>
                <w:rFonts w:cs="Arial"/>
                <w:color w:val="0D0D0D" w:themeColor="text1" w:themeTint="F2"/>
                <w:spacing w:val="-4"/>
                <w:lang w:val="en-GB"/>
              </w:rPr>
              <w:t xml:space="preserve">most new </w:t>
            </w:r>
            <w:r w:rsidR="00615023">
              <w:rPr>
                <w:rFonts w:cs="Arial"/>
                <w:color w:val="0D0D0D" w:themeColor="text1" w:themeTint="F2"/>
                <w:spacing w:val="-4"/>
                <w:lang w:val="en-GB"/>
              </w:rPr>
              <w:t xml:space="preserve">working positions </w:t>
            </w:r>
            <w:r w:rsidR="005959ED" w:rsidRPr="000B4550">
              <w:rPr>
                <w:rFonts w:cs="Arial"/>
                <w:color w:val="000000" w:themeColor="text1"/>
                <w:spacing w:val="-4"/>
                <w:lang w:val="en-GB"/>
              </w:rPr>
              <w:t>(</w:t>
            </w:r>
            <w:r w:rsidR="009C0CD4">
              <w:rPr>
                <w:rFonts w:cs="Arial"/>
                <w:color w:val="000000" w:themeColor="text1"/>
                <w:spacing w:val="-4"/>
                <w:lang w:val="en-GB"/>
              </w:rPr>
              <w:t>by 3.8% more in both cases</w:t>
            </w:r>
            <w:r w:rsidR="005959ED" w:rsidRPr="000B4550">
              <w:rPr>
                <w:rFonts w:cs="Arial"/>
                <w:color w:val="000000" w:themeColor="text1"/>
                <w:spacing w:val="-4"/>
                <w:lang w:val="en-GB"/>
              </w:rPr>
              <w:t>).</w:t>
            </w:r>
            <w:r w:rsidR="007D3A2C" w:rsidRPr="000B4550">
              <w:rPr>
                <w:rFonts w:cs="Arial"/>
                <w:color w:val="000000" w:themeColor="text1"/>
                <w:spacing w:val="-4"/>
                <w:lang w:val="en-GB"/>
              </w:rPr>
              <w:t xml:space="preserve"> </w:t>
            </w:r>
            <w:r w:rsidR="00136168">
              <w:rPr>
                <w:rFonts w:cs="Arial"/>
                <w:color w:val="000000" w:themeColor="text1"/>
                <w:spacing w:val="-4"/>
                <w:lang w:val="en-GB"/>
              </w:rPr>
              <w:t>Mild increase of employment continued in branches with the state dominance</w:t>
            </w:r>
            <w:r w:rsidR="00FD77BB" w:rsidRPr="000B4550">
              <w:rPr>
                <w:rStyle w:val="Znakapoznpodarou"/>
                <w:color w:val="0D0D0D" w:themeColor="text1" w:themeTint="F2"/>
                <w:spacing w:val="-4"/>
                <w:lang w:val="en-GB"/>
              </w:rPr>
              <w:footnoteReference w:id="32"/>
            </w:r>
            <w:r w:rsidR="005959ED" w:rsidRPr="000B4550">
              <w:rPr>
                <w:rFonts w:cs="Arial"/>
                <w:color w:val="0D0D0D" w:themeColor="text1" w:themeTint="F2"/>
                <w:spacing w:val="-4"/>
                <w:lang w:val="en-GB"/>
              </w:rPr>
              <w:t xml:space="preserve"> –</w:t>
            </w:r>
            <w:r w:rsidR="0037040B" w:rsidRPr="000B4550">
              <w:rPr>
                <w:rFonts w:cs="Arial"/>
                <w:color w:val="0D0D0D" w:themeColor="text1" w:themeTint="F2"/>
                <w:spacing w:val="-4"/>
                <w:lang w:val="en-GB"/>
              </w:rPr>
              <w:t xml:space="preserve"> </w:t>
            </w:r>
            <w:r w:rsidR="00136168">
              <w:rPr>
                <w:rFonts w:cs="Arial"/>
                <w:color w:val="0D0D0D" w:themeColor="text1" w:themeTint="F2"/>
                <w:spacing w:val="-4"/>
                <w:lang w:val="en-GB"/>
              </w:rPr>
              <w:t>mainly in defence and education. The six years lasting reduction of employment in construction halted, exclusively due to the effect of higher number of self-employed (they benefited from the higher demand for smaller construction works, whose development was not negatively affected by the irregularities in the drawing of European funds). The number of hours worked in the whole economy increased by 1.9% last year and it showed higher rates of growth than the total employment already for the second year. One of the reasons is also the growing number as well as proportion of persons working in the second employments, as evident from the LFSS</w:t>
            </w:r>
            <w:r w:rsidR="00136168" w:rsidRPr="000B4550">
              <w:rPr>
                <w:rStyle w:val="Znakapoznpodarou"/>
                <w:color w:val="0D0D0D" w:themeColor="text1" w:themeTint="F2"/>
                <w:spacing w:val="-4"/>
                <w:lang w:val="en-GB"/>
              </w:rPr>
              <w:footnoteReference w:id="33"/>
            </w:r>
            <w:r w:rsidR="00136168">
              <w:rPr>
                <w:rFonts w:cs="Arial"/>
                <w:color w:val="0D0D0D" w:themeColor="text1" w:themeTint="F2"/>
                <w:spacing w:val="-4"/>
                <w:lang w:val="en-GB"/>
              </w:rPr>
              <w:t xml:space="preserve"> data.</w:t>
            </w:r>
          </w:p>
        </w:tc>
      </w:tr>
    </w:tbl>
    <w:p w:rsidR="00FD77BB" w:rsidRPr="00FD77BB" w:rsidRDefault="00FD77BB" w:rsidP="00FD77BB">
      <w:pPr>
        <w:rPr>
          <w:sz w:val="14"/>
          <w:szCs w:val="14"/>
          <w:lang w:eastAsia="ar-SA"/>
        </w:rPr>
      </w:pPr>
    </w:p>
    <w:tbl>
      <w:tblPr>
        <w:tblW w:w="4977" w:type="pct"/>
        <w:tblInd w:w="80" w:type="dxa"/>
        <w:tblLayout w:type="fixed"/>
        <w:tblLook w:val="00A0"/>
      </w:tblPr>
      <w:tblGrid>
        <w:gridCol w:w="2004"/>
        <w:gridCol w:w="284"/>
        <w:gridCol w:w="1122"/>
        <w:gridCol w:w="6399"/>
      </w:tblGrid>
      <w:tr w:rsidR="00FD77BB" w:rsidRPr="000117D0" w:rsidTr="00CF0826">
        <w:trPr>
          <w:trHeight w:val="145"/>
        </w:trPr>
        <w:tc>
          <w:tcPr>
            <w:tcW w:w="1018" w:type="pct"/>
            <w:shd w:val="clear" w:color="auto" w:fill="auto"/>
          </w:tcPr>
          <w:p w:rsidR="00FD77BB" w:rsidRPr="00AA4A76" w:rsidRDefault="00FD77BB" w:rsidP="00CF0826">
            <w:pPr>
              <w:spacing w:line="240" w:lineRule="auto"/>
              <w:jc w:val="center"/>
              <w:rPr>
                <w:color w:val="000000"/>
                <w:szCs w:val="20"/>
              </w:rPr>
            </w:pPr>
          </w:p>
        </w:tc>
        <w:tc>
          <w:tcPr>
            <w:tcW w:w="145" w:type="pct"/>
          </w:tcPr>
          <w:p w:rsidR="00FD77BB" w:rsidRPr="00AA4A76" w:rsidRDefault="00FD77BB" w:rsidP="00CF0826">
            <w:pPr>
              <w:pStyle w:val="Textpoznpodarou"/>
              <w:jc w:val="both"/>
              <w:rPr>
                <w:highlight w:val="yellow"/>
              </w:rPr>
            </w:pPr>
          </w:p>
        </w:tc>
        <w:tc>
          <w:tcPr>
            <w:tcW w:w="570" w:type="pct"/>
          </w:tcPr>
          <w:p w:rsidR="00FD77BB" w:rsidRPr="00AA4A76" w:rsidRDefault="000B4550" w:rsidP="00CF0826">
            <w:pPr>
              <w:pStyle w:val="Textpoznpodarou"/>
              <w:jc w:val="both"/>
              <w:rPr>
                <w:highlight w:val="yellow"/>
              </w:rPr>
            </w:pPr>
            <w:r>
              <w:rPr>
                <w:color w:val="000000"/>
              </w:rPr>
              <w:t>Chart 16</w:t>
            </w:r>
          </w:p>
        </w:tc>
        <w:tc>
          <w:tcPr>
            <w:tcW w:w="3253" w:type="pct"/>
          </w:tcPr>
          <w:p w:rsidR="00FD77BB" w:rsidRPr="00322719" w:rsidRDefault="00322719" w:rsidP="00CF0826">
            <w:pPr>
              <w:pStyle w:val="Textpoznpodarou"/>
              <w:rPr>
                <w:b/>
                <w:lang w:val="en-GB" w:eastAsia="en-US"/>
              </w:rPr>
            </w:pPr>
            <w:r w:rsidRPr="00322719">
              <w:rPr>
                <w:rFonts w:cs="Arial"/>
                <w:b/>
                <w:bCs/>
                <w:spacing w:val="-2"/>
                <w:lang w:val="en-GB"/>
              </w:rPr>
              <w:t xml:space="preserve">General unemployment rate of males and females </w:t>
            </w:r>
            <w:r w:rsidR="00FD77BB" w:rsidRPr="0076719C">
              <w:rPr>
                <w:rFonts w:cs="Arial"/>
                <w:bCs/>
                <w:spacing w:val="-2"/>
                <w:lang w:val="en-GB"/>
              </w:rPr>
              <w:t>(</w:t>
            </w:r>
            <w:r w:rsidRPr="0076719C">
              <w:rPr>
                <w:rFonts w:cs="Arial"/>
                <w:bCs/>
                <w:spacing w:val="-2"/>
                <w:lang w:val="en-GB"/>
              </w:rPr>
              <w:t>in</w:t>
            </w:r>
            <w:r w:rsidR="00FD77BB" w:rsidRPr="00322719">
              <w:rPr>
                <w:rFonts w:cs="Arial"/>
                <w:bCs/>
                <w:spacing w:val="-2"/>
                <w:lang w:val="en-GB"/>
              </w:rPr>
              <w:t xml:space="preserve"> %, s</w:t>
            </w:r>
            <w:r w:rsidRPr="00322719">
              <w:rPr>
                <w:rFonts w:cs="Arial"/>
                <w:bCs/>
                <w:spacing w:val="-2"/>
                <w:lang w:val="en-GB"/>
              </w:rPr>
              <w:t>easonally adjusted)</w:t>
            </w:r>
            <w:r w:rsidR="00FD77BB" w:rsidRPr="00322719">
              <w:rPr>
                <w:rFonts w:cs="Arial"/>
                <w:b/>
                <w:bCs/>
                <w:spacing w:val="-2"/>
                <w:lang w:val="en-GB"/>
              </w:rPr>
              <w:t xml:space="preserve"> a</w:t>
            </w:r>
            <w:r w:rsidRPr="00322719">
              <w:rPr>
                <w:rFonts w:cs="Arial"/>
                <w:b/>
                <w:bCs/>
                <w:spacing w:val="-2"/>
                <w:lang w:val="en-GB"/>
              </w:rPr>
              <w:t xml:space="preserve">nd selected groups of unemployed </w:t>
            </w:r>
            <w:r w:rsidR="00FD77BB" w:rsidRPr="00322719">
              <w:rPr>
                <w:rFonts w:cs="Arial"/>
                <w:bCs/>
                <w:spacing w:val="-2"/>
                <w:lang w:val="en-GB"/>
              </w:rPr>
              <w:t xml:space="preserve">(y/y, </w:t>
            </w:r>
            <w:r w:rsidRPr="00322719">
              <w:rPr>
                <w:rFonts w:cs="Arial"/>
                <w:bCs/>
                <w:spacing w:val="-2"/>
                <w:lang w:val="en-GB"/>
              </w:rPr>
              <w:t>in</w:t>
            </w:r>
            <w:r w:rsidR="00FD77BB" w:rsidRPr="00322719">
              <w:rPr>
                <w:rFonts w:cs="Arial"/>
                <w:bCs/>
                <w:spacing w:val="-2"/>
                <w:lang w:val="en-GB"/>
              </w:rPr>
              <w:t xml:space="preserve"> %)</w:t>
            </w:r>
          </w:p>
        </w:tc>
      </w:tr>
      <w:tr w:rsidR="00FD77BB" w:rsidRPr="00535F78" w:rsidTr="00CF0826">
        <w:trPr>
          <w:trHeight w:val="145"/>
        </w:trPr>
        <w:tc>
          <w:tcPr>
            <w:tcW w:w="1018"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23" w:type="pct"/>
            <w:gridSpan w:val="2"/>
          </w:tcPr>
          <w:p w:rsidR="00FD77BB" w:rsidRDefault="00C844CA" w:rsidP="00CF0826">
            <w:pPr>
              <w:pStyle w:val="Textpoznpodarou"/>
              <w:ind w:left="-124"/>
              <w:jc w:val="both"/>
              <w:rPr>
                <w:sz w:val="16"/>
                <w:szCs w:val="16"/>
              </w:rPr>
            </w:pPr>
            <w:r w:rsidRPr="00C844CA">
              <w:rPr>
                <w:noProof/>
                <w:sz w:val="16"/>
                <w:szCs w:val="16"/>
              </w:rPr>
              <w:drawing>
                <wp:inline distT="0" distB="0" distL="0" distR="0">
                  <wp:extent cx="4752000" cy="3528000"/>
                  <wp:effectExtent l="19050" t="0" r="0" b="0"/>
                  <wp:docPr id="2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2C77" w:rsidRPr="00C844CA" w:rsidRDefault="00322719" w:rsidP="00C844CA">
            <w:pPr>
              <w:pStyle w:val="Textpoznpodarou"/>
              <w:ind w:left="-124"/>
              <w:jc w:val="right"/>
              <w:rPr>
                <w:rFonts w:cs="Arial"/>
                <w:sz w:val="14"/>
                <w:szCs w:val="14"/>
              </w:rPr>
            </w:pPr>
            <w:r w:rsidRPr="00322719">
              <w:rPr>
                <w:rFonts w:cs="Arial"/>
                <w:sz w:val="14"/>
                <w:szCs w:val="14"/>
                <w:lang w:val="en-GB"/>
              </w:rPr>
              <w:t>Source</w:t>
            </w:r>
            <w:r w:rsidR="00FD77BB" w:rsidRPr="00322719">
              <w:rPr>
                <w:rFonts w:cs="Arial"/>
                <w:sz w:val="14"/>
                <w:szCs w:val="14"/>
                <w:lang w:val="en-GB"/>
              </w:rPr>
              <w:t xml:space="preserve">: </w:t>
            </w:r>
            <w:r w:rsidRPr="00322719">
              <w:rPr>
                <w:rFonts w:cs="Arial"/>
                <w:sz w:val="14"/>
                <w:szCs w:val="14"/>
                <w:lang w:val="en-GB"/>
              </w:rPr>
              <w:t>CZSO</w:t>
            </w:r>
            <w:r w:rsidR="00FD77BB" w:rsidRPr="00322719">
              <w:rPr>
                <w:rFonts w:cs="Arial"/>
                <w:sz w:val="14"/>
                <w:szCs w:val="14"/>
                <w:lang w:val="en-GB"/>
              </w:rPr>
              <w:t xml:space="preserve"> (</w:t>
            </w:r>
            <w:r w:rsidRPr="00322719">
              <w:rPr>
                <w:rFonts w:cs="Arial"/>
                <w:sz w:val="14"/>
                <w:szCs w:val="14"/>
                <w:lang w:val="en-GB"/>
              </w:rPr>
              <w:t>LFSS – Labour Force Sample Survey</w:t>
            </w:r>
            <w:r w:rsidR="00FD77BB">
              <w:rPr>
                <w:rFonts w:cs="Arial"/>
                <w:sz w:val="14"/>
                <w:szCs w:val="14"/>
              </w:rPr>
              <w:t>)</w:t>
            </w:r>
          </w:p>
        </w:tc>
      </w:tr>
    </w:tbl>
    <w:p w:rsidR="00FD77BB" w:rsidRPr="00FD77BB" w:rsidRDefault="00FD77BB" w:rsidP="00FD77BB">
      <w:pPr>
        <w:rPr>
          <w:sz w:val="14"/>
          <w:szCs w:val="14"/>
          <w:lang w:eastAsia="ar-SA"/>
        </w:rPr>
      </w:pPr>
    </w:p>
    <w:tbl>
      <w:tblPr>
        <w:tblW w:w="4995" w:type="pct"/>
        <w:tblInd w:w="108" w:type="dxa"/>
        <w:tblLayout w:type="fixed"/>
        <w:tblLook w:val="00A0"/>
      </w:tblPr>
      <w:tblGrid>
        <w:gridCol w:w="2000"/>
        <w:gridCol w:w="284"/>
        <w:gridCol w:w="7560"/>
      </w:tblGrid>
      <w:tr w:rsidR="00FD77BB" w:rsidRPr="00F06A1D" w:rsidTr="00CF0826">
        <w:trPr>
          <w:trHeight w:val="145"/>
        </w:trPr>
        <w:tc>
          <w:tcPr>
            <w:tcW w:w="1016" w:type="pct"/>
            <w:shd w:val="clear" w:color="auto" w:fill="auto"/>
          </w:tcPr>
          <w:p w:rsidR="00FD77BB" w:rsidRPr="003F7948" w:rsidRDefault="003F7948" w:rsidP="00CF0826">
            <w:pPr>
              <w:spacing w:line="240" w:lineRule="auto"/>
              <w:rPr>
                <w:rFonts w:cs="Arial"/>
                <w:color w:val="0D0D0D" w:themeColor="text1" w:themeTint="F2"/>
                <w:sz w:val="16"/>
                <w:szCs w:val="16"/>
                <w:lang w:val="en-GB"/>
              </w:rPr>
            </w:pPr>
            <w:r w:rsidRPr="003F7948">
              <w:rPr>
                <w:rFonts w:cs="Arial"/>
                <w:color w:val="0D0D0D" w:themeColor="text1" w:themeTint="F2"/>
                <w:sz w:val="16"/>
                <w:szCs w:val="16"/>
                <w:lang w:val="en-GB"/>
              </w:rPr>
              <w:t xml:space="preserve">Pace of the reduction of the unemployment rate did not slacken during 2017 thanks to the favourable development for the long-term unemployed persons, resp. </w:t>
            </w:r>
            <w:r>
              <w:rPr>
                <w:rFonts w:cs="Arial"/>
                <w:color w:val="0D0D0D" w:themeColor="text1" w:themeTint="F2"/>
                <w:sz w:val="16"/>
                <w:szCs w:val="16"/>
                <w:lang w:val="en-GB"/>
              </w:rPr>
              <w:t>p</w:t>
            </w:r>
            <w:r w:rsidRPr="003F7948">
              <w:rPr>
                <w:rFonts w:cs="Arial"/>
                <w:color w:val="0D0D0D" w:themeColor="text1" w:themeTint="F2"/>
                <w:sz w:val="16"/>
                <w:szCs w:val="16"/>
                <w:lang w:val="en-GB"/>
              </w:rPr>
              <w:t xml:space="preserve">ersons with the lowest education level.  </w:t>
            </w:r>
          </w:p>
        </w:tc>
        <w:tc>
          <w:tcPr>
            <w:tcW w:w="144" w:type="pct"/>
          </w:tcPr>
          <w:p w:rsidR="00FD77BB" w:rsidRPr="003F7948" w:rsidRDefault="00FD77BB" w:rsidP="00CF0826">
            <w:pPr>
              <w:pStyle w:val="Textpoznpodarou"/>
              <w:jc w:val="both"/>
              <w:rPr>
                <w:rFonts w:cs="Arial"/>
                <w:color w:val="0D0D0D" w:themeColor="text1" w:themeTint="F2"/>
                <w:lang w:val="en-GB"/>
              </w:rPr>
            </w:pPr>
          </w:p>
        </w:tc>
        <w:tc>
          <w:tcPr>
            <w:tcW w:w="3840" w:type="pct"/>
          </w:tcPr>
          <w:p w:rsidR="00FD77BB" w:rsidRPr="003F7948" w:rsidRDefault="009057D4" w:rsidP="00CF0826">
            <w:pPr>
              <w:pStyle w:val="Textpoznpodarou"/>
              <w:jc w:val="both"/>
              <w:rPr>
                <w:rFonts w:cs="Arial"/>
                <w:color w:val="0D0D0D" w:themeColor="text1" w:themeTint="F2"/>
                <w:spacing w:val="-3"/>
                <w:lang w:val="en-GB"/>
              </w:rPr>
            </w:pPr>
            <w:r w:rsidRPr="003F7948">
              <w:rPr>
                <w:rFonts w:cs="Arial"/>
                <w:color w:val="0D0D0D" w:themeColor="text1" w:themeTint="F2"/>
                <w:spacing w:val="-4"/>
                <w:lang w:val="en-GB"/>
              </w:rPr>
              <w:t>General unemployment rate was continuously sinking to the historical minimums in the context of the independent CR as well as its position within the EU. In December 2017, there were 2.4% of unemployed persons aged 15-64 years (based on the seasonally adjusted data)</w:t>
            </w:r>
            <w:r w:rsidR="00FD77BB" w:rsidRPr="003F7948">
              <w:rPr>
                <w:rFonts w:cs="Arial"/>
                <w:color w:val="0D0D0D" w:themeColor="text1" w:themeTint="F2"/>
                <w:spacing w:val="-4"/>
                <w:lang w:val="en-GB"/>
              </w:rPr>
              <w:t xml:space="preserve">, </w:t>
            </w:r>
            <w:r w:rsidRPr="003F7948">
              <w:rPr>
                <w:rFonts w:cs="Arial"/>
                <w:color w:val="0D0D0D" w:themeColor="text1" w:themeTint="F2"/>
                <w:spacing w:val="-4"/>
                <w:lang w:val="en-GB"/>
              </w:rPr>
              <w:t xml:space="preserve">by 1.3 </w:t>
            </w:r>
            <w:r w:rsidR="0030607B">
              <w:rPr>
                <w:rFonts w:cs="Arial"/>
                <w:color w:val="0D0D0D" w:themeColor="text1" w:themeTint="F2"/>
                <w:spacing w:val="-4"/>
                <w:lang w:val="en-GB"/>
              </w:rPr>
              <w:t>p.p.</w:t>
            </w:r>
            <w:r w:rsidRPr="003F7948">
              <w:rPr>
                <w:rFonts w:cs="Arial"/>
                <w:color w:val="0D0D0D" w:themeColor="text1" w:themeTint="F2"/>
                <w:spacing w:val="-4"/>
                <w:lang w:val="en-GB"/>
              </w:rPr>
              <w:t xml:space="preserve"> less year-on-year. The rate of growth of the unemployment reduction compared to both years 2015 and 2016 did not slacken, which was especially thanks to the favourable development in the </w:t>
            </w:r>
            <w:r w:rsidR="00593D14" w:rsidRPr="003F7948">
              <w:rPr>
                <w:rFonts w:cs="Arial"/>
                <w:color w:val="0D0D0D" w:themeColor="text1" w:themeTint="F2"/>
                <w:spacing w:val="-4"/>
                <w:lang w:val="en-GB"/>
              </w:rPr>
              <w:t xml:space="preserve">first half of year 2017. </w:t>
            </w:r>
            <w:r w:rsidR="003F7948">
              <w:rPr>
                <w:rFonts w:cs="Arial"/>
                <w:color w:val="0D0D0D" w:themeColor="text1" w:themeTint="F2"/>
                <w:spacing w:val="-4"/>
                <w:lang w:val="en-GB"/>
              </w:rPr>
              <w:t>2.0% of males and 2.9% of females were without a job at the end of the year (year-o</w:t>
            </w:r>
            <w:r w:rsidR="00FD77BB" w:rsidRPr="003F7948">
              <w:rPr>
                <w:rFonts w:cs="Arial"/>
                <w:color w:val="0D0D0D" w:themeColor="text1" w:themeTint="F2"/>
                <w:spacing w:val="-4"/>
                <w:lang w:val="en-GB"/>
              </w:rPr>
              <w:t>n</w:t>
            </w:r>
            <w:r w:rsidR="003F7948">
              <w:rPr>
                <w:rFonts w:cs="Arial"/>
                <w:color w:val="0D0D0D" w:themeColor="text1" w:themeTint="F2"/>
                <w:spacing w:val="-4"/>
                <w:lang w:val="en-GB"/>
              </w:rPr>
              <w:t xml:space="preserve">-year reduction of unemployment was comparable for both genders). Persons who were without a job for more than one year participated on the lower number of unemployed (by 63 thousand) from more than one half. The </w:t>
            </w:r>
            <w:r w:rsidR="006B1913">
              <w:rPr>
                <w:rFonts w:cs="Arial"/>
                <w:color w:val="0D0D0D" w:themeColor="text1" w:themeTint="F2"/>
                <w:spacing w:val="-4"/>
                <w:lang w:val="en-GB"/>
              </w:rPr>
              <w:t xml:space="preserve">frequency of long-term unemployed lowered to record 40 thousand in Q4. It was connected to the marked improvement in the position of persons with the lowest education level on the labour market. </w:t>
            </w:r>
            <w:r w:rsidR="00FD77BB" w:rsidRPr="003F7948">
              <w:rPr>
                <w:rFonts w:cs="Arial"/>
                <w:color w:val="0D0D0D" w:themeColor="text1" w:themeTint="F2"/>
                <w:spacing w:val="-4"/>
                <w:lang w:val="en-GB"/>
              </w:rPr>
              <w:t xml:space="preserve"> </w:t>
            </w:r>
            <w:r w:rsidR="006B1913">
              <w:rPr>
                <w:rFonts w:cs="Arial"/>
                <w:color w:val="0D0D0D" w:themeColor="text1" w:themeTint="F2"/>
                <w:spacing w:val="-4"/>
                <w:lang w:val="en-GB"/>
              </w:rPr>
              <w:t>Unemployment of persons w</w:t>
            </w:r>
            <w:r w:rsidR="00224123">
              <w:rPr>
                <w:rFonts w:cs="Arial"/>
                <w:color w:val="0D0D0D" w:themeColor="text1" w:themeTint="F2"/>
                <w:spacing w:val="-4"/>
                <w:lang w:val="en-GB"/>
              </w:rPr>
              <w:t>ith the primary education</w:t>
            </w:r>
            <w:r w:rsidR="006B1913">
              <w:rPr>
                <w:rFonts w:cs="Arial"/>
                <w:color w:val="0D0D0D" w:themeColor="text1" w:themeTint="F2"/>
                <w:spacing w:val="-4"/>
                <w:lang w:val="en-GB"/>
              </w:rPr>
              <w:t xml:space="preserve"> fell from </w:t>
            </w:r>
            <w:r w:rsidR="00FD77BB" w:rsidRPr="003F7948">
              <w:rPr>
                <w:rFonts w:cs="Arial"/>
                <w:color w:val="0D0D0D" w:themeColor="text1" w:themeTint="F2"/>
                <w:spacing w:val="-4"/>
                <w:lang w:val="en-GB"/>
              </w:rPr>
              <w:t>18</w:t>
            </w:r>
            <w:r w:rsidR="006B1913">
              <w:rPr>
                <w:rFonts w:cs="Arial"/>
                <w:color w:val="0D0D0D" w:themeColor="text1" w:themeTint="F2"/>
                <w:spacing w:val="-4"/>
                <w:lang w:val="en-GB"/>
              </w:rPr>
              <w:t>.</w:t>
            </w:r>
            <w:r w:rsidR="00FD77BB" w:rsidRPr="003F7948">
              <w:rPr>
                <w:rFonts w:cs="Arial"/>
                <w:color w:val="0D0D0D" w:themeColor="text1" w:themeTint="F2"/>
                <w:spacing w:val="-4"/>
                <w:lang w:val="en-GB"/>
              </w:rPr>
              <w:t xml:space="preserve">5% </w:t>
            </w:r>
            <w:r w:rsidR="006B1913">
              <w:rPr>
                <w:rFonts w:cs="Arial"/>
                <w:color w:val="0D0D0D" w:themeColor="text1" w:themeTint="F2"/>
                <w:spacing w:val="-4"/>
                <w:lang w:val="en-GB"/>
              </w:rPr>
              <w:t xml:space="preserve">to </w:t>
            </w:r>
            <w:r w:rsidR="00FD77BB" w:rsidRPr="003F7948">
              <w:rPr>
                <w:rFonts w:cs="Arial"/>
                <w:color w:val="0D0D0D" w:themeColor="text1" w:themeTint="F2"/>
                <w:spacing w:val="-4"/>
                <w:lang w:val="en-GB"/>
              </w:rPr>
              <w:t>10</w:t>
            </w:r>
            <w:r w:rsidR="006B1913">
              <w:rPr>
                <w:rFonts w:cs="Arial"/>
                <w:color w:val="0D0D0D" w:themeColor="text1" w:themeTint="F2"/>
                <w:spacing w:val="-4"/>
                <w:lang w:val="en-GB"/>
              </w:rPr>
              <w:t>.</w:t>
            </w:r>
            <w:r w:rsidR="00FD77BB" w:rsidRPr="003F7948">
              <w:rPr>
                <w:rFonts w:cs="Arial"/>
                <w:color w:val="0D0D0D" w:themeColor="text1" w:themeTint="F2"/>
                <w:spacing w:val="-4"/>
                <w:lang w:val="en-GB"/>
              </w:rPr>
              <w:t>1% (</w:t>
            </w:r>
            <w:r w:rsidR="006B1913">
              <w:rPr>
                <w:rFonts w:cs="Arial"/>
                <w:color w:val="0D0D0D" w:themeColor="text1" w:themeTint="F2"/>
                <w:spacing w:val="-4"/>
                <w:lang w:val="en-GB"/>
              </w:rPr>
              <w:t>the strongest year-on-year reduction in the history of the CR</w:t>
            </w:r>
            <w:r w:rsidR="00FD77BB" w:rsidRPr="003F7948">
              <w:rPr>
                <w:rFonts w:cs="Arial"/>
                <w:color w:val="0D0D0D" w:themeColor="text1" w:themeTint="F2"/>
                <w:spacing w:val="-4"/>
                <w:lang w:val="en-GB"/>
              </w:rPr>
              <w:t>).</w:t>
            </w:r>
          </w:p>
          <w:p w:rsidR="00FD77BB" w:rsidRPr="003F7948" w:rsidRDefault="00FD77BB" w:rsidP="00CF0826">
            <w:pPr>
              <w:pStyle w:val="Textpoznpodarou"/>
              <w:jc w:val="both"/>
              <w:rPr>
                <w:rFonts w:cs="Arial"/>
                <w:color w:val="0D0D0D" w:themeColor="text1" w:themeTint="F2"/>
                <w:spacing w:val="-3"/>
                <w:sz w:val="14"/>
                <w:szCs w:val="14"/>
                <w:lang w:val="en-GB"/>
              </w:rPr>
            </w:pPr>
          </w:p>
        </w:tc>
      </w:tr>
      <w:tr w:rsidR="00FD77BB" w:rsidRPr="003E1A70" w:rsidTr="00CF0826">
        <w:trPr>
          <w:trHeight w:val="145"/>
        </w:trPr>
        <w:tc>
          <w:tcPr>
            <w:tcW w:w="1016" w:type="pct"/>
            <w:shd w:val="clear" w:color="auto" w:fill="auto"/>
          </w:tcPr>
          <w:p w:rsidR="00FD77BB" w:rsidRPr="003E1A70" w:rsidRDefault="003E1A70" w:rsidP="00CF0826">
            <w:pPr>
              <w:spacing w:line="240" w:lineRule="auto"/>
              <w:rPr>
                <w:rFonts w:cs="Arial"/>
                <w:color w:val="0D0D0D" w:themeColor="text1" w:themeTint="F2"/>
                <w:sz w:val="16"/>
                <w:szCs w:val="16"/>
                <w:lang w:val="en-GB"/>
              </w:rPr>
            </w:pPr>
            <w:r>
              <w:rPr>
                <w:rFonts w:cs="Arial"/>
                <w:color w:val="0D0D0D" w:themeColor="text1" w:themeTint="F2"/>
                <w:sz w:val="16"/>
                <w:szCs w:val="16"/>
                <w:lang w:val="en-GB"/>
              </w:rPr>
              <w:t>Supply of vacancies at LO nearly doubled year-on-year</w:t>
            </w:r>
            <w:r w:rsidR="00092D0F">
              <w:rPr>
                <w:rFonts w:cs="Arial"/>
                <w:color w:val="0D0D0D" w:themeColor="text1" w:themeTint="F2"/>
                <w:sz w:val="16"/>
                <w:szCs w:val="16"/>
                <w:lang w:val="en-GB"/>
              </w:rPr>
              <w:t>. More than three quarters of additions however consisted of positions with minimal declared demands on qualification.</w:t>
            </w:r>
          </w:p>
        </w:tc>
        <w:tc>
          <w:tcPr>
            <w:tcW w:w="144" w:type="pct"/>
          </w:tcPr>
          <w:p w:rsidR="00FD77BB" w:rsidRPr="003E1A70" w:rsidRDefault="00FD77BB" w:rsidP="00CF0826">
            <w:pPr>
              <w:pStyle w:val="Textpoznpodarou"/>
              <w:jc w:val="both"/>
              <w:rPr>
                <w:rFonts w:cs="Arial"/>
                <w:color w:val="0D0D0D" w:themeColor="text1" w:themeTint="F2"/>
                <w:lang w:val="en-GB"/>
              </w:rPr>
            </w:pPr>
          </w:p>
        </w:tc>
        <w:tc>
          <w:tcPr>
            <w:tcW w:w="3840" w:type="pct"/>
          </w:tcPr>
          <w:p w:rsidR="00FD77BB" w:rsidRPr="003E1A70" w:rsidRDefault="00092D0F" w:rsidP="00CF0826">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The supply of vacancies at labour offices (LO) accelerated in 2017. Their number overtook the 200 thousand </w:t>
            </w:r>
            <w:proofErr w:type="gramStart"/>
            <w:r>
              <w:rPr>
                <w:rFonts w:cs="Arial"/>
                <w:color w:val="0D0D0D" w:themeColor="text1" w:themeTint="F2"/>
                <w:spacing w:val="-4"/>
                <w:lang w:val="en-GB"/>
              </w:rPr>
              <w:t>boundary</w:t>
            </w:r>
            <w:proofErr w:type="gramEnd"/>
            <w:r>
              <w:rPr>
                <w:rFonts w:cs="Arial"/>
                <w:color w:val="0D0D0D" w:themeColor="text1" w:themeTint="F2"/>
                <w:spacing w:val="-4"/>
                <w:lang w:val="en-GB"/>
              </w:rPr>
              <w:t xml:space="preserve"> for the first time in history at the end of September, by the end of the year there were already 217 thousand </w:t>
            </w:r>
            <w:r w:rsidR="00443293">
              <w:rPr>
                <w:rFonts w:cs="Arial"/>
                <w:color w:val="0D0D0D" w:themeColor="text1" w:themeTint="F2"/>
                <w:spacing w:val="-4"/>
                <w:lang w:val="en-GB"/>
              </w:rPr>
              <w:t xml:space="preserve">job </w:t>
            </w:r>
            <w:r>
              <w:rPr>
                <w:rFonts w:cs="Arial"/>
                <w:color w:val="0D0D0D" w:themeColor="text1" w:themeTint="F2"/>
                <w:spacing w:val="-4"/>
                <w:lang w:val="en-GB"/>
              </w:rPr>
              <w:t>vacancies (by 84 thousand more year-on-year). Year 2</w:t>
            </w:r>
            <w:r w:rsidR="00FD77BB" w:rsidRPr="003E1A70">
              <w:rPr>
                <w:rFonts w:cs="Arial"/>
                <w:color w:val="0D0D0D" w:themeColor="text1" w:themeTint="F2"/>
                <w:spacing w:val="-4"/>
                <w:lang w:val="en-GB"/>
              </w:rPr>
              <w:t xml:space="preserve">017 </w:t>
            </w:r>
            <w:r>
              <w:rPr>
                <w:rFonts w:cs="Arial"/>
                <w:color w:val="0D0D0D" w:themeColor="text1" w:themeTint="F2"/>
                <w:spacing w:val="-4"/>
                <w:lang w:val="en-GB"/>
              </w:rPr>
              <w:t xml:space="preserve">was the first in the history of the CR, when the number of vacancies month-on-month grew (despite seasonal effects) continuously for the whole year. </w:t>
            </w:r>
            <w:r w:rsidR="00351315">
              <w:rPr>
                <w:rFonts w:cs="Arial"/>
                <w:color w:val="0D0D0D" w:themeColor="text1" w:themeTint="F2"/>
                <w:spacing w:val="-4"/>
                <w:lang w:val="en-GB"/>
              </w:rPr>
              <w:t>More than three quarters of the year-on-year addition represented positions with a minimal qualification requirement, when the primary education was sufficient. This fact together with substantial reduction of the level of long-</w:t>
            </w:r>
            <w:r w:rsidR="00971DD6">
              <w:rPr>
                <w:rFonts w:cs="Arial"/>
                <w:color w:val="0D0D0D" w:themeColor="text1" w:themeTint="F2"/>
                <w:spacing w:val="-4"/>
                <w:lang w:val="en-GB"/>
              </w:rPr>
              <w:t>term</w:t>
            </w:r>
            <w:r w:rsidR="00351315">
              <w:rPr>
                <w:rFonts w:cs="Arial"/>
                <w:color w:val="0D0D0D" w:themeColor="text1" w:themeTint="F2"/>
                <w:spacing w:val="-4"/>
                <w:lang w:val="en-GB"/>
              </w:rPr>
              <w:t xml:space="preserve"> unemployed suggests, that the </w:t>
            </w:r>
            <w:r w:rsidR="00971DD6">
              <w:rPr>
                <w:rFonts w:cs="Arial"/>
                <w:color w:val="0D0D0D" w:themeColor="text1" w:themeTint="F2"/>
                <w:spacing w:val="-4"/>
                <w:lang w:val="en-GB"/>
              </w:rPr>
              <w:t>employers</w:t>
            </w:r>
            <w:r w:rsidR="00351315">
              <w:rPr>
                <w:rFonts w:cs="Arial"/>
                <w:color w:val="0D0D0D" w:themeColor="text1" w:themeTint="F2"/>
                <w:spacing w:val="-4"/>
                <w:lang w:val="en-GB"/>
              </w:rPr>
              <w:t xml:space="preserve"> can experience </w:t>
            </w:r>
            <w:r w:rsidR="00971DD6">
              <w:rPr>
                <w:rFonts w:cs="Arial"/>
                <w:color w:val="0D0D0D" w:themeColor="text1" w:themeTint="F2"/>
                <w:spacing w:val="-4"/>
                <w:lang w:val="en-GB"/>
              </w:rPr>
              <w:t>difficulties</w:t>
            </w:r>
            <w:r w:rsidR="00351315">
              <w:rPr>
                <w:rFonts w:cs="Arial"/>
                <w:color w:val="0D0D0D" w:themeColor="text1" w:themeTint="F2"/>
                <w:spacing w:val="-4"/>
                <w:lang w:val="en-GB"/>
              </w:rPr>
              <w:t xml:space="preserve"> with covering such vacant positions by the domestic workers. From the view of branches, manufacturing majorly contributed to the expansion of the supply</w:t>
            </w:r>
            <w:r w:rsidR="00FD77BB" w:rsidRPr="003E1A70">
              <w:rPr>
                <w:rFonts w:cs="Arial"/>
                <w:color w:val="0D0D0D" w:themeColor="text1" w:themeTint="F2"/>
                <w:spacing w:val="-4"/>
                <w:lang w:val="en-GB"/>
              </w:rPr>
              <w:t xml:space="preserve">. </w:t>
            </w:r>
            <w:r w:rsidR="00971DD6">
              <w:rPr>
                <w:rFonts w:cs="Arial"/>
                <w:color w:val="0D0D0D" w:themeColor="text1" w:themeTint="F2"/>
                <w:spacing w:val="-4"/>
                <w:lang w:val="en-GB"/>
              </w:rPr>
              <w:t>There was total of 1.3 applicants per 1 vacancy at the end of the year, the least since half of the nineties. The chance for placement improved year-</w:t>
            </w:r>
            <w:r w:rsidR="00443293">
              <w:rPr>
                <w:rFonts w:cs="Arial"/>
                <w:color w:val="0D0D0D" w:themeColor="text1" w:themeTint="F2"/>
                <w:spacing w:val="-4"/>
                <w:lang w:val="en-GB"/>
              </w:rPr>
              <w:t>o</w:t>
            </w:r>
            <w:r w:rsidR="00971DD6">
              <w:rPr>
                <w:rFonts w:cs="Arial"/>
                <w:color w:val="0D0D0D" w:themeColor="text1" w:themeTint="F2"/>
                <w:spacing w:val="-4"/>
                <w:lang w:val="en-GB"/>
              </w:rPr>
              <w:t xml:space="preserve">n-year in all regions, with respect to qualification then mostly for </w:t>
            </w:r>
            <w:r w:rsidR="00971DD6" w:rsidRPr="00971DD6">
              <w:rPr>
                <w:rFonts w:cs="Arial"/>
                <w:color w:val="0D0D0D" w:themeColor="text1" w:themeTint="F2"/>
                <w:spacing w:val="-4"/>
                <w:lang w:val="en-GB"/>
              </w:rPr>
              <w:t xml:space="preserve">craft and repairmen and assemblers </w:t>
            </w:r>
            <w:r w:rsidR="00971DD6">
              <w:rPr>
                <w:rFonts w:cs="Arial"/>
                <w:color w:val="0D0D0D" w:themeColor="text1" w:themeTint="F2"/>
                <w:spacing w:val="-4"/>
                <w:lang w:val="en-GB"/>
              </w:rPr>
              <w:t xml:space="preserve">as well as the </w:t>
            </w:r>
            <w:r w:rsidR="00971DD6" w:rsidRPr="00971DD6">
              <w:rPr>
                <w:rFonts w:cs="Arial"/>
                <w:color w:val="0D0D0D" w:themeColor="text1" w:themeTint="F2"/>
                <w:spacing w:val="-4"/>
                <w:lang w:val="en-GB"/>
              </w:rPr>
              <w:t>machine and equipment</w:t>
            </w:r>
            <w:r w:rsidR="00443293">
              <w:rPr>
                <w:rFonts w:cs="Arial"/>
                <w:color w:val="0D0D0D" w:themeColor="text1" w:themeTint="F2"/>
                <w:spacing w:val="-4"/>
                <w:lang w:val="en-GB"/>
              </w:rPr>
              <w:t xml:space="preserve"> operators</w:t>
            </w:r>
            <w:r w:rsidR="00FD77BB" w:rsidRPr="003E1A70">
              <w:rPr>
                <w:rFonts w:cs="Arial"/>
                <w:color w:val="0D0D0D" w:themeColor="text1" w:themeTint="F2"/>
                <w:spacing w:val="-4"/>
                <w:lang w:val="en-GB"/>
              </w:rPr>
              <w:t xml:space="preserve">. </w:t>
            </w:r>
          </w:p>
        </w:tc>
      </w:tr>
    </w:tbl>
    <w:p w:rsidR="00FD77BB" w:rsidRDefault="00FD77BB" w:rsidP="00FD77BB">
      <w:pPr>
        <w:pStyle w:val="Textpoznpodarou"/>
        <w:jc w:val="both"/>
        <w:rPr>
          <w:rFonts w:cs="Arial"/>
          <w:color w:val="000000"/>
          <w:spacing w:val="-2"/>
          <w:sz w:val="14"/>
          <w:szCs w:val="14"/>
          <w:lang w:val="en-GB"/>
        </w:rPr>
      </w:pPr>
    </w:p>
    <w:p w:rsidR="00C844CA" w:rsidRDefault="00C844CA" w:rsidP="00FD77BB">
      <w:pPr>
        <w:pStyle w:val="Textpoznpodarou"/>
        <w:jc w:val="both"/>
        <w:rPr>
          <w:rFonts w:cs="Arial"/>
          <w:color w:val="000000"/>
          <w:spacing w:val="-2"/>
          <w:sz w:val="14"/>
          <w:szCs w:val="14"/>
          <w:lang w:val="en-GB"/>
        </w:rPr>
      </w:pPr>
    </w:p>
    <w:p w:rsidR="00C844CA" w:rsidRDefault="00C844CA" w:rsidP="00FD77BB">
      <w:pPr>
        <w:pStyle w:val="Textpoznpodarou"/>
        <w:jc w:val="both"/>
        <w:rPr>
          <w:rFonts w:cs="Arial"/>
          <w:color w:val="000000"/>
          <w:spacing w:val="-2"/>
          <w:sz w:val="14"/>
          <w:szCs w:val="14"/>
          <w:lang w:val="en-GB"/>
        </w:rPr>
      </w:pPr>
    </w:p>
    <w:p w:rsidR="00C844CA" w:rsidRDefault="00C844CA" w:rsidP="00FD77BB">
      <w:pPr>
        <w:pStyle w:val="Textpoznpodarou"/>
        <w:jc w:val="both"/>
        <w:rPr>
          <w:rFonts w:cs="Arial"/>
          <w:color w:val="000000"/>
          <w:spacing w:val="-2"/>
          <w:sz w:val="14"/>
          <w:szCs w:val="14"/>
          <w:lang w:val="en-GB"/>
        </w:rPr>
      </w:pPr>
    </w:p>
    <w:p w:rsidR="00C844CA" w:rsidRPr="003E1A70" w:rsidRDefault="00C844CA" w:rsidP="00FD77BB">
      <w:pPr>
        <w:pStyle w:val="Textpoznpodarou"/>
        <w:jc w:val="both"/>
        <w:rPr>
          <w:rFonts w:cs="Arial"/>
          <w:color w:val="000000"/>
          <w:spacing w:val="-2"/>
          <w:sz w:val="14"/>
          <w:szCs w:val="14"/>
          <w:lang w:val="en-GB"/>
        </w:rPr>
      </w:pPr>
    </w:p>
    <w:tbl>
      <w:tblPr>
        <w:tblW w:w="4963" w:type="pct"/>
        <w:tblInd w:w="108" w:type="dxa"/>
        <w:tblLayout w:type="fixed"/>
        <w:tblLook w:val="00A0"/>
      </w:tblPr>
      <w:tblGrid>
        <w:gridCol w:w="1997"/>
        <w:gridCol w:w="284"/>
        <w:gridCol w:w="1119"/>
        <w:gridCol w:w="6381"/>
      </w:tblGrid>
      <w:tr w:rsidR="00FD77BB" w:rsidRPr="003E1A70" w:rsidTr="00CF0826">
        <w:trPr>
          <w:trHeight w:val="145"/>
        </w:trPr>
        <w:tc>
          <w:tcPr>
            <w:tcW w:w="1021" w:type="pct"/>
            <w:shd w:val="clear" w:color="auto" w:fill="auto"/>
          </w:tcPr>
          <w:p w:rsidR="00FD77BB" w:rsidRPr="003E1A70" w:rsidRDefault="00FD77BB" w:rsidP="00CF0826">
            <w:pPr>
              <w:spacing w:line="240" w:lineRule="auto"/>
              <w:jc w:val="center"/>
              <w:rPr>
                <w:color w:val="000000"/>
                <w:szCs w:val="20"/>
                <w:lang w:val="en-GB"/>
              </w:rPr>
            </w:pPr>
          </w:p>
        </w:tc>
        <w:tc>
          <w:tcPr>
            <w:tcW w:w="145" w:type="pct"/>
          </w:tcPr>
          <w:p w:rsidR="00FD77BB" w:rsidRPr="003E1A70" w:rsidRDefault="00FD77BB" w:rsidP="00CF0826">
            <w:pPr>
              <w:pStyle w:val="Textpoznpodarou"/>
              <w:jc w:val="both"/>
              <w:rPr>
                <w:highlight w:val="yellow"/>
                <w:lang w:val="en-GB"/>
              </w:rPr>
            </w:pPr>
          </w:p>
        </w:tc>
        <w:tc>
          <w:tcPr>
            <w:tcW w:w="572" w:type="pct"/>
          </w:tcPr>
          <w:p w:rsidR="00FD77BB" w:rsidRPr="003E1A70" w:rsidRDefault="00092D0F" w:rsidP="00CF0826">
            <w:pPr>
              <w:pStyle w:val="Textpoznpodarou"/>
              <w:jc w:val="both"/>
              <w:rPr>
                <w:highlight w:val="yellow"/>
                <w:lang w:val="en-GB"/>
              </w:rPr>
            </w:pPr>
            <w:r>
              <w:rPr>
                <w:color w:val="000000"/>
                <w:lang w:val="en-GB"/>
              </w:rPr>
              <w:t>Chart</w:t>
            </w:r>
            <w:r w:rsidR="00FD77BB" w:rsidRPr="003E1A70">
              <w:rPr>
                <w:color w:val="000000"/>
                <w:lang w:val="en-GB"/>
              </w:rPr>
              <w:t xml:space="preserve"> 17</w:t>
            </w:r>
          </w:p>
        </w:tc>
        <w:tc>
          <w:tcPr>
            <w:tcW w:w="3262" w:type="pct"/>
          </w:tcPr>
          <w:p w:rsidR="00FD77BB" w:rsidRPr="003E1A70" w:rsidRDefault="00834B56" w:rsidP="00CF0826">
            <w:pPr>
              <w:spacing w:line="240" w:lineRule="auto"/>
              <w:rPr>
                <w:rFonts w:cs="Arial"/>
                <w:b/>
                <w:bCs/>
                <w:spacing w:val="-2"/>
                <w:lang w:val="en-GB"/>
              </w:rPr>
            </w:pPr>
            <w:r w:rsidRPr="009A38F8">
              <w:rPr>
                <w:b/>
                <w:spacing w:val="-2"/>
                <w:lang w:val="en-GB" w:eastAsia="en-US"/>
              </w:rPr>
              <w:t>Average gross monthly wage and wage media</w:t>
            </w:r>
            <w:r w:rsidR="00443293">
              <w:rPr>
                <w:b/>
                <w:spacing w:val="-2"/>
                <w:lang w:val="en-GB" w:eastAsia="en-US"/>
              </w:rPr>
              <w:t>n</w:t>
            </w:r>
            <w:r w:rsidRPr="003E1A70">
              <w:rPr>
                <w:rFonts w:cs="Arial"/>
                <w:bCs/>
                <w:spacing w:val="-2"/>
                <w:lang w:val="en-GB"/>
              </w:rPr>
              <w:t xml:space="preserve"> </w:t>
            </w:r>
            <w:r w:rsidR="00FD77BB" w:rsidRPr="003E1A70">
              <w:rPr>
                <w:rFonts w:cs="Arial"/>
                <w:bCs/>
                <w:spacing w:val="-2"/>
                <w:lang w:val="en-GB"/>
              </w:rPr>
              <w:t>(</w:t>
            </w:r>
            <w:r w:rsidR="00C86F39" w:rsidRPr="009A38F8">
              <w:rPr>
                <w:spacing w:val="-6"/>
                <w:lang w:val="en-GB" w:eastAsia="en-US"/>
              </w:rPr>
              <w:t>employees</w:t>
            </w:r>
            <w:r w:rsidR="00C86F39">
              <w:rPr>
                <w:spacing w:val="-6"/>
                <w:lang w:val="en-GB" w:eastAsia="en-US"/>
              </w:rPr>
              <w:t xml:space="preserve"> in full- time equivalent</w:t>
            </w:r>
            <w:r w:rsidR="00C86F39" w:rsidRPr="009A38F8">
              <w:rPr>
                <w:spacing w:val="-6"/>
                <w:lang w:val="en-GB" w:eastAsia="en-US"/>
              </w:rPr>
              <w:t xml:space="preserve">, year-on-year </w:t>
            </w:r>
            <w:r w:rsidR="00C86F39">
              <w:rPr>
                <w:spacing w:val="-6"/>
                <w:lang w:val="en-GB" w:eastAsia="en-US"/>
              </w:rPr>
              <w:t>in %</w:t>
            </w:r>
            <w:r w:rsidR="00C86F39" w:rsidRPr="009A38F8">
              <w:rPr>
                <w:bCs/>
                <w:spacing w:val="-2"/>
                <w:lang w:val="en-GB"/>
              </w:rPr>
              <w:t>)</w:t>
            </w:r>
            <w:r w:rsidR="00FD77BB" w:rsidRPr="003E1A70">
              <w:rPr>
                <w:rFonts w:cs="Arial"/>
                <w:bCs/>
                <w:spacing w:val="-2"/>
                <w:lang w:val="en-GB"/>
              </w:rPr>
              <w:t xml:space="preserve">) </w:t>
            </w:r>
            <w:r w:rsidR="00FD77BB" w:rsidRPr="003E1A70">
              <w:rPr>
                <w:rFonts w:cs="Arial"/>
                <w:b/>
                <w:bCs/>
                <w:spacing w:val="-2"/>
                <w:lang w:val="en-GB"/>
              </w:rPr>
              <w:t>a</w:t>
            </w:r>
            <w:r w:rsidR="00C86F39">
              <w:rPr>
                <w:rFonts w:cs="Arial"/>
                <w:b/>
                <w:bCs/>
                <w:spacing w:val="-2"/>
                <w:lang w:val="en-GB"/>
              </w:rPr>
              <w:t>nd labour productivity</w:t>
            </w:r>
            <w:r w:rsidR="00FD77BB" w:rsidRPr="003E1A70">
              <w:rPr>
                <w:rFonts w:cs="Arial"/>
                <w:b/>
                <w:bCs/>
                <w:spacing w:val="-2"/>
                <w:lang w:val="en-GB"/>
              </w:rPr>
              <w:t>*</w:t>
            </w:r>
          </w:p>
        </w:tc>
      </w:tr>
      <w:tr w:rsidR="00FD77BB" w:rsidRPr="00AA4A76" w:rsidTr="00CF0826">
        <w:trPr>
          <w:trHeight w:val="145"/>
        </w:trPr>
        <w:tc>
          <w:tcPr>
            <w:tcW w:w="1021"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33" w:type="pct"/>
            <w:gridSpan w:val="2"/>
          </w:tcPr>
          <w:p w:rsidR="00FD77BB" w:rsidRPr="007E5880" w:rsidRDefault="005412E0" w:rsidP="00CF0826">
            <w:pPr>
              <w:pStyle w:val="Textpoznpodarou"/>
              <w:rPr>
                <w:sz w:val="14"/>
                <w:szCs w:val="14"/>
              </w:rPr>
            </w:pPr>
            <w:r w:rsidRPr="005412E0">
              <w:rPr>
                <w:noProof/>
                <w:sz w:val="14"/>
                <w:szCs w:val="14"/>
              </w:rPr>
              <w:drawing>
                <wp:inline distT="0" distB="0" distL="0" distR="0">
                  <wp:extent cx="4610100" cy="3530600"/>
                  <wp:effectExtent l="19050" t="0" r="0" b="0"/>
                  <wp:docPr id="3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44A1D" w:rsidRPr="005412E0" w:rsidRDefault="00FD77BB" w:rsidP="005412E0">
            <w:pPr>
              <w:pStyle w:val="Textpoznpodarou"/>
              <w:rPr>
                <w:rFonts w:cs="Arial"/>
                <w:sz w:val="14"/>
                <w:szCs w:val="14"/>
                <w:lang w:val="en-GB"/>
              </w:rPr>
            </w:pPr>
            <w:r>
              <w:rPr>
                <w:rFonts w:cs="Arial"/>
                <w:sz w:val="14"/>
                <w:szCs w:val="14"/>
              </w:rPr>
              <w:t>*</w:t>
            </w:r>
            <w:r w:rsidR="00C86F39" w:rsidRPr="00C86F39">
              <w:rPr>
                <w:rFonts w:cs="Arial"/>
                <w:sz w:val="14"/>
                <w:szCs w:val="14"/>
                <w:lang w:val="en-GB"/>
              </w:rPr>
              <w:t xml:space="preserve">Share of seasonally non-adjusted GDP and employment </w:t>
            </w:r>
            <w:r w:rsidRPr="00C86F39">
              <w:rPr>
                <w:rFonts w:cs="Arial"/>
                <w:sz w:val="14"/>
                <w:szCs w:val="14"/>
                <w:lang w:val="en-GB"/>
              </w:rPr>
              <w:t>(</w:t>
            </w:r>
            <w:r w:rsidR="00C86F39" w:rsidRPr="00C86F39">
              <w:rPr>
                <w:rFonts w:cs="Arial"/>
                <w:sz w:val="14"/>
                <w:szCs w:val="14"/>
                <w:lang w:val="en-GB"/>
              </w:rPr>
              <w:t xml:space="preserve">in the national accounts </w:t>
            </w:r>
            <w:r w:rsidR="00654E14" w:rsidRPr="00C86F39">
              <w:rPr>
                <w:rFonts w:cs="Arial"/>
                <w:sz w:val="14"/>
                <w:szCs w:val="14"/>
                <w:lang w:val="en-GB"/>
              </w:rPr>
              <w:t xml:space="preserve">conception)  </w:t>
            </w:r>
            <w:r w:rsidRPr="00C86F39">
              <w:rPr>
                <w:rFonts w:cs="Arial"/>
                <w:sz w:val="14"/>
                <w:szCs w:val="14"/>
                <w:lang w:val="en-GB"/>
              </w:rPr>
              <w:t xml:space="preserve">    </w:t>
            </w:r>
            <w:r w:rsidR="00D44A1D">
              <w:rPr>
                <w:rFonts w:cs="Arial"/>
                <w:sz w:val="14"/>
                <w:szCs w:val="14"/>
                <w:lang w:val="en-GB"/>
              </w:rPr>
              <w:t xml:space="preserve">   </w:t>
            </w:r>
            <w:r w:rsidRPr="00C86F39">
              <w:rPr>
                <w:rFonts w:cs="Arial"/>
                <w:sz w:val="14"/>
                <w:szCs w:val="14"/>
                <w:lang w:val="en-GB"/>
              </w:rPr>
              <w:t xml:space="preserve">  </w:t>
            </w:r>
            <w:r w:rsidR="00381171" w:rsidRPr="00C86F39">
              <w:rPr>
                <w:rFonts w:cs="Arial"/>
                <w:sz w:val="14"/>
                <w:szCs w:val="14"/>
                <w:lang w:val="en-GB"/>
              </w:rPr>
              <w:t xml:space="preserve"> Source</w:t>
            </w:r>
            <w:r w:rsidRPr="00C86F39">
              <w:rPr>
                <w:rFonts w:cs="Arial"/>
                <w:sz w:val="14"/>
                <w:szCs w:val="14"/>
                <w:lang w:val="en-GB"/>
              </w:rPr>
              <w:t>:</w:t>
            </w:r>
            <w:r w:rsidR="00381171" w:rsidRPr="00C86F39">
              <w:rPr>
                <w:rFonts w:cs="Arial"/>
                <w:sz w:val="14"/>
                <w:szCs w:val="14"/>
                <w:lang w:val="en-GB"/>
              </w:rPr>
              <w:t xml:space="preserve"> CZSO</w:t>
            </w:r>
          </w:p>
        </w:tc>
      </w:tr>
    </w:tbl>
    <w:p w:rsidR="00FD77BB" w:rsidRDefault="00FD77BB" w:rsidP="00FD77BB">
      <w:pPr>
        <w:pStyle w:val="Textpoznpodarou"/>
        <w:jc w:val="both"/>
        <w:rPr>
          <w:rFonts w:cs="Arial"/>
          <w:color w:val="000000"/>
          <w:spacing w:val="-2"/>
          <w:sz w:val="14"/>
          <w:szCs w:val="14"/>
        </w:rPr>
      </w:pPr>
    </w:p>
    <w:tbl>
      <w:tblPr>
        <w:tblW w:w="4995" w:type="pct"/>
        <w:tblInd w:w="108" w:type="dxa"/>
        <w:tblLayout w:type="fixed"/>
        <w:tblLook w:val="00A0"/>
      </w:tblPr>
      <w:tblGrid>
        <w:gridCol w:w="2000"/>
        <w:gridCol w:w="284"/>
        <w:gridCol w:w="7560"/>
      </w:tblGrid>
      <w:tr w:rsidR="00FD77BB" w:rsidRPr="009113CC" w:rsidTr="00CF0826">
        <w:trPr>
          <w:trHeight w:val="145"/>
        </w:trPr>
        <w:tc>
          <w:tcPr>
            <w:tcW w:w="1016" w:type="pct"/>
            <w:shd w:val="clear" w:color="auto" w:fill="auto"/>
          </w:tcPr>
          <w:p w:rsidR="00FD77BB" w:rsidRPr="00D4538D" w:rsidRDefault="008810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t>Wage growth accelerated during the year. Increasing lack of available employees on the market as well as the heightened activity of the sta</w:t>
            </w:r>
            <w:r w:rsidR="00381171" w:rsidRPr="00D4538D">
              <w:rPr>
                <w:rFonts w:cs="Arial"/>
                <w:color w:val="0D0D0D" w:themeColor="text1" w:themeTint="F2"/>
                <w:spacing w:val="-2"/>
                <w:sz w:val="16"/>
                <w:szCs w:val="16"/>
                <w:lang w:val="en-GB"/>
              </w:rPr>
              <w:t>t</w:t>
            </w:r>
            <w:r w:rsidRPr="00D4538D">
              <w:rPr>
                <w:rFonts w:cs="Arial"/>
                <w:color w:val="0D0D0D" w:themeColor="text1" w:themeTint="F2"/>
                <w:spacing w:val="-2"/>
                <w:sz w:val="16"/>
                <w:szCs w:val="16"/>
                <w:lang w:val="en-GB"/>
              </w:rPr>
              <w:t xml:space="preserve">e stood behind it. </w:t>
            </w: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t>Nomin</w:t>
            </w:r>
            <w:r w:rsidR="00E42D52">
              <w:rPr>
                <w:rFonts w:cs="Arial"/>
                <w:color w:val="0D0D0D" w:themeColor="text1" w:themeTint="F2"/>
                <w:spacing w:val="-2"/>
                <w:sz w:val="16"/>
                <w:szCs w:val="16"/>
                <w:lang w:val="en-GB"/>
              </w:rPr>
              <w:t>al growth of wages was the largest in the last nine years in 2017. Earnings in branches with low wage level still grew relatively the most.</w:t>
            </w:r>
            <w:r w:rsidRPr="00D4538D">
              <w:rPr>
                <w:rFonts w:cs="Arial"/>
                <w:color w:val="0D0D0D" w:themeColor="text1" w:themeTint="F2"/>
                <w:spacing w:val="-2"/>
                <w:sz w:val="16"/>
                <w:szCs w:val="16"/>
                <w:lang w:val="en-GB"/>
              </w:rPr>
              <w:t xml:space="preserve">  </w:t>
            </w: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p>
          <w:p w:rsidR="00FD77BB" w:rsidRPr="00D4538D" w:rsidRDefault="00FD77BB" w:rsidP="00CF0826">
            <w:pPr>
              <w:spacing w:line="240" w:lineRule="auto"/>
              <w:rPr>
                <w:rFonts w:cs="Arial"/>
                <w:color w:val="0D0D0D" w:themeColor="text1" w:themeTint="F2"/>
                <w:spacing w:val="-2"/>
                <w:sz w:val="16"/>
                <w:szCs w:val="16"/>
                <w:lang w:val="en-GB"/>
              </w:rPr>
            </w:pPr>
            <w:r w:rsidRPr="00D4538D">
              <w:rPr>
                <w:rFonts w:cs="Arial"/>
                <w:color w:val="0D0D0D" w:themeColor="text1" w:themeTint="F2"/>
                <w:spacing w:val="-2"/>
                <w:sz w:val="16"/>
                <w:szCs w:val="16"/>
                <w:lang w:val="en-GB"/>
              </w:rPr>
              <w:t>Relativ</w:t>
            </w:r>
            <w:r w:rsidR="00E42D52">
              <w:rPr>
                <w:rFonts w:cs="Arial"/>
                <w:color w:val="0D0D0D" w:themeColor="text1" w:themeTint="F2"/>
                <w:spacing w:val="-2"/>
                <w:sz w:val="16"/>
                <w:szCs w:val="16"/>
                <w:lang w:val="en-GB"/>
              </w:rPr>
              <w:t xml:space="preserve">e wage differences between both branches and regions were reduced and proved prevailing strong demand for less qualified workers. </w:t>
            </w:r>
            <w:r w:rsidRPr="00D4538D">
              <w:rPr>
                <w:rFonts w:cs="Arial"/>
                <w:color w:val="0D0D0D" w:themeColor="text1" w:themeTint="F2"/>
                <w:spacing w:val="-2"/>
                <w:sz w:val="16"/>
                <w:szCs w:val="16"/>
                <w:lang w:val="en-GB"/>
              </w:rPr>
              <w:t xml:space="preserve">  </w:t>
            </w:r>
          </w:p>
        </w:tc>
        <w:tc>
          <w:tcPr>
            <w:tcW w:w="144" w:type="pct"/>
          </w:tcPr>
          <w:p w:rsidR="00FD77BB" w:rsidRPr="00D4538D" w:rsidRDefault="00FD77BB" w:rsidP="00CF0826">
            <w:pPr>
              <w:pStyle w:val="Textpoznpodarou"/>
              <w:jc w:val="both"/>
              <w:rPr>
                <w:rFonts w:cs="Arial"/>
                <w:color w:val="0D0D0D" w:themeColor="text1" w:themeTint="F2"/>
                <w:lang w:val="en-GB"/>
              </w:rPr>
            </w:pPr>
          </w:p>
        </w:tc>
        <w:tc>
          <w:tcPr>
            <w:tcW w:w="3840" w:type="pct"/>
          </w:tcPr>
          <w:p w:rsidR="00FD77BB" w:rsidRPr="00D4538D" w:rsidRDefault="00D4538D" w:rsidP="00CF0826">
            <w:pPr>
              <w:pStyle w:val="Textpoznpodarou"/>
              <w:jc w:val="both"/>
              <w:rPr>
                <w:rFonts w:cs="Arial"/>
                <w:color w:val="0D0D0D" w:themeColor="text1" w:themeTint="F2"/>
                <w:spacing w:val="-4"/>
                <w:lang w:val="en-GB"/>
              </w:rPr>
            </w:pPr>
            <w:r w:rsidRPr="00D4538D">
              <w:rPr>
                <w:rFonts w:cs="Arial"/>
                <w:color w:val="0D0D0D" w:themeColor="text1" w:themeTint="F2"/>
                <w:spacing w:val="-4"/>
                <w:lang w:val="en-GB"/>
              </w:rPr>
              <w:t>Good economic results of businesses, continuing positive expectations, but also the deepening mismatch between the supply of the labour force and demand for it led to the dynamization of the wage growth during 2017.</w:t>
            </w:r>
            <w:r>
              <w:rPr>
                <w:rFonts w:cs="Arial"/>
                <w:color w:val="0D0D0D" w:themeColor="text1" w:themeTint="F2"/>
                <w:spacing w:val="-4"/>
                <w:lang w:val="en-GB"/>
              </w:rPr>
              <w:t xml:space="preserve"> The state also played important role – by strengthening the wage tariffs of its own employees as well as the further increase of the minimal wage boundary </w:t>
            </w:r>
            <w:r w:rsidR="00FD77BB" w:rsidRPr="00D4538D">
              <w:rPr>
                <w:rFonts w:cs="Arial"/>
                <w:color w:val="0D0D0D" w:themeColor="text1" w:themeTint="F2"/>
                <w:spacing w:val="-4"/>
                <w:lang w:val="en-GB"/>
              </w:rPr>
              <w:t>(</w:t>
            </w:r>
            <w:r>
              <w:rPr>
                <w:rFonts w:cs="Arial"/>
                <w:color w:val="0D0D0D" w:themeColor="text1" w:themeTint="F2"/>
                <w:spacing w:val="-4"/>
                <w:lang w:val="en-GB"/>
              </w:rPr>
              <w:t xml:space="preserve">incl. the secondary impact on the tied guaranteed wages). The average gross monthly wage crossed the 30 thousand </w:t>
            </w:r>
            <w:proofErr w:type="gramStart"/>
            <w:r>
              <w:rPr>
                <w:rFonts w:cs="Arial"/>
                <w:color w:val="0D0D0D" w:themeColor="text1" w:themeTint="F2"/>
                <w:spacing w:val="-4"/>
                <w:lang w:val="en-GB"/>
              </w:rPr>
              <w:t>boundary</w:t>
            </w:r>
            <w:proofErr w:type="gramEnd"/>
            <w:r>
              <w:rPr>
                <w:rFonts w:cs="Arial"/>
                <w:color w:val="0D0D0D" w:themeColor="text1" w:themeTint="F2"/>
                <w:spacing w:val="-4"/>
                <w:lang w:val="en-GB"/>
              </w:rPr>
              <w:t xml:space="preserve"> for the first time in history in </w:t>
            </w:r>
            <w:r w:rsidR="00443293">
              <w:rPr>
                <w:rFonts w:cs="Arial"/>
                <w:color w:val="0D0D0D" w:themeColor="text1" w:themeTint="F2"/>
                <w:spacing w:val="-4"/>
                <w:lang w:val="en-GB"/>
              </w:rPr>
              <w:t>Q</w:t>
            </w:r>
            <w:r>
              <w:rPr>
                <w:rFonts w:cs="Arial"/>
                <w:color w:val="0D0D0D" w:themeColor="text1" w:themeTint="F2"/>
                <w:spacing w:val="-4"/>
                <w:lang w:val="en-GB"/>
              </w:rPr>
              <w:t xml:space="preserve">4 2017 and it strengthened year-on-year </w:t>
            </w:r>
            <w:r w:rsidR="001D1D45">
              <w:rPr>
                <w:rFonts w:cs="Arial"/>
                <w:color w:val="0D0D0D" w:themeColor="text1" w:themeTint="F2"/>
                <w:spacing w:val="-4"/>
                <w:lang w:val="en-GB"/>
              </w:rPr>
              <w:t>b</w:t>
            </w:r>
            <w:r>
              <w:rPr>
                <w:rFonts w:cs="Arial"/>
                <w:color w:val="0D0D0D" w:themeColor="text1" w:themeTint="F2"/>
                <w:spacing w:val="-4"/>
                <w:lang w:val="en-GB"/>
              </w:rPr>
              <w:t xml:space="preserve">y 8.0% (by 3.7% the year before). </w:t>
            </w:r>
            <w:r w:rsidR="00973A9E">
              <w:rPr>
                <w:rFonts w:cs="Arial"/>
                <w:color w:val="0D0D0D" w:themeColor="text1" w:themeTint="F2"/>
                <w:spacing w:val="-4"/>
                <w:lang w:val="en-GB"/>
              </w:rPr>
              <w:t>The growth culminated in both Q2 and 4 during the year 2017, which was also linked to the year-on-year larger volume of paid out bonuses. The wages hiked up by 7.0% in total for the whole year, which corresponds to the rates of growth from the expansion years 2007 and 2008. Employees in accommodation, food service and restauran</w:t>
            </w:r>
            <w:r w:rsidR="004C5121">
              <w:rPr>
                <w:rFonts w:cs="Arial"/>
                <w:color w:val="0D0D0D" w:themeColor="text1" w:themeTint="F2"/>
                <w:spacing w:val="-4"/>
                <w:lang w:val="en-GB"/>
              </w:rPr>
              <w:t xml:space="preserve">ts were the most better off already third year in a row by 11.9% last year). Still it presented the branch with the lowest level of wages (17.5 thousand CZK). The growth of the minimal wage also pushed the earnings in the administrative and support service activities </w:t>
            </w:r>
            <w:r w:rsidR="00FD77BB" w:rsidRPr="00D4538D">
              <w:rPr>
                <w:rFonts w:cs="Arial"/>
                <w:color w:val="0D0D0D" w:themeColor="text1" w:themeTint="F2"/>
                <w:spacing w:val="-4"/>
                <w:lang w:val="en-GB"/>
              </w:rPr>
              <w:t>(+8</w:t>
            </w:r>
            <w:r w:rsidR="004C5121">
              <w:rPr>
                <w:rFonts w:cs="Arial"/>
                <w:color w:val="0D0D0D" w:themeColor="text1" w:themeTint="F2"/>
                <w:spacing w:val="-4"/>
                <w:lang w:val="en-GB"/>
              </w:rPr>
              <w:t>.</w:t>
            </w:r>
            <w:r w:rsidR="00FD77BB" w:rsidRPr="00D4538D">
              <w:rPr>
                <w:rFonts w:cs="Arial"/>
                <w:color w:val="0D0D0D" w:themeColor="text1" w:themeTint="F2"/>
                <w:spacing w:val="-4"/>
                <w:lang w:val="en-GB"/>
              </w:rPr>
              <w:t xml:space="preserve">0%). </w:t>
            </w:r>
            <w:r w:rsidR="00E42D52">
              <w:rPr>
                <w:rFonts w:cs="Arial"/>
                <w:color w:val="0D0D0D" w:themeColor="text1" w:themeTint="F2"/>
                <w:spacing w:val="-4"/>
                <w:lang w:val="en-GB"/>
              </w:rPr>
              <w:t xml:space="preserve">In branches with the predominance of state, the cultural, entertainment and recreational activities recorded the highest rate of growth of wages </w:t>
            </w:r>
            <w:r w:rsidR="00FD77BB" w:rsidRPr="00D4538D">
              <w:rPr>
                <w:rFonts w:cs="Arial"/>
                <w:color w:val="0D0D0D" w:themeColor="text1" w:themeTint="F2"/>
                <w:spacing w:val="-4"/>
                <w:lang w:val="en-GB"/>
              </w:rPr>
              <w:t>(9</w:t>
            </w:r>
            <w:r w:rsidR="00E42D52">
              <w:rPr>
                <w:rFonts w:cs="Arial"/>
                <w:color w:val="0D0D0D" w:themeColor="text1" w:themeTint="F2"/>
                <w:spacing w:val="-4"/>
                <w:lang w:val="en-GB"/>
              </w:rPr>
              <w:t>.</w:t>
            </w:r>
            <w:r w:rsidR="00FD77BB" w:rsidRPr="00D4538D">
              <w:rPr>
                <w:rFonts w:cs="Arial"/>
                <w:color w:val="0D0D0D" w:themeColor="text1" w:themeTint="F2"/>
                <w:spacing w:val="-4"/>
                <w:lang w:val="en-GB"/>
              </w:rPr>
              <w:t xml:space="preserve">3%), </w:t>
            </w:r>
            <w:r w:rsidR="00E42D52">
              <w:rPr>
                <w:rFonts w:cs="Arial"/>
                <w:color w:val="0D0D0D" w:themeColor="text1" w:themeTint="F2"/>
                <w:spacing w:val="-4"/>
                <w:lang w:val="en-GB"/>
              </w:rPr>
              <w:t xml:space="preserve">especially due to the marked acceleration in Q4 </w:t>
            </w:r>
            <w:r w:rsidR="00FD77BB" w:rsidRPr="00D4538D">
              <w:rPr>
                <w:rFonts w:cs="Arial"/>
                <w:color w:val="0D0D0D" w:themeColor="text1" w:themeTint="F2"/>
                <w:spacing w:val="-4"/>
                <w:lang w:val="en-GB"/>
              </w:rPr>
              <w:t>(+13</w:t>
            </w:r>
            <w:r w:rsidR="00E42D52">
              <w:rPr>
                <w:rFonts w:cs="Arial"/>
                <w:color w:val="0D0D0D" w:themeColor="text1" w:themeTint="F2"/>
                <w:spacing w:val="-4"/>
                <w:lang w:val="en-GB"/>
              </w:rPr>
              <w:t>.</w:t>
            </w:r>
            <w:r w:rsidR="00FD77BB" w:rsidRPr="00D4538D">
              <w:rPr>
                <w:rFonts w:cs="Arial"/>
                <w:color w:val="0D0D0D" w:themeColor="text1" w:themeTint="F2"/>
                <w:spacing w:val="-4"/>
                <w:lang w:val="en-GB"/>
              </w:rPr>
              <w:t xml:space="preserve">4%). </w:t>
            </w:r>
            <w:r w:rsidR="00C93F0E">
              <w:rPr>
                <w:rFonts w:cs="Arial"/>
                <w:color w:val="0D0D0D" w:themeColor="text1" w:themeTint="F2"/>
                <w:spacing w:val="-4"/>
                <w:lang w:val="en-GB"/>
              </w:rPr>
              <w:t>The earnings also grew dynamically in health and social care (+9.1%) last year. In contrast, despite improvement, the dynamics as well as the absolute size of wages in education remained below the level of the national economy towards the end of the year</w:t>
            </w:r>
            <w:r w:rsidR="00FD77BB" w:rsidRPr="00D4538D">
              <w:rPr>
                <w:rFonts w:cs="Arial"/>
                <w:color w:val="0D0D0D" w:themeColor="text1" w:themeTint="F2"/>
                <w:spacing w:val="-4"/>
                <w:lang w:val="en-GB"/>
              </w:rPr>
              <w:t xml:space="preserve">. </w:t>
            </w:r>
            <w:r w:rsidR="00C93F0E">
              <w:rPr>
                <w:rFonts w:cs="Arial"/>
                <w:color w:val="0D0D0D" w:themeColor="text1" w:themeTint="F2"/>
                <w:spacing w:val="-4"/>
                <w:lang w:val="en-GB"/>
              </w:rPr>
              <w:t>Weight dominant manufacturing copied with respect to the size of wages as well as their dynamics the values for the whole economy in the last three years.</w:t>
            </w:r>
            <w:r w:rsidR="00FD77BB" w:rsidRPr="00D4538D">
              <w:rPr>
                <w:rFonts w:cs="Arial"/>
                <w:color w:val="0D0D0D" w:themeColor="text1" w:themeTint="F2"/>
                <w:spacing w:val="-4"/>
                <w:lang w:val="en-GB"/>
              </w:rPr>
              <w:t xml:space="preserve"> </w:t>
            </w:r>
            <w:r w:rsidR="00665B35">
              <w:rPr>
                <w:rFonts w:cs="Arial"/>
                <w:color w:val="0D0D0D" w:themeColor="text1" w:themeTint="F2"/>
                <w:spacing w:val="-4"/>
                <w:lang w:val="en-GB"/>
              </w:rPr>
              <w:t xml:space="preserve">The relative growth was more modest in the majority of branches with the above average wage level, specifically in financial and insurance </w:t>
            </w:r>
            <w:r w:rsidR="00E63BFD">
              <w:rPr>
                <w:rFonts w:cs="Arial"/>
                <w:color w:val="0D0D0D" w:themeColor="text1" w:themeTint="F2"/>
                <w:spacing w:val="-4"/>
                <w:lang w:val="en-GB"/>
              </w:rPr>
              <w:t>activities (</w:t>
            </w:r>
            <w:r w:rsidR="00FD77BB" w:rsidRPr="00D4538D">
              <w:rPr>
                <w:rFonts w:cs="Arial"/>
                <w:color w:val="0D0D0D" w:themeColor="text1" w:themeTint="F2"/>
                <w:spacing w:val="-4"/>
                <w:lang w:val="en-GB"/>
              </w:rPr>
              <w:t>+3</w:t>
            </w:r>
            <w:r w:rsidR="00665B35">
              <w:rPr>
                <w:rFonts w:cs="Arial"/>
                <w:color w:val="0D0D0D" w:themeColor="text1" w:themeTint="F2"/>
                <w:spacing w:val="-4"/>
                <w:lang w:val="en-GB"/>
              </w:rPr>
              <w:t>.</w:t>
            </w:r>
            <w:r w:rsidR="00FD77BB" w:rsidRPr="00D4538D">
              <w:rPr>
                <w:rFonts w:cs="Arial"/>
                <w:color w:val="0D0D0D" w:themeColor="text1" w:themeTint="F2"/>
                <w:spacing w:val="-4"/>
                <w:lang w:val="en-GB"/>
              </w:rPr>
              <w:t>6%</w:t>
            </w:r>
            <w:r w:rsidR="00FD77BB" w:rsidRPr="00D4538D">
              <w:rPr>
                <w:rStyle w:val="Znakapoznpodarou"/>
                <w:color w:val="0D0D0D" w:themeColor="text1" w:themeTint="F2"/>
                <w:spacing w:val="-4"/>
                <w:lang w:val="en-GB"/>
              </w:rPr>
              <w:footnoteReference w:id="34"/>
            </w:r>
            <w:r w:rsidR="00FD77BB" w:rsidRPr="00D4538D">
              <w:rPr>
                <w:rFonts w:cs="Arial"/>
                <w:color w:val="0D0D0D" w:themeColor="text1" w:themeTint="F2"/>
                <w:spacing w:val="-4"/>
                <w:lang w:val="en-GB"/>
              </w:rPr>
              <w:t xml:space="preserve">). </w:t>
            </w:r>
            <w:r w:rsidR="00B034DC">
              <w:rPr>
                <w:rFonts w:cs="Arial"/>
                <w:color w:val="0D0D0D" w:themeColor="text1" w:themeTint="F2"/>
                <w:spacing w:val="-4"/>
                <w:lang w:val="en-GB"/>
              </w:rPr>
              <w:t xml:space="preserve">In most of them it was however offset by the strong growth of employment </w:t>
            </w:r>
            <w:r w:rsidR="00FD77BB" w:rsidRPr="00D4538D">
              <w:rPr>
                <w:rFonts w:cs="Arial"/>
                <w:color w:val="0D0D0D" w:themeColor="text1" w:themeTint="F2"/>
                <w:spacing w:val="-4"/>
                <w:lang w:val="en-GB"/>
              </w:rPr>
              <w:t>(informa</w:t>
            </w:r>
            <w:r w:rsidR="00B034DC">
              <w:rPr>
                <w:rFonts w:cs="Arial"/>
                <w:color w:val="0D0D0D" w:themeColor="text1" w:themeTint="F2"/>
                <w:spacing w:val="-4"/>
                <w:lang w:val="en-GB"/>
              </w:rPr>
              <w:t>tion and communication, energetics</w:t>
            </w:r>
            <w:r w:rsidR="00FD77BB" w:rsidRPr="00D4538D">
              <w:rPr>
                <w:rFonts w:cs="Arial"/>
                <w:color w:val="0D0D0D" w:themeColor="text1" w:themeTint="F2"/>
                <w:spacing w:val="-4"/>
                <w:lang w:val="en-GB"/>
              </w:rPr>
              <w:t xml:space="preserve">). </w:t>
            </w:r>
            <w:r w:rsidR="00C9730D">
              <w:rPr>
                <w:rFonts w:cs="Arial"/>
                <w:color w:val="0D0D0D" w:themeColor="text1" w:themeTint="F2"/>
                <w:spacing w:val="-4"/>
                <w:lang w:val="en-GB"/>
              </w:rPr>
              <w:t xml:space="preserve">Wage differentiation slightly reduced last year, the median wage exceeded the rates of growth of the average wage for already two and a half years. The increase of the rate of growth of the average real wage was also a positive trend </w:t>
            </w:r>
            <w:r w:rsidR="00FD77BB" w:rsidRPr="00D4538D">
              <w:rPr>
                <w:rFonts w:cs="Arial"/>
                <w:color w:val="0D0D0D" w:themeColor="text1" w:themeTint="F2"/>
                <w:spacing w:val="-4"/>
                <w:lang w:val="en-GB"/>
              </w:rPr>
              <w:t xml:space="preserve">– </w:t>
            </w:r>
            <w:r w:rsidR="00C9730D">
              <w:rPr>
                <w:rFonts w:cs="Arial"/>
                <w:color w:val="0D0D0D" w:themeColor="text1" w:themeTint="F2"/>
                <w:spacing w:val="-4"/>
                <w:lang w:val="en-GB"/>
              </w:rPr>
              <w:t xml:space="preserve">it strengthened by 4.4% in 2017, the most after year </w:t>
            </w:r>
            <w:r w:rsidR="00FD77BB" w:rsidRPr="00D4538D">
              <w:rPr>
                <w:rFonts w:cs="Arial"/>
                <w:color w:val="0D0D0D" w:themeColor="text1" w:themeTint="F2"/>
                <w:spacing w:val="-4"/>
                <w:lang w:val="en-GB"/>
              </w:rPr>
              <w:t>2003.</w:t>
            </w:r>
          </w:p>
        </w:tc>
      </w:tr>
    </w:tbl>
    <w:p w:rsidR="005C419C" w:rsidRPr="00526D50" w:rsidRDefault="005C419C" w:rsidP="005C419C">
      <w:pPr>
        <w:pStyle w:val="Textpoznpodarou"/>
        <w:jc w:val="both"/>
        <w:rPr>
          <w:rFonts w:cs="Arial"/>
          <w:color w:val="000000"/>
          <w:spacing w:val="-2"/>
          <w:sz w:val="4"/>
          <w:szCs w:val="4"/>
        </w:rPr>
      </w:pPr>
    </w:p>
    <w:p w:rsidR="0036710C" w:rsidRPr="0036710C" w:rsidRDefault="0036710C" w:rsidP="00D94859">
      <w:pPr>
        <w:rPr>
          <w:sz w:val="2"/>
          <w:szCs w:val="2"/>
          <w:lang w:eastAsia="ar-SA"/>
        </w:rPr>
      </w:pPr>
    </w:p>
    <w:p w:rsidR="00DD0726" w:rsidRPr="008E5E90" w:rsidRDefault="00DD0726" w:rsidP="00CC212E">
      <w:pPr>
        <w:pStyle w:val="Nadpis1"/>
        <w:numPr>
          <w:ilvl w:val="0"/>
          <w:numId w:val="12"/>
        </w:numPr>
        <w:ind w:left="709"/>
        <w:jc w:val="both"/>
        <w:rPr>
          <w:lang w:val="en-GB"/>
        </w:rPr>
      </w:pPr>
      <w:bookmarkStart w:id="16" w:name="_Toc469299935"/>
      <w:bookmarkStart w:id="17" w:name="_Toc493683639"/>
      <w:r w:rsidRPr="008E5E90">
        <w:rPr>
          <w:lang w:val="en-GB"/>
        </w:rPr>
        <w:lastRenderedPageBreak/>
        <w:t>M</w:t>
      </w:r>
      <w:r w:rsidR="008E5E90" w:rsidRPr="008E5E90">
        <w:rPr>
          <w:lang w:val="en-GB"/>
        </w:rPr>
        <w:t>onetary Conditions</w:t>
      </w:r>
      <w:bookmarkEnd w:id="16"/>
      <w:bookmarkEnd w:id="17"/>
    </w:p>
    <w:tbl>
      <w:tblPr>
        <w:tblW w:w="4995" w:type="pct"/>
        <w:tblInd w:w="108" w:type="dxa"/>
        <w:tblLayout w:type="fixed"/>
        <w:tblLook w:val="00A0"/>
      </w:tblPr>
      <w:tblGrid>
        <w:gridCol w:w="2000"/>
        <w:gridCol w:w="284"/>
        <w:gridCol w:w="1118"/>
        <w:gridCol w:w="6442"/>
      </w:tblGrid>
      <w:tr w:rsidR="009B0676" w:rsidRPr="008E5E90" w:rsidTr="009B0676">
        <w:trPr>
          <w:trHeight w:val="145"/>
        </w:trPr>
        <w:tc>
          <w:tcPr>
            <w:tcW w:w="1016" w:type="pct"/>
          </w:tcPr>
          <w:p w:rsidR="009B0676" w:rsidRPr="008E5E90" w:rsidRDefault="008E5E90" w:rsidP="006E4368">
            <w:pPr>
              <w:spacing w:line="240" w:lineRule="auto"/>
              <w:rPr>
                <w:color w:val="000000" w:themeColor="text1"/>
                <w:sz w:val="16"/>
                <w:szCs w:val="16"/>
                <w:highlight w:val="yellow"/>
                <w:lang w:val="en-GB"/>
              </w:rPr>
            </w:pPr>
            <w:r>
              <w:rPr>
                <w:color w:val="000000" w:themeColor="text1"/>
                <w:sz w:val="16"/>
                <w:szCs w:val="16"/>
                <w:lang w:val="en-GB"/>
              </w:rPr>
              <w:t xml:space="preserve">Since the April termination of the regime of </w:t>
            </w:r>
            <w:r w:rsidR="00604CF7">
              <w:rPr>
                <w:color w:val="000000" w:themeColor="text1"/>
                <w:sz w:val="16"/>
                <w:szCs w:val="16"/>
                <w:lang w:val="en-GB"/>
              </w:rPr>
              <w:t xml:space="preserve">forex </w:t>
            </w:r>
            <w:r>
              <w:rPr>
                <w:color w:val="000000" w:themeColor="text1"/>
                <w:sz w:val="16"/>
                <w:szCs w:val="16"/>
                <w:lang w:val="en-GB"/>
              </w:rPr>
              <w:t>intervention the koruna foreign exchange was appreciating against both euro and dollar</w:t>
            </w:r>
            <w:r w:rsidR="009B0676" w:rsidRPr="008E5E90">
              <w:rPr>
                <w:color w:val="000000" w:themeColor="text1"/>
                <w:sz w:val="16"/>
                <w:szCs w:val="16"/>
                <w:lang w:val="en-GB"/>
              </w:rPr>
              <w:t>.</w:t>
            </w:r>
          </w:p>
        </w:tc>
        <w:tc>
          <w:tcPr>
            <w:tcW w:w="144" w:type="pct"/>
          </w:tcPr>
          <w:p w:rsidR="009B0676" w:rsidRPr="008E5E90" w:rsidRDefault="009B0676" w:rsidP="006E4368">
            <w:pPr>
              <w:pStyle w:val="Textpoznpodarou"/>
              <w:jc w:val="both"/>
              <w:rPr>
                <w:lang w:val="en-GB"/>
              </w:rPr>
            </w:pPr>
          </w:p>
        </w:tc>
        <w:tc>
          <w:tcPr>
            <w:tcW w:w="3840" w:type="pct"/>
            <w:gridSpan w:val="2"/>
          </w:tcPr>
          <w:p w:rsidR="009B0676" w:rsidRDefault="008E5E90" w:rsidP="00F86F2E">
            <w:pPr>
              <w:pStyle w:val="Textpoznpodarou"/>
              <w:jc w:val="both"/>
              <w:rPr>
                <w:lang w:val="en-GB"/>
              </w:rPr>
            </w:pPr>
            <w:r>
              <w:rPr>
                <w:lang w:val="en-GB"/>
              </w:rPr>
              <w:t>Year 2017 brought a range of changes in the area of the monetary conditions. After the April termination of the fore</w:t>
            </w:r>
            <w:r w:rsidR="00604CF7">
              <w:rPr>
                <w:lang w:val="en-GB"/>
              </w:rPr>
              <w:t>x in</w:t>
            </w:r>
            <w:r>
              <w:rPr>
                <w:lang w:val="en-GB"/>
              </w:rPr>
              <w:t xml:space="preserve">tervention, koruna returned to the regime of the managed </w:t>
            </w:r>
            <w:r w:rsidR="009B0676" w:rsidRPr="008E5E90">
              <w:rPr>
                <w:lang w:val="en-GB"/>
              </w:rPr>
              <w:t xml:space="preserve">floating. </w:t>
            </w:r>
            <w:r w:rsidR="00C9613F">
              <w:rPr>
                <w:lang w:val="en-GB"/>
              </w:rPr>
              <w:t xml:space="preserve">The koruna foreign exchange was thus </w:t>
            </w:r>
            <w:r w:rsidR="00DF204C">
              <w:rPr>
                <w:lang w:val="en-GB"/>
              </w:rPr>
              <w:t>appreciating</w:t>
            </w:r>
            <w:r w:rsidR="00C9613F">
              <w:rPr>
                <w:lang w:val="en-GB"/>
              </w:rPr>
              <w:t xml:space="preserve"> against the important foreign currencies during the year. Foreign exchange against euro kept on the value </w:t>
            </w:r>
            <w:r w:rsidR="009B0676" w:rsidRPr="008E5E90">
              <w:rPr>
                <w:lang w:val="en-GB"/>
              </w:rPr>
              <w:t>27</w:t>
            </w:r>
            <w:r w:rsidR="00C9613F">
              <w:rPr>
                <w:lang w:val="en-GB"/>
              </w:rPr>
              <w:t>.</w:t>
            </w:r>
            <w:r w:rsidR="009B0676" w:rsidRPr="008E5E90">
              <w:rPr>
                <w:lang w:val="en-GB"/>
              </w:rPr>
              <w:t>02</w:t>
            </w:r>
            <w:r w:rsidR="00B013C0" w:rsidRPr="008E5E90">
              <w:rPr>
                <w:lang w:val="en-GB"/>
              </w:rPr>
              <w:t> </w:t>
            </w:r>
            <w:r w:rsidR="009B0676" w:rsidRPr="008E5E90">
              <w:rPr>
                <w:lang w:val="en-GB"/>
              </w:rPr>
              <w:t>CZK/EUR</w:t>
            </w:r>
            <w:r w:rsidR="009B0676" w:rsidRPr="008E5E90">
              <w:rPr>
                <w:rStyle w:val="Znakapoznpodarou"/>
                <w:lang w:val="en-GB"/>
              </w:rPr>
              <w:footnoteReference w:id="35"/>
            </w:r>
            <w:r w:rsidR="00C9613F">
              <w:rPr>
                <w:lang w:val="en-GB"/>
              </w:rPr>
              <w:t xml:space="preserve"> for the whole Q1</w:t>
            </w:r>
            <w:r w:rsidR="009B0676" w:rsidRPr="008E5E90">
              <w:rPr>
                <w:lang w:val="en-GB"/>
              </w:rPr>
              <w:t xml:space="preserve">. </w:t>
            </w:r>
            <w:r w:rsidR="00C9613F">
              <w:rPr>
                <w:lang w:val="en-GB"/>
              </w:rPr>
              <w:t xml:space="preserve">After the termination of intervention, it gradually appreciated and its average value was </w:t>
            </w:r>
            <w:r w:rsidR="009B0676" w:rsidRPr="008E5E90">
              <w:rPr>
                <w:lang w:val="en-GB"/>
              </w:rPr>
              <w:t>25</w:t>
            </w:r>
            <w:r w:rsidR="00C9613F">
              <w:rPr>
                <w:lang w:val="en-GB"/>
              </w:rPr>
              <w:t>.</w:t>
            </w:r>
            <w:r w:rsidR="009B0676" w:rsidRPr="008E5E90">
              <w:rPr>
                <w:lang w:val="en-GB"/>
              </w:rPr>
              <w:t>65</w:t>
            </w:r>
            <w:r w:rsidR="002C5CB7" w:rsidRPr="008E5E90">
              <w:rPr>
                <w:lang w:val="en-GB"/>
              </w:rPr>
              <w:t> </w:t>
            </w:r>
            <w:r w:rsidR="009B0676" w:rsidRPr="008E5E90">
              <w:rPr>
                <w:lang w:val="en-GB"/>
              </w:rPr>
              <w:t>CZK/EUR</w:t>
            </w:r>
            <w:r w:rsidR="00C9613F">
              <w:rPr>
                <w:lang w:val="en-GB"/>
              </w:rPr>
              <w:t xml:space="preserve"> in Q4</w:t>
            </w:r>
            <w:r w:rsidR="009B0676" w:rsidRPr="008E5E90">
              <w:rPr>
                <w:lang w:val="en-GB"/>
              </w:rPr>
              <w:t xml:space="preserve">. </w:t>
            </w:r>
            <w:r w:rsidR="00F86F2E">
              <w:rPr>
                <w:lang w:val="en-GB"/>
              </w:rPr>
              <w:t>Koruna appreciated against euro by 5.5% since the 2</w:t>
            </w:r>
            <w:r w:rsidR="00F86F2E" w:rsidRPr="00F86F2E">
              <w:rPr>
                <w:vertAlign w:val="superscript"/>
                <w:lang w:val="en-GB"/>
              </w:rPr>
              <w:t>nd</w:t>
            </w:r>
            <w:r w:rsidR="00F86F2E">
              <w:rPr>
                <w:lang w:val="en-GB"/>
              </w:rPr>
              <w:t xml:space="preserve"> January till the 29 the December. The koruna foreign exchange appreciated even more significantly towards the American dollar. Its avera</w:t>
            </w:r>
            <w:r w:rsidR="005300CB">
              <w:rPr>
                <w:lang w:val="en-GB"/>
              </w:rPr>
              <w:t>ge</w:t>
            </w:r>
            <w:r w:rsidR="00F86F2E">
              <w:rPr>
                <w:lang w:val="en-GB"/>
              </w:rPr>
              <w:t xml:space="preserve"> v</w:t>
            </w:r>
            <w:r w:rsidR="005300CB">
              <w:rPr>
                <w:lang w:val="en-GB"/>
              </w:rPr>
              <w:t>al</w:t>
            </w:r>
            <w:r w:rsidR="00F86F2E">
              <w:rPr>
                <w:lang w:val="en-GB"/>
              </w:rPr>
              <w:t xml:space="preserve">ue reached </w:t>
            </w:r>
            <w:r w:rsidR="009B0676" w:rsidRPr="008E5E90">
              <w:rPr>
                <w:lang w:val="en-GB"/>
              </w:rPr>
              <w:t>25</w:t>
            </w:r>
            <w:r w:rsidR="005300CB">
              <w:rPr>
                <w:lang w:val="en-GB"/>
              </w:rPr>
              <w:t>.</w:t>
            </w:r>
            <w:r w:rsidR="009B0676" w:rsidRPr="008E5E90">
              <w:rPr>
                <w:lang w:val="en-GB"/>
              </w:rPr>
              <w:t>38</w:t>
            </w:r>
            <w:r w:rsidR="002C5CB7" w:rsidRPr="008E5E90">
              <w:rPr>
                <w:lang w:val="en-GB"/>
              </w:rPr>
              <w:t> </w:t>
            </w:r>
            <w:r w:rsidR="009B0676" w:rsidRPr="008E5E90">
              <w:rPr>
                <w:lang w:val="en-GB"/>
              </w:rPr>
              <w:t>CZK/USD</w:t>
            </w:r>
            <w:r w:rsidR="00F86F2E">
              <w:rPr>
                <w:lang w:val="en-GB"/>
              </w:rPr>
              <w:t xml:space="preserve"> in Q1</w:t>
            </w:r>
            <w:r w:rsidR="009B0676" w:rsidRPr="008E5E90">
              <w:rPr>
                <w:lang w:val="en-GB"/>
              </w:rPr>
              <w:t xml:space="preserve">, </w:t>
            </w:r>
            <w:r w:rsidR="00F86F2E">
              <w:rPr>
                <w:lang w:val="en-GB"/>
              </w:rPr>
              <w:t xml:space="preserve">it was </w:t>
            </w:r>
            <w:r w:rsidR="009B0676" w:rsidRPr="008E5E90">
              <w:rPr>
                <w:lang w:val="en-GB"/>
              </w:rPr>
              <w:t>21,79</w:t>
            </w:r>
            <w:r w:rsidR="002C5CB7" w:rsidRPr="008E5E90">
              <w:rPr>
                <w:lang w:val="en-GB"/>
              </w:rPr>
              <w:t> </w:t>
            </w:r>
            <w:r w:rsidR="009B0676" w:rsidRPr="008E5E90">
              <w:rPr>
                <w:lang w:val="en-GB"/>
              </w:rPr>
              <w:t>CZK/USD</w:t>
            </w:r>
            <w:r w:rsidR="00F86F2E">
              <w:rPr>
                <w:lang w:val="en-GB"/>
              </w:rPr>
              <w:t xml:space="preserve"> in the final quarter</w:t>
            </w:r>
            <w:r w:rsidR="009B0676" w:rsidRPr="008E5E90">
              <w:rPr>
                <w:lang w:val="en-GB"/>
              </w:rPr>
              <w:t xml:space="preserve">. </w:t>
            </w:r>
            <w:r w:rsidR="00F86F2E">
              <w:rPr>
                <w:lang w:val="en-GB"/>
              </w:rPr>
              <w:t xml:space="preserve">For the whole year 2017, koruna appreciated against dollar by 17.5%. The slump of the prices of the </w:t>
            </w:r>
            <w:r w:rsidR="005300CB">
              <w:rPr>
                <w:lang w:val="en-GB"/>
              </w:rPr>
              <w:t>foreign</w:t>
            </w:r>
            <w:r w:rsidR="00F86F2E">
              <w:rPr>
                <w:lang w:val="en-GB"/>
              </w:rPr>
              <w:t xml:space="preserve"> trade represented the immediate impact of this appreciation </w:t>
            </w:r>
          </w:p>
          <w:p w:rsidR="00F86F2E" w:rsidRPr="008E5E90" w:rsidRDefault="00F86F2E" w:rsidP="00F86F2E">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AD6BE5" w:rsidRDefault="00AD6BE5" w:rsidP="006E4368">
            <w:pPr>
              <w:spacing w:line="240" w:lineRule="auto"/>
              <w:rPr>
                <w:color w:val="000000" w:themeColor="text1"/>
                <w:sz w:val="16"/>
                <w:szCs w:val="16"/>
                <w:highlight w:val="yellow"/>
                <w:lang w:val="en-GB"/>
              </w:rPr>
            </w:pPr>
            <w:r>
              <w:rPr>
                <w:color w:val="000000" w:themeColor="text1"/>
                <w:sz w:val="16"/>
                <w:szCs w:val="16"/>
                <w:lang w:val="en-GB"/>
              </w:rPr>
              <w:t>C</w:t>
            </w:r>
            <w:r w:rsidR="009B0676" w:rsidRPr="00AD6BE5">
              <w:rPr>
                <w:color w:val="000000" w:themeColor="text1"/>
                <w:sz w:val="16"/>
                <w:szCs w:val="16"/>
                <w:lang w:val="en-GB"/>
              </w:rPr>
              <w:t xml:space="preserve">NB </w:t>
            </w:r>
            <w:r w:rsidR="00F86F2E">
              <w:rPr>
                <w:color w:val="000000" w:themeColor="text1"/>
                <w:sz w:val="16"/>
                <w:szCs w:val="16"/>
                <w:lang w:val="en-GB"/>
              </w:rPr>
              <w:t>decided twice for the increase of the monetary policy-relevant interest rates in 2</w:t>
            </w:r>
            <w:r w:rsidR="009B0676" w:rsidRPr="00AD6BE5">
              <w:rPr>
                <w:color w:val="000000" w:themeColor="text1"/>
                <w:sz w:val="16"/>
                <w:szCs w:val="16"/>
                <w:lang w:val="en-GB"/>
              </w:rPr>
              <w:t>017</w:t>
            </w:r>
            <w:r w:rsidR="00F86F2E">
              <w:rPr>
                <w:color w:val="000000" w:themeColor="text1"/>
                <w:sz w:val="16"/>
                <w:szCs w:val="16"/>
                <w:lang w:val="en-GB"/>
              </w:rPr>
              <w:t>.</w:t>
            </w:r>
          </w:p>
        </w:tc>
        <w:tc>
          <w:tcPr>
            <w:tcW w:w="144" w:type="pct"/>
          </w:tcPr>
          <w:p w:rsidR="009B0676" w:rsidRPr="00AD6BE5" w:rsidRDefault="009B0676" w:rsidP="006E4368">
            <w:pPr>
              <w:pStyle w:val="Textpoznpodarou"/>
              <w:jc w:val="both"/>
              <w:rPr>
                <w:lang w:val="en-GB"/>
              </w:rPr>
            </w:pPr>
          </w:p>
        </w:tc>
        <w:tc>
          <w:tcPr>
            <w:tcW w:w="3840" w:type="pct"/>
            <w:gridSpan w:val="2"/>
          </w:tcPr>
          <w:p w:rsidR="009B0676" w:rsidRPr="00AD6BE5" w:rsidRDefault="00352FC0" w:rsidP="006E4368">
            <w:pPr>
              <w:pStyle w:val="Textpoznpodarou"/>
              <w:jc w:val="both"/>
              <w:rPr>
                <w:sz w:val="16"/>
                <w:szCs w:val="16"/>
                <w:lang w:val="en-GB"/>
              </w:rPr>
            </w:pPr>
            <w:r>
              <w:rPr>
                <w:lang w:val="en-GB"/>
              </w:rPr>
              <w:t xml:space="preserve">Termination of the regime of interventions was to certain extent the return to the classical instruments of the monetary policy. The change of the monetary policy-relevant interest rates </w:t>
            </w:r>
            <w:r w:rsidR="00AD5414">
              <w:rPr>
                <w:lang w:val="en-GB"/>
              </w:rPr>
              <w:t xml:space="preserve">manifests </w:t>
            </w:r>
            <w:r>
              <w:rPr>
                <w:lang w:val="en-GB"/>
              </w:rPr>
              <w:t xml:space="preserve">for the first time since November 2012. At first, the repo rate was increased from 0.05% to 0.25% at the beginning of August and the lombard rate from 0.25% to 0.50%. It was the first growth since year 2008. Further shift </w:t>
            </w:r>
            <w:r w:rsidR="001833E9">
              <w:rPr>
                <w:lang w:val="en-GB"/>
              </w:rPr>
              <w:t>upwards</w:t>
            </w:r>
            <w:r>
              <w:rPr>
                <w:lang w:val="en-GB"/>
              </w:rPr>
              <w:t xml:space="preserve"> eventuated at the beginning of November. The repo rate was increased to 0.50% and the </w:t>
            </w:r>
            <w:r w:rsidR="0019357D">
              <w:rPr>
                <w:lang w:val="en-GB"/>
              </w:rPr>
              <w:t>l</w:t>
            </w:r>
            <w:r>
              <w:rPr>
                <w:lang w:val="en-GB"/>
              </w:rPr>
              <w:t xml:space="preserve">ombard rate to 1.00%. </w:t>
            </w:r>
            <w:r w:rsidR="00230CA7">
              <w:rPr>
                <w:lang w:val="en-GB"/>
              </w:rPr>
              <w:t xml:space="preserve">In connection to the discussion regarding the stability of the financial system, the CNB also applied some instruments of the macro-prudent policy. For once, it tightened the recommendations related to the provision of mortgages and also increased the rate of the capital reserve for some banks. At the end of year 2017, it also announced the increase of the rate of the counter-cycle capital reserve valid as of  </w:t>
            </w:r>
            <w:r w:rsidR="009B0676" w:rsidRPr="00AD6BE5">
              <w:rPr>
                <w:lang w:val="en-GB"/>
              </w:rPr>
              <w:t xml:space="preserve"> 1.</w:t>
            </w:r>
            <w:r w:rsidR="00896874" w:rsidRPr="00AD6BE5">
              <w:rPr>
                <w:lang w:val="en-GB"/>
              </w:rPr>
              <w:t> </w:t>
            </w:r>
            <w:r w:rsidR="009B0676" w:rsidRPr="00AD6BE5">
              <w:rPr>
                <w:lang w:val="en-GB"/>
              </w:rPr>
              <w:t>7.</w:t>
            </w:r>
            <w:r w:rsidR="00896874" w:rsidRPr="00AD6BE5">
              <w:rPr>
                <w:lang w:val="en-GB"/>
              </w:rPr>
              <w:t> </w:t>
            </w:r>
            <w:r w:rsidR="009B0676" w:rsidRPr="00AD6BE5">
              <w:rPr>
                <w:lang w:val="en-GB"/>
              </w:rPr>
              <w:t>2018 (</w:t>
            </w:r>
            <w:r w:rsidR="00230CA7">
              <w:rPr>
                <w:lang w:val="en-GB"/>
              </w:rPr>
              <w:t xml:space="preserve">from </w:t>
            </w:r>
            <w:r w:rsidR="009B0676" w:rsidRPr="00AD6BE5">
              <w:rPr>
                <w:lang w:val="en-GB"/>
              </w:rPr>
              <w:t>0</w:t>
            </w:r>
            <w:r w:rsidR="00230CA7">
              <w:rPr>
                <w:lang w:val="en-GB"/>
              </w:rPr>
              <w:t>.</w:t>
            </w:r>
            <w:r w:rsidR="009B0676" w:rsidRPr="00AD6BE5">
              <w:rPr>
                <w:lang w:val="en-GB"/>
              </w:rPr>
              <w:t xml:space="preserve">5% </w:t>
            </w:r>
            <w:r w:rsidR="00230CA7">
              <w:rPr>
                <w:lang w:val="en-GB"/>
              </w:rPr>
              <w:t>to</w:t>
            </w:r>
            <w:r w:rsidR="009B0676" w:rsidRPr="00AD6BE5">
              <w:rPr>
                <w:lang w:val="en-GB"/>
              </w:rPr>
              <w:t xml:space="preserve"> 1</w:t>
            </w:r>
            <w:r w:rsidR="00230CA7">
              <w:rPr>
                <w:lang w:val="en-GB"/>
              </w:rPr>
              <w:t>.</w:t>
            </w:r>
            <w:r w:rsidR="009B0676" w:rsidRPr="00AD6BE5">
              <w:rPr>
                <w:lang w:val="en-GB"/>
              </w:rPr>
              <w:t xml:space="preserve">0%, </w:t>
            </w:r>
            <w:r w:rsidR="00230CA7">
              <w:rPr>
                <w:lang w:val="en-GB"/>
              </w:rPr>
              <w:t xml:space="preserve">further increase to </w:t>
            </w:r>
            <w:r w:rsidR="009B0676" w:rsidRPr="00AD6BE5">
              <w:rPr>
                <w:lang w:val="en-GB"/>
              </w:rPr>
              <w:t>1</w:t>
            </w:r>
            <w:r w:rsidR="00230CA7">
              <w:rPr>
                <w:lang w:val="en-GB"/>
              </w:rPr>
              <w:t>.</w:t>
            </w:r>
            <w:r w:rsidR="009B0676" w:rsidRPr="00AD6BE5">
              <w:rPr>
                <w:lang w:val="en-GB"/>
              </w:rPr>
              <w:t xml:space="preserve">25% </w:t>
            </w:r>
            <w:r w:rsidR="00230CA7">
              <w:rPr>
                <w:lang w:val="en-GB"/>
              </w:rPr>
              <w:t xml:space="preserve">as of </w:t>
            </w:r>
            <w:r w:rsidR="009B0676" w:rsidRPr="00AD6BE5">
              <w:rPr>
                <w:lang w:val="en-GB"/>
              </w:rPr>
              <w:t>1.</w:t>
            </w:r>
            <w:r w:rsidR="00896874" w:rsidRPr="00AD6BE5">
              <w:rPr>
                <w:lang w:val="en-GB"/>
              </w:rPr>
              <w:t> </w:t>
            </w:r>
            <w:r w:rsidR="009B0676" w:rsidRPr="00AD6BE5">
              <w:rPr>
                <w:lang w:val="en-GB"/>
              </w:rPr>
              <w:t>1.</w:t>
            </w:r>
            <w:r w:rsidR="00896874" w:rsidRPr="00AD6BE5">
              <w:rPr>
                <w:lang w:val="en-GB"/>
              </w:rPr>
              <w:t> </w:t>
            </w:r>
            <w:r w:rsidR="009B0676" w:rsidRPr="00AD6BE5">
              <w:rPr>
                <w:lang w:val="en-GB"/>
              </w:rPr>
              <w:t>2019).</w:t>
            </w:r>
          </w:p>
          <w:p w:rsidR="009B0676" w:rsidRPr="00AD6BE5" w:rsidRDefault="009B0676" w:rsidP="006E4368">
            <w:pPr>
              <w:pStyle w:val="Textpoznpodarou"/>
              <w:jc w:val="both"/>
              <w:rPr>
                <w:sz w:val="16"/>
                <w:szCs w:val="16"/>
                <w:lang w:val="en-GB"/>
              </w:rPr>
            </w:pP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568" w:type="pct"/>
          </w:tcPr>
          <w:p w:rsidR="00DD0726" w:rsidRPr="00AD6BE5" w:rsidRDefault="00AD6BE5" w:rsidP="006C3DC1">
            <w:pPr>
              <w:pStyle w:val="Textpoznpodarou"/>
              <w:jc w:val="both"/>
              <w:rPr>
                <w:lang w:val="en-GB"/>
              </w:rPr>
            </w:pPr>
            <w:r w:rsidRPr="00AD6BE5">
              <w:rPr>
                <w:lang w:val="en-GB"/>
              </w:rPr>
              <w:t>Chart</w:t>
            </w:r>
            <w:r w:rsidR="00DD0726" w:rsidRPr="00AD6BE5">
              <w:rPr>
                <w:lang w:val="en-GB"/>
              </w:rPr>
              <w:t xml:space="preserve"> 18</w:t>
            </w:r>
          </w:p>
        </w:tc>
        <w:tc>
          <w:tcPr>
            <w:tcW w:w="3272" w:type="pct"/>
          </w:tcPr>
          <w:p w:rsidR="00DD0726" w:rsidRPr="00AD6BE5" w:rsidRDefault="00AD6BE5" w:rsidP="006C3DC1">
            <w:pPr>
              <w:pStyle w:val="Textpoznpodarou"/>
              <w:jc w:val="both"/>
              <w:rPr>
                <w:lang w:val="en-GB"/>
              </w:rPr>
            </w:pPr>
            <w:r w:rsidRPr="00AD6BE5">
              <w:rPr>
                <w:b/>
                <w:lang w:val="en-GB"/>
              </w:rPr>
              <w:t xml:space="preserve">Market interest rates </w:t>
            </w:r>
            <w:r w:rsidR="00DD0726" w:rsidRPr="00AD6BE5">
              <w:rPr>
                <w:lang w:val="en-GB"/>
              </w:rPr>
              <w:t>(</w:t>
            </w:r>
            <w:r w:rsidRPr="00AD6BE5">
              <w:rPr>
                <w:lang w:val="en-GB"/>
              </w:rPr>
              <w:t>in</w:t>
            </w:r>
            <w:r w:rsidR="00DD0726" w:rsidRPr="00AD6BE5">
              <w:rPr>
                <w:lang w:val="en-GB"/>
              </w:rPr>
              <w:t xml:space="preserve"> %)</w:t>
            </w: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3840" w:type="pct"/>
            <w:gridSpan w:val="2"/>
          </w:tcPr>
          <w:p w:rsidR="00DD0726" w:rsidRDefault="00BD345F" w:rsidP="00BD345F">
            <w:pPr>
              <w:pStyle w:val="Textpoznpodarou"/>
              <w:jc w:val="right"/>
              <w:rPr>
                <w:sz w:val="14"/>
                <w:szCs w:val="14"/>
                <w:lang w:val="en-GB"/>
              </w:rPr>
            </w:pPr>
            <w:r w:rsidRPr="00BD345F">
              <w:rPr>
                <w:noProof/>
              </w:rPr>
              <w:drawing>
                <wp:inline distT="0" distB="0" distL="0" distR="0">
                  <wp:extent cx="4737600" cy="3553200"/>
                  <wp:effectExtent l="1905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DD0726" w:rsidRPr="00AD6BE5">
              <w:rPr>
                <w:sz w:val="14"/>
                <w:szCs w:val="14"/>
                <w:lang w:val="en-GB"/>
              </w:rPr>
              <w:t xml:space="preserve"> </w:t>
            </w:r>
            <w:r w:rsidR="00230CA7">
              <w:rPr>
                <w:sz w:val="14"/>
                <w:szCs w:val="14"/>
                <w:lang w:val="en-GB"/>
              </w:rPr>
              <w:t>Source</w:t>
            </w:r>
            <w:r w:rsidR="00DD0726" w:rsidRPr="00AD6BE5">
              <w:rPr>
                <w:sz w:val="14"/>
                <w:szCs w:val="14"/>
                <w:lang w:val="en-GB"/>
              </w:rPr>
              <w:t xml:space="preserve">: </w:t>
            </w:r>
            <w:r w:rsidR="00230CA7">
              <w:rPr>
                <w:sz w:val="14"/>
                <w:szCs w:val="14"/>
                <w:lang w:val="en-GB"/>
              </w:rPr>
              <w:t>CNB</w:t>
            </w:r>
          </w:p>
          <w:p w:rsidR="00BD345F" w:rsidRPr="00AD6BE5" w:rsidRDefault="00BD345F" w:rsidP="00BD345F">
            <w:pPr>
              <w:pStyle w:val="Textpoznpodarou"/>
              <w:jc w:val="right"/>
              <w:rPr>
                <w:sz w:val="14"/>
                <w:szCs w:val="14"/>
                <w:lang w:val="en-GB"/>
              </w:rPr>
            </w:pPr>
          </w:p>
        </w:tc>
      </w:tr>
      <w:tr w:rsidR="009B0676" w:rsidRPr="00A74192" w:rsidTr="009B0676">
        <w:trPr>
          <w:trHeight w:val="145"/>
        </w:trPr>
        <w:tc>
          <w:tcPr>
            <w:tcW w:w="1016" w:type="pct"/>
            <w:shd w:val="clear" w:color="auto" w:fill="auto"/>
          </w:tcPr>
          <w:p w:rsidR="009B0676" w:rsidRPr="00CB158C" w:rsidRDefault="00CB158C" w:rsidP="006E4368">
            <w:pPr>
              <w:spacing w:line="240" w:lineRule="auto"/>
              <w:rPr>
                <w:color w:val="000000" w:themeColor="text1"/>
                <w:sz w:val="16"/>
                <w:szCs w:val="16"/>
                <w:lang w:val="en-GB"/>
              </w:rPr>
            </w:pPr>
            <w:r w:rsidRPr="00CB158C">
              <w:rPr>
                <w:color w:val="000000" w:themeColor="text1"/>
                <w:sz w:val="16"/>
                <w:szCs w:val="16"/>
                <w:lang w:val="en-GB"/>
              </w:rPr>
              <w:t xml:space="preserve">Interbank rate as well as yields on the government bonds </w:t>
            </w:r>
            <w:r w:rsidRPr="00CB158C">
              <w:rPr>
                <w:color w:val="000000" w:themeColor="text1"/>
                <w:sz w:val="16"/>
                <w:szCs w:val="16"/>
                <w:lang w:val="en-GB"/>
              </w:rPr>
              <w:lastRenderedPageBreak/>
              <w:t xml:space="preserve">increased. </w:t>
            </w:r>
          </w:p>
        </w:tc>
        <w:tc>
          <w:tcPr>
            <w:tcW w:w="144" w:type="pct"/>
          </w:tcPr>
          <w:p w:rsidR="009B0676" w:rsidRPr="00CB158C" w:rsidRDefault="009B0676" w:rsidP="006E4368">
            <w:pPr>
              <w:pStyle w:val="Textpoznpodarou"/>
              <w:jc w:val="both"/>
              <w:rPr>
                <w:highlight w:val="yellow"/>
                <w:lang w:val="en-GB"/>
              </w:rPr>
            </w:pPr>
          </w:p>
        </w:tc>
        <w:tc>
          <w:tcPr>
            <w:tcW w:w="3840" w:type="pct"/>
            <w:gridSpan w:val="2"/>
          </w:tcPr>
          <w:p w:rsidR="003F7631" w:rsidRDefault="00CB158C" w:rsidP="00891251">
            <w:pPr>
              <w:pStyle w:val="Textpoznpodarou"/>
              <w:jc w:val="both"/>
              <w:rPr>
                <w:spacing w:val="-2"/>
                <w:lang w:val="en-GB"/>
              </w:rPr>
            </w:pPr>
            <w:r>
              <w:rPr>
                <w:spacing w:val="-2"/>
                <w:lang w:val="en-GB"/>
              </w:rPr>
              <w:t xml:space="preserve">Increase of the monetary policy-relevant rates directly impacted the interbank interest rates. The three-month </w:t>
            </w:r>
            <w:r w:rsidR="009B0676" w:rsidRPr="00CB158C">
              <w:rPr>
                <w:spacing w:val="-2"/>
                <w:lang w:val="en-GB"/>
              </w:rPr>
              <w:t xml:space="preserve">PRIBOR </w:t>
            </w:r>
            <w:r>
              <w:rPr>
                <w:spacing w:val="-2"/>
                <w:lang w:val="en-GB"/>
              </w:rPr>
              <w:t xml:space="preserve">rate rose by 0.47 </w:t>
            </w:r>
            <w:r w:rsidR="0030607B">
              <w:rPr>
                <w:spacing w:val="-2"/>
                <w:lang w:val="en-GB"/>
              </w:rPr>
              <w:t>p.p.</w:t>
            </w:r>
            <w:r>
              <w:rPr>
                <w:spacing w:val="-2"/>
                <w:lang w:val="en-GB"/>
              </w:rPr>
              <w:t xml:space="preserve"> since January till December 2017 </w:t>
            </w:r>
            <w:r w:rsidR="009B0676" w:rsidRPr="00CB158C">
              <w:rPr>
                <w:spacing w:val="-2"/>
                <w:lang w:val="en-GB"/>
              </w:rPr>
              <w:t>a</w:t>
            </w:r>
            <w:r>
              <w:rPr>
                <w:spacing w:val="-2"/>
                <w:lang w:val="en-GB"/>
              </w:rPr>
              <w:t xml:space="preserve">nd it was 0.77% in December </w:t>
            </w:r>
            <w:r w:rsidR="009B0676" w:rsidRPr="00CB158C">
              <w:rPr>
                <w:spacing w:val="-2"/>
                <w:lang w:val="en-GB"/>
              </w:rPr>
              <w:t>(</w:t>
            </w:r>
            <w:r>
              <w:rPr>
                <w:spacing w:val="-2"/>
                <w:lang w:val="en-GB"/>
              </w:rPr>
              <w:t>the most since September 2012</w:t>
            </w:r>
            <w:r w:rsidR="009B0676" w:rsidRPr="00CB158C">
              <w:rPr>
                <w:spacing w:val="-2"/>
                <w:lang w:val="en-GB"/>
              </w:rPr>
              <w:t xml:space="preserve">). </w:t>
            </w:r>
            <w:r>
              <w:rPr>
                <w:spacing w:val="-2"/>
                <w:lang w:val="en-GB"/>
              </w:rPr>
              <w:lastRenderedPageBreak/>
              <w:t xml:space="preserve">The one-year </w:t>
            </w:r>
            <w:r w:rsidR="009B0676" w:rsidRPr="00CB158C">
              <w:rPr>
                <w:spacing w:val="-2"/>
                <w:lang w:val="en-GB"/>
              </w:rPr>
              <w:t>PRIBOR</w:t>
            </w:r>
            <w:r>
              <w:rPr>
                <w:spacing w:val="-2"/>
                <w:lang w:val="en-GB"/>
              </w:rPr>
              <w:t xml:space="preserve"> increased </w:t>
            </w:r>
            <w:proofErr w:type="gramStart"/>
            <w:r>
              <w:rPr>
                <w:spacing w:val="-2"/>
                <w:lang w:val="en-GB"/>
              </w:rPr>
              <w:t xml:space="preserve">by </w:t>
            </w:r>
            <w:r w:rsidR="009B0676" w:rsidRPr="00CB158C">
              <w:rPr>
                <w:spacing w:val="-2"/>
                <w:lang w:val="en-GB"/>
              </w:rPr>
              <w:t>0</w:t>
            </w:r>
            <w:r>
              <w:rPr>
                <w:spacing w:val="-2"/>
                <w:lang w:val="en-GB"/>
              </w:rPr>
              <w:t>.5</w:t>
            </w:r>
            <w:r w:rsidR="009B0676" w:rsidRPr="00CB158C">
              <w:rPr>
                <w:spacing w:val="-2"/>
                <w:lang w:val="en-GB"/>
              </w:rPr>
              <w:t>2</w:t>
            </w:r>
            <w:r w:rsidR="00937320" w:rsidRPr="00CB158C">
              <w:rPr>
                <w:spacing w:val="-2"/>
                <w:lang w:val="en-GB"/>
              </w:rPr>
              <w:t> </w:t>
            </w:r>
            <w:r w:rsidR="0030607B">
              <w:rPr>
                <w:spacing w:val="-2"/>
                <w:lang w:val="en-GB"/>
              </w:rPr>
              <w:t>p.p</w:t>
            </w:r>
            <w:proofErr w:type="gramEnd"/>
            <w:r w:rsidR="0030607B">
              <w:rPr>
                <w:spacing w:val="-2"/>
                <w:lang w:val="en-GB"/>
              </w:rPr>
              <w:t>.</w:t>
            </w:r>
            <w:r w:rsidR="009B0676" w:rsidRPr="00CB158C">
              <w:rPr>
                <w:spacing w:val="-2"/>
                <w:lang w:val="en-GB"/>
              </w:rPr>
              <w:t xml:space="preserve"> </w:t>
            </w:r>
            <w:r>
              <w:rPr>
                <w:spacing w:val="-2"/>
                <w:lang w:val="en-GB"/>
              </w:rPr>
              <w:t xml:space="preserve">The December value of </w:t>
            </w:r>
            <w:r w:rsidR="009B0676" w:rsidRPr="00CB158C">
              <w:rPr>
                <w:spacing w:val="-2"/>
                <w:lang w:val="en-GB"/>
              </w:rPr>
              <w:t>0</w:t>
            </w:r>
            <w:r>
              <w:rPr>
                <w:spacing w:val="-2"/>
                <w:lang w:val="en-GB"/>
              </w:rPr>
              <w:t>.</w:t>
            </w:r>
            <w:r w:rsidR="009B0676" w:rsidRPr="00CB158C">
              <w:rPr>
                <w:spacing w:val="-2"/>
                <w:lang w:val="en-GB"/>
              </w:rPr>
              <w:t xml:space="preserve">96% </w:t>
            </w:r>
            <w:r>
              <w:rPr>
                <w:spacing w:val="-2"/>
                <w:lang w:val="en-GB"/>
              </w:rPr>
              <w:t xml:space="preserve">was the highest since October </w:t>
            </w:r>
            <w:r w:rsidR="009B0676" w:rsidRPr="00CB158C">
              <w:rPr>
                <w:spacing w:val="-2"/>
                <w:lang w:val="en-GB"/>
              </w:rPr>
              <w:t xml:space="preserve">2010. </w:t>
            </w:r>
            <w:r>
              <w:rPr>
                <w:spacing w:val="-2"/>
                <w:lang w:val="en-GB"/>
              </w:rPr>
              <w:t xml:space="preserve">The yields of the government bonds went also up.  Bonds with the maturity </w:t>
            </w:r>
            <w:r w:rsidR="00FE2F3B">
              <w:rPr>
                <w:spacing w:val="-2"/>
                <w:lang w:val="en-GB"/>
              </w:rPr>
              <w:t xml:space="preserve">of </w:t>
            </w:r>
            <w:r>
              <w:rPr>
                <w:spacing w:val="-2"/>
                <w:lang w:val="en-GB"/>
              </w:rPr>
              <w:t xml:space="preserve">two years reached the record minimum of the yield with the value of </w:t>
            </w:r>
            <w:r w:rsidR="007E34F7" w:rsidRPr="00CB158C">
              <w:rPr>
                <w:spacing w:val="-2"/>
                <w:lang w:val="en-GB"/>
              </w:rPr>
              <w:t>-</w:t>
            </w:r>
            <w:r w:rsidR="009B0676" w:rsidRPr="00CB158C">
              <w:rPr>
                <w:spacing w:val="-2"/>
                <w:lang w:val="en-GB"/>
              </w:rPr>
              <w:t>0,88%</w:t>
            </w:r>
            <w:r>
              <w:rPr>
                <w:spacing w:val="-2"/>
                <w:lang w:val="en-GB"/>
              </w:rPr>
              <w:t xml:space="preserve"> in January, but they kept above zero already in Q</w:t>
            </w:r>
            <w:r w:rsidR="009B0676" w:rsidRPr="00CB158C">
              <w:rPr>
                <w:spacing w:val="-2"/>
                <w:lang w:val="en-GB"/>
              </w:rPr>
              <w:t>4</w:t>
            </w:r>
            <w:r>
              <w:rPr>
                <w:spacing w:val="-2"/>
                <w:lang w:val="en-GB"/>
              </w:rPr>
              <w:t xml:space="preserve"> </w:t>
            </w:r>
            <w:r w:rsidR="009B0676" w:rsidRPr="00CB158C">
              <w:rPr>
                <w:spacing w:val="-2"/>
                <w:lang w:val="en-GB"/>
              </w:rPr>
              <w:t>(0</w:t>
            </w:r>
            <w:r>
              <w:rPr>
                <w:spacing w:val="-2"/>
                <w:lang w:val="en-GB"/>
              </w:rPr>
              <w:t>.</w:t>
            </w:r>
            <w:r w:rsidR="009B0676" w:rsidRPr="00CB158C">
              <w:rPr>
                <w:spacing w:val="-2"/>
                <w:lang w:val="en-GB"/>
              </w:rPr>
              <w:t xml:space="preserve">12% </w:t>
            </w:r>
            <w:r>
              <w:rPr>
                <w:spacing w:val="-2"/>
                <w:lang w:val="en-GB"/>
              </w:rPr>
              <w:t xml:space="preserve">in October, </w:t>
            </w:r>
            <w:r w:rsidR="009B0676" w:rsidRPr="00CB158C">
              <w:rPr>
                <w:spacing w:val="-2"/>
                <w:lang w:val="en-GB"/>
              </w:rPr>
              <w:t>0</w:t>
            </w:r>
            <w:r>
              <w:rPr>
                <w:spacing w:val="-2"/>
                <w:lang w:val="en-GB"/>
              </w:rPr>
              <w:t>.</w:t>
            </w:r>
            <w:r w:rsidR="009B0676" w:rsidRPr="00CB158C">
              <w:rPr>
                <w:spacing w:val="-2"/>
                <w:lang w:val="en-GB"/>
              </w:rPr>
              <w:t xml:space="preserve">31% </w:t>
            </w:r>
            <w:r>
              <w:rPr>
                <w:spacing w:val="-2"/>
                <w:lang w:val="en-GB"/>
              </w:rPr>
              <w:t>in November</w:t>
            </w:r>
            <w:r w:rsidR="009B0676" w:rsidRPr="00CB158C">
              <w:rPr>
                <w:spacing w:val="-2"/>
                <w:lang w:val="en-GB"/>
              </w:rPr>
              <w:t>, 0</w:t>
            </w:r>
            <w:r>
              <w:rPr>
                <w:spacing w:val="-2"/>
                <w:lang w:val="en-GB"/>
              </w:rPr>
              <w:t>.</w:t>
            </w:r>
            <w:r w:rsidR="009B0676" w:rsidRPr="00CB158C">
              <w:rPr>
                <w:spacing w:val="-2"/>
                <w:lang w:val="en-GB"/>
              </w:rPr>
              <w:t xml:space="preserve">19% </w:t>
            </w:r>
            <w:r>
              <w:rPr>
                <w:spacing w:val="-2"/>
                <w:lang w:val="en-GB"/>
              </w:rPr>
              <w:t>in December</w:t>
            </w:r>
            <w:r w:rsidR="009B0676" w:rsidRPr="00CB158C">
              <w:rPr>
                <w:spacing w:val="-2"/>
                <w:lang w:val="en-GB"/>
              </w:rPr>
              <w:t xml:space="preserve">). </w:t>
            </w:r>
            <w:r w:rsidR="00146FE4">
              <w:rPr>
                <w:spacing w:val="-2"/>
                <w:lang w:val="en-GB"/>
              </w:rPr>
              <w:t xml:space="preserve">The yields of the </w:t>
            </w:r>
            <w:r w:rsidR="00654E14">
              <w:rPr>
                <w:spacing w:val="-2"/>
                <w:lang w:val="en-GB"/>
              </w:rPr>
              <w:t>short-term</w:t>
            </w:r>
            <w:r w:rsidR="00146FE4">
              <w:rPr>
                <w:spacing w:val="-2"/>
                <w:lang w:val="en-GB"/>
              </w:rPr>
              <w:t xml:space="preserve"> bonds thus remained in the negative numbers since August 2015 till September 2017. Yields </w:t>
            </w:r>
            <w:r w:rsidR="00891251">
              <w:rPr>
                <w:spacing w:val="-2"/>
                <w:lang w:val="en-GB"/>
              </w:rPr>
              <w:t>of bonds</w:t>
            </w:r>
            <w:r w:rsidR="00146FE4">
              <w:rPr>
                <w:spacing w:val="-2"/>
                <w:lang w:val="en-GB"/>
              </w:rPr>
              <w:t xml:space="preserve"> with the maturity of 5 </w:t>
            </w:r>
            <w:r w:rsidR="00891251">
              <w:rPr>
                <w:spacing w:val="-2"/>
                <w:lang w:val="en-GB"/>
              </w:rPr>
              <w:t>years</w:t>
            </w:r>
            <w:r w:rsidR="00146FE4">
              <w:rPr>
                <w:spacing w:val="-2"/>
                <w:lang w:val="en-GB"/>
              </w:rPr>
              <w:t xml:space="preserve"> increased from</w:t>
            </w:r>
            <w:r w:rsidR="007E34F7" w:rsidRPr="00CB158C">
              <w:rPr>
                <w:spacing w:val="-2"/>
                <w:lang w:val="en-GB"/>
              </w:rPr>
              <w:t> -</w:t>
            </w:r>
            <w:r w:rsidR="009B0676" w:rsidRPr="00CB158C">
              <w:rPr>
                <w:spacing w:val="-2"/>
                <w:lang w:val="en-GB"/>
              </w:rPr>
              <w:t>0</w:t>
            </w:r>
            <w:r w:rsidR="00891251">
              <w:rPr>
                <w:spacing w:val="-2"/>
                <w:lang w:val="en-GB"/>
              </w:rPr>
              <w:t>.</w:t>
            </w:r>
            <w:r w:rsidR="009B0676" w:rsidRPr="00CB158C">
              <w:rPr>
                <w:spacing w:val="-2"/>
                <w:lang w:val="en-GB"/>
              </w:rPr>
              <w:t xml:space="preserve">22% </w:t>
            </w:r>
            <w:r w:rsidR="00891251">
              <w:rPr>
                <w:spacing w:val="-2"/>
                <w:lang w:val="en-GB"/>
              </w:rPr>
              <w:t xml:space="preserve">to </w:t>
            </w:r>
            <w:r w:rsidR="009B0676" w:rsidRPr="00CB158C">
              <w:rPr>
                <w:spacing w:val="-2"/>
                <w:lang w:val="en-GB"/>
              </w:rPr>
              <w:t>0</w:t>
            </w:r>
            <w:r w:rsidR="00891251">
              <w:rPr>
                <w:spacing w:val="-2"/>
                <w:lang w:val="en-GB"/>
              </w:rPr>
              <w:t>.</w:t>
            </w:r>
            <w:r w:rsidR="009B0676" w:rsidRPr="00CB158C">
              <w:rPr>
                <w:spacing w:val="-2"/>
                <w:lang w:val="en-GB"/>
              </w:rPr>
              <w:t>6</w:t>
            </w:r>
            <w:r w:rsidR="00891251">
              <w:rPr>
                <w:spacing w:val="-2"/>
                <w:lang w:val="en-GB"/>
              </w:rPr>
              <w:t>8</w:t>
            </w:r>
            <w:r w:rsidR="009B0676" w:rsidRPr="00CB158C">
              <w:rPr>
                <w:spacing w:val="-2"/>
                <w:lang w:val="en-GB"/>
              </w:rPr>
              <w:t xml:space="preserve">% </w:t>
            </w:r>
            <w:r w:rsidR="00891251">
              <w:rPr>
                <w:spacing w:val="-2"/>
                <w:lang w:val="en-GB"/>
              </w:rPr>
              <w:t xml:space="preserve">from January till December 2017 </w:t>
            </w:r>
            <w:r w:rsidR="009B0676" w:rsidRPr="00CB158C">
              <w:rPr>
                <w:spacing w:val="-2"/>
                <w:lang w:val="en-GB"/>
              </w:rPr>
              <w:t>(</w:t>
            </w:r>
            <w:r w:rsidR="00891251">
              <w:rPr>
                <w:spacing w:val="-2"/>
                <w:lang w:val="en-GB"/>
              </w:rPr>
              <w:t xml:space="preserve">they reached a </w:t>
            </w:r>
            <w:r w:rsidR="009B0676" w:rsidRPr="00CB158C">
              <w:rPr>
                <w:spacing w:val="-2"/>
                <w:lang w:val="en-GB"/>
              </w:rPr>
              <w:t>maxim</w:t>
            </w:r>
            <w:r w:rsidR="00891251">
              <w:rPr>
                <w:spacing w:val="-2"/>
                <w:lang w:val="en-GB"/>
              </w:rPr>
              <w:t>um of 0.</w:t>
            </w:r>
            <w:r w:rsidR="009B0676" w:rsidRPr="00CB158C">
              <w:rPr>
                <w:spacing w:val="-2"/>
                <w:lang w:val="en-GB"/>
              </w:rPr>
              <w:t xml:space="preserve">87% </w:t>
            </w:r>
            <w:r w:rsidR="00891251">
              <w:rPr>
                <w:spacing w:val="-2"/>
                <w:lang w:val="en-GB"/>
              </w:rPr>
              <w:t>in November</w:t>
            </w:r>
            <w:r w:rsidR="009B0676" w:rsidRPr="00CB158C">
              <w:rPr>
                <w:spacing w:val="-2"/>
                <w:lang w:val="en-GB"/>
              </w:rPr>
              <w:t>).</w:t>
            </w:r>
            <w:r w:rsidR="00891251">
              <w:rPr>
                <w:spacing w:val="-2"/>
                <w:lang w:val="en-GB"/>
              </w:rPr>
              <w:t xml:space="preserve"> The growth of yields of the long-term bonds (maturity 10 years and more) commenced already in Q4 2016. The growth trend was confirmed in year 2017 and the yields improved </w:t>
            </w:r>
            <w:r w:rsidR="00654E14">
              <w:rPr>
                <w:spacing w:val="-2"/>
                <w:lang w:val="en-GB"/>
              </w:rPr>
              <w:t>from</w:t>
            </w:r>
            <w:r w:rsidR="00891251">
              <w:rPr>
                <w:spacing w:val="-2"/>
                <w:lang w:val="en-GB"/>
              </w:rPr>
              <w:t xml:space="preserve"> 0.47% in January to 1.50% in December.</w:t>
            </w:r>
          </w:p>
          <w:p w:rsidR="00891251" w:rsidRPr="00CB158C" w:rsidRDefault="00891251" w:rsidP="00891251">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891251" w:rsidRDefault="00891251" w:rsidP="006E4368">
            <w:pPr>
              <w:spacing w:line="240" w:lineRule="auto"/>
              <w:rPr>
                <w:color w:val="000000" w:themeColor="text1"/>
                <w:sz w:val="16"/>
                <w:szCs w:val="16"/>
                <w:lang w:val="en-GB"/>
              </w:rPr>
            </w:pPr>
            <w:r>
              <w:rPr>
                <w:color w:val="000000" w:themeColor="text1"/>
                <w:sz w:val="16"/>
                <w:szCs w:val="16"/>
                <w:lang w:val="en-GB"/>
              </w:rPr>
              <w:lastRenderedPageBreak/>
              <w:t>Interests on the current accounts still remain on nearly zero values. Rates on the consumer credits were falling, those on mortgages mildly rising.</w:t>
            </w:r>
          </w:p>
        </w:tc>
        <w:tc>
          <w:tcPr>
            <w:tcW w:w="144" w:type="pct"/>
          </w:tcPr>
          <w:p w:rsidR="009B0676" w:rsidRPr="00891251" w:rsidRDefault="009B0676" w:rsidP="006E4368">
            <w:pPr>
              <w:pStyle w:val="Textpoznpodarou"/>
              <w:jc w:val="both"/>
              <w:rPr>
                <w:highlight w:val="yellow"/>
                <w:lang w:val="en-GB"/>
              </w:rPr>
            </w:pPr>
          </w:p>
        </w:tc>
        <w:tc>
          <w:tcPr>
            <w:tcW w:w="3840" w:type="pct"/>
            <w:gridSpan w:val="2"/>
          </w:tcPr>
          <w:p w:rsidR="009B0676" w:rsidRPr="00891251" w:rsidRDefault="00891251" w:rsidP="006E4368">
            <w:pPr>
              <w:pStyle w:val="Textpoznpodarou"/>
              <w:jc w:val="both"/>
              <w:rPr>
                <w:sz w:val="16"/>
                <w:szCs w:val="16"/>
                <w:lang w:val="en-GB"/>
              </w:rPr>
            </w:pPr>
            <w:r>
              <w:rPr>
                <w:lang w:val="en-GB"/>
              </w:rPr>
              <w:t xml:space="preserve">Interest rates on deposits did not mirror neither the shifts in the monetary policy-relevant nor the interbank rates in 2017. Interests on the current accounts of households </w:t>
            </w:r>
            <w:r w:rsidR="009B0676" w:rsidRPr="00891251">
              <w:rPr>
                <w:lang w:val="en-GB"/>
              </w:rPr>
              <w:t>(0</w:t>
            </w:r>
            <w:r>
              <w:rPr>
                <w:lang w:val="en-GB"/>
              </w:rPr>
              <w:t>.</w:t>
            </w:r>
            <w:r w:rsidR="009B0676" w:rsidRPr="00891251">
              <w:rPr>
                <w:lang w:val="en-GB"/>
              </w:rPr>
              <w:t xml:space="preserve">04%) </w:t>
            </w:r>
            <w:r>
              <w:rPr>
                <w:lang w:val="en-GB"/>
              </w:rPr>
              <w:t xml:space="preserve">as well as non-financial businesses </w:t>
            </w:r>
            <w:r w:rsidR="009B0676" w:rsidRPr="00891251">
              <w:rPr>
                <w:lang w:val="en-GB"/>
              </w:rPr>
              <w:t>(0</w:t>
            </w:r>
            <w:r>
              <w:rPr>
                <w:lang w:val="en-GB"/>
              </w:rPr>
              <w:t>.</w:t>
            </w:r>
            <w:r w:rsidR="009B0676" w:rsidRPr="00891251">
              <w:rPr>
                <w:lang w:val="en-GB"/>
              </w:rPr>
              <w:t>02%)</w:t>
            </w:r>
            <w:r w:rsidR="00FE2F3B">
              <w:rPr>
                <w:lang w:val="en-GB"/>
              </w:rPr>
              <w:t xml:space="preserve"> </w:t>
            </w:r>
            <w:r>
              <w:rPr>
                <w:lang w:val="en-GB"/>
              </w:rPr>
              <w:t>remained at the practically zero level. Some shifts upwards were evident towards the end of the year on deposits with the agreed maturity for the non-financial businesses</w:t>
            </w:r>
            <w:r w:rsidR="009564B2">
              <w:rPr>
                <w:lang w:val="en-GB"/>
              </w:rPr>
              <w:t xml:space="preserve"> </w:t>
            </w:r>
            <w:r>
              <w:rPr>
                <w:lang w:val="en-GB"/>
              </w:rPr>
              <w:t xml:space="preserve">(they had nearly zero interest in Q1 to Q3). </w:t>
            </w:r>
            <w:r w:rsidR="009564B2">
              <w:rPr>
                <w:lang w:val="en-GB"/>
              </w:rPr>
              <w:t xml:space="preserve">The only type of deposit, whose interest copied the development of the main rates were the deposits with maturity between 1 and 2 years. Their interest increased from the April minimum of 0.42% to 1.12% in December. </w:t>
            </w:r>
            <w:r w:rsidR="006564FB">
              <w:rPr>
                <w:lang w:val="en-GB"/>
              </w:rPr>
              <w:t xml:space="preserve">The drop of interests on the consumer credit for households continued. Their interest fell below 10.0% in February, in December the average interest already moved at the level of 8.7%. </w:t>
            </w:r>
            <w:r w:rsidR="002244CE">
              <w:rPr>
                <w:lang w:val="en-GB"/>
              </w:rPr>
              <w:t>On the contrary, the interest rates o</w:t>
            </w:r>
            <w:r w:rsidR="00FE2F3B">
              <w:rPr>
                <w:lang w:val="en-GB"/>
              </w:rPr>
              <w:t>f</w:t>
            </w:r>
            <w:r w:rsidR="002244CE">
              <w:rPr>
                <w:lang w:val="en-GB"/>
              </w:rPr>
              <w:t xml:space="preserve"> mortgages gradually increased. Interest</w:t>
            </w:r>
            <w:r w:rsidR="00B20DF8">
              <w:rPr>
                <w:lang w:val="en-GB"/>
              </w:rPr>
              <w:t xml:space="preserve">s on fixed rate credits with terms between </w:t>
            </w:r>
            <w:r w:rsidR="00B20DF8" w:rsidRPr="006436E8">
              <w:rPr>
                <w:lang w:val="en-GB"/>
              </w:rPr>
              <w:t xml:space="preserve">1 </w:t>
            </w:r>
            <w:r w:rsidR="00B20DF8">
              <w:rPr>
                <w:lang w:val="en-GB"/>
              </w:rPr>
              <w:t xml:space="preserve">to 10 years grew the </w:t>
            </w:r>
            <w:r w:rsidR="00FE2F3B">
              <w:rPr>
                <w:lang w:val="en-GB"/>
              </w:rPr>
              <w:t xml:space="preserve">most </w:t>
            </w:r>
            <w:proofErr w:type="gramStart"/>
            <w:r w:rsidR="00B20DF8">
              <w:rPr>
                <w:lang w:val="en-GB"/>
              </w:rPr>
              <w:t xml:space="preserve">(by </w:t>
            </w:r>
            <w:r w:rsidR="009B0676" w:rsidRPr="00891251">
              <w:rPr>
                <w:lang w:val="en-GB"/>
              </w:rPr>
              <w:t>0</w:t>
            </w:r>
            <w:r w:rsidR="00B20DF8">
              <w:rPr>
                <w:lang w:val="en-GB"/>
              </w:rPr>
              <w:t>.</w:t>
            </w:r>
            <w:r w:rsidR="009B0676" w:rsidRPr="00891251">
              <w:rPr>
                <w:lang w:val="en-GB"/>
              </w:rPr>
              <w:t>29 </w:t>
            </w:r>
            <w:r w:rsidR="0030607B">
              <w:rPr>
                <w:lang w:val="en-GB"/>
              </w:rPr>
              <w:t>p.p.</w:t>
            </w:r>
            <w:r w:rsidR="009B0676" w:rsidRPr="00891251">
              <w:rPr>
                <w:lang w:val="en-GB"/>
              </w:rPr>
              <w:t>)</w:t>
            </w:r>
            <w:proofErr w:type="gramEnd"/>
            <w:r w:rsidR="009B0676" w:rsidRPr="00891251">
              <w:rPr>
                <w:lang w:val="en-GB"/>
              </w:rPr>
              <w:t xml:space="preserve">. </w:t>
            </w:r>
            <w:r w:rsidR="00B20DF8">
              <w:rPr>
                <w:lang w:val="en-GB"/>
              </w:rPr>
              <w:t xml:space="preserve">Rates for this type of mortgages are still however the lowest in comparison to the other fixed rates. </w:t>
            </w:r>
            <w:r w:rsidR="00013C75">
              <w:rPr>
                <w:lang w:val="en-GB"/>
              </w:rPr>
              <w:t xml:space="preserve">Interest rates on credit for the non-financial businesses did not change significantly during the year. A slight growth was apparent only in Q4. </w:t>
            </w:r>
          </w:p>
          <w:p w:rsidR="009B0676" w:rsidRPr="00891251" w:rsidRDefault="009B0676" w:rsidP="006E4368">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CC575E" w:rsidRDefault="00CC575E" w:rsidP="006E4368">
            <w:pPr>
              <w:spacing w:line="240" w:lineRule="auto"/>
              <w:rPr>
                <w:color w:val="000000" w:themeColor="text1"/>
                <w:sz w:val="16"/>
                <w:szCs w:val="16"/>
                <w:highlight w:val="yellow"/>
                <w:lang w:val="en-GB"/>
              </w:rPr>
            </w:pPr>
            <w:r>
              <w:rPr>
                <w:color w:val="000000" w:themeColor="text1"/>
                <w:sz w:val="16"/>
                <w:szCs w:val="16"/>
                <w:lang w:val="en-GB"/>
              </w:rPr>
              <w:t xml:space="preserve">Households took on debt for the reason of the purchase of real estate as well as consumption. Data regarding the number </w:t>
            </w:r>
            <w:r w:rsidR="00FE2F3B">
              <w:rPr>
                <w:color w:val="000000" w:themeColor="text1"/>
                <w:sz w:val="16"/>
                <w:szCs w:val="16"/>
                <w:lang w:val="en-GB"/>
              </w:rPr>
              <w:t xml:space="preserve">of </w:t>
            </w:r>
            <w:r>
              <w:rPr>
                <w:color w:val="000000" w:themeColor="text1"/>
                <w:sz w:val="16"/>
                <w:szCs w:val="16"/>
                <w:lang w:val="en-GB"/>
              </w:rPr>
              <w:t>new contracts however show stagnation.</w:t>
            </w:r>
            <w:r w:rsidR="009B0676" w:rsidRPr="00CC575E">
              <w:rPr>
                <w:color w:val="000000" w:themeColor="text1"/>
                <w:sz w:val="16"/>
                <w:szCs w:val="16"/>
                <w:lang w:val="en-GB"/>
              </w:rPr>
              <w:t xml:space="preserve"> </w:t>
            </w:r>
          </w:p>
        </w:tc>
        <w:tc>
          <w:tcPr>
            <w:tcW w:w="144" w:type="pct"/>
          </w:tcPr>
          <w:p w:rsidR="009B0676" w:rsidRPr="00CC575E" w:rsidRDefault="009B0676" w:rsidP="006E4368">
            <w:pPr>
              <w:pStyle w:val="Textpoznpodarou"/>
              <w:jc w:val="both"/>
              <w:rPr>
                <w:lang w:val="en-GB"/>
              </w:rPr>
            </w:pPr>
          </w:p>
        </w:tc>
        <w:tc>
          <w:tcPr>
            <w:tcW w:w="3840" w:type="pct"/>
            <w:gridSpan w:val="2"/>
          </w:tcPr>
          <w:p w:rsidR="009B0676" w:rsidRPr="00CC575E" w:rsidRDefault="00CC575E" w:rsidP="006E4368">
            <w:pPr>
              <w:pStyle w:val="Textpoznpodarou"/>
              <w:jc w:val="both"/>
              <w:rPr>
                <w:sz w:val="16"/>
                <w:szCs w:val="16"/>
                <w:lang w:val="en-GB"/>
              </w:rPr>
            </w:pPr>
            <w:r>
              <w:rPr>
                <w:lang w:val="en-GB"/>
              </w:rPr>
              <w:t xml:space="preserve">The volume of credit provided to households grew throughout the whole year 2017. It increased by 109.6 CZK bn for the 12 months </w:t>
            </w:r>
            <w:r w:rsidR="009B0676" w:rsidRPr="00CC575E">
              <w:rPr>
                <w:lang w:val="en-GB"/>
              </w:rPr>
              <w:t>(</w:t>
            </w:r>
            <w:r>
              <w:rPr>
                <w:lang w:val="en-GB"/>
              </w:rPr>
              <w:t>credit in CZK</w:t>
            </w:r>
            <w:r w:rsidR="00E47B32" w:rsidRPr="00CC575E">
              <w:rPr>
                <w:lang w:val="en-GB"/>
              </w:rPr>
              <w:t>;</w:t>
            </w:r>
            <w:r w:rsidR="009B0676" w:rsidRPr="00CC575E">
              <w:rPr>
                <w:lang w:val="en-GB"/>
              </w:rPr>
              <w:t xml:space="preserve"> </w:t>
            </w:r>
            <w:r>
              <w:rPr>
                <w:lang w:val="en-GB"/>
              </w:rPr>
              <w:t xml:space="preserve">credit in foreign currency is negligible for the Czech households) and the total volume of credit provided to households overtook 1.5 </w:t>
            </w:r>
            <w:r w:rsidR="006F0E00">
              <w:rPr>
                <w:lang w:val="en-GB"/>
              </w:rPr>
              <w:t>trillion in Q4</w:t>
            </w:r>
            <w:r w:rsidR="009B0676" w:rsidRPr="00CC575E">
              <w:rPr>
                <w:lang w:val="en-GB"/>
              </w:rPr>
              <w:t xml:space="preserve">. </w:t>
            </w:r>
            <w:r w:rsidR="0063030A">
              <w:rPr>
                <w:lang w:val="en-GB"/>
              </w:rPr>
              <w:t xml:space="preserve">Considerable increase manifested especially in the first half of the year </w:t>
            </w:r>
            <w:r w:rsidR="009B0676" w:rsidRPr="00CC575E">
              <w:rPr>
                <w:lang w:val="en-GB"/>
              </w:rPr>
              <w:t>(52</w:t>
            </w:r>
            <w:r w:rsidR="0063030A">
              <w:rPr>
                <w:lang w:val="en-GB"/>
              </w:rPr>
              <w:t>.</w:t>
            </w:r>
            <w:r w:rsidR="009B0676" w:rsidRPr="00CC575E">
              <w:rPr>
                <w:lang w:val="en-GB"/>
              </w:rPr>
              <w:t>9</w:t>
            </w:r>
            <w:r w:rsidR="00E47B32" w:rsidRPr="00CC575E">
              <w:rPr>
                <w:lang w:val="en-GB"/>
              </w:rPr>
              <w:t> </w:t>
            </w:r>
            <w:r w:rsidR="0063030A">
              <w:rPr>
                <w:lang w:val="en-GB"/>
              </w:rPr>
              <w:t>CZK bn</w:t>
            </w:r>
            <w:r w:rsidR="009B0676" w:rsidRPr="00CC575E">
              <w:rPr>
                <w:lang w:val="en-GB"/>
              </w:rPr>
              <w:t xml:space="preserve">), </w:t>
            </w:r>
            <w:r w:rsidR="0063030A">
              <w:rPr>
                <w:lang w:val="en-GB"/>
              </w:rPr>
              <w:t>H2 2017 lagged behind the same period of the previous year b</w:t>
            </w:r>
            <w:r w:rsidR="00FE2F3B">
              <w:rPr>
                <w:lang w:val="en-GB"/>
              </w:rPr>
              <w:t>y</w:t>
            </w:r>
            <w:r w:rsidR="0063030A">
              <w:rPr>
                <w:lang w:val="en-GB"/>
              </w:rPr>
              <w:t xml:space="preserve"> 2.8 bn.</w:t>
            </w:r>
            <w:r w:rsidR="009B0676" w:rsidRPr="00CC575E">
              <w:rPr>
                <w:lang w:val="en-GB"/>
              </w:rPr>
              <w:t xml:space="preserve"> </w:t>
            </w:r>
            <w:r w:rsidR="00E222BB">
              <w:rPr>
                <w:lang w:val="en-GB"/>
              </w:rPr>
              <w:t>The Czech households utilise the credit mostly for the reason of purchasing a real estate. The volume of mortgages provided increased by 91.5 bn last year</w:t>
            </w:r>
            <w:r w:rsidR="009B0676" w:rsidRPr="00CC575E">
              <w:rPr>
                <w:lang w:val="en-GB"/>
              </w:rPr>
              <w:t xml:space="preserve"> (</w:t>
            </w:r>
            <w:r w:rsidR="00E222BB">
              <w:rPr>
                <w:lang w:val="en-GB"/>
              </w:rPr>
              <w:t xml:space="preserve">by </w:t>
            </w:r>
            <w:r w:rsidR="009B0676" w:rsidRPr="00CC575E">
              <w:rPr>
                <w:lang w:val="en-GB"/>
              </w:rPr>
              <w:t>14</w:t>
            </w:r>
            <w:r w:rsidR="00E222BB">
              <w:rPr>
                <w:lang w:val="en-GB"/>
              </w:rPr>
              <w:t>.</w:t>
            </w:r>
            <w:r w:rsidR="009B0676" w:rsidRPr="00CC575E">
              <w:rPr>
                <w:lang w:val="en-GB"/>
              </w:rPr>
              <w:t>5</w:t>
            </w:r>
            <w:r w:rsidR="00E47B32" w:rsidRPr="00CC575E">
              <w:rPr>
                <w:lang w:val="en-GB"/>
              </w:rPr>
              <w:t> </w:t>
            </w:r>
            <w:r w:rsidR="00E222BB">
              <w:rPr>
                <w:lang w:val="en-GB"/>
              </w:rPr>
              <w:t>bn more than in year 2016</w:t>
            </w:r>
            <w:r w:rsidR="009B0676" w:rsidRPr="00CC575E">
              <w:rPr>
                <w:lang w:val="en-GB"/>
              </w:rPr>
              <w:t>) a</w:t>
            </w:r>
            <w:r w:rsidR="00E222BB">
              <w:rPr>
                <w:lang w:val="en-GB"/>
              </w:rPr>
              <w:t xml:space="preserve">nd it reached </w:t>
            </w:r>
            <w:r w:rsidR="009B0676" w:rsidRPr="00CC575E">
              <w:rPr>
                <w:lang w:val="en-GB"/>
              </w:rPr>
              <w:t>1</w:t>
            </w:r>
            <w:r w:rsidR="00E222BB">
              <w:rPr>
                <w:lang w:val="en-GB"/>
              </w:rPr>
              <w:t> </w:t>
            </w:r>
            <w:r w:rsidR="009B0676" w:rsidRPr="00CC575E">
              <w:rPr>
                <w:lang w:val="en-GB"/>
              </w:rPr>
              <w:t>035</w:t>
            </w:r>
            <w:r w:rsidR="00E222BB">
              <w:rPr>
                <w:lang w:val="en-GB"/>
              </w:rPr>
              <w:t>.</w:t>
            </w:r>
            <w:r w:rsidR="009B0676" w:rsidRPr="00CC575E">
              <w:rPr>
                <w:lang w:val="en-GB"/>
              </w:rPr>
              <w:t>2</w:t>
            </w:r>
            <w:r w:rsidR="00E47B32" w:rsidRPr="00CC575E">
              <w:rPr>
                <w:lang w:val="en-GB"/>
              </w:rPr>
              <w:t> </w:t>
            </w:r>
            <w:r w:rsidR="00E222BB">
              <w:rPr>
                <w:lang w:val="en-GB"/>
              </w:rPr>
              <w:t>CZK bn as of 31.</w:t>
            </w:r>
            <w:r w:rsidR="00283720">
              <w:rPr>
                <w:lang w:val="en-GB"/>
              </w:rPr>
              <w:t xml:space="preserve"> </w:t>
            </w:r>
            <w:r w:rsidR="00E222BB">
              <w:rPr>
                <w:lang w:val="en-GB"/>
              </w:rPr>
              <w:t>12. Data related to the number of new contracts to mortgages (available only as of 30.</w:t>
            </w:r>
            <w:r w:rsidR="00283720">
              <w:rPr>
                <w:lang w:val="en-GB"/>
              </w:rPr>
              <w:t xml:space="preserve"> </w:t>
            </w:r>
            <w:r w:rsidR="00E222BB">
              <w:rPr>
                <w:lang w:val="en-GB"/>
              </w:rPr>
              <w:t xml:space="preserve">9.) </w:t>
            </w:r>
            <w:proofErr w:type="gramStart"/>
            <w:r w:rsidR="00E222BB">
              <w:rPr>
                <w:lang w:val="en-GB"/>
              </w:rPr>
              <w:t>nevertheless</w:t>
            </w:r>
            <w:proofErr w:type="gramEnd"/>
            <w:r w:rsidR="00E222BB">
              <w:rPr>
                <w:lang w:val="en-GB"/>
              </w:rPr>
              <w:t xml:space="preserve"> show, that while the volume of credit grew, the number of new contracts fell year-on-year in both Q2 and Q3. Q4 2016 can be seen as the peak, when 60.0 thousand new contracts were signed (year-on-year increase by 12.5 thousand, number grew year-on-year also in Q1 2017</w:t>
            </w:r>
            <w:r w:rsidR="009B0676" w:rsidRPr="00CC575E">
              <w:rPr>
                <w:lang w:val="en-GB"/>
              </w:rPr>
              <w:t xml:space="preserve">). </w:t>
            </w:r>
            <w:r w:rsidR="00E222BB">
              <w:rPr>
                <w:lang w:val="en-GB"/>
              </w:rPr>
              <w:t xml:space="preserve">The reason of this development could be the expected tightening of the conditions for the provision of mortgages as well as the sharp increase of the prices of real estate. The volume of consumption credit increased by 13.1 CZK bn last year </w:t>
            </w:r>
            <w:r w:rsidR="009B0676" w:rsidRPr="00CC575E">
              <w:rPr>
                <w:lang w:val="en-GB"/>
              </w:rPr>
              <w:t>(</w:t>
            </w:r>
            <w:r w:rsidR="00E222BB">
              <w:rPr>
                <w:lang w:val="en-GB"/>
              </w:rPr>
              <w:t xml:space="preserve">by </w:t>
            </w:r>
            <w:r w:rsidR="009B0676" w:rsidRPr="00CC575E">
              <w:rPr>
                <w:lang w:val="en-GB"/>
              </w:rPr>
              <w:t>1</w:t>
            </w:r>
            <w:r w:rsidR="00E222BB">
              <w:rPr>
                <w:lang w:val="en-GB"/>
              </w:rPr>
              <w:t>.</w:t>
            </w:r>
            <w:r w:rsidR="009B0676" w:rsidRPr="00CC575E">
              <w:rPr>
                <w:lang w:val="en-GB"/>
              </w:rPr>
              <w:t>6</w:t>
            </w:r>
            <w:r w:rsidR="00E222BB">
              <w:rPr>
                <w:lang w:val="en-GB"/>
              </w:rPr>
              <w:t xml:space="preserve">bn less than in </w:t>
            </w:r>
            <w:r w:rsidR="009B0676" w:rsidRPr="00CC575E">
              <w:rPr>
                <w:lang w:val="en-GB"/>
              </w:rPr>
              <w:t>2016) a</w:t>
            </w:r>
            <w:r w:rsidR="00D14AFA">
              <w:rPr>
                <w:lang w:val="en-GB"/>
              </w:rPr>
              <w:t xml:space="preserve">nd it arrived at 198.5 CZK bn as of </w:t>
            </w:r>
            <w:r w:rsidR="009B0676" w:rsidRPr="00CC575E">
              <w:rPr>
                <w:lang w:val="en-GB"/>
              </w:rPr>
              <w:t>31.</w:t>
            </w:r>
            <w:r w:rsidR="00E47B32" w:rsidRPr="00CC575E">
              <w:rPr>
                <w:lang w:val="en-GB"/>
              </w:rPr>
              <w:t> </w:t>
            </w:r>
            <w:r w:rsidR="009B0676" w:rsidRPr="00CC575E">
              <w:rPr>
                <w:lang w:val="en-GB"/>
              </w:rPr>
              <w:t>12.</w:t>
            </w:r>
            <w:r w:rsidR="00D14AFA">
              <w:rPr>
                <w:lang w:val="en-GB"/>
              </w:rPr>
              <w:t xml:space="preserve"> </w:t>
            </w:r>
            <w:r w:rsidR="006873E5">
              <w:rPr>
                <w:lang w:val="en-GB"/>
              </w:rPr>
              <w:t>Total</w:t>
            </w:r>
            <w:r w:rsidR="00D14AFA">
              <w:rPr>
                <w:lang w:val="en-GB"/>
              </w:rPr>
              <w:t xml:space="preserve"> indebtedness of </w:t>
            </w:r>
            <w:r w:rsidR="006873E5">
              <w:rPr>
                <w:lang w:val="en-GB"/>
              </w:rPr>
              <w:t>households</w:t>
            </w:r>
            <w:r w:rsidR="00D14AFA">
              <w:rPr>
                <w:lang w:val="en-GB"/>
              </w:rPr>
              <w:t xml:space="preserve"> was </w:t>
            </w:r>
            <w:r w:rsidR="009B0676" w:rsidRPr="00CC575E">
              <w:rPr>
                <w:lang w:val="en-GB"/>
              </w:rPr>
              <w:t>1</w:t>
            </w:r>
            <w:r w:rsidR="00F243F6">
              <w:rPr>
                <w:lang w:val="en-GB"/>
              </w:rPr>
              <w:t> </w:t>
            </w:r>
            <w:r w:rsidR="009B0676" w:rsidRPr="00CC575E">
              <w:rPr>
                <w:lang w:val="en-GB"/>
              </w:rPr>
              <w:t>595</w:t>
            </w:r>
            <w:r w:rsidR="00F243F6">
              <w:rPr>
                <w:lang w:val="en-GB"/>
              </w:rPr>
              <w:t>.</w:t>
            </w:r>
            <w:r w:rsidR="009B0676" w:rsidRPr="00CC575E">
              <w:rPr>
                <w:lang w:val="en-GB"/>
              </w:rPr>
              <w:t>8</w:t>
            </w:r>
            <w:r w:rsidR="00E47B32" w:rsidRPr="00CC575E">
              <w:rPr>
                <w:lang w:val="en-GB"/>
              </w:rPr>
              <w:t> </w:t>
            </w:r>
            <w:r w:rsidR="00F243F6">
              <w:rPr>
                <w:lang w:val="en-GB"/>
              </w:rPr>
              <w:t xml:space="preserve">CZK </w:t>
            </w:r>
            <w:r w:rsidR="006873E5">
              <w:rPr>
                <w:lang w:val="en-GB"/>
              </w:rPr>
              <w:t xml:space="preserve">bn as </w:t>
            </w:r>
            <w:r w:rsidR="00D14AFA">
              <w:rPr>
                <w:lang w:val="en-GB"/>
              </w:rPr>
              <w:t>of 31.</w:t>
            </w:r>
            <w:r w:rsidR="00283720">
              <w:rPr>
                <w:lang w:val="en-GB"/>
              </w:rPr>
              <w:t xml:space="preserve"> </w:t>
            </w:r>
            <w:r w:rsidR="00D14AFA">
              <w:rPr>
                <w:lang w:val="en-GB"/>
              </w:rPr>
              <w:t xml:space="preserve">12. Debts connected to housing participated from </w:t>
            </w:r>
            <w:r w:rsidR="009B0676" w:rsidRPr="00CC575E">
              <w:rPr>
                <w:lang w:val="en-GB"/>
              </w:rPr>
              <w:t>72</w:t>
            </w:r>
            <w:r w:rsidR="00D14AFA">
              <w:rPr>
                <w:lang w:val="en-GB"/>
              </w:rPr>
              <w:t>.</w:t>
            </w:r>
            <w:r w:rsidR="009B0676" w:rsidRPr="00CC575E">
              <w:rPr>
                <w:lang w:val="en-GB"/>
              </w:rPr>
              <w:t>2%.</w:t>
            </w:r>
          </w:p>
          <w:p w:rsidR="009B0676" w:rsidRPr="00CC575E" w:rsidRDefault="009B0676" w:rsidP="006E4368">
            <w:pPr>
              <w:pStyle w:val="Textpoznpodarou"/>
              <w:jc w:val="both"/>
              <w:rPr>
                <w:sz w:val="16"/>
                <w:szCs w:val="16"/>
                <w:lang w:val="en-GB"/>
              </w:rPr>
            </w:pPr>
          </w:p>
        </w:tc>
      </w:tr>
      <w:tr w:rsidR="009B0676" w:rsidRPr="00A74192" w:rsidTr="009B0676">
        <w:trPr>
          <w:trHeight w:val="145"/>
        </w:trPr>
        <w:tc>
          <w:tcPr>
            <w:tcW w:w="1016" w:type="pct"/>
            <w:shd w:val="clear" w:color="auto" w:fill="auto"/>
          </w:tcPr>
          <w:p w:rsidR="009B0676" w:rsidRPr="00364EAD" w:rsidRDefault="00364EAD" w:rsidP="006E4368">
            <w:pPr>
              <w:spacing w:line="240" w:lineRule="auto"/>
              <w:rPr>
                <w:color w:val="000000" w:themeColor="text1"/>
                <w:sz w:val="16"/>
                <w:szCs w:val="16"/>
                <w:lang w:val="en-GB"/>
              </w:rPr>
            </w:pPr>
            <w:r>
              <w:rPr>
                <w:color w:val="000000" w:themeColor="text1"/>
                <w:sz w:val="16"/>
                <w:szCs w:val="16"/>
                <w:lang w:val="en-GB"/>
              </w:rPr>
              <w:t>Credit in foreign currency affected the most the financial and insurance activities last year. In recent years however, they play important role also for the non-financial businesses.</w:t>
            </w:r>
          </w:p>
        </w:tc>
        <w:tc>
          <w:tcPr>
            <w:tcW w:w="144" w:type="pct"/>
          </w:tcPr>
          <w:p w:rsidR="009B0676" w:rsidRPr="00364EAD" w:rsidRDefault="009B0676" w:rsidP="006E4368">
            <w:pPr>
              <w:pStyle w:val="Textpoznpodarou"/>
              <w:jc w:val="both"/>
              <w:rPr>
                <w:lang w:val="en-GB"/>
              </w:rPr>
            </w:pPr>
          </w:p>
        </w:tc>
        <w:tc>
          <w:tcPr>
            <w:tcW w:w="3840" w:type="pct"/>
            <w:gridSpan w:val="2"/>
          </w:tcPr>
          <w:p w:rsidR="009B0676" w:rsidRDefault="00364EAD" w:rsidP="00711398">
            <w:pPr>
              <w:pStyle w:val="Textpoznpodarou"/>
              <w:jc w:val="both"/>
              <w:rPr>
                <w:lang w:val="en-GB"/>
              </w:rPr>
            </w:pPr>
            <w:r>
              <w:rPr>
                <w:lang w:val="en-GB"/>
              </w:rPr>
              <w:t xml:space="preserve">The volume of credit and liabilities for the non-financial businesses increased by 45.9 CZK bn for year 2017. The largest share </w:t>
            </w:r>
            <w:r w:rsidR="009B0676" w:rsidRPr="00364EAD">
              <w:rPr>
                <w:lang w:val="en-GB"/>
              </w:rPr>
              <w:t>(55</w:t>
            </w:r>
            <w:r>
              <w:rPr>
                <w:lang w:val="en-GB"/>
              </w:rPr>
              <w:t>.</w:t>
            </w:r>
            <w:r w:rsidR="009B0676" w:rsidRPr="00364EAD">
              <w:rPr>
                <w:lang w:val="en-GB"/>
              </w:rPr>
              <w:t xml:space="preserve">8%) </w:t>
            </w:r>
            <w:r w:rsidR="0008376A">
              <w:rPr>
                <w:lang w:val="en-GB"/>
              </w:rPr>
              <w:t xml:space="preserve">had as of </w:t>
            </w:r>
            <w:r w:rsidR="009B0676" w:rsidRPr="00364EAD">
              <w:rPr>
                <w:lang w:val="en-GB"/>
              </w:rPr>
              <w:t>31.</w:t>
            </w:r>
            <w:r w:rsidR="00A614EB" w:rsidRPr="00364EAD">
              <w:rPr>
                <w:lang w:val="en-GB"/>
              </w:rPr>
              <w:t> </w:t>
            </w:r>
            <w:r w:rsidR="009B0676" w:rsidRPr="00364EAD">
              <w:rPr>
                <w:lang w:val="en-GB"/>
              </w:rPr>
              <w:t>12</w:t>
            </w:r>
            <w:r w:rsidR="00FE2F3B">
              <w:rPr>
                <w:lang w:val="en-GB"/>
              </w:rPr>
              <w:t xml:space="preserve">. </w:t>
            </w:r>
            <w:r w:rsidR="0008376A">
              <w:rPr>
                <w:lang w:val="en-GB"/>
              </w:rPr>
              <w:t>the long-term credit, whi</w:t>
            </w:r>
            <w:r w:rsidR="00654E14">
              <w:rPr>
                <w:lang w:val="en-GB"/>
              </w:rPr>
              <w:t>ch</w:t>
            </w:r>
            <w:r w:rsidR="0008376A">
              <w:rPr>
                <w:lang w:val="en-GB"/>
              </w:rPr>
              <w:t xml:space="preserve"> also expanded the most </w:t>
            </w:r>
            <w:r w:rsidR="009B0676" w:rsidRPr="00364EAD">
              <w:rPr>
                <w:lang w:val="en-GB"/>
              </w:rPr>
              <w:t>(</w:t>
            </w:r>
            <w:r w:rsidR="0008376A">
              <w:rPr>
                <w:lang w:val="en-GB"/>
              </w:rPr>
              <w:t xml:space="preserve">by </w:t>
            </w:r>
            <w:r w:rsidR="009B0676" w:rsidRPr="00364EAD">
              <w:rPr>
                <w:lang w:val="en-GB"/>
              </w:rPr>
              <w:t>20</w:t>
            </w:r>
            <w:r w:rsidR="0008376A">
              <w:rPr>
                <w:lang w:val="en-GB"/>
              </w:rPr>
              <w:t>.</w:t>
            </w:r>
            <w:r w:rsidR="009B0676" w:rsidRPr="00364EAD">
              <w:rPr>
                <w:lang w:val="en-GB"/>
              </w:rPr>
              <w:t xml:space="preserve">8 </w:t>
            </w:r>
            <w:r w:rsidR="0008376A">
              <w:rPr>
                <w:lang w:val="en-GB"/>
              </w:rPr>
              <w:t>CZK bn</w:t>
            </w:r>
            <w:r w:rsidR="009B0676" w:rsidRPr="00364EAD">
              <w:rPr>
                <w:lang w:val="en-GB"/>
              </w:rPr>
              <w:t xml:space="preserve">). </w:t>
            </w:r>
            <w:r w:rsidR="0008376A">
              <w:rPr>
                <w:lang w:val="en-GB"/>
              </w:rPr>
              <w:t xml:space="preserve">The volume of short term credit also however recorded a marked increase </w:t>
            </w:r>
            <w:r w:rsidR="009B0676" w:rsidRPr="00364EAD">
              <w:rPr>
                <w:lang w:val="en-GB"/>
              </w:rPr>
              <w:t>(</w:t>
            </w:r>
            <w:r w:rsidR="0008376A">
              <w:rPr>
                <w:lang w:val="en-GB"/>
              </w:rPr>
              <w:t xml:space="preserve">by </w:t>
            </w:r>
            <w:r w:rsidR="009B0676" w:rsidRPr="00364EAD">
              <w:rPr>
                <w:lang w:val="en-GB"/>
              </w:rPr>
              <w:t>17</w:t>
            </w:r>
            <w:r w:rsidR="0008376A">
              <w:rPr>
                <w:lang w:val="en-GB"/>
              </w:rPr>
              <w:t>.</w:t>
            </w:r>
            <w:r w:rsidR="009B0676" w:rsidRPr="00364EAD">
              <w:rPr>
                <w:lang w:val="en-GB"/>
              </w:rPr>
              <w:t xml:space="preserve">3 </w:t>
            </w:r>
            <w:r w:rsidR="0008376A">
              <w:rPr>
                <w:lang w:val="en-GB"/>
              </w:rPr>
              <w:t>bn</w:t>
            </w:r>
            <w:r w:rsidR="009B0676" w:rsidRPr="00364EAD">
              <w:rPr>
                <w:lang w:val="en-GB"/>
              </w:rPr>
              <w:t xml:space="preserve">.). </w:t>
            </w:r>
            <w:r w:rsidR="00864B5A">
              <w:rPr>
                <w:lang w:val="en-GB"/>
              </w:rPr>
              <w:t xml:space="preserve">Credit denominated in the foreign currency held an important role </w:t>
            </w:r>
            <w:r w:rsidR="009B0676" w:rsidRPr="00364EAD">
              <w:rPr>
                <w:lang w:val="en-GB"/>
              </w:rPr>
              <w:t>(</w:t>
            </w:r>
            <w:r w:rsidR="00864B5A">
              <w:rPr>
                <w:lang w:val="en-GB"/>
              </w:rPr>
              <w:t xml:space="preserve">they comprised 29.6% of the total volume of credit as of </w:t>
            </w:r>
            <w:r w:rsidR="009B0676" w:rsidRPr="00364EAD">
              <w:rPr>
                <w:lang w:val="en-GB"/>
              </w:rPr>
              <w:t>31.</w:t>
            </w:r>
            <w:r w:rsidR="00A614EB" w:rsidRPr="00364EAD">
              <w:rPr>
                <w:lang w:val="en-GB"/>
              </w:rPr>
              <w:t> </w:t>
            </w:r>
            <w:r w:rsidR="009B0676" w:rsidRPr="00364EAD">
              <w:rPr>
                <w:lang w:val="en-GB"/>
              </w:rPr>
              <w:t xml:space="preserve">12.), </w:t>
            </w:r>
            <w:r w:rsidR="00864B5A">
              <w:rPr>
                <w:lang w:val="en-GB"/>
              </w:rPr>
              <w:t xml:space="preserve">whose volume expressed in korunas affected the last year´s strengthening. Volume of credit and liabilities in the foreign currency thus increased by 35.1 CZK bn for Q1 </w:t>
            </w:r>
            <w:r w:rsidR="009B0676" w:rsidRPr="00364EAD">
              <w:rPr>
                <w:lang w:val="en-GB"/>
              </w:rPr>
              <w:t>(12</w:t>
            </w:r>
            <w:r w:rsidR="00864B5A">
              <w:rPr>
                <w:lang w:val="en-GB"/>
              </w:rPr>
              <w:t>.</w:t>
            </w:r>
            <w:r w:rsidR="009B0676" w:rsidRPr="00364EAD">
              <w:rPr>
                <w:lang w:val="en-GB"/>
              </w:rPr>
              <w:t>9%) a</w:t>
            </w:r>
            <w:r w:rsidR="00864B5A">
              <w:rPr>
                <w:lang w:val="en-GB"/>
              </w:rPr>
              <w:t xml:space="preserve">nd the </w:t>
            </w:r>
            <w:r w:rsidR="00E40844">
              <w:rPr>
                <w:lang w:val="en-GB"/>
              </w:rPr>
              <w:t>short-term</w:t>
            </w:r>
            <w:r w:rsidR="00864B5A">
              <w:rPr>
                <w:lang w:val="en-GB"/>
              </w:rPr>
              <w:t xml:space="preserve"> credit formed one half of this increase</w:t>
            </w:r>
            <w:r w:rsidR="009B0676" w:rsidRPr="00364EAD">
              <w:rPr>
                <w:lang w:val="en-GB"/>
              </w:rPr>
              <w:t xml:space="preserve">. </w:t>
            </w:r>
            <w:r w:rsidR="00E40844">
              <w:rPr>
                <w:lang w:val="en-GB"/>
              </w:rPr>
              <w:t xml:space="preserve">In the remaining quarters, a weakened interest for credit in currency was apparent (drop by 4.4 bn, in 2016 in the same period an increase by 34.9 bn). </w:t>
            </w:r>
            <w:r w:rsidR="009B0676" w:rsidRPr="00364EAD">
              <w:rPr>
                <w:lang w:val="en-GB"/>
              </w:rPr>
              <w:t xml:space="preserve"> </w:t>
            </w:r>
            <w:r w:rsidR="00E40844">
              <w:rPr>
                <w:lang w:val="en-GB"/>
              </w:rPr>
              <w:t xml:space="preserve">Credits in foreign </w:t>
            </w:r>
            <w:r w:rsidR="005A1FEE">
              <w:rPr>
                <w:lang w:val="en-GB"/>
              </w:rPr>
              <w:t>currency</w:t>
            </w:r>
            <w:r w:rsidR="00E40844">
              <w:rPr>
                <w:lang w:val="en-GB"/>
              </w:rPr>
              <w:t xml:space="preserve"> were reflected also in the view according to branches. Their major increase was apparent for financial and insurance activities in Q1 </w:t>
            </w:r>
            <w:r w:rsidR="009B0676" w:rsidRPr="00364EAD">
              <w:rPr>
                <w:lang w:val="en-GB"/>
              </w:rPr>
              <w:t>(</w:t>
            </w:r>
            <w:r w:rsidR="00E40844">
              <w:rPr>
                <w:lang w:val="en-GB"/>
              </w:rPr>
              <w:t xml:space="preserve">by </w:t>
            </w:r>
            <w:r w:rsidR="009B0676" w:rsidRPr="00364EAD">
              <w:rPr>
                <w:lang w:val="en-GB"/>
              </w:rPr>
              <w:t>39</w:t>
            </w:r>
            <w:r w:rsidR="00E40844">
              <w:rPr>
                <w:lang w:val="en-GB"/>
              </w:rPr>
              <w:t>.</w:t>
            </w:r>
            <w:r w:rsidR="009B0676" w:rsidRPr="00364EAD">
              <w:rPr>
                <w:lang w:val="en-GB"/>
              </w:rPr>
              <w:t>1</w:t>
            </w:r>
            <w:r w:rsidR="009B0676" w:rsidRPr="005A1FEE">
              <w:rPr>
                <w:lang w:val="en-GB"/>
              </w:rPr>
              <w:t>%, 40</w:t>
            </w:r>
            <w:r w:rsidR="00E40844" w:rsidRPr="005A1FEE">
              <w:rPr>
                <w:lang w:val="en-GB"/>
              </w:rPr>
              <w:t>.</w:t>
            </w:r>
            <w:r w:rsidR="009B0676" w:rsidRPr="005A1FEE">
              <w:rPr>
                <w:lang w:val="en-GB"/>
              </w:rPr>
              <w:t>0</w:t>
            </w:r>
            <w:r w:rsidR="00A614EB" w:rsidRPr="005A1FEE">
              <w:rPr>
                <w:lang w:val="en-GB"/>
              </w:rPr>
              <w:t> </w:t>
            </w:r>
            <w:r w:rsidR="00E40844" w:rsidRPr="005A1FEE">
              <w:rPr>
                <w:lang w:val="en-GB"/>
              </w:rPr>
              <w:t>CZK bn</w:t>
            </w:r>
            <w:r w:rsidR="009B0676" w:rsidRPr="005A1FEE">
              <w:rPr>
                <w:lang w:val="en-GB"/>
              </w:rPr>
              <w:t xml:space="preserve">), </w:t>
            </w:r>
            <w:r w:rsidR="00E40844" w:rsidRPr="005A1FEE">
              <w:rPr>
                <w:lang w:val="en-GB"/>
              </w:rPr>
              <w:t xml:space="preserve">fall of 51.9 bn occurred in Q4. </w:t>
            </w:r>
            <w:r w:rsidR="00E40844" w:rsidRPr="00D77E0D">
              <w:rPr>
                <w:lang w:val="en-GB"/>
              </w:rPr>
              <w:lastRenderedPageBreak/>
              <w:t xml:space="preserve">Less extreme, but similar </w:t>
            </w:r>
            <w:r w:rsidR="00D77E0D" w:rsidRPr="00D77E0D">
              <w:rPr>
                <w:lang w:val="en-GB"/>
              </w:rPr>
              <w:t>development</w:t>
            </w:r>
            <w:r w:rsidR="00E40844" w:rsidRPr="00D77E0D">
              <w:rPr>
                <w:lang w:val="en-GB"/>
              </w:rPr>
              <w:t xml:space="preserve"> of the volume of credit was also apparent for the real estate activities. </w:t>
            </w:r>
            <w:r w:rsidR="00D77E0D" w:rsidRPr="00D77E0D">
              <w:rPr>
                <w:lang w:val="en-GB"/>
              </w:rPr>
              <w:t xml:space="preserve">Manufacturing </w:t>
            </w:r>
            <w:r w:rsidR="00E40844" w:rsidRPr="00D77E0D">
              <w:rPr>
                <w:lang w:val="en-GB"/>
              </w:rPr>
              <w:t>also increase</w:t>
            </w:r>
            <w:r w:rsidR="00573A00" w:rsidRPr="00D77E0D">
              <w:rPr>
                <w:lang w:val="en-GB"/>
              </w:rPr>
              <w:t>d</w:t>
            </w:r>
            <w:r w:rsidR="00E40844" w:rsidRPr="00D77E0D">
              <w:rPr>
                <w:lang w:val="en-GB"/>
              </w:rPr>
              <w:t xml:space="preserve"> the proportion of credit in the </w:t>
            </w:r>
            <w:r w:rsidR="00D77E0D" w:rsidRPr="00D77E0D">
              <w:rPr>
                <w:lang w:val="en-GB"/>
              </w:rPr>
              <w:t>foreign</w:t>
            </w:r>
            <w:r w:rsidR="00E40844" w:rsidRPr="00D77E0D">
              <w:rPr>
                <w:lang w:val="en-GB"/>
              </w:rPr>
              <w:t xml:space="preserve"> </w:t>
            </w:r>
            <w:r w:rsidR="00D77E0D" w:rsidRPr="00D77E0D">
              <w:rPr>
                <w:lang w:val="en-GB"/>
              </w:rPr>
              <w:t>currency</w:t>
            </w:r>
            <w:r w:rsidR="009B0676" w:rsidRPr="00D77E0D">
              <w:rPr>
                <w:lang w:val="en-GB"/>
              </w:rPr>
              <w:t> </w:t>
            </w:r>
            <w:r w:rsidR="00573A00" w:rsidRPr="00D77E0D">
              <w:rPr>
                <w:lang w:val="en-GB"/>
              </w:rPr>
              <w:t>up to</w:t>
            </w:r>
            <w:r w:rsidR="009B0676" w:rsidRPr="00D77E0D">
              <w:rPr>
                <w:lang w:val="en-GB"/>
              </w:rPr>
              <w:t xml:space="preserve"> 50</w:t>
            </w:r>
            <w:r w:rsidR="00573A00" w:rsidRPr="00D77E0D">
              <w:rPr>
                <w:lang w:val="en-GB"/>
              </w:rPr>
              <w:t>.</w:t>
            </w:r>
            <w:r w:rsidR="009B0676" w:rsidRPr="00D77E0D">
              <w:rPr>
                <w:lang w:val="en-GB"/>
              </w:rPr>
              <w:t>4%</w:t>
            </w:r>
            <w:r w:rsidR="00573A00" w:rsidRPr="00D77E0D">
              <w:rPr>
                <w:lang w:val="en-GB"/>
              </w:rPr>
              <w:t xml:space="preserve"> at the beginning of the year</w:t>
            </w:r>
            <w:r w:rsidR="00D77E0D" w:rsidRPr="00D77E0D">
              <w:rPr>
                <w:lang w:val="en-GB"/>
              </w:rPr>
              <w:t xml:space="preserve"> towards the end of March </w:t>
            </w:r>
            <w:r w:rsidR="009B0676" w:rsidRPr="00D77E0D">
              <w:rPr>
                <w:lang w:val="en-GB"/>
              </w:rPr>
              <w:t>(</w:t>
            </w:r>
            <w:r w:rsidR="00D77E0D" w:rsidRPr="00D77E0D">
              <w:rPr>
                <w:lang w:val="en-GB"/>
              </w:rPr>
              <w:t xml:space="preserve">it was 46.8% at the end of year </w:t>
            </w:r>
            <w:r w:rsidR="009B0676" w:rsidRPr="00D77E0D">
              <w:rPr>
                <w:lang w:val="en-GB"/>
              </w:rPr>
              <w:t xml:space="preserve">2016). </w:t>
            </w:r>
            <w:r w:rsidR="008B4EEA">
              <w:rPr>
                <w:lang w:val="en-GB"/>
              </w:rPr>
              <w:t xml:space="preserve">For the rest of the year, the value in CZK was gradually sinking (given more by the appreciation of koruna). Total volume of credit in manufacturing grew equally throughout the </w:t>
            </w:r>
            <w:r w:rsidR="008B4EEA" w:rsidRPr="000F7C25">
              <w:rPr>
                <w:lang w:val="en-GB"/>
              </w:rPr>
              <w:t xml:space="preserve">year </w:t>
            </w:r>
            <w:r w:rsidR="009B0676" w:rsidRPr="000F7C25">
              <w:rPr>
                <w:lang w:val="en-GB"/>
              </w:rPr>
              <w:t>(</w:t>
            </w:r>
            <w:r w:rsidR="000F7C25">
              <w:rPr>
                <w:lang w:val="en-GB"/>
              </w:rPr>
              <w:t xml:space="preserve">average year-on-year pace of </w:t>
            </w:r>
            <w:r w:rsidR="009B0676" w:rsidRPr="000F7C25">
              <w:rPr>
                <w:lang w:val="en-GB"/>
              </w:rPr>
              <w:t>4</w:t>
            </w:r>
            <w:r w:rsidR="000F7C25">
              <w:rPr>
                <w:lang w:val="en-GB"/>
              </w:rPr>
              <w:t>.</w:t>
            </w:r>
            <w:r w:rsidR="009B0676" w:rsidRPr="000F7C25">
              <w:rPr>
                <w:lang w:val="en-GB"/>
              </w:rPr>
              <w:t xml:space="preserve">2%). </w:t>
            </w:r>
            <w:r w:rsidR="00085094" w:rsidRPr="000F7C25">
              <w:rPr>
                <w:lang w:val="en-GB"/>
              </w:rPr>
              <w:t>Transport and storage (+6.3 CZK bn, 15.</w:t>
            </w:r>
            <w:r w:rsidR="000F7C25">
              <w:rPr>
                <w:lang w:val="en-GB"/>
              </w:rPr>
              <w:t>2</w:t>
            </w:r>
            <w:r w:rsidR="00085094" w:rsidRPr="000F7C25">
              <w:rPr>
                <w:lang w:val="en-GB"/>
              </w:rPr>
              <w:t>%) f</w:t>
            </w:r>
            <w:r w:rsidR="00085094">
              <w:rPr>
                <w:lang w:val="en-GB"/>
              </w:rPr>
              <w:t>ollowed in the long-term strong growth of the credit financing in 2017, credit financing for accommodation, food service and restaurants (28.6%) also markedly increased. Volume of credit was falling for mining and quarrying for the whole year (by 9.6 CZK bn for the whole year, 46.2%).</w:t>
            </w:r>
            <w:r w:rsidR="009B0676" w:rsidRPr="00364EAD">
              <w:rPr>
                <w:lang w:val="en-GB"/>
              </w:rPr>
              <w:t xml:space="preserve">   </w:t>
            </w:r>
          </w:p>
          <w:p w:rsidR="005412E0" w:rsidRPr="00364EAD" w:rsidRDefault="005412E0" w:rsidP="00711398">
            <w:pPr>
              <w:pStyle w:val="Textpoznpodarou"/>
              <w:jc w:val="both"/>
              <w:rPr>
                <w:lang w:val="en-GB"/>
              </w:rPr>
            </w:pPr>
          </w:p>
        </w:tc>
      </w:tr>
    </w:tbl>
    <w:p w:rsidR="00BF7F08" w:rsidRPr="009821FE" w:rsidRDefault="00F853A5" w:rsidP="00CC212E">
      <w:pPr>
        <w:pStyle w:val="Nadpis1"/>
        <w:numPr>
          <w:ilvl w:val="0"/>
          <w:numId w:val="12"/>
        </w:numPr>
        <w:ind w:left="709"/>
        <w:jc w:val="both"/>
        <w:rPr>
          <w:lang w:val="en-GB"/>
        </w:rPr>
      </w:pPr>
      <w:bookmarkStart w:id="18" w:name="_Toc493683640"/>
      <w:r w:rsidRPr="009821FE">
        <w:rPr>
          <w:lang w:val="en-GB"/>
        </w:rPr>
        <w:lastRenderedPageBreak/>
        <w:t>St</w:t>
      </w:r>
      <w:r w:rsidR="008E5E90" w:rsidRPr="009821FE">
        <w:rPr>
          <w:lang w:val="en-GB"/>
        </w:rPr>
        <w:t>ate Budget</w:t>
      </w:r>
      <w:bookmarkEnd w:id="18"/>
    </w:p>
    <w:tbl>
      <w:tblPr>
        <w:tblW w:w="4995" w:type="pct"/>
        <w:tblInd w:w="108" w:type="dxa"/>
        <w:tblLayout w:type="fixed"/>
        <w:tblLook w:val="00A0"/>
      </w:tblPr>
      <w:tblGrid>
        <w:gridCol w:w="2000"/>
        <w:gridCol w:w="284"/>
        <w:gridCol w:w="7560"/>
      </w:tblGrid>
      <w:tr w:rsidR="005D7503" w:rsidRPr="009821FE" w:rsidTr="00CF0826">
        <w:trPr>
          <w:trHeight w:val="145"/>
        </w:trPr>
        <w:tc>
          <w:tcPr>
            <w:tcW w:w="1016" w:type="pct"/>
            <w:shd w:val="clear" w:color="auto" w:fill="auto"/>
          </w:tcPr>
          <w:p w:rsidR="005D7503" w:rsidRPr="009821FE" w:rsidRDefault="009821FE" w:rsidP="00CF0826">
            <w:pPr>
              <w:spacing w:line="240" w:lineRule="auto"/>
              <w:rPr>
                <w:rFonts w:cs="Arial"/>
                <w:color w:val="0D0D0D" w:themeColor="text1" w:themeTint="F2"/>
                <w:spacing w:val="-4"/>
                <w:sz w:val="16"/>
                <w:szCs w:val="16"/>
                <w:lang w:val="en-GB"/>
              </w:rPr>
            </w:pPr>
            <w:r>
              <w:rPr>
                <w:rFonts w:cs="Arial"/>
                <w:color w:val="0D0D0D" w:themeColor="text1" w:themeTint="F2"/>
                <w:spacing w:val="-4"/>
                <w:sz w:val="16"/>
                <w:szCs w:val="16"/>
                <w:lang w:val="en-GB"/>
              </w:rPr>
              <w:t>Expanding economic growth assisted the state budget to reach the second most favourable balance after year 1996.</w:t>
            </w:r>
            <w:r w:rsidR="005D7503" w:rsidRPr="009821FE">
              <w:rPr>
                <w:rFonts w:cs="Arial"/>
                <w:color w:val="0D0D0D" w:themeColor="text1" w:themeTint="F2"/>
                <w:spacing w:val="-4"/>
                <w:sz w:val="16"/>
                <w:szCs w:val="16"/>
                <w:lang w:val="en-GB"/>
              </w:rPr>
              <w:t xml:space="preserve"> </w:t>
            </w:r>
          </w:p>
        </w:tc>
        <w:tc>
          <w:tcPr>
            <w:tcW w:w="144" w:type="pct"/>
          </w:tcPr>
          <w:p w:rsidR="005D7503" w:rsidRPr="009821FE" w:rsidRDefault="005D7503" w:rsidP="00CF0826">
            <w:pPr>
              <w:pStyle w:val="Textpoznpodarou"/>
              <w:jc w:val="both"/>
              <w:rPr>
                <w:rFonts w:cs="Arial"/>
                <w:color w:val="0D0D0D" w:themeColor="text1" w:themeTint="F2"/>
                <w:lang w:val="en-GB"/>
              </w:rPr>
            </w:pPr>
          </w:p>
        </w:tc>
        <w:tc>
          <w:tcPr>
            <w:tcW w:w="3840" w:type="pct"/>
          </w:tcPr>
          <w:p w:rsidR="005D7503" w:rsidRDefault="007F2BF6" w:rsidP="007260C3">
            <w:pPr>
              <w:pStyle w:val="Textpoznpodarou"/>
              <w:jc w:val="both"/>
              <w:rPr>
                <w:rFonts w:cs="Arial"/>
                <w:color w:val="0D0D0D" w:themeColor="text1" w:themeTint="F2"/>
                <w:spacing w:val="-4"/>
                <w:lang w:val="en-GB"/>
              </w:rPr>
            </w:pPr>
            <w:r>
              <w:rPr>
                <w:rFonts w:cs="Arial"/>
                <w:color w:val="0D0D0D" w:themeColor="text1" w:themeTint="F2"/>
                <w:spacing w:val="-3"/>
                <w:lang w:val="en-GB"/>
              </w:rPr>
              <w:t>The state budget (SB)</w:t>
            </w:r>
            <w:r w:rsidRPr="009821FE">
              <w:rPr>
                <w:rStyle w:val="Znakapoznpodarou"/>
                <w:color w:val="0D0D0D" w:themeColor="text1" w:themeTint="F2"/>
                <w:spacing w:val="-4"/>
                <w:lang w:val="en-GB"/>
              </w:rPr>
              <w:footnoteReference w:id="36"/>
            </w:r>
            <w:r>
              <w:rPr>
                <w:rFonts w:cs="Arial"/>
                <w:color w:val="0D0D0D" w:themeColor="text1" w:themeTint="F2"/>
                <w:spacing w:val="-3"/>
                <w:lang w:val="en-GB"/>
              </w:rPr>
              <w:t xml:space="preserve"> ended in </w:t>
            </w:r>
            <w:r w:rsidR="005D7503" w:rsidRPr="009821FE">
              <w:rPr>
                <w:rFonts w:cs="Arial"/>
                <w:color w:val="0D0D0D" w:themeColor="text1" w:themeTint="F2"/>
                <w:spacing w:val="-3"/>
                <w:lang w:val="en-GB"/>
              </w:rPr>
              <w:t>2017</w:t>
            </w:r>
            <w:r>
              <w:rPr>
                <w:rFonts w:cs="Arial"/>
                <w:color w:val="0D0D0D" w:themeColor="text1" w:themeTint="F2"/>
                <w:spacing w:val="-3"/>
                <w:lang w:val="en-GB"/>
              </w:rPr>
              <w:t xml:space="preserve"> in mild deficit </w:t>
            </w:r>
            <w:r w:rsidR="005D7503" w:rsidRPr="009821FE">
              <w:rPr>
                <w:rFonts w:cs="Arial"/>
                <w:color w:val="0D0D0D" w:themeColor="text1" w:themeTint="F2"/>
                <w:spacing w:val="-4"/>
                <w:lang w:val="en-GB"/>
              </w:rPr>
              <w:t>(6</w:t>
            </w:r>
            <w:r>
              <w:rPr>
                <w:rFonts w:cs="Arial"/>
                <w:color w:val="0D0D0D" w:themeColor="text1" w:themeTint="F2"/>
                <w:spacing w:val="-4"/>
                <w:lang w:val="en-GB"/>
              </w:rPr>
              <w:t>.</w:t>
            </w:r>
            <w:r w:rsidR="005D7503" w:rsidRPr="009821FE">
              <w:rPr>
                <w:rFonts w:cs="Arial"/>
                <w:color w:val="0D0D0D" w:themeColor="text1" w:themeTint="F2"/>
                <w:spacing w:val="-4"/>
                <w:lang w:val="en-GB"/>
              </w:rPr>
              <w:t>2</w:t>
            </w:r>
            <w:r w:rsidR="000F7121" w:rsidRPr="009821FE">
              <w:rPr>
                <w:rFonts w:cs="Arial"/>
                <w:color w:val="0D0D0D" w:themeColor="text1" w:themeTint="F2"/>
                <w:spacing w:val="-4"/>
                <w:lang w:val="en-GB"/>
              </w:rPr>
              <w:t> </w:t>
            </w:r>
            <w:r>
              <w:rPr>
                <w:rFonts w:cs="Arial"/>
                <w:color w:val="0D0D0D" w:themeColor="text1" w:themeTint="F2"/>
                <w:spacing w:val="-4"/>
                <w:lang w:val="en-GB"/>
              </w:rPr>
              <w:t>CZK bn</w:t>
            </w:r>
            <w:r w:rsidR="005D7503" w:rsidRPr="009821FE">
              <w:rPr>
                <w:rFonts w:cs="Arial"/>
                <w:color w:val="0D0D0D" w:themeColor="text1" w:themeTint="F2"/>
                <w:spacing w:val="-4"/>
                <w:lang w:val="en-GB"/>
              </w:rPr>
              <w:t xml:space="preserve">). </w:t>
            </w:r>
            <w:r>
              <w:rPr>
                <w:rFonts w:cs="Arial"/>
                <w:color w:val="0D0D0D" w:themeColor="text1" w:themeTint="F2"/>
                <w:spacing w:val="-4"/>
                <w:lang w:val="en-GB"/>
              </w:rPr>
              <w:t xml:space="preserve">The favourable result from the preceding year </w:t>
            </w:r>
            <w:r w:rsidR="005D7503" w:rsidRPr="009821FE">
              <w:rPr>
                <w:rFonts w:cs="Arial"/>
                <w:color w:val="0D0D0D" w:themeColor="text1" w:themeTint="F2"/>
                <w:spacing w:val="-4"/>
                <w:lang w:val="en-GB"/>
              </w:rPr>
              <w:t>(+61</w:t>
            </w:r>
            <w:r>
              <w:rPr>
                <w:rFonts w:cs="Arial"/>
                <w:color w:val="0D0D0D" w:themeColor="text1" w:themeTint="F2"/>
                <w:spacing w:val="-4"/>
                <w:lang w:val="en-GB"/>
              </w:rPr>
              <w:t>.</w:t>
            </w:r>
            <w:r w:rsidR="005D7503" w:rsidRPr="009821FE">
              <w:rPr>
                <w:rFonts w:cs="Arial"/>
                <w:color w:val="0D0D0D" w:themeColor="text1" w:themeTint="F2"/>
                <w:spacing w:val="-4"/>
                <w:lang w:val="en-GB"/>
              </w:rPr>
              <w:t>8</w:t>
            </w:r>
            <w:r w:rsidR="006D07EC" w:rsidRPr="009821FE">
              <w:rPr>
                <w:rFonts w:cs="Arial"/>
                <w:color w:val="0D0D0D" w:themeColor="text1" w:themeTint="F2"/>
                <w:spacing w:val="-4"/>
                <w:lang w:val="en-GB"/>
              </w:rPr>
              <w:t> </w:t>
            </w:r>
            <w:r>
              <w:rPr>
                <w:rFonts w:cs="Arial"/>
                <w:color w:val="0D0D0D" w:themeColor="text1" w:themeTint="F2"/>
                <w:spacing w:val="-4"/>
                <w:lang w:val="en-GB"/>
              </w:rPr>
              <w:t>bn</w:t>
            </w:r>
            <w:r w:rsidR="005D7503" w:rsidRPr="009821FE">
              <w:rPr>
                <w:rFonts w:cs="Arial"/>
                <w:color w:val="0D0D0D" w:themeColor="text1" w:themeTint="F2"/>
                <w:spacing w:val="-4"/>
                <w:lang w:val="en-GB"/>
              </w:rPr>
              <w:t>)</w:t>
            </w:r>
            <w:r>
              <w:rPr>
                <w:rFonts w:cs="Arial"/>
                <w:color w:val="0D0D0D" w:themeColor="text1" w:themeTint="F2"/>
                <w:spacing w:val="-4"/>
                <w:lang w:val="en-GB"/>
              </w:rPr>
              <w:t xml:space="preserve"> was not repeated</w:t>
            </w:r>
            <w:r w:rsidR="005D7503" w:rsidRPr="009821FE">
              <w:rPr>
                <w:rFonts w:cs="Arial"/>
                <w:color w:val="0D0D0D" w:themeColor="text1" w:themeTint="F2"/>
                <w:spacing w:val="-4"/>
                <w:lang w:val="en-GB"/>
              </w:rPr>
              <w:t>,</w:t>
            </w:r>
            <w:r>
              <w:rPr>
                <w:rFonts w:cs="Arial"/>
                <w:color w:val="0D0D0D" w:themeColor="text1" w:themeTint="F2"/>
                <w:spacing w:val="-4"/>
                <w:lang w:val="en-GB"/>
              </w:rPr>
              <w:t xml:space="preserve"> it was markedly affected by the completion of incoming payments from the EU budget tied to the ended programme period. Still, the last year’s result was the second best after year 1996. </w:t>
            </w:r>
            <w:r w:rsidR="00D369AD">
              <w:rPr>
                <w:rFonts w:cs="Arial"/>
                <w:color w:val="0D0D0D" w:themeColor="text1" w:themeTint="F2"/>
                <w:spacing w:val="-4"/>
                <w:lang w:val="en-GB"/>
              </w:rPr>
              <w:t xml:space="preserve">Still the SB was achieving mild surpluses for the most of the </w:t>
            </w:r>
            <w:r w:rsidR="007260C3">
              <w:rPr>
                <w:rFonts w:cs="Arial"/>
                <w:color w:val="0D0D0D" w:themeColor="text1" w:themeTint="F2"/>
                <w:spacing w:val="-4"/>
                <w:lang w:val="en-GB"/>
              </w:rPr>
              <w:t>year</w:t>
            </w:r>
            <w:r w:rsidR="00D369AD">
              <w:rPr>
                <w:rFonts w:cs="Arial"/>
                <w:color w:val="0D0D0D" w:themeColor="text1" w:themeTint="F2"/>
                <w:spacing w:val="-4"/>
                <w:lang w:val="en-GB"/>
              </w:rPr>
              <w:t xml:space="preserve"> 2017, </w:t>
            </w:r>
            <w:r w:rsidR="002E4C1C">
              <w:rPr>
                <w:rFonts w:cs="Arial"/>
                <w:color w:val="0D0D0D" w:themeColor="text1" w:themeTint="F2"/>
                <w:spacing w:val="-4"/>
                <w:lang w:val="en-GB"/>
              </w:rPr>
              <w:t>only the accelerated drawing o investment as well as some current expenditure towards the end of the year</w:t>
            </w:r>
            <w:r w:rsidR="005D7503" w:rsidRPr="009821FE">
              <w:rPr>
                <w:rStyle w:val="Znakapoznpodarou"/>
                <w:color w:val="0D0D0D" w:themeColor="text1" w:themeTint="F2"/>
                <w:spacing w:val="-4"/>
                <w:lang w:val="en-GB"/>
              </w:rPr>
              <w:footnoteReference w:id="37"/>
            </w:r>
            <w:r w:rsidR="002E4C1C">
              <w:rPr>
                <w:rFonts w:cs="Arial"/>
                <w:color w:val="0D0D0D" w:themeColor="text1" w:themeTint="F2"/>
                <w:spacing w:val="-4"/>
                <w:lang w:val="en-GB"/>
              </w:rPr>
              <w:t xml:space="preserve"> drew it into deficit. The achieved deficit was by 53.8 CZK bn lower in contrast to the approved budget (even by 132 bn in year 2016)</w:t>
            </w:r>
            <w:r w:rsidR="005D7503" w:rsidRPr="009821FE">
              <w:rPr>
                <w:rFonts w:cs="Arial"/>
                <w:color w:val="0D0D0D" w:themeColor="text1" w:themeTint="F2"/>
                <w:spacing w:val="-4"/>
                <w:lang w:val="en-GB"/>
              </w:rPr>
              <w:t xml:space="preserve">. </w:t>
            </w:r>
            <w:r w:rsidR="007260C3">
              <w:rPr>
                <w:rFonts w:cs="Arial"/>
                <w:color w:val="0D0D0D" w:themeColor="text1" w:themeTint="F2"/>
                <w:spacing w:val="-4"/>
                <w:lang w:val="en-GB"/>
              </w:rPr>
              <w:t>SB was affected by both the expanding economic growth and the slower commencement of the drawing of the European funds</w:t>
            </w:r>
            <w:r w:rsidR="005D7503" w:rsidRPr="009821FE">
              <w:rPr>
                <w:rStyle w:val="Znakapoznpodarou"/>
                <w:color w:val="0D0D0D" w:themeColor="text1" w:themeTint="F2"/>
                <w:spacing w:val="-4"/>
                <w:lang w:val="en-GB"/>
              </w:rPr>
              <w:footnoteReference w:id="38"/>
            </w:r>
            <w:r w:rsidR="007260C3">
              <w:rPr>
                <w:rFonts w:cs="Arial"/>
                <w:color w:val="0D0D0D" w:themeColor="text1" w:themeTint="F2"/>
                <w:spacing w:val="-4"/>
                <w:lang w:val="en-GB"/>
              </w:rPr>
              <w:t xml:space="preserve"> throughout the whole last year. SB balance, comprising the key component of the deficit or surplus of the sector of the government institution budget, arrived at +0.1% in relation to the nominal GDP last year (+1.3% a year before). </w:t>
            </w:r>
          </w:p>
          <w:p w:rsidR="007260C3" w:rsidRPr="009821FE" w:rsidRDefault="007260C3" w:rsidP="007260C3">
            <w:pPr>
              <w:pStyle w:val="Textpoznpodarou"/>
              <w:jc w:val="both"/>
              <w:rPr>
                <w:rFonts w:cs="Arial"/>
                <w:color w:val="0D0D0D" w:themeColor="text1" w:themeTint="F2"/>
                <w:spacing w:val="-3"/>
                <w:sz w:val="14"/>
                <w:szCs w:val="14"/>
                <w:lang w:val="en-GB"/>
              </w:rPr>
            </w:pPr>
          </w:p>
        </w:tc>
      </w:tr>
      <w:tr w:rsidR="005D7503" w:rsidRPr="0094422D" w:rsidTr="00CF0826">
        <w:trPr>
          <w:trHeight w:val="145"/>
        </w:trPr>
        <w:tc>
          <w:tcPr>
            <w:tcW w:w="1016" w:type="pct"/>
            <w:shd w:val="clear" w:color="auto" w:fill="auto"/>
          </w:tcPr>
          <w:p w:rsidR="005D7503" w:rsidRPr="00BF2C67" w:rsidRDefault="00BF2C67" w:rsidP="00CF0826">
            <w:pPr>
              <w:spacing w:line="240" w:lineRule="auto"/>
              <w:rPr>
                <w:rFonts w:cs="Arial"/>
                <w:color w:val="0D0D0D" w:themeColor="text1" w:themeTint="F2"/>
                <w:spacing w:val="-2"/>
                <w:sz w:val="16"/>
                <w:szCs w:val="16"/>
                <w:lang w:val="en-GB"/>
              </w:rPr>
            </w:pPr>
            <w:r w:rsidRPr="00BF2C67">
              <w:rPr>
                <w:rFonts w:cs="Arial"/>
                <w:color w:val="0D0D0D" w:themeColor="text1" w:themeTint="F2"/>
                <w:spacing w:val="-2"/>
                <w:sz w:val="16"/>
                <w:szCs w:val="16"/>
                <w:lang w:val="en-GB"/>
              </w:rPr>
              <w:t xml:space="preserve">Total SB revenues lowered for the first time in four years. The swift growth of the tax income including insurance was not enough to offset the sharp fall of the resources from the EU budget. </w:t>
            </w:r>
          </w:p>
          <w:p w:rsidR="005D7503" w:rsidRPr="00BF2C67" w:rsidRDefault="005D7503" w:rsidP="00CF0826">
            <w:pPr>
              <w:spacing w:line="240" w:lineRule="auto"/>
              <w:rPr>
                <w:rFonts w:cs="Arial"/>
                <w:color w:val="0D0D0D" w:themeColor="text1" w:themeTint="F2"/>
                <w:spacing w:val="-2"/>
                <w:sz w:val="16"/>
                <w:szCs w:val="16"/>
                <w:lang w:val="en-GB"/>
              </w:rPr>
            </w:pPr>
          </w:p>
        </w:tc>
        <w:tc>
          <w:tcPr>
            <w:tcW w:w="144" w:type="pct"/>
          </w:tcPr>
          <w:p w:rsidR="005D7503" w:rsidRPr="00BF2C67" w:rsidRDefault="005D7503" w:rsidP="00CF0826">
            <w:pPr>
              <w:pStyle w:val="Textpoznpodarou"/>
              <w:jc w:val="both"/>
              <w:rPr>
                <w:rFonts w:cs="Arial"/>
                <w:color w:val="0D0D0D" w:themeColor="text1" w:themeTint="F2"/>
                <w:lang w:val="en-GB"/>
              </w:rPr>
            </w:pPr>
          </w:p>
        </w:tc>
        <w:tc>
          <w:tcPr>
            <w:tcW w:w="3840" w:type="pct"/>
          </w:tcPr>
          <w:p w:rsidR="005D7503" w:rsidRPr="00BF2C67" w:rsidRDefault="00FF4BD5" w:rsidP="00CF0826">
            <w:pPr>
              <w:pStyle w:val="Textpoznpodarou"/>
              <w:jc w:val="both"/>
              <w:rPr>
                <w:rFonts w:cs="Arial"/>
                <w:color w:val="000000" w:themeColor="text1"/>
                <w:spacing w:val="-4"/>
                <w:lang w:val="en-GB"/>
              </w:rPr>
            </w:pPr>
            <w:r>
              <w:rPr>
                <w:rFonts w:cs="Arial"/>
                <w:color w:val="000000" w:themeColor="text1"/>
                <w:spacing w:val="-4"/>
                <w:lang w:val="en-GB"/>
              </w:rPr>
              <w:t xml:space="preserve">Total SB revenues lowered by 0.6% last year. It occurred for the first time since 2012, when the domestic economy was gripped by recession. The sharp decline of the income from the EU budget stood exclusively behind the last year´s result </w:t>
            </w:r>
            <w:r w:rsidR="005D7503" w:rsidRPr="00BF2C67">
              <w:rPr>
                <w:rFonts w:cs="Arial"/>
                <w:color w:val="000000" w:themeColor="text1"/>
                <w:spacing w:val="-4"/>
                <w:lang w:val="en-GB"/>
              </w:rPr>
              <w:t>(</w:t>
            </w:r>
            <w:r>
              <w:rPr>
                <w:rFonts w:cs="Arial"/>
                <w:color w:val="000000" w:themeColor="text1"/>
                <w:spacing w:val="-4"/>
                <w:lang w:val="en-GB"/>
              </w:rPr>
              <w:t xml:space="preserve">by 82 CZK bn year-on-year, to 77 bn), which was simultaneously by 21 bn deeper than the budget anticipations. </w:t>
            </w:r>
            <w:r w:rsidR="005B6E77">
              <w:rPr>
                <w:rFonts w:cs="Arial"/>
                <w:color w:val="000000" w:themeColor="text1"/>
                <w:spacing w:val="-4"/>
                <w:lang w:val="en-GB"/>
              </w:rPr>
              <w:t xml:space="preserve">The anticipation was on the contrary exceeded for all more volume significant tax revenues. State-wide collection of all tax revenues (incl. insurance) grew by 6.9% last year and approached the value from year 2016 </w:t>
            </w:r>
            <w:r w:rsidR="005D7503" w:rsidRPr="00BF2C67">
              <w:rPr>
                <w:spacing w:val="-4"/>
                <w:lang w:val="en-GB"/>
              </w:rPr>
              <w:t>(+7</w:t>
            </w:r>
            <w:r w:rsidR="005B6E77">
              <w:rPr>
                <w:spacing w:val="-4"/>
                <w:lang w:val="en-GB"/>
              </w:rPr>
              <w:t>.</w:t>
            </w:r>
            <w:r w:rsidR="005D7503" w:rsidRPr="00BF2C67">
              <w:rPr>
                <w:spacing w:val="-4"/>
                <w:lang w:val="en-GB"/>
              </w:rPr>
              <w:t>2</w:t>
            </w:r>
            <w:r w:rsidR="00503955" w:rsidRPr="00BF2C67">
              <w:rPr>
                <w:spacing w:val="-4"/>
                <w:lang w:val="en-GB"/>
              </w:rPr>
              <w:t xml:space="preserve">%, </w:t>
            </w:r>
            <w:r w:rsidR="005B6E77">
              <w:rPr>
                <w:spacing w:val="-4"/>
                <w:lang w:val="en-GB"/>
              </w:rPr>
              <w:t xml:space="preserve">the highest after year </w:t>
            </w:r>
            <w:r w:rsidR="005D7503" w:rsidRPr="00BF2C67">
              <w:rPr>
                <w:spacing w:val="-4"/>
                <w:lang w:val="en-GB"/>
              </w:rPr>
              <w:t xml:space="preserve">2007). </w:t>
            </w:r>
            <w:r w:rsidR="002A04C7">
              <w:rPr>
                <w:spacing w:val="-4"/>
                <w:lang w:val="en-GB"/>
              </w:rPr>
              <w:t xml:space="preserve">Rate of growth of tax revenues weakened in the second half of the last year, especially due to the less favourable collection of the corporate taxes. </w:t>
            </w:r>
            <w:r w:rsidR="005D7503" w:rsidRPr="00BF2C67">
              <w:rPr>
                <w:spacing w:val="-4"/>
                <w:lang w:val="en-GB"/>
              </w:rPr>
              <w:t xml:space="preserve"> </w:t>
            </w:r>
          </w:p>
          <w:p w:rsidR="005D7503" w:rsidRPr="00BF2C67" w:rsidRDefault="005D7503" w:rsidP="00CF0826">
            <w:pPr>
              <w:pStyle w:val="Textpoznpodarou"/>
              <w:jc w:val="both"/>
              <w:rPr>
                <w:rFonts w:cs="Arial"/>
                <w:color w:val="000000" w:themeColor="text1"/>
                <w:spacing w:val="-4"/>
                <w:sz w:val="14"/>
                <w:szCs w:val="14"/>
                <w:lang w:val="en-GB"/>
              </w:rPr>
            </w:pPr>
          </w:p>
        </w:tc>
      </w:tr>
      <w:tr w:rsidR="005D7503" w:rsidRPr="00F06A1D" w:rsidTr="00CF0826">
        <w:trPr>
          <w:trHeight w:val="145"/>
        </w:trPr>
        <w:tc>
          <w:tcPr>
            <w:tcW w:w="1016" w:type="pct"/>
            <w:shd w:val="clear" w:color="auto" w:fill="auto"/>
          </w:tcPr>
          <w:p w:rsidR="005D7503" w:rsidRPr="001012BD" w:rsidRDefault="001012BD" w:rsidP="00CF0826">
            <w:pPr>
              <w:spacing w:line="240" w:lineRule="auto"/>
              <w:rPr>
                <w:rFonts w:cs="Arial"/>
                <w:color w:val="0D0D0D" w:themeColor="text1" w:themeTint="F2"/>
                <w:spacing w:val="-4"/>
                <w:sz w:val="16"/>
                <w:szCs w:val="16"/>
                <w:lang w:val="en-GB"/>
              </w:rPr>
            </w:pPr>
            <w:r w:rsidRPr="001012BD">
              <w:rPr>
                <w:rFonts w:cs="Arial"/>
                <w:color w:val="0D0D0D" w:themeColor="text1" w:themeTint="F2"/>
                <w:spacing w:val="-4"/>
                <w:sz w:val="16"/>
                <w:szCs w:val="16"/>
                <w:lang w:val="en-GB"/>
              </w:rPr>
              <w:t>VAT contributed to the growth of the tax revenues by nearly one half last year, driven mostly by the strengthening expenditures on final households as well as government institutions consumption</w:t>
            </w:r>
            <w:r>
              <w:rPr>
                <w:rFonts w:cs="Arial"/>
                <w:color w:val="0D0D0D" w:themeColor="text1" w:themeTint="F2"/>
                <w:spacing w:val="-4"/>
                <w:sz w:val="16"/>
                <w:szCs w:val="16"/>
                <w:lang w:val="en-GB"/>
              </w:rPr>
              <w:t>.</w:t>
            </w:r>
            <w:r w:rsidRPr="001012BD">
              <w:rPr>
                <w:rFonts w:cs="Arial"/>
                <w:color w:val="0D0D0D" w:themeColor="text1" w:themeTint="F2"/>
                <w:spacing w:val="-4"/>
                <w:sz w:val="16"/>
                <w:szCs w:val="16"/>
                <w:lang w:val="en-GB"/>
              </w:rPr>
              <w:t xml:space="preserve"> </w:t>
            </w:r>
          </w:p>
        </w:tc>
        <w:tc>
          <w:tcPr>
            <w:tcW w:w="144" w:type="pct"/>
          </w:tcPr>
          <w:p w:rsidR="005D7503" w:rsidRPr="001012BD" w:rsidRDefault="005D7503" w:rsidP="00CF0826">
            <w:pPr>
              <w:pStyle w:val="Textpoznpodarou"/>
              <w:jc w:val="both"/>
              <w:rPr>
                <w:rFonts w:cs="Arial"/>
                <w:color w:val="0D0D0D" w:themeColor="text1" w:themeTint="F2"/>
                <w:lang w:val="en-GB"/>
              </w:rPr>
            </w:pPr>
          </w:p>
        </w:tc>
        <w:tc>
          <w:tcPr>
            <w:tcW w:w="3840" w:type="pct"/>
          </w:tcPr>
          <w:p w:rsidR="005D7503" w:rsidRDefault="00D80A6A" w:rsidP="00D2689E">
            <w:pPr>
              <w:pStyle w:val="Textpoznpodarou"/>
              <w:jc w:val="both"/>
              <w:rPr>
                <w:rFonts w:cs="Arial"/>
                <w:color w:val="0D0D0D" w:themeColor="text1" w:themeTint="F2"/>
                <w:spacing w:val="-4"/>
                <w:lang w:val="en-GB"/>
              </w:rPr>
            </w:pPr>
            <w:r>
              <w:rPr>
                <w:rFonts w:cs="Arial"/>
                <w:color w:val="0D0D0D" w:themeColor="text1" w:themeTint="F2"/>
                <w:spacing w:val="-4"/>
                <w:lang w:val="en-GB"/>
              </w:rPr>
              <w:t xml:space="preserve">While the high collection of the corporate taxes drove the growth of the SB tax revenues (excluding insurance) in both years </w:t>
            </w:r>
            <w:r w:rsidR="005D7503" w:rsidRPr="001012BD">
              <w:rPr>
                <w:rFonts w:cs="Arial"/>
                <w:color w:val="0D0D0D" w:themeColor="text1" w:themeTint="F2"/>
                <w:spacing w:val="-4"/>
                <w:lang w:val="en-GB"/>
              </w:rPr>
              <w:t xml:space="preserve">2015 </w:t>
            </w:r>
            <w:r>
              <w:rPr>
                <w:rFonts w:cs="Arial"/>
                <w:color w:val="0D0D0D" w:themeColor="text1" w:themeTint="F2"/>
                <w:spacing w:val="-4"/>
                <w:lang w:val="en-GB"/>
              </w:rPr>
              <w:t>and 2</w:t>
            </w:r>
            <w:r w:rsidR="005D7503" w:rsidRPr="001012BD">
              <w:rPr>
                <w:rFonts w:cs="Arial"/>
                <w:color w:val="0D0D0D" w:themeColor="text1" w:themeTint="F2"/>
                <w:spacing w:val="-4"/>
                <w:lang w:val="en-GB"/>
              </w:rPr>
              <w:t xml:space="preserve">016, </w:t>
            </w:r>
            <w:r w:rsidR="00493F5F">
              <w:rPr>
                <w:rFonts w:cs="Arial"/>
                <w:color w:val="0D0D0D" w:themeColor="text1" w:themeTint="F2"/>
                <w:spacing w:val="-4"/>
                <w:lang w:val="en-GB"/>
              </w:rPr>
              <w:t xml:space="preserve">on the contrary it was VAT last year, which </w:t>
            </w:r>
            <w:r>
              <w:rPr>
                <w:rFonts w:cs="Arial"/>
                <w:color w:val="0D0D0D" w:themeColor="text1" w:themeTint="F2"/>
                <w:spacing w:val="-4"/>
                <w:lang w:val="en-GB"/>
              </w:rPr>
              <w:t>contributed</w:t>
            </w:r>
            <w:r w:rsidR="00493F5F">
              <w:rPr>
                <w:rFonts w:cs="Arial"/>
                <w:color w:val="0D0D0D" w:themeColor="text1" w:themeTint="F2"/>
                <w:spacing w:val="-4"/>
                <w:lang w:val="en-GB"/>
              </w:rPr>
              <w:t xml:space="preserve"> to the growth by nearly one half. VAT collection strengthened by 8.3</w:t>
            </w:r>
            <w:r w:rsidR="005D7503" w:rsidRPr="001012BD">
              <w:rPr>
                <w:rStyle w:val="Znakapoznpodarou"/>
                <w:color w:val="000000" w:themeColor="text1"/>
                <w:spacing w:val="-4"/>
                <w:lang w:val="en-GB"/>
              </w:rPr>
              <w:footnoteReference w:id="39"/>
            </w:r>
            <w:r w:rsidR="00493F5F">
              <w:rPr>
                <w:rFonts w:cs="Arial"/>
                <w:color w:val="0D0D0D" w:themeColor="text1" w:themeTint="F2"/>
                <w:spacing w:val="-4"/>
                <w:lang w:val="en-GB"/>
              </w:rPr>
              <w:t xml:space="preserve"> year-on-year</w:t>
            </w:r>
            <w:r w:rsidR="005D7503" w:rsidRPr="001012BD">
              <w:rPr>
                <w:rFonts w:cs="Arial"/>
                <w:color w:val="0D0D0D" w:themeColor="text1" w:themeTint="F2"/>
                <w:spacing w:val="-4"/>
                <w:lang w:val="en-GB"/>
              </w:rPr>
              <w:t xml:space="preserve">, </w:t>
            </w:r>
            <w:r w:rsidR="00493F5F">
              <w:rPr>
                <w:rFonts w:cs="Arial"/>
                <w:color w:val="0D0D0D" w:themeColor="text1" w:themeTint="F2"/>
                <w:spacing w:val="-4"/>
                <w:lang w:val="en-GB"/>
              </w:rPr>
              <w:t>at the level of all public budgets then by 9.</w:t>
            </w:r>
            <w:r w:rsidR="005D7503" w:rsidRPr="001012BD">
              <w:rPr>
                <w:rFonts w:cs="Arial"/>
                <w:color w:val="0D0D0D" w:themeColor="text1" w:themeTint="F2"/>
                <w:spacing w:val="-4"/>
                <w:lang w:val="en-GB"/>
              </w:rPr>
              <w:t>1% (</w:t>
            </w:r>
            <w:r w:rsidR="00493F5F">
              <w:rPr>
                <w:rFonts w:cs="Arial"/>
                <w:color w:val="0D0D0D" w:themeColor="text1" w:themeTint="F2"/>
                <w:spacing w:val="-4"/>
                <w:lang w:val="en-GB"/>
              </w:rPr>
              <w:t>by 5.4% the year before</w:t>
            </w:r>
            <w:r w:rsidR="005D7503" w:rsidRPr="001012BD">
              <w:rPr>
                <w:rFonts w:cs="Arial"/>
                <w:color w:val="0D0D0D" w:themeColor="text1" w:themeTint="F2"/>
                <w:spacing w:val="-4"/>
                <w:lang w:val="en-GB"/>
              </w:rPr>
              <w:t xml:space="preserve">). </w:t>
            </w:r>
            <w:r w:rsidR="00DD20FA">
              <w:rPr>
                <w:rFonts w:cs="Arial"/>
                <w:color w:val="0D0D0D" w:themeColor="text1" w:themeTint="F2"/>
                <w:spacing w:val="-4"/>
                <w:lang w:val="en-GB"/>
              </w:rPr>
              <w:t xml:space="preserve">The accelerated growth was caused especially by the development in Q2. </w:t>
            </w:r>
            <w:r w:rsidR="00D2689E">
              <w:rPr>
                <w:rFonts w:cs="Arial"/>
                <w:color w:val="0D0D0D" w:themeColor="text1" w:themeTint="F2"/>
                <w:spacing w:val="-4"/>
                <w:lang w:val="en-GB"/>
              </w:rPr>
              <w:t xml:space="preserve">The transfer of some activities from the grey economy due to recent measures introduced on the side of the tax collection also contributed to this result. Still, the economic growth mirrored also in the final consumption expenditures – which increased in nominal terms for households year-on-year by 6.5%, for government institutions by 5.0% in 2017, continued to represent the key factor behind the higher collection of VAT. </w:t>
            </w:r>
          </w:p>
          <w:p w:rsidR="00D2689E" w:rsidRPr="001012BD" w:rsidRDefault="00D2689E" w:rsidP="00D2689E">
            <w:pPr>
              <w:pStyle w:val="Textpoznpodarou"/>
              <w:jc w:val="both"/>
              <w:rPr>
                <w:rFonts w:cs="Arial"/>
                <w:color w:val="0D0D0D" w:themeColor="text1" w:themeTint="F2"/>
                <w:spacing w:val="-4"/>
                <w:sz w:val="14"/>
                <w:szCs w:val="14"/>
                <w:lang w:val="en-GB"/>
              </w:rPr>
            </w:pPr>
          </w:p>
        </w:tc>
      </w:tr>
      <w:tr w:rsidR="005D7503" w:rsidRPr="0094422D" w:rsidTr="00CF0826">
        <w:trPr>
          <w:trHeight w:val="145"/>
        </w:trPr>
        <w:tc>
          <w:tcPr>
            <w:tcW w:w="1016" w:type="pct"/>
            <w:shd w:val="clear" w:color="auto" w:fill="auto"/>
          </w:tcPr>
          <w:p w:rsidR="005D7503" w:rsidRPr="00650C83" w:rsidRDefault="004475C7" w:rsidP="00CF0826">
            <w:pPr>
              <w:spacing w:line="240" w:lineRule="auto"/>
              <w:rPr>
                <w:rFonts w:cs="Arial"/>
                <w:color w:val="0D0D0D" w:themeColor="text1" w:themeTint="F2"/>
                <w:spacing w:val="-2"/>
                <w:sz w:val="16"/>
                <w:szCs w:val="16"/>
                <w:lang w:val="en-GB"/>
              </w:rPr>
            </w:pPr>
            <w:r w:rsidRPr="00650C83">
              <w:rPr>
                <w:rFonts w:cs="Arial"/>
                <w:color w:val="0D0D0D" w:themeColor="text1" w:themeTint="F2"/>
                <w:spacing w:val="-2"/>
                <w:sz w:val="16"/>
                <w:szCs w:val="16"/>
                <w:lang w:val="en-GB"/>
              </w:rPr>
              <w:t xml:space="preserve">Collection of consumer tax on mineral oils increased thanks to the higher </w:t>
            </w:r>
            <w:r w:rsidR="00650C83" w:rsidRPr="00650C83">
              <w:rPr>
                <w:rFonts w:cs="Arial"/>
                <w:color w:val="0D0D0D" w:themeColor="text1" w:themeTint="F2"/>
                <w:spacing w:val="-2"/>
                <w:sz w:val="16"/>
                <w:szCs w:val="16"/>
                <w:lang w:val="en-GB"/>
              </w:rPr>
              <w:t xml:space="preserve">freight </w:t>
            </w:r>
            <w:r w:rsidRPr="00650C83">
              <w:rPr>
                <w:rFonts w:cs="Arial"/>
                <w:color w:val="0D0D0D" w:themeColor="text1" w:themeTint="F2"/>
                <w:spacing w:val="-2"/>
                <w:sz w:val="16"/>
                <w:szCs w:val="16"/>
                <w:lang w:val="en-GB"/>
              </w:rPr>
              <w:t>transport</w:t>
            </w:r>
            <w:r w:rsidR="005D7503" w:rsidRPr="00650C83">
              <w:rPr>
                <w:rFonts w:cs="Arial"/>
                <w:color w:val="0D0D0D" w:themeColor="text1" w:themeTint="F2"/>
                <w:spacing w:val="-2"/>
                <w:sz w:val="16"/>
                <w:szCs w:val="16"/>
                <w:lang w:val="en-GB"/>
              </w:rPr>
              <w:t>.</w:t>
            </w:r>
            <w:r w:rsidR="00650C83">
              <w:rPr>
                <w:rFonts w:cs="Arial"/>
                <w:color w:val="0D0D0D" w:themeColor="text1" w:themeTint="F2"/>
                <w:spacing w:val="-2"/>
                <w:sz w:val="16"/>
                <w:szCs w:val="16"/>
                <w:lang w:val="en-GB"/>
              </w:rPr>
              <w:t xml:space="preserve"> Collection of tax on </w:t>
            </w:r>
            <w:r w:rsidR="00650C83">
              <w:rPr>
                <w:rFonts w:cs="Arial"/>
                <w:color w:val="0D0D0D" w:themeColor="text1" w:themeTint="F2"/>
                <w:spacing w:val="-2"/>
                <w:sz w:val="16"/>
                <w:szCs w:val="16"/>
                <w:lang w:val="en-GB"/>
              </w:rPr>
              <w:lastRenderedPageBreak/>
              <w:t xml:space="preserve">tobacco products was supported by the January increase of </w:t>
            </w:r>
            <w:r w:rsidR="00B1076A">
              <w:rPr>
                <w:rFonts w:cs="Arial"/>
                <w:color w:val="0D0D0D" w:themeColor="text1" w:themeTint="F2"/>
                <w:spacing w:val="-2"/>
                <w:sz w:val="16"/>
                <w:szCs w:val="16"/>
                <w:lang w:val="en-GB"/>
              </w:rPr>
              <w:t xml:space="preserve">rate </w:t>
            </w:r>
            <w:r w:rsidR="00650C83">
              <w:rPr>
                <w:rFonts w:cs="Arial"/>
                <w:color w:val="0D0D0D" w:themeColor="text1" w:themeTint="F2"/>
                <w:spacing w:val="-2"/>
                <w:sz w:val="16"/>
                <w:szCs w:val="16"/>
                <w:lang w:val="en-GB"/>
              </w:rPr>
              <w:t xml:space="preserve">of this tax. </w:t>
            </w:r>
            <w:r w:rsidR="00650C83" w:rsidRPr="00650C83">
              <w:rPr>
                <w:rFonts w:cs="Arial"/>
                <w:color w:val="0D0D0D" w:themeColor="text1" w:themeTint="F2"/>
                <w:spacing w:val="-2"/>
                <w:sz w:val="16"/>
                <w:szCs w:val="16"/>
                <w:lang w:val="en-GB"/>
              </w:rPr>
              <w:t xml:space="preserve"> </w:t>
            </w:r>
            <w:r w:rsidR="005D7503" w:rsidRPr="00650C83">
              <w:rPr>
                <w:rFonts w:cs="Arial"/>
                <w:color w:val="0D0D0D" w:themeColor="text1" w:themeTint="F2"/>
                <w:spacing w:val="-2"/>
                <w:sz w:val="16"/>
                <w:szCs w:val="16"/>
                <w:lang w:val="en-GB"/>
              </w:rPr>
              <w:t xml:space="preserve"> </w:t>
            </w:r>
          </w:p>
        </w:tc>
        <w:tc>
          <w:tcPr>
            <w:tcW w:w="144" w:type="pct"/>
          </w:tcPr>
          <w:p w:rsidR="005D7503" w:rsidRPr="00650C83" w:rsidRDefault="005D7503" w:rsidP="00CF0826">
            <w:pPr>
              <w:pStyle w:val="Textpoznpodarou"/>
              <w:jc w:val="both"/>
              <w:rPr>
                <w:rFonts w:cs="Arial"/>
                <w:color w:val="0D0D0D" w:themeColor="text1" w:themeTint="F2"/>
                <w:lang w:val="en-GB"/>
              </w:rPr>
            </w:pPr>
          </w:p>
        </w:tc>
        <w:tc>
          <w:tcPr>
            <w:tcW w:w="3840" w:type="pct"/>
          </w:tcPr>
          <w:p w:rsidR="005D7503" w:rsidRPr="00650C83" w:rsidRDefault="00092832" w:rsidP="00CF0826">
            <w:pPr>
              <w:pStyle w:val="Textpoznpodarou"/>
              <w:jc w:val="both"/>
              <w:rPr>
                <w:spacing w:val="-4"/>
                <w:lang w:val="en-GB"/>
              </w:rPr>
            </w:pPr>
            <w:r>
              <w:rPr>
                <w:rFonts w:cs="Arial"/>
                <w:color w:val="000000" w:themeColor="text1"/>
                <w:spacing w:val="-4"/>
                <w:lang w:val="en-GB"/>
              </w:rPr>
              <w:t xml:space="preserve">The SB received by 2.9% more from all consumer taxes year-on-year in 2017. The collection of two most significant subgroups – tax on mineral oils and tax on the tobacco products strengthened by a similar pace. Growing freight transportation had a positive effect in the weight dominant tax on the mineral oils, especially the </w:t>
            </w:r>
            <w:r>
              <w:rPr>
                <w:rFonts w:cs="Arial"/>
                <w:color w:val="000000" w:themeColor="text1"/>
                <w:spacing w:val="-4"/>
                <w:lang w:val="en-GB"/>
              </w:rPr>
              <w:lastRenderedPageBreak/>
              <w:t xml:space="preserve">consumption of </w:t>
            </w:r>
            <w:r>
              <w:rPr>
                <w:spacing w:val="-2"/>
                <w:lang w:val="en-GB"/>
              </w:rPr>
              <w:t>the diesel fuel and jet fuel</w:t>
            </w:r>
            <w:r w:rsidR="005D7503" w:rsidRPr="00650C83">
              <w:rPr>
                <w:rFonts w:cs="Arial"/>
                <w:color w:val="000000" w:themeColor="text1"/>
                <w:spacing w:val="-4"/>
                <w:lang w:val="en-GB"/>
              </w:rPr>
              <w:t xml:space="preserve"> </w:t>
            </w:r>
            <w:r>
              <w:rPr>
                <w:rFonts w:cs="Arial"/>
                <w:color w:val="000000" w:themeColor="text1"/>
                <w:spacing w:val="-4"/>
                <w:lang w:val="en-GB"/>
              </w:rPr>
              <w:t xml:space="preserve">was growing. Year-on-year rate of growth of the retails sales for fuels nearly doubled during 2017 </w:t>
            </w:r>
            <w:r w:rsidR="005D7503" w:rsidRPr="00650C83">
              <w:rPr>
                <w:rFonts w:cs="Arial"/>
                <w:color w:val="000000" w:themeColor="text1"/>
                <w:spacing w:val="-4"/>
                <w:lang w:val="en-GB"/>
              </w:rPr>
              <w:t>(</w:t>
            </w:r>
            <w:r>
              <w:rPr>
                <w:rFonts w:cs="Arial"/>
                <w:color w:val="000000" w:themeColor="text1"/>
                <w:spacing w:val="-4"/>
                <w:lang w:val="en-GB"/>
              </w:rPr>
              <w:t>from</w:t>
            </w:r>
            <w:r w:rsidR="005369CF" w:rsidRPr="00650C83">
              <w:rPr>
                <w:rFonts w:cs="Arial"/>
                <w:color w:val="000000" w:themeColor="text1"/>
                <w:spacing w:val="-4"/>
                <w:lang w:val="en-GB"/>
              </w:rPr>
              <w:t> </w:t>
            </w:r>
            <w:r w:rsidR="005D7503" w:rsidRPr="00650C83">
              <w:rPr>
                <w:rFonts w:cs="Arial"/>
                <w:color w:val="000000" w:themeColor="text1"/>
                <w:spacing w:val="-4"/>
                <w:lang w:val="en-GB"/>
              </w:rPr>
              <w:t>3</w:t>
            </w:r>
            <w:r>
              <w:rPr>
                <w:rFonts w:cs="Arial"/>
                <w:color w:val="000000" w:themeColor="text1"/>
                <w:spacing w:val="-4"/>
                <w:lang w:val="en-GB"/>
              </w:rPr>
              <w:t>.</w:t>
            </w:r>
            <w:r w:rsidR="005D7503" w:rsidRPr="00650C83">
              <w:rPr>
                <w:rFonts w:cs="Arial"/>
                <w:color w:val="000000" w:themeColor="text1"/>
                <w:spacing w:val="-4"/>
                <w:lang w:val="en-GB"/>
              </w:rPr>
              <w:t xml:space="preserve">4% </w:t>
            </w:r>
            <w:r>
              <w:rPr>
                <w:rFonts w:cs="Arial"/>
                <w:color w:val="000000" w:themeColor="text1"/>
                <w:spacing w:val="-4"/>
                <w:lang w:val="en-GB"/>
              </w:rPr>
              <w:t>in Q</w:t>
            </w:r>
            <w:r w:rsidR="005D7503" w:rsidRPr="00650C83">
              <w:rPr>
                <w:rFonts w:cs="Arial"/>
                <w:color w:val="000000" w:themeColor="text1"/>
                <w:spacing w:val="-4"/>
                <w:lang w:val="en-GB"/>
              </w:rPr>
              <w:t>1</w:t>
            </w:r>
            <w:r>
              <w:rPr>
                <w:rFonts w:cs="Arial"/>
                <w:color w:val="000000" w:themeColor="text1"/>
                <w:spacing w:val="-4"/>
                <w:lang w:val="en-GB"/>
              </w:rPr>
              <w:t xml:space="preserve"> to </w:t>
            </w:r>
            <w:r w:rsidR="005D7503" w:rsidRPr="00650C83">
              <w:rPr>
                <w:rFonts w:cs="Arial"/>
                <w:color w:val="000000" w:themeColor="text1"/>
                <w:spacing w:val="-4"/>
                <w:lang w:val="en-GB"/>
              </w:rPr>
              <w:t>6</w:t>
            </w:r>
            <w:r>
              <w:rPr>
                <w:rFonts w:cs="Arial"/>
                <w:color w:val="000000" w:themeColor="text1"/>
                <w:spacing w:val="-4"/>
                <w:lang w:val="en-GB"/>
              </w:rPr>
              <w:t>.</w:t>
            </w:r>
            <w:r w:rsidR="005D7503" w:rsidRPr="00650C83">
              <w:rPr>
                <w:rFonts w:cs="Arial"/>
                <w:color w:val="000000" w:themeColor="text1"/>
                <w:spacing w:val="-4"/>
                <w:lang w:val="en-GB"/>
              </w:rPr>
              <w:t xml:space="preserve">6% </w:t>
            </w:r>
            <w:r>
              <w:rPr>
                <w:rFonts w:cs="Arial"/>
                <w:color w:val="000000" w:themeColor="text1"/>
                <w:spacing w:val="-4"/>
                <w:lang w:val="en-GB"/>
              </w:rPr>
              <w:t>in Q4</w:t>
            </w:r>
            <w:r w:rsidR="005D7503" w:rsidRPr="00650C83">
              <w:rPr>
                <w:rFonts w:cs="Arial"/>
                <w:color w:val="000000" w:themeColor="text1"/>
                <w:spacing w:val="-4"/>
                <w:lang w:val="en-GB"/>
              </w:rPr>
              <w:t>). T</w:t>
            </w:r>
            <w:r w:rsidR="00DC08E4">
              <w:rPr>
                <w:rFonts w:cs="Arial"/>
                <w:color w:val="000000" w:themeColor="text1"/>
                <w:spacing w:val="-4"/>
                <w:lang w:val="en-GB"/>
              </w:rPr>
              <w:t xml:space="preserve">hese influences overtook the impact of the instruction of the so called green fuel also for the animal primary production, which in contrast mildly subdued the collection of tax. </w:t>
            </w:r>
            <w:r w:rsidR="00062E1E">
              <w:rPr>
                <w:rFonts w:cs="Arial"/>
                <w:color w:val="000000" w:themeColor="text1"/>
                <w:spacing w:val="-4"/>
                <w:lang w:val="en-GB"/>
              </w:rPr>
              <w:t xml:space="preserve">With respect to the collection of tax on tobacco products, especially the increased tax rate since January 2017 stood behind its growth. </w:t>
            </w:r>
          </w:p>
          <w:p w:rsidR="005D7503" w:rsidRPr="00650C83" w:rsidRDefault="005D7503" w:rsidP="00CF0826">
            <w:pPr>
              <w:pStyle w:val="Textpoznpodarou"/>
              <w:jc w:val="both"/>
              <w:rPr>
                <w:rFonts w:cs="Arial"/>
                <w:color w:val="000000" w:themeColor="text1"/>
                <w:spacing w:val="-4"/>
                <w:sz w:val="14"/>
                <w:szCs w:val="14"/>
                <w:lang w:val="en-GB"/>
              </w:rPr>
            </w:pPr>
          </w:p>
        </w:tc>
      </w:tr>
      <w:tr w:rsidR="005D7503" w:rsidRPr="00751FC1" w:rsidTr="00CF0826">
        <w:trPr>
          <w:trHeight w:val="145"/>
        </w:trPr>
        <w:tc>
          <w:tcPr>
            <w:tcW w:w="1016" w:type="pct"/>
            <w:shd w:val="clear" w:color="auto" w:fill="auto"/>
          </w:tcPr>
          <w:p w:rsidR="005D7503" w:rsidRPr="00EB592C" w:rsidRDefault="00EB592C" w:rsidP="00CF0826">
            <w:pPr>
              <w:spacing w:line="240" w:lineRule="auto"/>
              <w:rPr>
                <w:rFonts w:cs="Arial"/>
                <w:bCs/>
                <w:iCs/>
                <w:color w:val="0D0D0D" w:themeColor="text1" w:themeTint="F2"/>
                <w:spacing w:val="-2"/>
                <w:sz w:val="16"/>
                <w:szCs w:val="16"/>
                <w:lang w:val="en-GB"/>
              </w:rPr>
            </w:pPr>
            <w:r w:rsidRPr="00EB592C">
              <w:rPr>
                <w:rFonts w:cs="Arial"/>
                <w:bCs/>
                <w:iCs/>
                <w:color w:val="0D0D0D" w:themeColor="text1" w:themeTint="F2"/>
                <w:spacing w:val="-2"/>
                <w:sz w:val="16"/>
                <w:szCs w:val="16"/>
                <w:lang w:val="en-GB"/>
              </w:rPr>
              <w:lastRenderedPageBreak/>
              <w:t xml:space="preserve">Collection of corporate tax grew by the weakest pace for the last four years, among other things due to the strengthening wage costs of firms. </w:t>
            </w:r>
            <w:r w:rsidR="005D7503" w:rsidRPr="00EB592C">
              <w:rPr>
                <w:rFonts w:cs="Arial"/>
                <w:bCs/>
                <w:iCs/>
                <w:color w:val="0D0D0D" w:themeColor="text1" w:themeTint="F2"/>
                <w:spacing w:val="-2"/>
                <w:sz w:val="16"/>
                <w:szCs w:val="16"/>
                <w:lang w:val="en-GB"/>
              </w:rPr>
              <w:t xml:space="preserve"> </w:t>
            </w:r>
          </w:p>
        </w:tc>
        <w:tc>
          <w:tcPr>
            <w:tcW w:w="144" w:type="pct"/>
          </w:tcPr>
          <w:p w:rsidR="005D7503" w:rsidRPr="00EB592C" w:rsidRDefault="005D7503" w:rsidP="00CF0826">
            <w:pPr>
              <w:pStyle w:val="Textpoznpodarou"/>
              <w:jc w:val="both"/>
              <w:rPr>
                <w:rFonts w:cs="Arial"/>
                <w:color w:val="0D0D0D" w:themeColor="text1" w:themeTint="F2"/>
                <w:lang w:val="en-GB"/>
              </w:rPr>
            </w:pPr>
          </w:p>
        </w:tc>
        <w:tc>
          <w:tcPr>
            <w:tcW w:w="3840" w:type="pct"/>
          </w:tcPr>
          <w:p w:rsidR="005D7503" w:rsidRPr="00EB592C" w:rsidRDefault="00EB592C" w:rsidP="00CF0826">
            <w:pPr>
              <w:pStyle w:val="Textpoznpodarou"/>
              <w:jc w:val="both"/>
              <w:rPr>
                <w:spacing w:val="-4"/>
                <w:lang w:val="en-GB"/>
              </w:rPr>
            </w:pPr>
            <w:r>
              <w:rPr>
                <w:spacing w:val="-4"/>
                <w:lang w:val="en-GB"/>
              </w:rPr>
              <w:t xml:space="preserve">Speed of the collection of the corporate tax was weakening during 2017 and the state-wide collection was lower compared to the same period of the last year already in Q3. </w:t>
            </w:r>
            <w:r w:rsidR="005E7506">
              <w:rPr>
                <w:spacing w:val="-4"/>
                <w:lang w:val="en-GB"/>
              </w:rPr>
              <w:t>It concerned the first year-on-year fall since the end of year 2013. Thanks to a</w:t>
            </w:r>
            <w:r w:rsidR="00814833">
              <w:rPr>
                <w:spacing w:val="-4"/>
                <w:lang w:val="en-GB"/>
              </w:rPr>
              <w:t xml:space="preserve"> </w:t>
            </w:r>
            <w:r w:rsidR="005E7506">
              <w:rPr>
                <w:spacing w:val="-4"/>
                <w:lang w:val="en-GB"/>
              </w:rPr>
              <w:t xml:space="preserve">higher collection in Q4, the yearly budget anticipations for this tax was fulfilled. Its collection was by 3.6% higher year-on-year, however it was the weakest growth in the last four years. </w:t>
            </w:r>
            <w:r w:rsidR="005D7503" w:rsidRPr="00EB592C">
              <w:rPr>
                <w:spacing w:val="-4"/>
                <w:lang w:val="en-GB"/>
              </w:rPr>
              <w:t xml:space="preserve"> </w:t>
            </w:r>
            <w:r w:rsidR="00CE0ABC">
              <w:rPr>
                <w:spacing w:val="-4"/>
                <w:lang w:val="en-GB"/>
              </w:rPr>
              <w:t xml:space="preserve">The mildly falling profitability of businesses </w:t>
            </w:r>
            <w:r w:rsidR="00F916FB">
              <w:rPr>
                <w:spacing w:val="-4"/>
                <w:lang w:val="en-GB"/>
              </w:rPr>
              <w:t>f</w:t>
            </w:r>
            <w:r w:rsidR="00CE0ABC">
              <w:rPr>
                <w:spacing w:val="-4"/>
                <w:lang w:val="en-GB"/>
              </w:rPr>
              <w:t>rom years 2016 (and partially also 2017) already started to show to a higher extent, mostly due to the intensifying wage costs.</w:t>
            </w:r>
            <w:r w:rsidR="00827D56">
              <w:rPr>
                <w:spacing w:val="-4"/>
                <w:lang w:val="en-GB"/>
              </w:rPr>
              <w:t xml:space="preserve"> Last year´s collection still did not reach the level from the peak of the business cycle of the last decade, partially also because of the mild reduction of the tax rates. </w:t>
            </w:r>
            <w:r w:rsidR="005D7503" w:rsidRPr="00EB592C">
              <w:rPr>
                <w:rFonts w:cs="Arial"/>
                <w:color w:val="0D0D0D" w:themeColor="text1" w:themeTint="F2"/>
                <w:spacing w:val="-4"/>
                <w:lang w:val="en-GB"/>
              </w:rPr>
              <w:t xml:space="preserve"> </w:t>
            </w:r>
          </w:p>
          <w:p w:rsidR="005D7503" w:rsidRPr="00EB592C" w:rsidRDefault="005D7503" w:rsidP="00CF0826">
            <w:pPr>
              <w:pStyle w:val="Textpoznpodarou"/>
              <w:jc w:val="both"/>
              <w:rPr>
                <w:spacing w:val="-4"/>
                <w:sz w:val="14"/>
                <w:szCs w:val="14"/>
                <w:lang w:val="en-GB"/>
              </w:rPr>
            </w:pPr>
          </w:p>
        </w:tc>
      </w:tr>
      <w:tr w:rsidR="005D7503" w:rsidRPr="00F06A1D" w:rsidTr="00CF0826">
        <w:trPr>
          <w:trHeight w:val="233"/>
        </w:trPr>
        <w:tc>
          <w:tcPr>
            <w:tcW w:w="1016" w:type="pct"/>
            <w:shd w:val="clear" w:color="auto" w:fill="auto"/>
          </w:tcPr>
          <w:p w:rsidR="005D7503" w:rsidRPr="003E2469" w:rsidRDefault="005D7503" w:rsidP="00CF0826">
            <w:pPr>
              <w:spacing w:line="240" w:lineRule="auto"/>
              <w:rPr>
                <w:rFonts w:cs="Arial"/>
                <w:color w:val="0D0D0D" w:themeColor="text1" w:themeTint="F2"/>
                <w:spacing w:val="-4"/>
                <w:sz w:val="16"/>
                <w:szCs w:val="16"/>
                <w:lang w:val="en-GB"/>
              </w:rPr>
            </w:pPr>
            <w:r w:rsidRPr="003E2469">
              <w:rPr>
                <w:rFonts w:cs="Arial"/>
                <w:color w:val="0D0D0D" w:themeColor="text1" w:themeTint="F2"/>
                <w:spacing w:val="-4"/>
                <w:sz w:val="16"/>
                <w:szCs w:val="16"/>
                <w:lang w:val="en-GB"/>
              </w:rPr>
              <w:t>R</w:t>
            </w:r>
            <w:r w:rsidR="00650C83" w:rsidRPr="003E2469">
              <w:rPr>
                <w:rFonts w:cs="Arial"/>
                <w:color w:val="0D0D0D" w:themeColor="text1" w:themeTint="F2"/>
                <w:spacing w:val="-4"/>
                <w:sz w:val="16"/>
                <w:szCs w:val="16"/>
                <w:lang w:val="en-GB"/>
              </w:rPr>
              <w:t xml:space="preserve">ecord level of employment, heightening growth of the average wages as well as the increase of the level of the </w:t>
            </w:r>
            <w:r w:rsidR="003E2469" w:rsidRPr="003E2469">
              <w:rPr>
                <w:rFonts w:cs="Arial"/>
                <w:color w:val="0D0D0D" w:themeColor="text1" w:themeTint="F2"/>
                <w:spacing w:val="-4"/>
                <w:sz w:val="16"/>
                <w:szCs w:val="16"/>
                <w:lang w:val="en-GB"/>
              </w:rPr>
              <w:t>minimu</w:t>
            </w:r>
            <w:r w:rsidR="003E2469">
              <w:rPr>
                <w:rFonts w:cs="Arial"/>
                <w:color w:val="0D0D0D" w:themeColor="text1" w:themeTint="F2"/>
                <w:spacing w:val="-4"/>
                <w:sz w:val="16"/>
                <w:szCs w:val="16"/>
                <w:lang w:val="en-GB"/>
              </w:rPr>
              <w:t xml:space="preserve">m </w:t>
            </w:r>
            <w:r w:rsidR="003E2469" w:rsidRPr="003E2469">
              <w:rPr>
                <w:rFonts w:cs="Arial"/>
                <w:color w:val="0D0D0D" w:themeColor="text1" w:themeTint="F2"/>
                <w:spacing w:val="-4"/>
                <w:sz w:val="16"/>
                <w:szCs w:val="16"/>
                <w:lang w:val="en-GB"/>
              </w:rPr>
              <w:t>wage</w:t>
            </w:r>
            <w:r w:rsidR="00650C83" w:rsidRPr="003E2469">
              <w:rPr>
                <w:rFonts w:cs="Arial"/>
                <w:color w:val="0D0D0D" w:themeColor="text1" w:themeTint="F2"/>
                <w:spacing w:val="-4"/>
                <w:sz w:val="16"/>
                <w:szCs w:val="16"/>
                <w:lang w:val="en-GB"/>
              </w:rPr>
              <w:t xml:space="preserve"> increased dynamics of the growth of the collection of </w:t>
            </w:r>
            <w:r w:rsidR="00650C83" w:rsidRPr="003E2469">
              <w:rPr>
                <w:color w:val="0D0D0D" w:themeColor="text1" w:themeTint="F2"/>
                <w:spacing w:val="-2"/>
                <w:sz w:val="16"/>
                <w:szCs w:val="16"/>
                <w:lang w:val="en-GB"/>
              </w:rPr>
              <w:t>income taxes of natural persons</w:t>
            </w:r>
            <w:r w:rsidR="003E2469">
              <w:rPr>
                <w:color w:val="0D0D0D" w:themeColor="text1" w:themeTint="F2"/>
                <w:spacing w:val="-2"/>
                <w:sz w:val="16"/>
                <w:szCs w:val="16"/>
                <w:lang w:val="en-GB"/>
              </w:rPr>
              <w:t xml:space="preserve"> from </w:t>
            </w:r>
            <w:r w:rsidR="00B92C9D">
              <w:rPr>
                <w:color w:val="0D0D0D" w:themeColor="text1" w:themeTint="F2"/>
                <w:spacing w:val="-2"/>
                <w:sz w:val="16"/>
                <w:szCs w:val="16"/>
                <w:lang w:val="en-GB"/>
              </w:rPr>
              <w:t>employment</w:t>
            </w:r>
            <w:r w:rsidR="003E2469">
              <w:rPr>
                <w:color w:val="0D0D0D" w:themeColor="text1" w:themeTint="F2"/>
                <w:spacing w:val="-2"/>
                <w:sz w:val="16"/>
                <w:szCs w:val="16"/>
                <w:lang w:val="en-GB"/>
              </w:rPr>
              <w:t xml:space="preserve">. </w:t>
            </w:r>
            <w:r w:rsidR="00650C83" w:rsidRPr="003E2469">
              <w:rPr>
                <w:color w:val="0D0D0D" w:themeColor="text1" w:themeTint="F2"/>
                <w:spacing w:val="-2"/>
                <w:sz w:val="16"/>
                <w:szCs w:val="16"/>
                <w:lang w:val="en-GB"/>
              </w:rPr>
              <w:t xml:space="preserve"> </w:t>
            </w:r>
          </w:p>
        </w:tc>
        <w:tc>
          <w:tcPr>
            <w:tcW w:w="144" w:type="pct"/>
          </w:tcPr>
          <w:p w:rsidR="005D7503" w:rsidRPr="003E2469" w:rsidRDefault="005D7503" w:rsidP="00CF0826">
            <w:pPr>
              <w:pStyle w:val="Textpoznpodarou"/>
              <w:jc w:val="both"/>
              <w:rPr>
                <w:rFonts w:cs="Arial"/>
                <w:color w:val="0D0D0D" w:themeColor="text1" w:themeTint="F2"/>
                <w:lang w:val="en-GB"/>
              </w:rPr>
            </w:pPr>
          </w:p>
        </w:tc>
        <w:tc>
          <w:tcPr>
            <w:tcW w:w="3840" w:type="pct"/>
          </w:tcPr>
          <w:p w:rsidR="005D7503" w:rsidRPr="003E2469" w:rsidRDefault="003E2469" w:rsidP="00CF0826">
            <w:pPr>
              <w:pStyle w:val="Textpoznpodarou"/>
              <w:jc w:val="both"/>
              <w:rPr>
                <w:rFonts w:cs="Arial"/>
                <w:spacing w:val="-4"/>
                <w:lang w:val="en-GB"/>
              </w:rPr>
            </w:pPr>
            <w:r>
              <w:rPr>
                <w:rFonts w:cs="Arial"/>
                <w:color w:val="0D0D0D" w:themeColor="text1" w:themeTint="F2"/>
                <w:spacing w:val="-4"/>
                <w:lang w:val="en-GB"/>
              </w:rPr>
              <w:t xml:space="preserve">In contrast, </w:t>
            </w:r>
            <w:r w:rsidR="006A5B57">
              <w:rPr>
                <w:rFonts w:cs="Arial"/>
                <w:color w:val="0D0D0D" w:themeColor="text1" w:themeTint="F2"/>
                <w:spacing w:val="-4"/>
                <w:lang w:val="en-GB"/>
              </w:rPr>
              <w:t xml:space="preserve">with respect to </w:t>
            </w:r>
            <w:r>
              <w:rPr>
                <w:rFonts w:cs="Arial"/>
                <w:color w:val="0D0D0D" w:themeColor="text1" w:themeTint="F2"/>
                <w:spacing w:val="-4"/>
                <w:lang w:val="en-GB"/>
              </w:rPr>
              <w:t xml:space="preserve">the collection of the </w:t>
            </w:r>
            <w:r w:rsidR="00EB592C" w:rsidRPr="003E2469">
              <w:rPr>
                <w:rFonts w:cs="Arial"/>
                <w:color w:val="0D0D0D" w:themeColor="text1" w:themeTint="F2"/>
                <w:spacing w:val="-2"/>
                <w:lang w:val="en-GB"/>
              </w:rPr>
              <w:t>income tax of natural persons (ITNP)</w:t>
            </w:r>
            <w:r w:rsidR="005D7503" w:rsidRPr="003E2469">
              <w:rPr>
                <w:rFonts w:cs="Arial"/>
                <w:color w:val="0D0D0D" w:themeColor="text1" w:themeTint="F2"/>
                <w:spacing w:val="-4"/>
                <w:lang w:val="en-GB"/>
              </w:rPr>
              <w:t xml:space="preserve"> </w:t>
            </w:r>
            <w:r>
              <w:rPr>
                <w:rFonts w:cs="Arial"/>
                <w:color w:val="0D0D0D" w:themeColor="text1" w:themeTint="F2"/>
                <w:spacing w:val="-4"/>
                <w:lang w:val="en-GB"/>
              </w:rPr>
              <w:t xml:space="preserve">from </w:t>
            </w:r>
            <w:r w:rsidR="00B92C9D">
              <w:rPr>
                <w:rFonts w:cs="Arial"/>
                <w:color w:val="0D0D0D" w:themeColor="text1" w:themeTint="F2"/>
                <w:spacing w:val="-4"/>
                <w:lang w:val="en-GB"/>
              </w:rPr>
              <w:t>employment</w:t>
            </w:r>
            <w:r>
              <w:rPr>
                <w:rFonts w:cs="Arial"/>
                <w:color w:val="0D0D0D" w:themeColor="text1" w:themeTint="F2"/>
                <w:spacing w:val="-4"/>
                <w:lang w:val="en-GB"/>
              </w:rPr>
              <w:t xml:space="preserve">, the development of the labour market was still favourable. </w:t>
            </w:r>
            <w:r w:rsidR="006E394C">
              <w:rPr>
                <w:rFonts w:cs="Arial"/>
                <w:color w:val="0D0D0D" w:themeColor="text1" w:themeTint="F2"/>
                <w:spacing w:val="-4"/>
                <w:lang w:val="en-GB"/>
              </w:rPr>
              <w:t xml:space="preserve">Its </w:t>
            </w:r>
            <w:r w:rsidR="00163841">
              <w:rPr>
                <w:rFonts w:cs="Arial"/>
                <w:color w:val="0D0D0D" w:themeColor="text1" w:themeTint="F2"/>
                <w:spacing w:val="-4"/>
                <w:lang w:val="en-GB"/>
              </w:rPr>
              <w:t>state-wide</w:t>
            </w:r>
            <w:r w:rsidR="006E394C">
              <w:rPr>
                <w:rFonts w:cs="Arial"/>
                <w:color w:val="0D0D0D" w:themeColor="text1" w:themeTint="F2"/>
                <w:spacing w:val="-4"/>
                <w:lang w:val="en-GB"/>
              </w:rPr>
              <w:t xml:space="preserve"> collection strengthened for already a third year in a row (up to last year´s +13.3%) and it tightly exceeded the record year-on-year growth from the expansion year of 2007. </w:t>
            </w:r>
            <w:r w:rsidR="00163841">
              <w:rPr>
                <w:rFonts w:cs="Arial"/>
                <w:color w:val="0D0D0D" w:themeColor="text1" w:themeTint="F2"/>
                <w:spacing w:val="-4"/>
                <w:lang w:val="en-GB"/>
              </w:rPr>
              <w:t xml:space="preserve">Expanding economy also stimulated the business activity, which showed also in the higher collection of the ITNP from the self-employment </w:t>
            </w:r>
            <w:r w:rsidR="005D7503" w:rsidRPr="003E2469">
              <w:rPr>
                <w:rFonts w:cs="Arial"/>
                <w:spacing w:val="-4"/>
                <w:lang w:val="en-GB"/>
              </w:rPr>
              <w:t>(</w:t>
            </w:r>
            <w:r w:rsidR="00163841">
              <w:rPr>
                <w:rFonts w:cs="Arial"/>
                <w:spacing w:val="-4"/>
                <w:lang w:val="en-GB"/>
              </w:rPr>
              <w:t xml:space="preserve">by </w:t>
            </w:r>
            <w:r w:rsidR="005D7503" w:rsidRPr="003E2469">
              <w:rPr>
                <w:rFonts w:cs="Arial"/>
                <w:spacing w:val="-4"/>
                <w:lang w:val="en-GB"/>
              </w:rPr>
              <w:t>11</w:t>
            </w:r>
            <w:r w:rsidR="00163841">
              <w:rPr>
                <w:rFonts w:cs="Arial"/>
                <w:spacing w:val="-4"/>
                <w:lang w:val="en-GB"/>
              </w:rPr>
              <w:t>.</w:t>
            </w:r>
            <w:r w:rsidR="005D7503" w:rsidRPr="003E2469">
              <w:rPr>
                <w:rFonts w:cs="Arial"/>
                <w:spacing w:val="-4"/>
                <w:lang w:val="en-GB"/>
              </w:rPr>
              <w:t xml:space="preserve">2% </w:t>
            </w:r>
            <w:r w:rsidR="00163841">
              <w:rPr>
                <w:rFonts w:cs="Arial"/>
                <w:spacing w:val="-4"/>
                <w:lang w:val="en-GB"/>
              </w:rPr>
              <w:t xml:space="preserve">to </w:t>
            </w:r>
            <w:r w:rsidR="005D7503" w:rsidRPr="003E2469">
              <w:rPr>
                <w:rFonts w:cs="Arial"/>
                <w:spacing w:val="-4"/>
                <w:lang w:val="en-GB"/>
              </w:rPr>
              <w:t>7</w:t>
            </w:r>
            <w:r w:rsidR="00163841">
              <w:rPr>
                <w:rFonts w:cs="Arial"/>
                <w:spacing w:val="-4"/>
                <w:lang w:val="en-GB"/>
              </w:rPr>
              <w:t>.</w:t>
            </w:r>
            <w:r w:rsidR="005D7503" w:rsidRPr="003E2469">
              <w:rPr>
                <w:rFonts w:cs="Arial"/>
                <w:spacing w:val="-4"/>
                <w:lang w:val="en-GB"/>
              </w:rPr>
              <w:t>6 </w:t>
            </w:r>
            <w:r w:rsidR="00163841">
              <w:rPr>
                <w:rFonts w:cs="Arial"/>
                <w:spacing w:val="-4"/>
                <w:lang w:val="en-GB"/>
              </w:rPr>
              <w:t>CZK bn</w:t>
            </w:r>
            <w:r w:rsidR="005D7503" w:rsidRPr="003E2469">
              <w:rPr>
                <w:rFonts w:cs="Arial"/>
                <w:spacing w:val="-4"/>
                <w:lang w:val="en-GB"/>
              </w:rPr>
              <w:t xml:space="preserve">). </w:t>
            </w:r>
            <w:r w:rsidR="00837871">
              <w:rPr>
                <w:rFonts w:cs="Arial"/>
                <w:spacing w:val="-4"/>
                <w:lang w:val="en-GB"/>
              </w:rPr>
              <w:t xml:space="preserve">Collection of this tax grew already third year in a row. Collection of ITNP from capital revenues </w:t>
            </w:r>
            <w:r w:rsidR="00B15C1D">
              <w:rPr>
                <w:rFonts w:cs="Arial"/>
                <w:spacing w:val="-4"/>
                <w:lang w:val="en-GB"/>
              </w:rPr>
              <w:t>arrived at 16 CZK bn last year. It was the only more significant tax by volume, where the state collected less last year. Not only the prevailing low interest rates on deposits had an impact here, but especially the legislative change associated with the</w:t>
            </w:r>
            <w:r w:rsidR="005D7503" w:rsidRPr="003E2469">
              <w:rPr>
                <w:spacing w:val="-4"/>
                <w:lang w:val="en-GB"/>
              </w:rPr>
              <w:t> </w:t>
            </w:r>
            <w:r w:rsidR="00205711">
              <w:rPr>
                <w:rFonts w:cs="Arial"/>
                <w:spacing w:val="-2"/>
                <w:lang w:val="en-GB"/>
              </w:rPr>
              <w:t xml:space="preserve">tax exemption for the retirement entitlement of the defence forces. </w:t>
            </w:r>
          </w:p>
        </w:tc>
      </w:tr>
    </w:tbl>
    <w:p w:rsidR="005D7503" w:rsidRPr="00B31338" w:rsidRDefault="005D7503" w:rsidP="005D7503">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3E0261" w:rsidP="00CF0826">
            <w:pPr>
              <w:pStyle w:val="Textpoznpodarou"/>
              <w:jc w:val="both"/>
              <w:rPr>
                <w:highlight w:val="yellow"/>
              </w:rPr>
            </w:pPr>
            <w:r>
              <w:rPr>
                <w:color w:val="000000"/>
              </w:rPr>
              <w:t>Chart</w:t>
            </w:r>
            <w:r w:rsidR="005D7503">
              <w:rPr>
                <w:color w:val="000000"/>
              </w:rPr>
              <w:t> 19</w:t>
            </w:r>
          </w:p>
        </w:tc>
        <w:tc>
          <w:tcPr>
            <w:tcW w:w="3262" w:type="pct"/>
          </w:tcPr>
          <w:p w:rsidR="005807D6" w:rsidRDefault="005807D6" w:rsidP="005807D6">
            <w:pPr>
              <w:spacing w:line="240" w:lineRule="auto"/>
              <w:rPr>
                <w:rFonts w:cs="Arial"/>
                <w:bCs/>
                <w:lang w:val="en-GB"/>
              </w:rPr>
            </w:pPr>
            <w:r>
              <w:rPr>
                <w:rFonts w:cs="Arial"/>
                <w:b/>
                <w:bCs/>
                <w:lang w:val="en-GB"/>
              </w:rPr>
              <w:t xml:space="preserve">State wide collection of tax income </w:t>
            </w:r>
            <w:r>
              <w:rPr>
                <w:rFonts w:cs="Arial"/>
                <w:bCs/>
                <w:lang w:val="en-GB"/>
              </w:rPr>
              <w:t>(year-on-year in %</w:t>
            </w:r>
            <w:r>
              <w:rPr>
                <w:bCs/>
                <w:spacing w:val="-2"/>
                <w:lang w:val="en-GB"/>
              </w:rPr>
              <w:t>)</w:t>
            </w:r>
            <w:r>
              <w:rPr>
                <w:rFonts w:cs="Arial"/>
                <w:bCs/>
                <w:lang w:val="en-GB"/>
              </w:rPr>
              <w:t xml:space="preserve"> </w:t>
            </w:r>
          </w:p>
          <w:p w:rsidR="005D7503" w:rsidRPr="0007324C" w:rsidRDefault="005807D6" w:rsidP="005807D6">
            <w:pPr>
              <w:spacing w:line="240" w:lineRule="auto"/>
              <w:rPr>
                <w:rFonts w:cs="Arial"/>
                <w:b/>
                <w:bCs/>
              </w:rPr>
            </w:pPr>
            <w:r>
              <w:rPr>
                <w:rFonts w:cs="Arial"/>
                <w:b/>
                <w:bCs/>
                <w:lang w:val="en-GB"/>
              </w:rPr>
              <w:t xml:space="preserve">and state budget balance </w:t>
            </w:r>
            <w:r>
              <w:rPr>
                <w:rFonts w:cs="Arial"/>
                <w:bCs/>
                <w:lang w:val="en-GB"/>
              </w:rPr>
              <w:t>(in CZK bn)</w:t>
            </w:r>
          </w:p>
        </w:tc>
      </w:tr>
      <w:tr w:rsidR="005D7503" w:rsidRPr="00AA4A76"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53030C" w:rsidP="00CF0826">
            <w:pPr>
              <w:pStyle w:val="Textpoznpodarou"/>
              <w:ind w:left="-124"/>
              <w:jc w:val="both"/>
              <w:rPr>
                <w:sz w:val="16"/>
                <w:szCs w:val="16"/>
              </w:rPr>
            </w:pPr>
            <w:r w:rsidRPr="0053030C">
              <w:rPr>
                <w:noProof/>
                <w:sz w:val="16"/>
                <w:szCs w:val="16"/>
              </w:rPr>
              <w:drawing>
                <wp:inline distT="0" distB="0" distL="0" distR="0">
                  <wp:extent cx="4752000" cy="3551605"/>
                  <wp:effectExtent l="19050" t="0" r="0"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C68E7" w:rsidRPr="0053030C" w:rsidRDefault="00DC68E7" w:rsidP="0053030C">
            <w:pPr>
              <w:pStyle w:val="Textpoznpodarou"/>
              <w:ind w:left="-124"/>
              <w:jc w:val="right"/>
              <w:rPr>
                <w:rFonts w:cs="Arial"/>
                <w:sz w:val="14"/>
                <w:szCs w:val="14"/>
              </w:rPr>
            </w:pPr>
            <w:proofErr w:type="spellStart"/>
            <w:r>
              <w:rPr>
                <w:rFonts w:cs="Arial"/>
                <w:sz w:val="14"/>
                <w:szCs w:val="14"/>
              </w:rPr>
              <w:t>Source</w:t>
            </w:r>
            <w:proofErr w:type="spellEnd"/>
            <w:r w:rsidR="005D7503" w:rsidRPr="00535F78">
              <w:rPr>
                <w:rFonts w:cs="Arial"/>
                <w:sz w:val="14"/>
                <w:szCs w:val="14"/>
              </w:rPr>
              <w:t>: MF</w:t>
            </w:r>
            <w:r w:rsidR="002F19CC">
              <w:rPr>
                <w:rFonts w:cs="Arial"/>
                <w:sz w:val="14"/>
                <w:szCs w:val="14"/>
              </w:rPr>
              <w:t xml:space="preserve"> CR</w:t>
            </w:r>
          </w:p>
        </w:tc>
      </w:tr>
    </w:tbl>
    <w:p w:rsidR="005D7503" w:rsidRPr="00B31338" w:rsidRDefault="005D7503" w:rsidP="005D7503">
      <w:pPr>
        <w:pStyle w:val="Textpoznpodarou"/>
        <w:jc w:val="both"/>
        <w:rPr>
          <w:rFonts w:cs="Arial"/>
          <w:color w:val="000000"/>
          <w:spacing w:val="-2"/>
          <w:sz w:val="16"/>
          <w:szCs w:val="16"/>
        </w:rPr>
      </w:pPr>
    </w:p>
    <w:tbl>
      <w:tblPr>
        <w:tblW w:w="4995" w:type="pct"/>
        <w:tblInd w:w="108" w:type="dxa"/>
        <w:tblLayout w:type="fixed"/>
        <w:tblLook w:val="00A0"/>
      </w:tblPr>
      <w:tblGrid>
        <w:gridCol w:w="2000"/>
        <w:gridCol w:w="284"/>
        <w:gridCol w:w="7560"/>
      </w:tblGrid>
      <w:tr w:rsidR="005D7503" w:rsidRPr="00F06A1D" w:rsidTr="00CF0826">
        <w:trPr>
          <w:trHeight w:val="145"/>
        </w:trPr>
        <w:tc>
          <w:tcPr>
            <w:tcW w:w="1016" w:type="pct"/>
            <w:shd w:val="clear" w:color="auto" w:fill="auto"/>
          </w:tcPr>
          <w:p w:rsidR="005D7503" w:rsidRPr="00D252D6" w:rsidRDefault="00D252D6" w:rsidP="00CF0826">
            <w:pPr>
              <w:spacing w:line="240" w:lineRule="auto"/>
              <w:rPr>
                <w:rFonts w:cs="Arial"/>
                <w:bCs/>
                <w:iCs/>
                <w:color w:val="0D0D0D" w:themeColor="text1" w:themeTint="F2"/>
                <w:spacing w:val="-2"/>
                <w:sz w:val="16"/>
                <w:szCs w:val="16"/>
                <w:lang w:val="en-GB"/>
              </w:rPr>
            </w:pPr>
            <w:r>
              <w:rPr>
                <w:rFonts w:cs="Arial"/>
                <w:bCs/>
                <w:iCs/>
                <w:color w:val="0D0D0D" w:themeColor="text1" w:themeTint="F2"/>
                <w:spacing w:val="-2"/>
                <w:sz w:val="16"/>
                <w:szCs w:val="16"/>
                <w:lang w:val="en-GB"/>
              </w:rPr>
              <w:t>Current expenditures contributed exclusively to the increase of the SB expenditures and grew the fastest in the last eight years.</w:t>
            </w: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p>
          <w:p w:rsidR="005D7503" w:rsidRPr="00D252D6" w:rsidRDefault="005D7503" w:rsidP="00CF0826">
            <w:pPr>
              <w:spacing w:line="240" w:lineRule="auto"/>
              <w:rPr>
                <w:rFonts w:cs="Arial"/>
                <w:bCs/>
                <w:iCs/>
                <w:color w:val="0D0D0D" w:themeColor="text1" w:themeTint="F2"/>
                <w:spacing w:val="-2"/>
                <w:sz w:val="16"/>
                <w:szCs w:val="16"/>
                <w:lang w:val="en-GB"/>
              </w:rPr>
            </w:pPr>
            <w:r w:rsidRPr="00D252D6">
              <w:rPr>
                <w:rFonts w:cs="Arial"/>
                <w:bCs/>
                <w:iCs/>
                <w:color w:val="0D0D0D" w:themeColor="text1" w:themeTint="F2"/>
                <w:spacing w:val="-2"/>
                <w:sz w:val="16"/>
                <w:szCs w:val="16"/>
                <w:lang w:val="en-GB"/>
              </w:rPr>
              <w:t>„</w:t>
            </w:r>
            <w:r w:rsidR="00556C12">
              <w:rPr>
                <w:rFonts w:cs="Arial"/>
                <w:bCs/>
                <w:iCs/>
                <w:color w:val="0D0D0D" w:themeColor="text1" w:themeTint="F2"/>
                <w:spacing w:val="-2"/>
                <w:sz w:val="16"/>
                <w:szCs w:val="16"/>
                <w:lang w:val="en-GB"/>
              </w:rPr>
              <w:t xml:space="preserve">Failing to complete the </w:t>
            </w:r>
            <w:r w:rsidR="009A1EA4">
              <w:rPr>
                <w:rFonts w:cs="Arial"/>
                <w:bCs/>
                <w:iCs/>
                <w:color w:val="0D0D0D" w:themeColor="text1" w:themeTint="F2"/>
                <w:spacing w:val="-2"/>
                <w:sz w:val="16"/>
                <w:szCs w:val="16"/>
                <w:lang w:val="en-GB"/>
              </w:rPr>
              <w:t>drawing</w:t>
            </w:r>
            <w:r w:rsidR="009A1EA4" w:rsidRPr="00D252D6">
              <w:rPr>
                <w:rFonts w:cs="Arial"/>
                <w:bCs/>
                <w:iCs/>
                <w:color w:val="0D0D0D" w:themeColor="text1" w:themeTint="F2"/>
                <w:spacing w:val="-2"/>
                <w:sz w:val="16"/>
                <w:szCs w:val="16"/>
                <w:lang w:val="en-GB"/>
              </w:rPr>
              <w:t xml:space="preserve"> “of</w:t>
            </w:r>
            <w:r w:rsidR="00556C12">
              <w:rPr>
                <w:rFonts w:cs="Arial"/>
                <w:bCs/>
                <w:iCs/>
                <w:color w:val="0D0D0D" w:themeColor="text1" w:themeTint="F2"/>
                <w:spacing w:val="-2"/>
                <w:sz w:val="16"/>
                <w:szCs w:val="16"/>
                <w:lang w:val="en-GB"/>
              </w:rPr>
              <w:t xml:space="preserve"> investment in relation to the budget anticipations deepened to 22 CZK bn last year.</w:t>
            </w:r>
          </w:p>
        </w:tc>
        <w:tc>
          <w:tcPr>
            <w:tcW w:w="144" w:type="pct"/>
          </w:tcPr>
          <w:p w:rsidR="005D7503" w:rsidRPr="00D252D6" w:rsidRDefault="005D7503" w:rsidP="00CF0826">
            <w:pPr>
              <w:pStyle w:val="Textpoznpodarou"/>
              <w:jc w:val="both"/>
              <w:rPr>
                <w:rFonts w:cs="Arial"/>
                <w:color w:val="0D0D0D" w:themeColor="text1" w:themeTint="F2"/>
                <w:lang w:val="en-GB"/>
              </w:rPr>
            </w:pPr>
          </w:p>
        </w:tc>
        <w:tc>
          <w:tcPr>
            <w:tcW w:w="3840" w:type="pct"/>
          </w:tcPr>
          <w:p w:rsidR="005D7503" w:rsidRPr="00D252D6" w:rsidRDefault="00D252D6" w:rsidP="00CF0826">
            <w:pPr>
              <w:pStyle w:val="Textpoznpodarou"/>
              <w:jc w:val="both"/>
              <w:rPr>
                <w:lang w:val="en-GB"/>
              </w:rPr>
            </w:pPr>
            <w:r>
              <w:rPr>
                <w:rFonts w:cs="Arial"/>
                <w:color w:val="0D0D0D" w:themeColor="text1" w:themeTint="F2"/>
                <w:spacing w:val="-4"/>
                <w:lang w:val="en-GB"/>
              </w:rPr>
              <w:t xml:space="preserve">Total SB expenditures grew by 4.9% last year to near </w:t>
            </w:r>
            <w:r w:rsidR="005D7503" w:rsidRPr="00D252D6">
              <w:rPr>
                <w:rFonts w:cs="Arial"/>
                <w:color w:val="0D0D0D" w:themeColor="text1" w:themeTint="F2"/>
                <w:spacing w:val="-4"/>
                <w:lang w:val="en-GB"/>
              </w:rPr>
              <w:t xml:space="preserve">1 280 </w:t>
            </w:r>
            <w:r>
              <w:rPr>
                <w:rFonts w:cs="Arial"/>
                <w:color w:val="0D0D0D" w:themeColor="text1" w:themeTint="F2"/>
                <w:spacing w:val="-4"/>
                <w:lang w:val="en-GB"/>
              </w:rPr>
              <w:t>CZK bn.</w:t>
            </w:r>
            <w:r w:rsidR="005D7503" w:rsidRPr="00D252D6">
              <w:rPr>
                <w:rFonts w:cs="Arial"/>
                <w:color w:val="0D0D0D" w:themeColor="text1" w:themeTint="F2"/>
                <w:spacing w:val="-4"/>
                <w:lang w:val="en-GB"/>
              </w:rPr>
              <w:t xml:space="preserve"> </w:t>
            </w:r>
            <w:r>
              <w:rPr>
                <w:rFonts w:cs="Arial"/>
                <w:color w:val="0D0D0D" w:themeColor="text1" w:themeTint="F2"/>
                <w:spacing w:val="-4"/>
                <w:lang w:val="en-GB"/>
              </w:rPr>
              <w:t xml:space="preserve">Similarly to year 2016, the current expenditures contributed exclusively to their growth, their rate of growth was the highest in the last eight years </w:t>
            </w:r>
            <w:r w:rsidR="005D7503" w:rsidRPr="00D252D6">
              <w:rPr>
                <w:rFonts w:cs="Arial"/>
                <w:color w:val="0D0D0D" w:themeColor="text1" w:themeTint="F2"/>
                <w:spacing w:val="-4"/>
                <w:lang w:val="en-GB"/>
              </w:rPr>
              <w:t>(+5</w:t>
            </w:r>
            <w:r>
              <w:rPr>
                <w:rFonts w:cs="Arial"/>
                <w:color w:val="0D0D0D" w:themeColor="text1" w:themeTint="F2"/>
                <w:spacing w:val="-4"/>
                <w:lang w:val="en-GB"/>
              </w:rPr>
              <w:t>.</w:t>
            </w:r>
            <w:r w:rsidR="005D7503" w:rsidRPr="00D252D6">
              <w:rPr>
                <w:rFonts w:cs="Arial"/>
                <w:color w:val="0D0D0D" w:themeColor="text1" w:themeTint="F2"/>
                <w:spacing w:val="-4"/>
                <w:lang w:val="en-GB"/>
              </w:rPr>
              <w:t xml:space="preserve">5%). </w:t>
            </w:r>
            <w:r w:rsidR="00F0540C">
              <w:rPr>
                <w:rFonts w:cs="Arial"/>
                <w:color w:val="0D0D0D" w:themeColor="text1" w:themeTint="F2"/>
                <w:spacing w:val="-4"/>
                <w:lang w:val="en-GB"/>
              </w:rPr>
              <w:t xml:space="preserve">Capital expenditures again fell despite the low comparative basis last year </w:t>
            </w:r>
            <w:r w:rsidR="003F7631" w:rsidRPr="00D252D6">
              <w:rPr>
                <w:rFonts w:cs="Arial"/>
                <w:color w:val="0D0D0D" w:themeColor="text1" w:themeTint="F2"/>
                <w:spacing w:val="-4"/>
                <w:lang w:val="en-GB"/>
              </w:rPr>
              <w:t>(-3</w:t>
            </w:r>
            <w:r w:rsidR="00F0540C">
              <w:rPr>
                <w:rFonts w:cs="Arial"/>
                <w:color w:val="0D0D0D" w:themeColor="text1" w:themeTint="F2"/>
                <w:spacing w:val="-4"/>
                <w:lang w:val="en-GB"/>
              </w:rPr>
              <w:t>.</w:t>
            </w:r>
            <w:r w:rsidR="003F7631" w:rsidRPr="00D252D6">
              <w:rPr>
                <w:rFonts w:cs="Arial"/>
                <w:color w:val="0D0D0D" w:themeColor="text1" w:themeTint="F2"/>
                <w:spacing w:val="-4"/>
                <w:lang w:val="en-GB"/>
              </w:rPr>
              <w:t>1</w:t>
            </w:r>
            <w:r w:rsidR="005D7503" w:rsidRPr="00D252D6">
              <w:rPr>
                <w:rFonts w:cs="Arial"/>
                <w:color w:val="0D0D0D" w:themeColor="text1" w:themeTint="F2"/>
                <w:spacing w:val="-4"/>
                <w:lang w:val="en-GB"/>
              </w:rPr>
              <w:t xml:space="preserve">%). </w:t>
            </w:r>
            <w:r w:rsidR="00F0540C">
              <w:rPr>
                <w:rFonts w:cs="Arial"/>
                <w:color w:val="0D0D0D" w:themeColor="text1" w:themeTint="F2"/>
                <w:spacing w:val="-4"/>
                <w:lang w:val="en-GB"/>
              </w:rPr>
              <w:t xml:space="preserve">While the </w:t>
            </w:r>
            <w:r w:rsidR="00556C12">
              <w:rPr>
                <w:rFonts w:cs="Arial"/>
                <w:color w:val="0D0D0D" w:themeColor="text1" w:themeTint="F2"/>
                <w:spacing w:val="-4"/>
                <w:lang w:val="en-GB"/>
              </w:rPr>
              <w:t>drawing</w:t>
            </w:r>
            <w:r w:rsidR="00F0540C">
              <w:rPr>
                <w:rFonts w:cs="Arial"/>
                <w:color w:val="0D0D0D" w:themeColor="text1" w:themeTint="F2"/>
                <w:spacing w:val="-4"/>
                <w:lang w:val="en-GB"/>
              </w:rPr>
              <w:t xml:space="preserve"> of investment stayed only tightly behind the budget anticipations in year 2016, this difference</w:t>
            </w:r>
            <w:r w:rsidR="00556C12">
              <w:rPr>
                <w:rFonts w:cs="Arial"/>
                <w:color w:val="0D0D0D" w:themeColor="text1" w:themeTint="F2"/>
                <w:spacing w:val="-4"/>
                <w:lang w:val="en-GB"/>
              </w:rPr>
              <w:t xml:space="preserve"> consisted of more than 22 CZK bn already last year. Their drawing recorded more </w:t>
            </w:r>
            <w:r w:rsidR="00556C12">
              <w:rPr>
                <w:rFonts w:cs="Arial"/>
                <w:color w:val="0D0D0D" w:themeColor="text1" w:themeTint="F2"/>
                <w:spacing w:val="-4"/>
                <w:lang w:val="en-GB"/>
              </w:rPr>
              <w:lastRenderedPageBreak/>
              <w:t>considerable irregularities</w:t>
            </w:r>
            <w:r w:rsidR="005D7503" w:rsidRPr="00D252D6">
              <w:rPr>
                <w:rStyle w:val="Znakapoznpodarou"/>
                <w:color w:val="0D0D0D" w:themeColor="text1" w:themeTint="F2"/>
                <w:spacing w:val="-4"/>
                <w:lang w:val="en-GB"/>
              </w:rPr>
              <w:footnoteReference w:id="40"/>
            </w:r>
            <w:r w:rsidR="00556C12">
              <w:rPr>
                <w:rFonts w:cs="Arial"/>
                <w:color w:val="0D0D0D" w:themeColor="text1" w:themeTint="F2"/>
                <w:spacing w:val="-4"/>
                <w:lang w:val="en-GB"/>
              </w:rPr>
              <w:t xml:space="preserve"> during the year</w:t>
            </w:r>
            <w:r w:rsidR="005D7503" w:rsidRPr="00D252D6">
              <w:rPr>
                <w:rFonts w:cs="Arial"/>
                <w:color w:val="0D0D0D" w:themeColor="text1" w:themeTint="F2"/>
                <w:spacing w:val="-4"/>
                <w:lang w:val="en-GB"/>
              </w:rPr>
              <w:t xml:space="preserve">. </w:t>
            </w:r>
            <w:r w:rsidR="00556C12">
              <w:rPr>
                <w:rFonts w:cs="Arial"/>
                <w:color w:val="0D0D0D" w:themeColor="text1" w:themeTint="F2"/>
                <w:spacing w:val="-4"/>
                <w:lang w:val="en-GB"/>
              </w:rPr>
              <w:t>The volume of investment completed by means of common programmes of the EU and CR (from the programme period 2014</w:t>
            </w:r>
            <w:r w:rsidR="00A60383" w:rsidRPr="00D252D6">
              <w:rPr>
                <w:lang w:val="en-GB"/>
              </w:rPr>
              <w:t>–</w:t>
            </w:r>
            <w:r w:rsidR="005D7503" w:rsidRPr="00D252D6">
              <w:rPr>
                <w:lang w:val="en-GB"/>
              </w:rPr>
              <w:t xml:space="preserve">2020) </w:t>
            </w:r>
            <w:r w:rsidR="00556C12">
              <w:rPr>
                <w:lang w:val="en-GB"/>
              </w:rPr>
              <w:t xml:space="preserve">attained </w:t>
            </w:r>
            <w:r w:rsidR="005D7503" w:rsidRPr="00D252D6">
              <w:rPr>
                <w:lang w:val="en-GB"/>
              </w:rPr>
              <w:t>36</w:t>
            </w:r>
            <w:r w:rsidR="00556C12">
              <w:rPr>
                <w:lang w:val="en-GB"/>
              </w:rPr>
              <w:t>.</w:t>
            </w:r>
            <w:r w:rsidR="005D7503" w:rsidRPr="00D252D6">
              <w:rPr>
                <w:lang w:val="en-GB"/>
              </w:rPr>
              <w:t xml:space="preserve">9 </w:t>
            </w:r>
            <w:r w:rsidR="00556C12">
              <w:rPr>
                <w:lang w:val="en-GB"/>
              </w:rPr>
              <w:t>CZK bn, doubled year-on-year. Nearly one half from this volume was financed with the assistance of the operation</w:t>
            </w:r>
            <w:r w:rsidR="00065425">
              <w:rPr>
                <w:lang w:val="en-GB"/>
              </w:rPr>
              <w:t>al programme (</w:t>
            </w:r>
            <w:r w:rsidR="009A1EA4">
              <w:rPr>
                <w:lang w:val="en-GB"/>
              </w:rPr>
              <w:t>OP) Transportation</w:t>
            </w:r>
            <w:r w:rsidR="00065425">
              <w:rPr>
                <w:lang w:val="en-GB"/>
              </w:rPr>
              <w:t xml:space="preserve">, one </w:t>
            </w:r>
            <w:r w:rsidR="009A1EA4">
              <w:rPr>
                <w:lang w:val="en-GB"/>
              </w:rPr>
              <w:t>fifth</w:t>
            </w:r>
            <w:r w:rsidR="00065425">
              <w:rPr>
                <w:lang w:val="en-GB"/>
              </w:rPr>
              <w:t xml:space="preserve"> then via the OP Environment. All expenditures to finance the common EU and CR programmes (incl. current outlays) arrived at 91.1 CZK bn last year and practically stagnated in comparison to year 2016. </w:t>
            </w:r>
            <w:r w:rsidR="008B5F41">
              <w:rPr>
                <w:lang w:val="en-GB"/>
              </w:rPr>
              <w:t xml:space="preserve">Just under </w:t>
            </w:r>
            <w:r w:rsidR="005D7503" w:rsidRPr="00D252D6">
              <w:rPr>
                <w:lang w:val="en-GB"/>
              </w:rPr>
              <w:t>55%</w:t>
            </w:r>
            <w:r w:rsidR="008B5F41">
              <w:rPr>
                <w:lang w:val="en-GB"/>
              </w:rPr>
              <w:t xml:space="preserve"> of all SB capital expenditures were directed solely to the national projects and thus did not have any relation to the EU. The volume of such assigned </w:t>
            </w:r>
            <w:r w:rsidR="0080585A">
              <w:rPr>
                <w:lang w:val="en-GB"/>
              </w:rPr>
              <w:t xml:space="preserve">investment </w:t>
            </w:r>
            <w:r w:rsidR="005D7503" w:rsidRPr="00D252D6">
              <w:rPr>
                <w:lang w:val="en-GB"/>
              </w:rPr>
              <w:t>(44</w:t>
            </w:r>
            <w:r w:rsidR="00A60383" w:rsidRPr="00D252D6">
              <w:rPr>
                <w:lang w:val="en-GB"/>
              </w:rPr>
              <w:t> </w:t>
            </w:r>
            <w:r w:rsidR="008B5F41">
              <w:rPr>
                <w:lang w:val="en-GB"/>
              </w:rPr>
              <w:t xml:space="preserve">CZK bn) stagnated year-on-year, it was however by nearly one half larger compared to year 2015. The proportion of investment on total SB expenditures was falling already second year in a row and comprised mere </w:t>
            </w:r>
            <w:r w:rsidR="005D7503" w:rsidRPr="00D252D6">
              <w:rPr>
                <w:rFonts w:cs="Arial"/>
                <w:color w:val="000000" w:themeColor="text1"/>
                <w:spacing w:val="-4"/>
                <w:lang w:val="en-GB"/>
              </w:rPr>
              <w:t>6</w:t>
            </w:r>
            <w:r w:rsidR="008B5F41">
              <w:rPr>
                <w:rFonts w:cs="Arial"/>
                <w:color w:val="000000" w:themeColor="text1"/>
                <w:spacing w:val="-4"/>
                <w:lang w:val="en-GB"/>
              </w:rPr>
              <w:t>.</w:t>
            </w:r>
            <w:r w:rsidR="005D7503" w:rsidRPr="00D252D6">
              <w:rPr>
                <w:rFonts w:cs="Arial"/>
                <w:color w:val="000000" w:themeColor="text1"/>
                <w:spacing w:val="-4"/>
                <w:lang w:val="en-GB"/>
              </w:rPr>
              <w:t>4</w:t>
            </w:r>
            <w:r w:rsidR="005D7503" w:rsidRPr="00D252D6">
              <w:rPr>
                <w:rFonts w:cs="Arial"/>
                <w:color w:val="0D0D0D" w:themeColor="text1" w:themeTint="F2"/>
                <w:spacing w:val="-4"/>
                <w:lang w:val="en-GB"/>
              </w:rPr>
              <w:t>%</w:t>
            </w:r>
            <w:r w:rsidR="005D7503" w:rsidRPr="00D252D6">
              <w:rPr>
                <w:rFonts w:cs="Arial"/>
                <w:color w:val="000000" w:themeColor="text1"/>
                <w:spacing w:val="-4"/>
                <w:lang w:val="en-GB"/>
              </w:rPr>
              <w:t xml:space="preserve">, </w:t>
            </w:r>
            <w:r w:rsidR="008B5F41">
              <w:rPr>
                <w:rFonts w:cs="Arial"/>
                <w:color w:val="000000" w:themeColor="text1"/>
                <w:spacing w:val="-4"/>
                <w:lang w:val="en-GB"/>
              </w:rPr>
              <w:t xml:space="preserve">which was the least since year </w:t>
            </w:r>
            <w:r w:rsidR="005D7503" w:rsidRPr="00D252D6">
              <w:rPr>
                <w:rFonts w:cs="Arial"/>
                <w:color w:val="000000" w:themeColor="text1"/>
                <w:spacing w:val="-4"/>
                <w:lang w:val="en-GB"/>
              </w:rPr>
              <w:t>1998.</w:t>
            </w:r>
          </w:p>
          <w:p w:rsidR="005D7503" w:rsidRPr="00D252D6" w:rsidRDefault="005D7503" w:rsidP="00CF0826">
            <w:pPr>
              <w:pStyle w:val="Textpoznpodarou"/>
              <w:jc w:val="both"/>
              <w:rPr>
                <w:rFonts w:cs="Arial"/>
                <w:color w:val="0D0D0D" w:themeColor="text1" w:themeTint="F2"/>
                <w:spacing w:val="-2"/>
                <w:sz w:val="14"/>
                <w:szCs w:val="14"/>
                <w:lang w:val="en-GB"/>
              </w:rPr>
            </w:pPr>
          </w:p>
        </w:tc>
      </w:tr>
      <w:tr w:rsidR="005D7503" w:rsidRPr="0094422D" w:rsidTr="00CF0826">
        <w:trPr>
          <w:trHeight w:val="145"/>
        </w:trPr>
        <w:tc>
          <w:tcPr>
            <w:tcW w:w="1016" w:type="pct"/>
            <w:shd w:val="clear" w:color="auto" w:fill="auto"/>
          </w:tcPr>
          <w:p w:rsidR="005D7503" w:rsidRPr="004D3B7D" w:rsidRDefault="004D3B7D" w:rsidP="00CF0826">
            <w:pPr>
              <w:spacing w:line="240" w:lineRule="auto"/>
              <w:rPr>
                <w:rFonts w:cs="Arial"/>
                <w:bCs/>
                <w:iCs/>
                <w:color w:val="0D0D0D" w:themeColor="text1" w:themeTint="F2"/>
                <w:spacing w:val="-4"/>
                <w:sz w:val="16"/>
                <w:szCs w:val="16"/>
                <w:lang w:val="en-GB"/>
              </w:rPr>
            </w:pPr>
            <w:r w:rsidRPr="004D3B7D">
              <w:rPr>
                <w:rFonts w:cs="Arial"/>
                <w:bCs/>
                <w:iCs/>
                <w:color w:val="0D0D0D" w:themeColor="text1" w:themeTint="F2"/>
                <w:spacing w:val="-4"/>
                <w:sz w:val="16"/>
                <w:szCs w:val="16"/>
                <w:lang w:val="en-GB"/>
              </w:rPr>
              <w:lastRenderedPageBreak/>
              <w:t>Positive balance of the CR towards the EU budget shrank to a six-year minimum. The weak</w:t>
            </w:r>
            <w:r>
              <w:rPr>
                <w:rFonts w:cs="Arial"/>
                <w:bCs/>
                <w:iCs/>
                <w:color w:val="0D0D0D" w:themeColor="text1" w:themeTint="F2"/>
                <w:spacing w:val="-4"/>
                <w:sz w:val="16"/>
                <w:szCs w:val="16"/>
                <w:lang w:val="en-GB"/>
              </w:rPr>
              <w:t>e</w:t>
            </w:r>
            <w:r w:rsidRPr="004D3B7D">
              <w:rPr>
                <w:rFonts w:cs="Arial"/>
                <w:bCs/>
                <w:iCs/>
                <w:color w:val="0D0D0D" w:themeColor="text1" w:themeTint="F2"/>
                <w:spacing w:val="-4"/>
                <w:sz w:val="16"/>
                <w:szCs w:val="16"/>
                <w:lang w:val="en-GB"/>
              </w:rPr>
              <w:t>r drawing of the structural funds, including among other the projects hard on investment preparation were the cause.</w:t>
            </w:r>
          </w:p>
        </w:tc>
        <w:tc>
          <w:tcPr>
            <w:tcW w:w="144" w:type="pct"/>
          </w:tcPr>
          <w:p w:rsidR="005D7503" w:rsidRPr="004D3B7D" w:rsidRDefault="005D7503" w:rsidP="00CF0826">
            <w:pPr>
              <w:pStyle w:val="Textpoznpodarou"/>
              <w:jc w:val="both"/>
              <w:rPr>
                <w:rFonts w:cs="Arial"/>
                <w:color w:val="0D0D0D" w:themeColor="text1" w:themeTint="F2"/>
                <w:lang w:val="en-GB"/>
              </w:rPr>
            </w:pPr>
          </w:p>
        </w:tc>
        <w:tc>
          <w:tcPr>
            <w:tcW w:w="3840" w:type="pct"/>
          </w:tcPr>
          <w:p w:rsidR="005D7503" w:rsidRPr="004D3B7D" w:rsidRDefault="004D3B7D" w:rsidP="00CF0826">
            <w:pPr>
              <w:pStyle w:val="Textpoznpodarou"/>
              <w:jc w:val="both"/>
              <w:rPr>
                <w:rFonts w:cs="Arial"/>
                <w:color w:val="0D0D0D" w:themeColor="text1" w:themeTint="F2"/>
                <w:spacing w:val="-2"/>
                <w:lang w:val="en-GB"/>
              </w:rPr>
            </w:pPr>
            <w:r>
              <w:rPr>
                <w:rFonts w:cs="Arial"/>
                <w:color w:val="0D0D0D" w:themeColor="text1" w:themeTint="F2"/>
                <w:spacing w:val="-2"/>
                <w:lang w:val="en-GB"/>
              </w:rPr>
              <w:t xml:space="preserve">Drawing of the SB investment </w:t>
            </w:r>
            <w:r w:rsidR="0028019B">
              <w:rPr>
                <w:rFonts w:cs="Arial"/>
                <w:color w:val="0D0D0D" w:themeColor="text1" w:themeTint="F2"/>
                <w:spacing w:val="-2"/>
                <w:lang w:val="en-GB"/>
              </w:rPr>
              <w:t>intended to the European projects is with a certain delay evident in the development of the position of the CR towards the EU budget. Even though the CR acquired in “net” from the EU nearly 98 CZK bn last year, it was the least in the last six years. It was associated with the deeper reduction of the reimbursed funds in the area of the structural funds. Their last year´s amount (33 CZK bn) nevertheless slightly increased the level from yea</w:t>
            </w:r>
            <w:r w:rsidR="0080585A">
              <w:rPr>
                <w:rFonts w:cs="Arial"/>
                <w:color w:val="0D0D0D" w:themeColor="text1" w:themeTint="F2"/>
                <w:spacing w:val="-2"/>
                <w:lang w:val="en-GB"/>
              </w:rPr>
              <w:t>r</w:t>
            </w:r>
            <w:r w:rsidR="0028019B">
              <w:rPr>
                <w:rFonts w:cs="Arial"/>
                <w:color w:val="0D0D0D" w:themeColor="text1" w:themeTint="F2"/>
                <w:spacing w:val="-2"/>
                <w:lang w:val="en-GB"/>
              </w:rPr>
              <w:t>s 2007 and 2008, resp. from the commencement of the preceding programme period.</w:t>
            </w:r>
            <w:r w:rsidR="005D7503" w:rsidRPr="004D3B7D">
              <w:rPr>
                <w:rFonts w:cs="Arial"/>
                <w:color w:val="0D0D0D" w:themeColor="text1" w:themeTint="F2"/>
                <w:spacing w:val="-2"/>
                <w:lang w:val="en-GB"/>
              </w:rPr>
              <w:t xml:space="preserve"> </w:t>
            </w:r>
            <w:r w:rsidR="007D0ACF">
              <w:rPr>
                <w:rFonts w:cs="Arial"/>
                <w:color w:val="0D0D0D" w:themeColor="text1" w:themeTint="F2"/>
                <w:spacing w:val="-2"/>
                <w:lang w:val="en-GB"/>
              </w:rPr>
              <w:t xml:space="preserve">Drawing of funds meant for direct payment in agriculture or the rural development on the contrary functioned relatively continually in the recent years. The total payment of the CR into the EU budget also remains stable. In the last five years, it fluctuated around 43 CZK bn per year. </w:t>
            </w:r>
          </w:p>
        </w:tc>
      </w:tr>
    </w:tbl>
    <w:p w:rsidR="005D7503" w:rsidRPr="00B31338" w:rsidRDefault="005D7503"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7E5880" w:rsidTr="00CF0826">
        <w:trPr>
          <w:trHeight w:val="145"/>
        </w:trPr>
        <w:tc>
          <w:tcPr>
            <w:tcW w:w="1021" w:type="pct"/>
            <w:shd w:val="clear" w:color="auto" w:fill="auto"/>
          </w:tcPr>
          <w:p w:rsidR="005D7503" w:rsidRPr="00AA4A76" w:rsidRDefault="005D7503" w:rsidP="00CF0826">
            <w:pPr>
              <w:spacing w:line="240" w:lineRule="auto"/>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B945B0" w:rsidP="00CF0826">
            <w:pPr>
              <w:pStyle w:val="Textpoznpodarou"/>
              <w:jc w:val="both"/>
              <w:rPr>
                <w:highlight w:val="yellow"/>
              </w:rPr>
            </w:pPr>
            <w:r>
              <w:rPr>
                <w:color w:val="000000"/>
              </w:rPr>
              <w:t xml:space="preserve">Chart </w:t>
            </w:r>
            <w:r w:rsidR="007D0ACF">
              <w:rPr>
                <w:color w:val="000000"/>
              </w:rPr>
              <w:t>2</w:t>
            </w:r>
            <w:r w:rsidR="005D7503">
              <w:rPr>
                <w:color w:val="000000"/>
              </w:rPr>
              <w:t>0</w:t>
            </w:r>
          </w:p>
        </w:tc>
        <w:tc>
          <w:tcPr>
            <w:tcW w:w="3262" w:type="pct"/>
          </w:tcPr>
          <w:p w:rsidR="005D7503" w:rsidRPr="00C9521B" w:rsidRDefault="003B2D28" w:rsidP="00E96FC2">
            <w:pPr>
              <w:pStyle w:val="Textpoznpodarou"/>
              <w:rPr>
                <w:rFonts w:cs="Arial"/>
                <w:bCs/>
              </w:rPr>
            </w:pPr>
            <w:r>
              <w:rPr>
                <w:rFonts w:cs="Arial"/>
                <w:b/>
                <w:bCs/>
                <w:lang w:val="en-GB"/>
              </w:rPr>
              <w:t xml:space="preserve">Structure of the CR income from the EU budget and net position of the CR towards EU </w:t>
            </w:r>
            <w:r>
              <w:rPr>
                <w:rFonts w:cs="Arial"/>
                <w:bCs/>
                <w:lang w:val="en-GB"/>
              </w:rPr>
              <w:t>(in CZK bn)</w:t>
            </w:r>
            <w:r>
              <w:rPr>
                <w:rFonts w:cs="Arial"/>
                <w:b/>
                <w:bCs/>
              </w:rPr>
              <w:t xml:space="preserve"> </w:t>
            </w:r>
          </w:p>
        </w:tc>
      </w:tr>
      <w:tr w:rsidR="005D7503" w:rsidRPr="006D67AC"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627F1F" w:rsidP="00CF0826">
            <w:pPr>
              <w:pStyle w:val="Textpoznpodarou"/>
              <w:ind w:left="-124"/>
              <w:jc w:val="both"/>
              <w:rPr>
                <w:sz w:val="16"/>
                <w:szCs w:val="16"/>
              </w:rPr>
            </w:pPr>
            <w:r w:rsidRPr="00627F1F">
              <w:rPr>
                <w:noProof/>
                <w:sz w:val="16"/>
                <w:szCs w:val="16"/>
              </w:rPr>
              <w:drawing>
                <wp:inline distT="0" distB="0" distL="0" distR="0">
                  <wp:extent cx="4752000" cy="3528000"/>
                  <wp:effectExtent l="0" t="0" r="0" b="0"/>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6FC2" w:rsidRPr="00627F1F" w:rsidRDefault="005D7503" w:rsidP="00627F1F">
            <w:pPr>
              <w:pStyle w:val="Textpoznpodarou"/>
              <w:ind w:left="-124"/>
              <w:rPr>
                <w:rFonts w:cs="Arial"/>
                <w:sz w:val="14"/>
                <w:szCs w:val="14"/>
              </w:rPr>
            </w:pPr>
            <w:r>
              <w:rPr>
                <w:rFonts w:cs="Arial"/>
                <w:sz w:val="14"/>
                <w:szCs w:val="14"/>
              </w:rPr>
              <w:t>*</w:t>
            </w:r>
            <w:r w:rsidR="00E96FC2">
              <w:rPr>
                <w:rFonts w:cs="Arial"/>
                <w:sz w:val="14"/>
                <w:szCs w:val="14"/>
                <w:lang w:val="en-GB"/>
              </w:rPr>
              <w:t xml:space="preserve"> Includes also the market operations and veterinary measures. </w:t>
            </w:r>
            <w:r>
              <w:rPr>
                <w:rFonts w:cs="Arial"/>
                <w:sz w:val="14"/>
                <w:szCs w:val="14"/>
              </w:rPr>
              <w:t xml:space="preserve">                                                               </w:t>
            </w:r>
            <w:proofErr w:type="spellStart"/>
            <w:r w:rsidR="00B945B0">
              <w:rPr>
                <w:rFonts w:cs="Arial"/>
                <w:sz w:val="14"/>
                <w:szCs w:val="14"/>
              </w:rPr>
              <w:t>Source</w:t>
            </w:r>
            <w:proofErr w:type="spellEnd"/>
            <w:r w:rsidRPr="00535F78">
              <w:rPr>
                <w:rFonts w:cs="Arial"/>
                <w:sz w:val="14"/>
                <w:szCs w:val="14"/>
              </w:rPr>
              <w:t xml:space="preserve">: MF </w:t>
            </w:r>
            <w:r w:rsidR="00B945B0">
              <w:rPr>
                <w:rFonts w:cs="Arial"/>
                <w:sz w:val="14"/>
                <w:szCs w:val="14"/>
              </w:rPr>
              <w:t>C</w:t>
            </w:r>
            <w:r w:rsidRPr="00535F78">
              <w:rPr>
                <w:rFonts w:cs="Arial"/>
                <w:sz w:val="14"/>
                <w:szCs w:val="14"/>
              </w:rPr>
              <w:t>R</w:t>
            </w:r>
          </w:p>
        </w:tc>
      </w:tr>
    </w:tbl>
    <w:p w:rsidR="005D7503" w:rsidRDefault="005D7503" w:rsidP="005D7503">
      <w:pPr>
        <w:pStyle w:val="Textpoznpodarou"/>
        <w:jc w:val="both"/>
        <w:rPr>
          <w:rFonts w:cs="Arial"/>
          <w:color w:val="000000"/>
          <w:spacing w:val="-2"/>
          <w:sz w:val="14"/>
          <w:szCs w:val="14"/>
        </w:rPr>
      </w:pPr>
    </w:p>
    <w:tbl>
      <w:tblPr>
        <w:tblW w:w="4995" w:type="pct"/>
        <w:tblInd w:w="108" w:type="dxa"/>
        <w:tblLayout w:type="fixed"/>
        <w:tblLook w:val="00A0"/>
      </w:tblPr>
      <w:tblGrid>
        <w:gridCol w:w="50"/>
        <w:gridCol w:w="1949"/>
        <w:gridCol w:w="16"/>
        <w:gridCol w:w="268"/>
        <w:gridCol w:w="12"/>
        <w:gridCol w:w="1103"/>
        <w:gridCol w:w="6277"/>
        <w:gridCol w:w="169"/>
      </w:tblGrid>
      <w:tr w:rsidR="005D7503" w:rsidRPr="00751FC1" w:rsidTr="00CF0826">
        <w:trPr>
          <w:trHeight w:val="145"/>
        </w:trPr>
        <w:tc>
          <w:tcPr>
            <w:tcW w:w="1016" w:type="pct"/>
            <w:gridSpan w:val="2"/>
            <w:shd w:val="clear" w:color="auto" w:fill="auto"/>
          </w:tcPr>
          <w:p w:rsidR="005D7503" w:rsidRPr="00E96FC2" w:rsidRDefault="00E96FC2" w:rsidP="00CF0826">
            <w:pPr>
              <w:spacing w:line="240" w:lineRule="auto"/>
              <w:rPr>
                <w:rFonts w:cs="Arial"/>
                <w:bCs/>
                <w:iCs/>
                <w:color w:val="0D0D0D" w:themeColor="text1" w:themeTint="F2"/>
                <w:spacing w:val="-2"/>
                <w:sz w:val="16"/>
                <w:szCs w:val="16"/>
                <w:lang w:val="en-GB"/>
              </w:rPr>
            </w:pPr>
            <w:r>
              <w:rPr>
                <w:rFonts w:cs="Arial"/>
                <w:bCs/>
                <w:iCs/>
                <w:color w:val="0D0D0D" w:themeColor="text1" w:themeTint="F2"/>
                <w:spacing w:val="-2"/>
                <w:sz w:val="16"/>
                <w:szCs w:val="16"/>
                <w:lang w:val="en-GB"/>
              </w:rPr>
              <w:t xml:space="preserve">Mainly higher expenditures on wages of employees in areas with the state dominance and on the pension </w:t>
            </w:r>
            <w:r>
              <w:rPr>
                <w:rFonts w:cs="Arial"/>
                <w:bCs/>
                <w:iCs/>
                <w:color w:val="0D0D0D" w:themeColor="text1" w:themeTint="F2"/>
                <w:spacing w:val="-2"/>
                <w:sz w:val="16"/>
                <w:szCs w:val="16"/>
                <w:lang w:val="en-GB"/>
              </w:rPr>
              <w:lastRenderedPageBreak/>
              <w:t>adjustment drove the growth of the current expenditures</w:t>
            </w:r>
            <w:r w:rsidR="005D7503" w:rsidRPr="00E96FC2">
              <w:rPr>
                <w:rFonts w:cs="Arial"/>
                <w:bCs/>
                <w:iCs/>
                <w:color w:val="0D0D0D" w:themeColor="text1" w:themeTint="F2"/>
                <w:spacing w:val="-2"/>
                <w:sz w:val="16"/>
                <w:szCs w:val="16"/>
                <w:lang w:val="en-GB"/>
              </w:rPr>
              <w:t xml:space="preserve">. </w:t>
            </w:r>
          </w:p>
        </w:tc>
        <w:tc>
          <w:tcPr>
            <w:tcW w:w="144" w:type="pct"/>
            <w:gridSpan w:val="2"/>
          </w:tcPr>
          <w:p w:rsidR="005D7503" w:rsidRPr="00E96FC2" w:rsidRDefault="005D7503" w:rsidP="00CF0826">
            <w:pPr>
              <w:pStyle w:val="Textpoznpodarou"/>
              <w:jc w:val="both"/>
              <w:rPr>
                <w:rFonts w:cs="Arial"/>
                <w:color w:val="0D0D0D" w:themeColor="text1" w:themeTint="F2"/>
                <w:lang w:val="en-GB"/>
              </w:rPr>
            </w:pPr>
          </w:p>
        </w:tc>
        <w:tc>
          <w:tcPr>
            <w:tcW w:w="3840" w:type="pct"/>
            <w:gridSpan w:val="4"/>
          </w:tcPr>
          <w:p w:rsidR="005D7503" w:rsidRPr="00E96FC2" w:rsidRDefault="00E96FC2" w:rsidP="00CF0826">
            <w:pPr>
              <w:pStyle w:val="Textpoznpodarou"/>
              <w:jc w:val="both"/>
              <w:rPr>
                <w:bCs/>
                <w:spacing w:val="-2"/>
                <w:szCs w:val="24"/>
                <w:lang w:val="en-GB"/>
              </w:rPr>
            </w:pPr>
            <w:r>
              <w:rPr>
                <w:rFonts w:cs="Arial"/>
                <w:color w:val="000000" w:themeColor="text1"/>
                <w:spacing w:val="-2"/>
                <w:lang w:val="en-GB"/>
              </w:rPr>
              <w:t>Non-investment transfers to the public budgets on the regional level, whose growth accelerated to 13.4% (from 4.6% in 2016) participated the most on the higher SB current expenditures (by 62.6 CZK bn) year-on-year last year</w:t>
            </w:r>
            <w:r w:rsidR="005D7503" w:rsidRPr="00E96FC2">
              <w:rPr>
                <w:bCs/>
                <w:spacing w:val="-2"/>
                <w:szCs w:val="24"/>
                <w:lang w:val="en-GB"/>
              </w:rPr>
              <w:t xml:space="preserve">. </w:t>
            </w:r>
            <w:r w:rsidR="00E67859">
              <w:rPr>
                <w:bCs/>
                <w:spacing w:val="-2"/>
                <w:szCs w:val="24"/>
                <w:lang w:val="en-GB"/>
              </w:rPr>
              <w:t xml:space="preserve">These expenditures especially reflected the growth of earnings of employees in the regional </w:t>
            </w:r>
            <w:r w:rsidR="00E67859">
              <w:rPr>
                <w:bCs/>
                <w:spacing w:val="-2"/>
                <w:szCs w:val="24"/>
                <w:lang w:val="en-GB"/>
              </w:rPr>
              <w:lastRenderedPageBreak/>
              <w:t>education</w:t>
            </w:r>
            <w:r w:rsidR="005D7503" w:rsidRPr="00E96FC2">
              <w:rPr>
                <w:rStyle w:val="Znakapoznpodarou"/>
                <w:bCs/>
                <w:spacing w:val="-2"/>
                <w:szCs w:val="24"/>
                <w:lang w:val="en-GB"/>
              </w:rPr>
              <w:footnoteReference w:id="41"/>
            </w:r>
            <w:r w:rsidR="005D7503" w:rsidRPr="00E96FC2">
              <w:rPr>
                <w:bCs/>
                <w:spacing w:val="-2"/>
                <w:szCs w:val="24"/>
                <w:lang w:val="en-GB"/>
              </w:rPr>
              <w:t>.</w:t>
            </w:r>
            <w:r w:rsidR="00B26CDA">
              <w:rPr>
                <w:bCs/>
                <w:spacing w:val="-2"/>
                <w:szCs w:val="24"/>
                <w:lang w:val="en-GB"/>
              </w:rPr>
              <w:t xml:space="preserve">The weight dominant item of social benefits also shared in the current expenditures in one quarter, its increase (+16.9 bn) was affected primarily by the pension adjustment. The rate of growth of expenditures on the wages of state employees nearly doubled (to </w:t>
            </w:r>
            <w:r w:rsidR="005D7503" w:rsidRPr="00E96FC2">
              <w:rPr>
                <w:bCs/>
                <w:spacing w:val="-2"/>
                <w:szCs w:val="24"/>
                <w:lang w:val="en-GB"/>
              </w:rPr>
              <w:t>9</w:t>
            </w:r>
            <w:r w:rsidR="00B26CDA">
              <w:rPr>
                <w:bCs/>
                <w:spacing w:val="-2"/>
                <w:szCs w:val="24"/>
                <w:lang w:val="en-GB"/>
              </w:rPr>
              <w:t>.</w:t>
            </w:r>
            <w:r w:rsidR="005D7503" w:rsidRPr="00E96FC2">
              <w:rPr>
                <w:bCs/>
                <w:spacing w:val="-2"/>
                <w:szCs w:val="24"/>
                <w:lang w:val="en-GB"/>
              </w:rPr>
              <w:t xml:space="preserve">2%), </w:t>
            </w:r>
            <w:r w:rsidR="00E47FCD">
              <w:rPr>
                <w:bCs/>
                <w:spacing w:val="-2"/>
                <w:szCs w:val="24"/>
                <w:lang w:val="en-GB"/>
              </w:rPr>
              <w:t xml:space="preserve">mainly thanks to the increase of the wage tariffs. The non-investment transfers to </w:t>
            </w:r>
            <w:r w:rsidR="00522F36">
              <w:rPr>
                <w:bCs/>
                <w:spacing w:val="-2"/>
                <w:szCs w:val="24"/>
                <w:lang w:val="en-GB"/>
              </w:rPr>
              <w:t xml:space="preserve">contributory organizations also recorded high dynamics </w:t>
            </w:r>
            <w:r w:rsidR="005D7503" w:rsidRPr="00E96FC2">
              <w:rPr>
                <w:bCs/>
                <w:spacing w:val="-2"/>
                <w:szCs w:val="24"/>
                <w:lang w:val="en-GB"/>
              </w:rPr>
              <w:t>(+13</w:t>
            </w:r>
            <w:r w:rsidR="00522F36">
              <w:rPr>
                <w:bCs/>
                <w:spacing w:val="-2"/>
                <w:szCs w:val="24"/>
                <w:lang w:val="en-GB"/>
              </w:rPr>
              <w:t>.</w:t>
            </w:r>
            <w:r w:rsidR="005D7503" w:rsidRPr="00E96FC2">
              <w:rPr>
                <w:bCs/>
                <w:spacing w:val="-2"/>
                <w:szCs w:val="24"/>
                <w:lang w:val="en-GB"/>
              </w:rPr>
              <w:t>8%)</w:t>
            </w:r>
            <w:r w:rsidR="00885620" w:rsidRPr="00E96FC2">
              <w:rPr>
                <w:bCs/>
                <w:spacing w:val="-2"/>
                <w:szCs w:val="24"/>
                <w:lang w:val="en-GB"/>
              </w:rPr>
              <w:t>,</w:t>
            </w:r>
            <w:r w:rsidR="005D7503" w:rsidRPr="00E96FC2">
              <w:rPr>
                <w:bCs/>
                <w:spacing w:val="-2"/>
                <w:szCs w:val="24"/>
                <w:lang w:val="en-GB"/>
              </w:rPr>
              <w:t xml:space="preserve"> </w:t>
            </w:r>
            <w:r w:rsidR="00522F36">
              <w:rPr>
                <w:bCs/>
                <w:spacing w:val="-2"/>
                <w:szCs w:val="24"/>
                <w:lang w:val="en-GB"/>
              </w:rPr>
              <w:t xml:space="preserve">including e.g. universities or the research agencies. The volume of non-investment transfers to the business entities also increased by nearly one tenth (to 48.3 CZK bn). </w:t>
            </w:r>
            <w:r w:rsidR="005D7503" w:rsidRPr="00E96FC2">
              <w:rPr>
                <w:bCs/>
                <w:spacing w:val="-2"/>
                <w:szCs w:val="24"/>
                <w:lang w:val="en-GB"/>
              </w:rPr>
              <w:t>T</w:t>
            </w:r>
            <w:r w:rsidR="00522F36">
              <w:rPr>
                <w:bCs/>
                <w:spacing w:val="-2"/>
                <w:szCs w:val="24"/>
                <w:lang w:val="en-GB"/>
              </w:rPr>
              <w:t xml:space="preserve">hese transfers </w:t>
            </w:r>
            <w:r w:rsidR="007C6EA2">
              <w:rPr>
                <w:bCs/>
                <w:spacing w:val="-2"/>
                <w:szCs w:val="24"/>
                <w:lang w:val="en-GB"/>
              </w:rPr>
              <w:t xml:space="preserve">are linked to a significant extent to the support of the sustainable sources of energy. </w:t>
            </w:r>
            <w:r w:rsidR="00EE3CA2">
              <w:rPr>
                <w:bCs/>
                <w:spacing w:val="-2"/>
                <w:szCs w:val="24"/>
                <w:lang w:val="en-GB"/>
              </w:rPr>
              <w:t xml:space="preserve"> </w:t>
            </w:r>
            <w:r w:rsidR="005D7503" w:rsidRPr="00E96FC2">
              <w:rPr>
                <w:bCs/>
                <w:spacing w:val="-2"/>
                <w:szCs w:val="24"/>
                <w:lang w:val="en-GB"/>
              </w:rPr>
              <w:t xml:space="preserve"> </w:t>
            </w:r>
          </w:p>
          <w:p w:rsidR="005D7503" w:rsidRPr="00E96FC2" w:rsidRDefault="005D7503" w:rsidP="00CF0826">
            <w:pPr>
              <w:pStyle w:val="Textpoznpodarou"/>
              <w:jc w:val="both"/>
              <w:rPr>
                <w:rFonts w:cs="Arial"/>
                <w:color w:val="0D0D0D" w:themeColor="text1" w:themeTint="F2"/>
                <w:spacing w:val="-2"/>
                <w:sz w:val="14"/>
                <w:szCs w:val="14"/>
                <w:lang w:val="en-GB"/>
              </w:rPr>
            </w:pPr>
          </w:p>
        </w:tc>
      </w:tr>
      <w:tr w:rsidR="005D7503" w:rsidRPr="00F06A1D" w:rsidTr="00CF0826">
        <w:trPr>
          <w:trHeight w:val="145"/>
        </w:trPr>
        <w:tc>
          <w:tcPr>
            <w:tcW w:w="1016" w:type="pct"/>
            <w:gridSpan w:val="2"/>
            <w:shd w:val="clear" w:color="auto" w:fill="auto"/>
          </w:tcPr>
          <w:p w:rsidR="00271B9B" w:rsidRPr="00785C7A" w:rsidRDefault="005D7503" w:rsidP="00271B9B">
            <w:pPr>
              <w:spacing w:line="240" w:lineRule="auto"/>
              <w:rPr>
                <w:rFonts w:cs="Arial"/>
                <w:bCs/>
                <w:iCs/>
                <w:color w:val="0D0D0D" w:themeColor="text1" w:themeTint="F2"/>
                <w:spacing w:val="-2"/>
                <w:sz w:val="16"/>
                <w:szCs w:val="16"/>
                <w:lang w:val="en-GB"/>
              </w:rPr>
            </w:pPr>
            <w:r w:rsidRPr="00785C7A">
              <w:rPr>
                <w:rFonts w:cs="Arial"/>
                <w:bCs/>
                <w:iCs/>
                <w:color w:val="0D0D0D" w:themeColor="text1" w:themeTint="F2"/>
                <w:spacing w:val="-2"/>
                <w:sz w:val="16"/>
                <w:szCs w:val="16"/>
                <w:lang w:val="en-GB"/>
              </w:rPr>
              <w:lastRenderedPageBreak/>
              <w:t>D</w:t>
            </w:r>
            <w:r w:rsidR="00A37229">
              <w:rPr>
                <w:rFonts w:cs="Arial"/>
                <w:bCs/>
                <w:iCs/>
                <w:color w:val="0D0D0D" w:themeColor="text1" w:themeTint="F2"/>
                <w:spacing w:val="-2"/>
                <w:sz w:val="16"/>
                <w:szCs w:val="16"/>
                <w:lang w:val="en-GB"/>
              </w:rPr>
              <w:t xml:space="preserve">ynamical </w:t>
            </w:r>
            <w:r w:rsidR="00271B9B">
              <w:rPr>
                <w:rFonts w:cs="Arial"/>
                <w:bCs/>
                <w:iCs/>
                <w:color w:val="0D0D0D" w:themeColor="text1" w:themeTint="F2"/>
                <w:spacing w:val="-2"/>
                <w:sz w:val="16"/>
                <w:szCs w:val="16"/>
                <w:lang w:val="en-GB"/>
              </w:rPr>
              <w:t>growth</w:t>
            </w:r>
            <w:r w:rsidR="00A37229">
              <w:rPr>
                <w:rFonts w:cs="Arial"/>
                <w:bCs/>
                <w:iCs/>
                <w:color w:val="0D0D0D" w:themeColor="text1" w:themeTint="F2"/>
                <w:spacing w:val="-2"/>
                <w:sz w:val="16"/>
                <w:szCs w:val="16"/>
                <w:lang w:val="en-GB"/>
              </w:rPr>
              <w:t xml:space="preserve"> of the collection of insurance together with the minimal addition to the </w:t>
            </w:r>
            <w:r w:rsidR="00271B9B">
              <w:rPr>
                <w:rFonts w:cs="Arial"/>
                <w:bCs/>
                <w:iCs/>
                <w:color w:val="0D0D0D" w:themeColor="text1" w:themeTint="F2"/>
                <w:spacing w:val="-2"/>
                <w:sz w:val="16"/>
                <w:szCs w:val="16"/>
                <w:lang w:val="en-GB"/>
              </w:rPr>
              <w:t>number</w:t>
            </w:r>
            <w:r w:rsidR="00A37229">
              <w:rPr>
                <w:rFonts w:cs="Arial"/>
                <w:bCs/>
                <w:iCs/>
                <w:color w:val="0D0D0D" w:themeColor="text1" w:themeTint="F2"/>
                <w:spacing w:val="-2"/>
                <w:sz w:val="16"/>
                <w:szCs w:val="16"/>
                <w:lang w:val="en-GB"/>
              </w:rPr>
              <w:t xml:space="preserve"> of pensioners </w:t>
            </w:r>
            <w:r w:rsidR="00271B9B">
              <w:rPr>
                <w:rFonts w:cs="Arial"/>
                <w:bCs/>
                <w:iCs/>
                <w:color w:val="0D0D0D" w:themeColor="text1" w:themeTint="F2"/>
                <w:spacing w:val="-2"/>
                <w:sz w:val="16"/>
                <w:szCs w:val="16"/>
                <w:lang w:val="en-GB"/>
              </w:rPr>
              <w:t xml:space="preserve">led to the marked improvement of the pension account balance. It broke free from the deficit for the first time in nine years.  </w:t>
            </w:r>
          </w:p>
          <w:p w:rsidR="005D7503" w:rsidRPr="00785C7A" w:rsidRDefault="005D7503" w:rsidP="00CF0826">
            <w:pPr>
              <w:spacing w:line="240" w:lineRule="auto"/>
              <w:rPr>
                <w:rFonts w:cs="Arial"/>
                <w:bCs/>
                <w:iCs/>
                <w:color w:val="0D0D0D" w:themeColor="text1" w:themeTint="F2"/>
                <w:spacing w:val="-2"/>
                <w:sz w:val="16"/>
                <w:szCs w:val="16"/>
                <w:lang w:val="en-GB"/>
              </w:rPr>
            </w:pPr>
            <w:r w:rsidRPr="00785C7A">
              <w:rPr>
                <w:rFonts w:cs="Arial"/>
                <w:bCs/>
                <w:iCs/>
                <w:color w:val="0D0D0D" w:themeColor="text1" w:themeTint="F2"/>
                <w:spacing w:val="-2"/>
                <w:sz w:val="16"/>
                <w:szCs w:val="16"/>
                <w:lang w:val="en-GB"/>
              </w:rPr>
              <w:t>.</w:t>
            </w:r>
          </w:p>
        </w:tc>
        <w:tc>
          <w:tcPr>
            <w:tcW w:w="144" w:type="pct"/>
            <w:gridSpan w:val="2"/>
          </w:tcPr>
          <w:p w:rsidR="005D7503" w:rsidRPr="00785C7A" w:rsidRDefault="005D7503" w:rsidP="00CF0826">
            <w:pPr>
              <w:pStyle w:val="Textpoznpodarou"/>
              <w:jc w:val="both"/>
              <w:rPr>
                <w:rFonts w:cs="Arial"/>
                <w:color w:val="0D0D0D" w:themeColor="text1" w:themeTint="F2"/>
                <w:lang w:val="en-GB"/>
              </w:rPr>
            </w:pPr>
          </w:p>
        </w:tc>
        <w:tc>
          <w:tcPr>
            <w:tcW w:w="3840" w:type="pct"/>
            <w:gridSpan w:val="4"/>
          </w:tcPr>
          <w:p w:rsidR="00627F1F" w:rsidRDefault="0010177A" w:rsidP="00CF0826">
            <w:pPr>
              <w:pStyle w:val="Textpoznpodarou"/>
              <w:jc w:val="both"/>
              <w:rPr>
                <w:rFonts w:cs="Arial"/>
                <w:color w:val="0D0D0D" w:themeColor="text1" w:themeTint="F2"/>
                <w:spacing w:val="-4"/>
                <w:lang w:val="en-GB"/>
              </w:rPr>
            </w:pPr>
            <w:r>
              <w:rPr>
                <w:rFonts w:cs="Arial"/>
                <w:color w:val="0D0D0D" w:themeColor="text1" w:themeTint="F2"/>
                <w:spacing w:val="-2"/>
                <w:lang w:val="en-GB"/>
              </w:rPr>
              <w:t xml:space="preserve">41.4% of all SB expenditures were aimed at the social benefits last year (by 0.7 </w:t>
            </w:r>
            <w:r w:rsidR="0030607B">
              <w:rPr>
                <w:rFonts w:cs="Arial"/>
                <w:color w:val="0D0D0D" w:themeColor="text1" w:themeTint="F2"/>
                <w:spacing w:val="-2"/>
                <w:lang w:val="en-GB"/>
              </w:rPr>
              <w:t>p.p.</w:t>
            </w:r>
            <w:r>
              <w:rPr>
                <w:rFonts w:cs="Arial"/>
                <w:color w:val="0D0D0D" w:themeColor="text1" w:themeTint="F2"/>
                <w:spacing w:val="-2"/>
                <w:lang w:val="en-GB"/>
              </w:rPr>
              <w:t xml:space="preserve"> less year-on-year). Full 78% of expenditures on social benefits were directed to pensions, where the state expended by 3.9% more year-on-year (by 0.9% in 2016). </w:t>
            </w:r>
            <w:r w:rsidR="001261B3">
              <w:rPr>
                <w:rFonts w:cs="Arial"/>
                <w:color w:val="0D0D0D" w:themeColor="text1" w:themeTint="F2"/>
                <w:spacing w:val="-2"/>
                <w:lang w:val="en-GB"/>
              </w:rPr>
              <w:t xml:space="preserve">The impact of the new legislative amendment allowing to increase pensions above the level of the standard adjustment was projected in the growing pace of expenditures. On the contrary the number of all pension recipients (2.896 mil persons) expanded only slightly (+0.1%). Apart from the demographic effects, it was also connected to the favourable situation on the labour market and </w:t>
            </w:r>
            <w:r w:rsidR="00851087">
              <w:rPr>
                <w:rFonts w:cs="Arial"/>
                <w:color w:val="0D0D0D" w:themeColor="text1" w:themeTint="F2"/>
                <w:spacing w:val="-2"/>
                <w:lang w:val="en-GB"/>
              </w:rPr>
              <w:t>consequent “l</w:t>
            </w:r>
            <w:r w:rsidR="001261B3">
              <w:rPr>
                <w:rFonts w:cs="Arial"/>
                <w:color w:val="0D0D0D" w:themeColor="text1" w:themeTint="F2"/>
                <w:spacing w:val="-2"/>
                <w:lang w:val="en-GB"/>
              </w:rPr>
              <w:t xml:space="preserve">ower demand” for early retirement (year-on-year relative addition of persons with the permanently shortened </w:t>
            </w:r>
            <w:r w:rsidR="00851087">
              <w:rPr>
                <w:rFonts w:cs="Arial"/>
                <w:color w:val="0D0D0D" w:themeColor="text1" w:themeTint="F2"/>
                <w:spacing w:val="-2"/>
                <w:lang w:val="en-GB"/>
              </w:rPr>
              <w:t>pension</w:t>
            </w:r>
            <w:r w:rsidR="001261B3">
              <w:rPr>
                <w:rFonts w:cs="Arial"/>
                <w:color w:val="0D0D0D" w:themeColor="text1" w:themeTint="F2"/>
                <w:spacing w:val="-2"/>
                <w:lang w:val="en-GB"/>
              </w:rPr>
              <w:t xml:space="preserve"> w</w:t>
            </w:r>
            <w:r w:rsidR="00851087">
              <w:rPr>
                <w:rFonts w:cs="Arial"/>
                <w:color w:val="0D0D0D" w:themeColor="text1" w:themeTint="F2"/>
                <w:spacing w:val="-2"/>
                <w:lang w:val="en-GB"/>
              </w:rPr>
              <w:t>a</w:t>
            </w:r>
            <w:r w:rsidR="001261B3">
              <w:rPr>
                <w:rFonts w:cs="Arial"/>
                <w:color w:val="0D0D0D" w:themeColor="text1" w:themeTint="F2"/>
                <w:spacing w:val="-2"/>
                <w:lang w:val="en-GB"/>
              </w:rPr>
              <w:t xml:space="preserve">s the </w:t>
            </w:r>
            <w:r w:rsidR="00851087">
              <w:rPr>
                <w:rFonts w:cs="Arial"/>
                <w:color w:val="0D0D0D" w:themeColor="text1" w:themeTint="F2"/>
                <w:spacing w:val="-2"/>
                <w:lang w:val="en-GB"/>
              </w:rPr>
              <w:t>weakest</w:t>
            </w:r>
            <w:r w:rsidR="001261B3">
              <w:rPr>
                <w:rFonts w:cs="Arial"/>
                <w:color w:val="0D0D0D" w:themeColor="text1" w:themeTint="F2"/>
                <w:spacing w:val="-2"/>
                <w:lang w:val="en-GB"/>
              </w:rPr>
              <w:t xml:space="preserve"> in the last four year</w:t>
            </w:r>
            <w:r w:rsidR="00851087">
              <w:rPr>
                <w:rFonts w:cs="Arial"/>
                <w:color w:val="0D0D0D" w:themeColor="text1" w:themeTint="F2"/>
                <w:spacing w:val="-2"/>
                <w:lang w:val="en-GB"/>
              </w:rPr>
              <w:t>s</w:t>
            </w:r>
            <w:r w:rsidR="001261B3">
              <w:rPr>
                <w:rFonts w:cs="Arial"/>
                <w:color w:val="0D0D0D" w:themeColor="text1" w:themeTint="F2"/>
                <w:spacing w:val="-2"/>
                <w:lang w:val="en-GB"/>
              </w:rPr>
              <w:t xml:space="preserve"> last year). </w:t>
            </w:r>
            <w:r w:rsidR="005D7503" w:rsidRPr="00785C7A">
              <w:rPr>
                <w:rFonts w:cs="Arial"/>
                <w:color w:val="0D0D0D" w:themeColor="text1" w:themeTint="F2"/>
                <w:spacing w:val="-4"/>
                <w:lang w:val="en-GB"/>
              </w:rPr>
              <w:t>Re</w:t>
            </w:r>
            <w:r w:rsidR="0061196F">
              <w:rPr>
                <w:rFonts w:cs="Arial"/>
                <w:color w:val="0D0D0D" w:themeColor="text1" w:themeTint="F2"/>
                <w:spacing w:val="-4"/>
                <w:lang w:val="en-GB"/>
              </w:rPr>
              <w:t xml:space="preserve">cord level of employment accompanied by the strengthening wage growth supported the dynamic collection of insurance </w:t>
            </w:r>
            <w:r w:rsidR="005D7503" w:rsidRPr="00785C7A">
              <w:rPr>
                <w:rFonts w:cs="Arial"/>
                <w:color w:val="0D0D0D" w:themeColor="text1" w:themeTint="F2"/>
                <w:spacing w:val="-4"/>
                <w:lang w:val="en-GB"/>
              </w:rPr>
              <w:t>(+8</w:t>
            </w:r>
            <w:r w:rsidR="0061196F">
              <w:rPr>
                <w:rFonts w:cs="Arial"/>
                <w:color w:val="0D0D0D" w:themeColor="text1" w:themeTint="F2"/>
                <w:spacing w:val="-4"/>
                <w:lang w:val="en-GB"/>
              </w:rPr>
              <w:t>.</w:t>
            </w:r>
            <w:r w:rsidR="005D7503" w:rsidRPr="00785C7A">
              <w:rPr>
                <w:rFonts w:cs="Arial"/>
                <w:color w:val="0D0D0D" w:themeColor="text1" w:themeTint="F2"/>
                <w:spacing w:val="-4"/>
                <w:lang w:val="en-GB"/>
              </w:rPr>
              <w:t>2</w:t>
            </w:r>
            <w:r w:rsidR="00EE208C" w:rsidRPr="00785C7A">
              <w:rPr>
                <w:rFonts w:cs="Arial"/>
                <w:color w:val="0D0D0D" w:themeColor="text1" w:themeTint="F2"/>
                <w:spacing w:val="-4"/>
                <w:lang w:val="en-GB"/>
              </w:rPr>
              <w:t xml:space="preserve">%, </w:t>
            </w:r>
            <w:r w:rsidR="0061196F">
              <w:rPr>
                <w:rFonts w:cs="Arial"/>
                <w:color w:val="0D0D0D" w:themeColor="text1" w:themeTint="F2"/>
                <w:spacing w:val="-4"/>
                <w:lang w:val="en-GB"/>
              </w:rPr>
              <w:t xml:space="preserve">the highest after </w:t>
            </w:r>
            <w:r w:rsidR="005D7503" w:rsidRPr="00785C7A">
              <w:rPr>
                <w:rFonts w:cs="Arial"/>
                <w:color w:val="0D0D0D" w:themeColor="text1" w:themeTint="F2"/>
                <w:spacing w:val="-4"/>
                <w:lang w:val="en-GB"/>
              </w:rPr>
              <w:t xml:space="preserve">2007). </w:t>
            </w:r>
            <w:r w:rsidR="00F56E04">
              <w:rPr>
                <w:rFonts w:cs="Arial"/>
                <w:color w:val="0D0D0D" w:themeColor="text1" w:themeTint="F2"/>
                <w:spacing w:val="-4"/>
                <w:lang w:val="en-GB"/>
              </w:rPr>
              <w:t xml:space="preserve">Rate of growth of insurance on pensions kept growing during the year 2017 </w:t>
            </w:r>
            <w:r w:rsidR="005D7503" w:rsidRPr="00785C7A">
              <w:rPr>
                <w:rFonts w:cs="Arial"/>
                <w:color w:val="0D0D0D" w:themeColor="text1" w:themeTint="F2"/>
                <w:spacing w:val="-4"/>
                <w:lang w:val="en-GB"/>
              </w:rPr>
              <w:t>(</w:t>
            </w:r>
            <w:r w:rsidR="00F56E04">
              <w:rPr>
                <w:rFonts w:cs="Arial"/>
                <w:color w:val="0D0D0D" w:themeColor="text1" w:themeTint="F2"/>
                <w:spacing w:val="-4"/>
                <w:lang w:val="en-GB"/>
              </w:rPr>
              <w:t xml:space="preserve">it was 6.6% year-on-year in Q1, it attacked 10% towards the </w:t>
            </w:r>
            <w:r w:rsidR="00EF6B4F">
              <w:rPr>
                <w:rFonts w:cs="Arial"/>
                <w:color w:val="0D0D0D" w:themeColor="text1" w:themeTint="F2"/>
                <w:spacing w:val="-4"/>
                <w:lang w:val="en-GB"/>
              </w:rPr>
              <w:t>end</w:t>
            </w:r>
            <w:r w:rsidR="00F56E04">
              <w:rPr>
                <w:rFonts w:cs="Arial"/>
                <w:color w:val="0D0D0D" w:themeColor="text1" w:themeTint="F2"/>
                <w:spacing w:val="-4"/>
                <w:lang w:val="en-GB"/>
              </w:rPr>
              <w:t xml:space="preserve"> of the year). </w:t>
            </w:r>
            <w:r w:rsidR="005D7503" w:rsidRPr="00785C7A">
              <w:rPr>
                <w:rFonts w:cs="Arial"/>
                <w:color w:val="0D0D0D" w:themeColor="text1" w:themeTint="F2"/>
                <w:spacing w:val="-4"/>
                <w:lang w:val="en-GB"/>
              </w:rPr>
              <w:t>T</w:t>
            </w:r>
            <w:r w:rsidR="00F56E04">
              <w:rPr>
                <w:rFonts w:cs="Arial"/>
                <w:color w:val="0D0D0D" w:themeColor="text1" w:themeTint="F2"/>
                <w:spacing w:val="-4"/>
                <w:lang w:val="en-GB"/>
              </w:rPr>
              <w:t>hese tendencies resulted in the considerable improvement of the pension account balance</w:t>
            </w:r>
            <w:r w:rsidR="005D7503" w:rsidRPr="00785C7A">
              <w:rPr>
                <w:rStyle w:val="Znakapoznpodarou"/>
                <w:color w:val="0D0D0D" w:themeColor="text1" w:themeTint="F2"/>
                <w:spacing w:val="-4"/>
                <w:lang w:val="en-GB"/>
              </w:rPr>
              <w:footnoteReference w:id="42"/>
            </w:r>
            <w:r w:rsidR="005D7503" w:rsidRPr="00785C7A">
              <w:rPr>
                <w:rFonts w:cs="Arial"/>
                <w:color w:val="0D0D0D" w:themeColor="text1" w:themeTint="F2"/>
                <w:spacing w:val="-4"/>
                <w:lang w:val="en-GB"/>
              </w:rPr>
              <w:t xml:space="preserve">, </w:t>
            </w:r>
            <w:r w:rsidR="00F56E04">
              <w:rPr>
                <w:rFonts w:cs="Arial"/>
                <w:color w:val="0D0D0D" w:themeColor="text1" w:themeTint="F2"/>
                <w:spacing w:val="-4"/>
                <w:lang w:val="en-GB"/>
              </w:rPr>
              <w:t xml:space="preserve">which was by nearly 16 bn more favourable year-on-year and attained </w:t>
            </w:r>
            <w:r w:rsidR="005D7503" w:rsidRPr="00785C7A">
              <w:rPr>
                <w:rFonts w:cs="Arial"/>
                <w:color w:val="0D0D0D" w:themeColor="text1" w:themeTint="F2"/>
                <w:spacing w:val="-4"/>
                <w:lang w:val="en-GB"/>
              </w:rPr>
              <w:t>+0</w:t>
            </w:r>
            <w:r w:rsidR="00F56E04">
              <w:rPr>
                <w:rFonts w:cs="Arial"/>
                <w:color w:val="0D0D0D" w:themeColor="text1" w:themeTint="F2"/>
                <w:spacing w:val="-4"/>
                <w:lang w:val="en-GB"/>
              </w:rPr>
              <w:t>.</w:t>
            </w:r>
            <w:r w:rsidR="005D7503" w:rsidRPr="00785C7A">
              <w:rPr>
                <w:rFonts w:cs="Arial"/>
                <w:color w:val="0D0D0D" w:themeColor="text1" w:themeTint="F2"/>
                <w:spacing w:val="-4"/>
                <w:lang w:val="en-GB"/>
              </w:rPr>
              <w:t>1</w:t>
            </w:r>
            <w:r w:rsidR="00EE208C" w:rsidRPr="00785C7A">
              <w:rPr>
                <w:rFonts w:cs="Arial"/>
                <w:color w:val="0D0D0D" w:themeColor="text1" w:themeTint="F2"/>
                <w:spacing w:val="-4"/>
                <w:lang w:val="en-GB"/>
              </w:rPr>
              <w:t> </w:t>
            </w:r>
            <w:r w:rsidR="00F56E04">
              <w:rPr>
                <w:rFonts w:cs="Arial"/>
                <w:color w:val="0D0D0D" w:themeColor="text1" w:themeTint="F2"/>
                <w:spacing w:val="-4"/>
                <w:lang w:val="en-GB"/>
              </w:rPr>
              <w:t>CZK bn</w:t>
            </w:r>
            <w:r w:rsidR="005D7503" w:rsidRPr="00785C7A">
              <w:rPr>
                <w:rFonts w:cs="Arial"/>
                <w:color w:val="0D0D0D" w:themeColor="text1" w:themeTint="F2"/>
                <w:spacing w:val="-4"/>
                <w:lang w:val="en-GB"/>
              </w:rPr>
              <w:t xml:space="preserve">. </w:t>
            </w:r>
            <w:r w:rsidR="00F56E04">
              <w:rPr>
                <w:rFonts w:cs="Arial"/>
                <w:color w:val="0D0D0D" w:themeColor="text1" w:themeTint="F2"/>
                <w:spacing w:val="-4"/>
                <w:lang w:val="en-GB"/>
              </w:rPr>
              <w:t xml:space="preserve">Pension account thus extracted itself form the deficit for the first time since the end of expansion phase of the last decade. </w:t>
            </w:r>
            <w:r w:rsidR="005D7503" w:rsidRPr="00785C7A">
              <w:rPr>
                <w:rFonts w:cs="Arial"/>
                <w:color w:val="0D0D0D" w:themeColor="text1" w:themeTint="F2"/>
                <w:spacing w:val="-4"/>
                <w:lang w:val="en-GB"/>
              </w:rPr>
              <w:t xml:space="preserve"> </w:t>
            </w:r>
          </w:p>
          <w:p w:rsidR="00627F1F" w:rsidRPr="00627F1F" w:rsidRDefault="00627F1F" w:rsidP="00CF0826">
            <w:pPr>
              <w:pStyle w:val="Textpoznpodarou"/>
              <w:jc w:val="both"/>
              <w:rPr>
                <w:rFonts w:cs="Arial"/>
                <w:color w:val="0D0D0D" w:themeColor="text1" w:themeTint="F2"/>
                <w:spacing w:val="-4"/>
                <w:sz w:val="16"/>
                <w:szCs w:val="16"/>
                <w:lang w:val="en-GB"/>
              </w:rPr>
            </w:pP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AA4A76" w:rsidRDefault="005D7503" w:rsidP="00CF0826">
            <w:pPr>
              <w:spacing w:line="240" w:lineRule="auto"/>
              <w:jc w:val="center"/>
              <w:rPr>
                <w:color w:val="000000"/>
                <w:szCs w:val="20"/>
              </w:rPr>
            </w:pPr>
          </w:p>
        </w:tc>
        <w:tc>
          <w:tcPr>
            <w:tcW w:w="142" w:type="pct"/>
            <w:gridSpan w:val="2"/>
          </w:tcPr>
          <w:p w:rsidR="005D7503" w:rsidRPr="00AA4A76" w:rsidRDefault="005D7503" w:rsidP="00CF0826">
            <w:pPr>
              <w:pStyle w:val="Textpoznpodarou"/>
              <w:jc w:val="both"/>
              <w:rPr>
                <w:highlight w:val="yellow"/>
              </w:rPr>
            </w:pPr>
          </w:p>
        </w:tc>
        <w:tc>
          <w:tcPr>
            <w:tcW w:w="560" w:type="pct"/>
          </w:tcPr>
          <w:p w:rsidR="005D7503" w:rsidRPr="00177BD8" w:rsidRDefault="00EE3CA2" w:rsidP="00CF0826">
            <w:pPr>
              <w:pStyle w:val="Textpoznpodarou"/>
              <w:jc w:val="both"/>
              <w:rPr>
                <w:spacing w:val="-4"/>
                <w:highlight w:val="yellow"/>
              </w:rPr>
            </w:pPr>
            <w:r>
              <w:rPr>
                <w:color w:val="000000"/>
                <w:spacing w:val="-4"/>
              </w:rPr>
              <w:t xml:space="preserve">Chart </w:t>
            </w:r>
            <w:r w:rsidR="005D7503" w:rsidRPr="00177BD8">
              <w:rPr>
                <w:color w:val="000000"/>
                <w:spacing w:val="-4"/>
              </w:rPr>
              <w:t>2</w:t>
            </w:r>
            <w:r w:rsidR="005D7503">
              <w:rPr>
                <w:color w:val="000000"/>
                <w:spacing w:val="-4"/>
              </w:rPr>
              <w:t>1</w:t>
            </w:r>
          </w:p>
        </w:tc>
        <w:tc>
          <w:tcPr>
            <w:tcW w:w="3188" w:type="pct"/>
          </w:tcPr>
          <w:p w:rsidR="001432C1" w:rsidRDefault="001432C1" w:rsidP="001432C1">
            <w:pPr>
              <w:pStyle w:val="Textpoznpodarou"/>
              <w:rPr>
                <w:rFonts w:cs="Arial"/>
                <w:b/>
                <w:bCs/>
                <w:spacing w:val="-2"/>
                <w:lang w:val="en-GB"/>
              </w:rPr>
            </w:pPr>
            <w:r>
              <w:rPr>
                <w:rFonts w:cs="Arial"/>
                <w:b/>
                <w:bCs/>
                <w:spacing w:val="-2"/>
                <w:lang w:val="en-GB"/>
              </w:rPr>
              <w:t xml:space="preserve">Pension recipients, income and expenditure on pensions from the state budget </w:t>
            </w:r>
            <w:r>
              <w:rPr>
                <w:rFonts w:cs="Arial"/>
                <w:bCs/>
                <w:spacing w:val="-2"/>
                <w:lang w:val="en-GB"/>
              </w:rPr>
              <w:t>(year-on-year in %</w:t>
            </w:r>
            <w:r>
              <w:rPr>
                <w:bCs/>
                <w:spacing w:val="-2"/>
                <w:lang w:val="en-GB"/>
              </w:rPr>
              <w:t>)</w:t>
            </w:r>
            <w:r>
              <w:rPr>
                <w:rFonts w:cs="Arial"/>
                <w:bCs/>
                <w:spacing w:val="-2"/>
                <w:lang w:val="en-GB"/>
              </w:rPr>
              <w:t xml:space="preserve"> </w:t>
            </w:r>
            <w:r>
              <w:rPr>
                <w:rFonts w:cs="Arial"/>
                <w:b/>
                <w:bCs/>
                <w:spacing w:val="-2"/>
                <w:lang w:val="en-GB"/>
              </w:rPr>
              <w:t>and pension account balance</w:t>
            </w:r>
          </w:p>
          <w:p w:rsidR="005D7503" w:rsidRPr="001356FC" w:rsidRDefault="001432C1" w:rsidP="001432C1">
            <w:pPr>
              <w:spacing w:line="240" w:lineRule="auto"/>
              <w:rPr>
                <w:rFonts w:cs="Arial"/>
                <w:b/>
                <w:bCs/>
                <w:spacing w:val="-4"/>
              </w:rPr>
            </w:pPr>
            <w:r>
              <w:rPr>
                <w:rFonts w:cs="Arial"/>
                <w:b/>
                <w:bCs/>
                <w:spacing w:val="-2"/>
                <w:lang w:val="en-GB"/>
              </w:rPr>
              <w:t xml:space="preserve"> </w:t>
            </w:r>
            <w:r>
              <w:rPr>
                <w:rFonts w:cs="Arial"/>
                <w:bCs/>
                <w:spacing w:val="-2"/>
                <w:lang w:val="en-GB"/>
              </w:rPr>
              <w:t>(in CZK bn)</w:t>
            </w:r>
            <w:r w:rsidRPr="001356FC">
              <w:rPr>
                <w:rFonts w:cs="Arial"/>
                <w:b/>
                <w:bCs/>
                <w:spacing w:val="-4"/>
              </w:rPr>
              <w:t xml:space="preserve"> </w:t>
            </w: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6D3F53" w:rsidRDefault="005D7503" w:rsidP="00CF0826">
            <w:pPr>
              <w:spacing w:line="240" w:lineRule="auto"/>
              <w:rPr>
                <w:color w:val="000000"/>
                <w:sz w:val="16"/>
                <w:szCs w:val="16"/>
                <w:highlight w:val="yellow"/>
              </w:rPr>
            </w:pPr>
          </w:p>
        </w:tc>
        <w:tc>
          <w:tcPr>
            <w:tcW w:w="142" w:type="pct"/>
            <w:gridSpan w:val="2"/>
          </w:tcPr>
          <w:p w:rsidR="005D7503" w:rsidRPr="00A74192" w:rsidRDefault="005D7503" w:rsidP="00CF0826">
            <w:pPr>
              <w:pStyle w:val="Textpoznpodarou"/>
              <w:jc w:val="both"/>
            </w:pPr>
          </w:p>
        </w:tc>
        <w:tc>
          <w:tcPr>
            <w:tcW w:w="3748" w:type="pct"/>
            <w:gridSpan w:val="2"/>
          </w:tcPr>
          <w:p w:rsidR="001432C1" w:rsidRPr="00627F1F" w:rsidRDefault="00627F1F" w:rsidP="001432C1">
            <w:pPr>
              <w:pStyle w:val="Textpoznpodarou"/>
              <w:rPr>
                <w:sz w:val="14"/>
                <w:szCs w:val="14"/>
              </w:rPr>
            </w:pPr>
            <w:r w:rsidRPr="00627F1F">
              <w:rPr>
                <w:rFonts w:cs="Arial"/>
                <w:noProof/>
                <w:sz w:val="14"/>
                <w:szCs w:val="14"/>
              </w:rPr>
              <w:drawing>
                <wp:inline distT="0" distB="0" distL="0" distR="0">
                  <wp:extent cx="4745405" cy="3528000"/>
                  <wp:effectExtent l="0" t="0" r="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5D7503">
              <w:rPr>
                <w:rFonts w:cs="Arial"/>
                <w:sz w:val="14"/>
                <w:szCs w:val="14"/>
              </w:rPr>
              <w:t>*</w:t>
            </w:r>
            <w:r w:rsidR="001432C1">
              <w:rPr>
                <w:rFonts w:cs="Arial"/>
                <w:sz w:val="14"/>
                <w:szCs w:val="14"/>
                <w:lang w:val="en-GB"/>
              </w:rPr>
              <w:t xml:space="preserve"> Old age pension income awarded before the pension age is reached and shortened for the earliness is for the whole time period of the drawing the benefit</w:t>
            </w:r>
            <w:r w:rsidR="005D7503">
              <w:rPr>
                <w:rFonts w:cs="Arial"/>
                <w:sz w:val="14"/>
                <w:szCs w:val="14"/>
              </w:rPr>
              <w:t xml:space="preserve">.                                                      </w:t>
            </w:r>
            <w:r w:rsidR="001432C1">
              <w:rPr>
                <w:rFonts w:cs="Arial"/>
                <w:sz w:val="14"/>
                <w:szCs w:val="14"/>
              </w:rPr>
              <w:t xml:space="preserve"> </w:t>
            </w:r>
            <w:r w:rsidR="005D7503">
              <w:rPr>
                <w:rFonts w:cs="Arial"/>
                <w:sz w:val="14"/>
                <w:szCs w:val="14"/>
              </w:rPr>
              <w:t xml:space="preserve">     </w:t>
            </w:r>
            <w:r w:rsidR="002F19CC">
              <w:rPr>
                <w:rFonts w:cs="Arial"/>
                <w:sz w:val="14"/>
                <w:szCs w:val="14"/>
              </w:rPr>
              <w:t xml:space="preserve">                             </w:t>
            </w:r>
            <w:r w:rsidR="005D7503">
              <w:rPr>
                <w:rFonts w:cs="Arial"/>
                <w:sz w:val="14"/>
                <w:szCs w:val="14"/>
              </w:rPr>
              <w:t xml:space="preserve">  </w:t>
            </w:r>
            <w:proofErr w:type="spellStart"/>
            <w:r w:rsidR="001432C1">
              <w:rPr>
                <w:rFonts w:cs="Arial"/>
                <w:sz w:val="14"/>
                <w:szCs w:val="14"/>
              </w:rPr>
              <w:t>Source</w:t>
            </w:r>
            <w:proofErr w:type="spellEnd"/>
            <w:r w:rsidR="005D7503" w:rsidRPr="007E5880">
              <w:rPr>
                <w:sz w:val="14"/>
                <w:szCs w:val="14"/>
              </w:rPr>
              <w:t>: MF</w:t>
            </w:r>
            <w:r w:rsidR="002F19CC">
              <w:rPr>
                <w:sz w:val="14"/>
                <w:szCs w:val="14"/>
              </w:rPr>
              <w:t xml:space="preserve"> CR</w:t>
            </w:r>
            <w:r w:rsidR="005D7503" w:rsidRPr="007E5880">
              <w:rPr>
                <w:sz w:val="14"/>
                <w:szCs w:val="14"/>
              </w:rPr>
              <w:t>,</w:t>
            </w:r>
            <w:r w:rsidR="001432C1">
              <w:rPr>
                <w:sz w:val="14"/>
                <w:szCs w:val="14"/>
              </w:rPr>
              <w:t xml:space="preserve"> CSSA</w:t>
            </w:r>
          </w:p>
        </w:tc>
      </w:tr>
    </w:tbl>
    <w:p w:rsidR="005D7503" w:rsidRPr="002F19CC" w:rsidRDefault="005D7503" w:rsidP="005D7503">
      <w:pPr>
        <w:pStyle w:val="Textpoznpodarou"/>
        <w:jc w:val="both"/>
        <w:rPr>
          <w:rFonts w:cs="Arial"/>
          <w:color w:val="000000"/>
          <w:spacing w:val="-2"/>
          <w:sz w:val="6"/>
          <w:szCs w:val="6"/>
        </w:rPr>
      </w:pPr>
    </w:p>
    <w:tbl>
      <w:tblPr>
        <w:tblW w:w="4995" w:type="pct"/>
        <w:tblInd w:w="108" w:type="dxa"/>
        <w:tblLayout w:type="fixed"/>
        <w:tblLook w:val="00A0"/>
      </w:tblPr>
      <w:tblGrid>
        <w:gridCol w:w="2000"/>
        <w:gridCol w:w="284"/>
        <w:gridCol w:w="7560"/>
      </w:tblGrid>
      <w:tr w:rsidR="005D7503" w:rsidRPr="00BB4331" w:rsidTr="00CF0826">
        <w:trPr>
          <w:trHeight w:val="145"/>
        </w:trPr>
        <w:tc>
          <w:tcPr>
            <w:tcW w:w="1016" w:type="pct"/>
            <w:shd w:val="clear" w:color="auto" w:fill="auto"/>
          </w:tcPr>
          <w:p w:rsidR="005D7503" w:rsidRPr="003843B1" w:rsidRDefault="00821CEB"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lastRenderedPageBreak/>
              <w:t>Rate of growth of other social benefits reduced last year and thus increased markedly slower then expenditures on pensions.</w:t>
            </w: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5D7503" w:rsidP="00CF0826">
            <w:pPr>
              <w:spacing w:line="240" w:lineRule="auto"/>
              <w:rPr>
                <w:rFonts w:cs="Arial"/>
                <w:bCs/>
                <w:iCs/>
                <w:color w:val="0D0D0D" w:themeColor="text1" w:themeTint="F2"/>
                <w:sz w:val="16"/>
                <w:szCs w:val="16"/>
                <w:lang w:val="en-GB"/>
              </w:rPr>
            </w:pPr>
          </w:p>
          <w:p w:rsidR="005D7503" w:rsidRPr="003843B1" w:rsidRDefault="00324055"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Higher incomes of household from employment led to the</w:t>
            </w:r>
            <w:r w:rsidR="007C3C8E">
              <w:rPr>
                <w:rFonts w:cs="Arial"/>
                <w:bCs/>
                <w:iCs/>
                <w:color w:val="0D0D0D" w:themeColor="text1" w:themeTint="F2"/>
                <w:sz w:val="16"/>
                <w:szCs w:val="16"/>
                <w:lang w:val="en-GB"/>
              </w:rPr>
              <w:t xml:space="preserve"> reduction</w:t>
            </w:r>
            <w:r>
              <w:rPr>
                <w:rFonts w:cs="Arial"/>
                <w:bCs/>
                <w:iCs/>
                <w:color w:val="0D0D0D" w:themeColor="text1" w:themeTint="F2"/>
                <w:sz w:val="16"/>
                <w:szCs w:val="16"/>
                <w:lang w:val="en-GB"/>
              </w:rPr>
              <w:t xml:space="preserve"> </w:t>
            </w:r>
            <w:r w:rsidR="007C3C8E">
              <w:rPr>
                <w:rFonts w:cs="Arial"/>
                <w:bCs/>
                <w:iCs/>
                <w:color w:val="0D0D0D" w:themeColor="text1" w:themeTint="F2"/>
                <w:sz w:val="16"/>
                <w:szCs w:val="16"/>
                <w:lang w:val="en-GB"/>
              </w:rPr>
              <w:t>of expenditures on material deprivation or state social support.</w:t>
            </w:r>
          </w:p>
        </w:tc>
        <w:tc>
          <w:tcPr>
            <w:tcW w:w="144" w:type="pct"/>
          </w:tcPr>
          <w:p w:rsidR="005D7503" w:rsidRPr="003843B1" w:rsidRDefault="005D7503" w:rsidP="00CF0826">
            <w:pPr>
              <w:pStyle w:val="Textpoznpodarou"/>
              <w:jc w:val="both"/>
              <w:rPr>
                <w:rFonts w:cs="Arial"/>
                <w:color w:val="0D0D0D" w:themeColor="text1" w:themeTint="F2"/>
                <w:lang w:val="en-GB"/>
              </w:rPr>
            </w:pPr>
          </w:p>
        </w:tc>
        <w:tc>
          <w:tcPr>
            <w:tcW w:w="3840" w:type="pct"/>
          </w:tcPr>
          <w:p w:rsidR="005D7503" w:rsidRPr="003843B1" w:rsidRDefault="00821CEB" w:rsidP="00CF0826">
            <w:pPr>
              <w:pStyle w:val="Textpoznpodarou"/>
              <w:jc w:val="both"/>
              <w:rPr>
                <w:spacing w:val="-4"/>
                <w:lang w:val="en-GB"/>
              </w:rPr>
            </w:pPr>
            <w:r>
              <w:rPr>
                <w:spacing w:val="-4"/>
                <w:lang w:val="en-GB"/>
              </w:rPr>
              <w:t xml:space="preserve">Rate of growth of the SB expenditures on other social benefits (apart from pensions) reached </w:t>
            </w:r>
            <w:r w:rsidR="005D7503" w:rsidRPr="003843B1">
              <w:rPr>
                <w:spacing w:val="-4"/>
                <w:lang w:val="en-GB"/>
              </w:rPr>
              <w:t>1</w:t>
            </w:r>
            <w:r>
              <w:rPr>
                <w:spacing w:val="-4"/>
                <w:lang w:val="en-GB"/>
              </w:rPr>
              <w:t>.</w:t>
            </w:r>
            <w:r w:rsidR="005D7503" w:rsidRPr="003843B1">
              <w:rPr>
                <w:spacing w:val="-4"/>
                <w:lang w:val="en-GB"/>
              </w:rPr>
              <w:t>3% a</w:t>
            </w:r>
            <w:r>
              <w:rPr>
                <w:spacing w:val="-4"/>
                <w:lang w:val="en-GB"/>
              </w:rPr>
              <w:t xml:space="preserve">nd it lowered to one half compared to year </w:t>
            </w:r>
            <w:r w:rsidR="005D7503" w:rsidRPr="003843B1">
              <w:rPr>
                <w:spacing w:val="-4"/>
                <w:lang w:val="en-GB"/>
              </w:rPr>
              <w:t>2016</w:t>
            </w:r>
            <w:r>
              <w:rPr>
                <w:spacing w:val="-4"/>
                <w:lang w:val="en-GB"/>
              </w:rPr>
              <w:t xml:space="preserve">. The impact on the economic growth of the household income is still more evident. State expended less especially on the material deprivation assistance benefits </w:t>
            </w:r>
            <w:r w:rsidR="005D7503" w:rsidRPr="003843B1">
              <w:rPr>
                <w:spacing w:val="-4"/>
                <w:lang w:val="en-GB"/>
              </w:rPr>
              <w:t>(</w:t>
            </w:r>
            <w:r w:rsidR="001D3A7A">
              <w:rPr>
                <w:spacing w:val="-4"/>
                <w:lang w:val="en-GB"/>
              </w:rPr>
              <w:t>year-on-year by one fifth, by 35% in three years, resp. 3.9 CZK bn</w:t>
            </w:r>
            <w:r w:rsidR="005D7503" w:rsidRPr="003843B1">
              <w:rPr>
                <w:spacing w:val="-4"/>
                <w:lang w:val="en-GB"/>
              </w:rPr>
              <w:t xml:space="preserve">), </w:t>
            </w:r>
            <w:r w:rsidR="00CE0B0C">
              <w:rPr>
                <w:spacing w:val="-4"/>
                <w:lang w:val="en-GB"/>
              </w:rPr>
              <w:t>where both the weight dominant allowance for living and supplement for housing significantly shrank.</w:t>
            </w:r>
            <w:r w:rsidR="007C3C8E">
              <w:rPr>
                <w:spacing w:val="-4"/>
                <w:lang w:val="en-GB"/>
              </w:rPr>
              <w:t xml:space="preserve"> State social support benefits fell by 1.3%, whose growth lasting the four preceding years thus halted. Mainly the lower volume of the supplements for housing and child allowances were behind this development. Mild growth of the foster care benefits as well as the weight dominant group of the parent benefits (this benefit is not linked to the income of the family and its development thus more suggest the mild growth of the natality in the recent years) worked in the opposite direction. </w:t>
            </w:r>
            <w:r w:rsidR="00AF13A0">
              <w:rPr>
                <w:spacing w:val="-4"/>
                <w:lang w:val="en-GB"/>
              </w:rPr>
              <w:t xml:space="preserve">Smaller savings were achieved with the unemployment support (4.9% year-on-year, by 19% in the three years, resp. 1.8 CZK bn). </w:t>
            </w:r>
            <w:r w:rsidR="00CF5BD8">
              <w:rPr>
                <w:spacing w:val="-4"/>
                <w:lang w:val="en-GB"/>
              </w:rPr>
              <w:t xml:space="preserve">Increase of the relative representation of the frictional component of unemployment as well the strengthening rising of wages stood in the background (with the impact on the size of the </w:t>
            </w:r>
            <w:r w:rsidR="000D2BD3">
              <w:rPr>
                <w:spacing w:val="-4"/>
                <w:lang w:val="en-GB"/>
              </w:rPr>
              <w:t>paid-out</w:t>
            </w:r>
            <w:r w:rsidR="00CF5BD8">
              <w:rPr>
                <w:spacing w:val="-4"/>
                <w:lang w:val="en-GB"/>
              </w:rPr>
              <w:t xml:space="preserve"> benefits</w:t>
            </w:r>
            <w:r w:rsidR="005D7503" w:rsidRPr="003843B1">
              <w:rPr>
                <w:spacing w:val="-4"/>
                <w:lang w:val="en-GB"/>
              </w:rPr>
              <w:t>)</w:t>
            </w:r>
            <w:r w:rsidR="005D7503" w:rsidRPr="003843B1">
              <w:rPr>
                <w:rStyle w:val="Znakapoznpodarou"/>
                <w:spacing w:val="-4"/>
                <w:lang w:val="en-GB"/>
              </w:rPr>
              <w:footnoteReference w:id="43"/>
            </w:r>
            <w:r w:rsidR="005D7503" w:rsidRPr="003843B1">
              <w:rPr>
                <w:spacing w:val="-4"/>
                <w:lang w:val="en-GB"/>
              </w:rPr>
              <w:t xml:space="preserve">. </w:t>
            </w:r>
            <w:r w:rsidR="00CF5BD8">
              <w:rPr>
                <w:spacing w:val="-4"/>
                <w:lang w:val="en-GB"/>
              </w:rPr>
              <w:t xml:space="preserve">On the contrary, the growth of the </w:t>
            </w:r>
            <w:r w:rsidR="000D2BD3">
              <w:rPr>
                <w:spacing w:val="-4"/>
                <w:lang w:val="en-GB"/>
              </w:rPr>
              <w:t>sickness</w:t>
            </w:r>
            <w:r w:rsidR="00CF5BD8">
              <w:rPr>
                <w:spacing w:val="-4"/>
                <w:lang w:val="en-GB"/>
              </w:rPr>
              <w:t xml:space="preserve"> benefits continued already </w:t>
            </w:r>
            <w:r w:rsidR="005D0341">
              <w:rPr>
                <w:spacing w:val="-4"/>
                <w:lang w:val="en-GB"/>
              </w:rPr>
              <w:t xml:space="preserve">for </w:t>
            </w:r>
            <w:r w:rsidR="00CF5BD8">
              <w:rPr>
                <w:spacing w:val="-4"/>
                <w:lang w:val="en-GB"/>
              </w:rPr>
              <w:t xml:space="preserve">the fifth year </w:t>
            </w:r>
            <w:r w:rsidR="005D7503" w:rsidRPr="003843B1">
              <w:rPr>
                <w:color w:val="000000" w:themeColor="text1"/>
                <w:spacing w:val="-4"/>
                <w:lang w:val="en-GB"/>
              </w:rPr>
              <w:t>(</w:t>
            </w:r>
            <w:r w:rsidR="00CF5BD8">
              <w:rPr>
                <w:color w:val="000000" w:themeColor="text1"/>
                <w:spacing w:val="-4"/>
                <w:lang w:val="en-GB"/>
              </w:rPr>
              <w:t>by 7.8% in 2017</w:t>
            </w:r>
            <w:r w:rsidR="005D7503" w:rsidRPr="003843B1">
              <w:rPr>
                <w:color w:val="000000" w:themeColor="text1"/>
                <w:spacing w:val="-4"/>
                <w:lang w:val="en-GB"/>
              </w:rPr>
              <w:t>)</w:t>
            </w:r>
            <w:r w:rsidR="005D7503" w:rsidRPr="003843B1">
              <w:rPr>
                <w:rStyle w:val="Znakapoznpodarou"/>
                <w:color w:val="000000" w:themeColor="text1"/>
                <w:spacing w:val="-4"/>
                <w:lang w:val="en-GB"/>
              </w:rPr>
              <w:footnoteReference w:id="44"/>
            </w:r>
            <w:r w:rsidR="005D7503" w:rsidRPr="003843B1">
              <w:rPr>
                <w:color w:val="000000" w:themeColor="text1"/>
                <w:spacing w:val="-4"/>
                <w:lang w:val="en-GB"/>
              </w:rPr>
              <w:t xml:space="preserve">. </w:t>
            </w:r>
            <w:r w:rsidR="000D2BD3">
              <w:rPr>
                <w:color w:val="000000" w:themeColor="text1"/>
                <w:spacing w:val="-4"/>
                <w:lang w:val="en-GB"/>
              </w:rPr>
              <w:t xml:space="preserve">It was connected both to the stronger drawing of the maternity benefits due to the slightly higher birth rate and mainly to the larger volume of sickness benefits </w:t>
            </w:r>
            <w:r w:rsidR="005D7503" w:rsidRPr="003843B1">
              <w:rPr>
                <w:color w:val="000000" w:themeColor="text1"/>
                <w:spacing w:val="-4"/>
                <w:lang w:val="en-GB"/>
              </w:rPr>
              <w:t>(+7</w:t>
            </w:r>
            <w:r w:rsidR="000D2BD3">
              <w:rPr>
                <w:color w:val="000000" w:themeColor="text1"/>
                <w:spacing w:val="-4"/>
                <w:lang w:val="en-GB"/>
              </w:rPr>
              <w:t>.</w:t>
            </w:r>
            <w:r w:rsidR="005D7503" w:rsidRPr="003843B1">
              <w:rPr>
                <w:color w:val="000000" w:themeColor="text1"/>
                <w:spacing w:val="-4"/>
                <w:lang w:val="en-GB"/>
              </w:rPr>
              <w:t>7%)</w:t>
            </w:r>
            <w:r w:rsidR="00356FED">
              <w:rPr>
                <w:color w:val="000000" w:themeColor="text1"/>
                <w:spacing w:val="-4"/>
                <w:lang w:val="en-GB"/>
              </w:rPr>
              <w:t xml:space="preserve"> as a result of both increased sickness rate and growing number of persons with health insurance. The SB spent 25.1 CZK bn on the care benefits (for persons on</w:t>
            </w:r>
            <w:r w:rsidR="00703CFE">
              <w:rPr>
                <w:color w:val="000000" w:themeColor="text1"/>
                <w:spacing w:val="-4"/>
                <w:lang w:val="en-GB"/>
              </w:rPr>
              <w:t xml:space="preserve"> long term sickness leave), by 9</w:t>
            </w:r>
            <w:r w:rsidR="00356FED">
              <w:rPr>
                <w:color w:val="000000" w:themeColor="text1"/>
                <w:spacing w:val="-4"/>
                <w:lang w:val="en-GB"/>
              </w:rPr>
              <w:t>.0% more year-on-year</w:t>
            </w:r>
            <w:r w:rsidR="005D7503" w:rsidRPr="003843B1">
              <w:rPr>
                <w:rStyle w:val="Znakapoznpodarou"/>
                <w:spacing w:val="-4"/>
                <w:lang w:val="en-GB"/>
              </w:rPr>
              <w:footnoteReference w:id="45"/>
            </w:r>
            <w:r w:rsidR="005D7503" w:rsidRPr="003843B1">
              <w:rPr>
                <w:spacing w:val="-4"/>
                <w:lang w:val="en-GB"/>
              </w:rPr>
              <w:t xml:space="preserve">. </w:t>
            </w:r>
          </w:p>
          <w:p w:rsidR="005D7503" w:rsidRPr="003843B1" w:rsidRDefault="005D7503" w:rsidP="00CF0826">
            <w:pPr>
              <w:pStyle w:val="Textpoznpodarou"/>
              <w:jc w:val="both"/>
              <w:rPr>
                <w:spacing w:val="-4"/>
                <w:sz w:val="14"/>
                <w:szCs w:val="14"/>
                <w:lang w:val="en-GB"/>
              </w:rPr>
            </w:pPr>
          </w:p>
        </w:tc>
      </w:tr>
      <w:tr w:rsidR="005D7503" w:rsidRPr="00BB4331" w:rsidTr="00CF0826">
        <w:trPr>
          <w:trHeight w:val="145"/>
        </w:trPr>
        <w:tc>
          <w:tcPr>
            <w:tcW w:w="1016" w:type="pct"/>
            <w:shd w:val="clear" w:color="auto" w:fill="auto"/>
          </w:tcPr>
          <w:p w:rsidR="005D7503" w:rsidRPr="00E46735" w:rsidRDefault="00E705CD" w:rsidP="00CF0826">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Size of the state debt substantially fluctuated during the year 2017</w:t>
            </w:r>
            <w:r w:rsidR="00F804FA">
              <w:rPr>
                <w:rFonts w:cs="Arial"/>
                <w:bCs/>
                <w:iCs/>
                <w:color w:val="0D0D0D" w:themeColor="text1" w:themeTint="F2"/>
                <w:sz w:val="16"/>
                <w:szCs w:val="16"/>
                <w:lang w:val="en-GB"/>
              </w:rPr>
              <w:t xml:space="preserve">. </w:t>
            </w:r>
            <w:r>
              <w:rPr>
                <w:rFonts w:cs="Arial"/>
                <w:bCs/>
                <w:iCs/>
                <w:color w:val="0D0D0D" w:themeColor="text1" w:themeTint="F2"/>
                <w:sz w:val="16"/>
                <w:szCs w:val="16"/>
                <w:lang w:val="en-GB"/>
              </w:rPr>
              <w:t xml:space="preserve">The expectations linked to the termination of the regime of </w:t>
            </w:r>
            <w:r w:rsidR="00604CF7">
              <w:rPr>
                <w:rFonts w:cs="Arial"/>
                <w:bCs/>
                <w:iCs/>
                <w:color w:val="0D0D0D" w:themeColor="text1" w:themeTint="F2"/>
                <w:sz w:val="16"/>
                <w:szCs w:val="16"/>
                <w:lang w:val="en-GB"/>
              </w:rPr>
              <w:t xml:space="preserve">forex </w:t>
            </w:r>
            <w:r>
              <w:rPr>
                <w:rFonts w:cs="Arial"/>
                <w:bCs/>
                <w:iCs/>
                <w:color w:val="0D0D0D" w:themeColor="text1" w:themeTint="F2"/>
                <w:sz w:val="16"/>
                <w:szCs w:val="16"/>
                <w:lang w:val="en-GB"/>
              </w:rPr>
              <w:t>interventions manifested. State was selling bonds for negative yield in a higher extent.</w:t>
            </w:r>
          </w:p>
        </w:tc>
        <w:tc>
          <w:tcPr>
            <w:tcW w:w="144" w:type="pct"/>
          </w:tcPr>
          <w:p w:rsidR="005D7503" w:rsidRPr="00E46735" w:rsidRDefault="005D7503" w:rsidP="00CF0826">
            <w:pPr>
              <w:pStyle w:val="Textpoznpodarou"/>
              <w:jc w:val="both"/>
              <w:rPr>
                <w:rFonts w:cs="Arial"/>
                <w:color w:val="0D0D0D" w:themeColor="text1" w:themeTint="F2"/>
                <w:lang w:val="en-GB"/>
              </w:rPr>
            </w:pPr>
          </w:p>
        </w:tc>
        <w:tc>
          <w:tcPr>
            <w:tcW w:w="3840" w:type="pct"/>
          </w:tcPr>
          <w:p w:rsidR="00627F1F" w:rsidRDefault="00E705CD" w:rsidP="00CF0826">
            <w:pPr>
              <w:pStyle w:val="Textpoznpodarou"/>
              <w:jc w:val="both"/>
              <w:rPr>
                <w:color w:val="0D0D0D" w:themeColor="text1" w:themeTint="F2"/>
                <w:spacing w:val="-4"/>
                <w:lang w:val="en-GB"/>
              </w:rPr>
            </w:pPr>
            <w:r>
              <w:rPr>
                <w:rFonts w:cs="Arial"/>
                <w:color w:val="0D0D0D" w:themeColor="text1" w:themeTint="F2"/>
                <w:spacing w:val="-4"/>
                <w:lang w:val="en-GB"/>
              </w:rPr>
              <w:t xml:space="preserve">Net expenditures on the state debt equalled 39.8 CZK bn in year </w:t>
            </w:r>
            <w:r w:rsidR="005D7503" w:rsidRPr="00E46735">
              <w:rPr>
                <w:rFonts w:cs="Arial"/>
                <w:color w:val="0D0D0D" w:themeColor="text1" w:themeTint="F2"/>
                <w:spacing w:val="-4"/>
                <w:lang w:val="en-GB"/>
              </w:rPr>
              <w:t xml:space="preserve">2017. </w:t>
            </w:r>
            <w:r>
              <w:rPr>
                <w:rFonts w:cs="Arial"/>
                <w:color w:val="0D0D0D" w:themeColor="text1" w:themeTint="F2"/>
                <w:spacing w:val="-4"/>
                <w:lang w:val="en-GB"/>
              </w:rPr>
              <w:t>They declined (even though by a slower pace) already for the fourth year in a row – in total they w</w:t>
            </w:r>
            <w:r w:rsidR="00F43292">
              <w:rPr>
                <w:rFonts w:cs="Arial"/>
                <w:color w:val="0D0D0D" w:themeColor="text1" w:themeTint="F2"/>
                <w:spacing w:val="-4"/>
                <w:lang w:val="en-GB"/>
              </w:rPr>
              <w:t>e</w:t>
            </w:r>
            <w:r>
              <w:rPr>
                <w:rFonts w:cs="Arial"/>
                <w:color w:val="0D0D0D" w:themeColor="text1" w:themeTint="F2"/>
                <w:spacing w:val="-4"/>
                <w:lang w:val="en-GB"/>
              </w:rPr>
              <w:t xml:space="preserve">re thus by 21.9% lower. </w:t>
            </w:r>
            <w:r w:rsidR="00F43292">
              <w:rPr>
                <w:rFonts w:cs="Arial"/>
                <w:color w:val="0D0D0D" w:themeColor="text1" w:themeTint="F2"/>
                <w:spacing w:val="-4"/>
                <w:lang w:val="en-GB"/>
              </w:rPr>
              <w:t>Lower interest rates on the market with the state bonds were behind the cut</w:t>
            </w:r>
            <w:r w:rsidR="00313F7F">
              <w:rPr>
                <w:rFonts w:cs="Arial"/>
                <w:color w:val="0D0D0D" w:themeColor="text1" w:themeTint="F2"/>
                <w:spacing w:val="-4"/>
                <w:lang w:val="en-GB"/>
              </w:rPr>
              <w:t xml:space="preserve"> in the first half of the year and also the weaker borrowing need of the state </w:t>
            </w:r>
            <w:r w:rsidR="005D7503" w:rsidRPr="00E46735">
              <w:rPr>
                <w:rFonts w:cs="Arial"/>
                <w:color w:val="0D0D0D" w:themeColor="text1" w:themeTint="F2"/>
                <w:spacing w:val="-4"/>
                <w:lang w:val="en-GB"/>
              </w:rPr>
              <w:t>(</w:t>
            </w:r>
            <w:r w:rsidR="00372B1D">
              <w:rPr>
                <w:rFonts w:cs="Arial"/>
                <w:color w:val="0D0D0D" w:themeColor="text1" w:themeTint="F2"/>
                <w:spacing w:val="-4"/>
                <w:lang w:val="en-GB"/>
              </w:rPr>
              <w:t>due to the improving SB balance</w:t>
            </w:r>
            <w:r w:rsidR="005D7503" w:rsidRPr="00E46735">
              <w:rPr>
                <w:rFonts w:cs="Arial"/>
                <w:color w:val="0D0D0D" w:themeColor="text1" w:themeTint="F2"/>
                <w:spacing w:val="-4"/>
                <w:lang w:val="en-GB"/>
              </w:rPr>
              <w:t>). S</w:t>
            </w:r>
            <w:r w:rsidR="00372B1D">
              <w:rPr>
                <w:rFonts w:cs="Arial"/>
                <w:color w:val="0D0D0D" w:themeColor="text1" w:themeTint="F2"/>
                <w:spacing w:val="-4"/>
                <w:lang w:val="en-GB"/>
              </w:rPr>
              <w:t>tate debt considerably fluctuated during the year 2017</w:t>
            </w:r>
            <w:r w:rsidR="005D7503" w:rsidRPr="00E46735">
              <w:rPr>
                <w:rStyle w:val="Znakapoznpodarou"/>
                <w:color w:val="0D0D0D" w:themeColor="text1" w:themeTint="F2"/>
                <w:spacing w:val="-4"/>
                <w:lang w:val="en-GB"/>
              </w:rPr>
              <w:footnoteReference w:id="46"/>
            </w:r>
            <w:r w:rsidR="005D7503" w:rsidRPr="00E46735">
              <w:rPr>
                <w:rFonts w:cs="Arial"/>
                <w:color w:val="0D0D0D" w:themeColor="text1" w:themeTint="F2"/>
                <w:spacing w:val="-4"/>
                <w:lang w:val="en-GB"/>
              </w:rPr>
              <w:t xml:space="preserve"> a</w:t>
            </w:r>
            <w:r w:rsidR="00372B1D">
              <w:rPr>
                <w:rFonts w:cs="Arial"/>
                <w:color w:val="0D0D0D" w:themeColor="text1" w:themeTint="F2"/>
                <w:spacing w:val="-4"/>
                <w:lang w:val="en-GB"/>
              </w:rPr>
              <w:t xml:space="preserve">nd it was </w:t>
            </w:r>
            <w:r w:rsidR="005D7503" w:rsidRPr="00E46735">
              <w:rPr>
                <w:rFonts w:cs="Arial"/>
                <w:color w:val="0D0D0D" w:themeColor="text1" w:themeTint="F2"/>
                <w:spacing w:val="-4"/>
                <w:lang w:val="en-GB"/>
              </w:rPr>
              <w:t>1</w:t>
            </w:r>
            <w:r w:rsidR="00AD6483" w:rsidRPr="00E46735">
              <w:rPr>
                <w:rFonts w:cs="Arial"/>
                <w:color w:val="0D0D0D" w:themeColor="text1" w:themeTint="F2"/>
                <w:spacing w:val="-4"/>
                <w:lang w:val="en-GB"/>
              </w:rPr>
              <w:t> </w:t>
            </w:r>
            <w:r w:rsidR="005D7503" w:rsidRPr="00E46735">
              <w:rPr>
                <w:rFonts w:cs="Arial"/>
                <w:color w:val="0D0D0D" w:themeColor="text1" w:themeTint="F2"/>
                <w:spacing w:val="-4"/>
                <w:lang w:val="en-GB"/>
              </w:rPr>
              <w:t>625</w:t>
            </w:r>
            <w:r w:rsidR="00AD6483" w:rsidRPr="00E46735">
              <w:rPr>
                <w:rFonts w:cs="Arial"/>
                <w:color w:val="0D0D0D" w:themeColor="text1" w:themeTint="F2"/>
                <w:spacing w:val="-4"/>
                <w:lang w:val="en-GB"/>
              </w:rPr>
              <w:t> </w:t>
            </w:r>
            <w:r w:rsidR="00372B1D">
              <w:rPr>
                <w:rFonts w:cs="Arial"/>
                <w:color w:val="0D0D0D" w:themeColor="text1" w:themeTint="F2"/>
                <w:spacing w:val="-4"/>
                <w:lang w:val="en-GB"/>
              </w:rPr>
              <w:t>CZK bn at the end of December</w:t>
            </w:r>
            <w:r w:rsidR="00AD6483" w:rsidRPr="00E46735">
              <w:rPr>
                <w:rFonts w:cs="Arial"/>
                <w:color w:val="0D0D0D" w:themeColor="text1" w:themeTint="F2"/>
                <w:spacing w:val="-4"/>
                <w:lang w:val="en-GB"/>
              </w:rPr>
              <w:t xml:space="preserve">, </w:t>
            </w:r>
            <w:r w:rsidR="00372B1D">
              <w:rPr>
                <w:rFonts w:cs="Arial"/>
                <w:color w:val="0D0D0D" w:themeColor="text1" w:themeTint="F2"/>
                <w:spacing w:val="-4"/>
                <w:lang w:val="en-GB"/>
              </w:rPr>
              <w:t xml:space="preserve">by </w:t>
            </w:r>
            <w:r w:rsidR="005D7503" w:rsidRPr="00E46735">
              <w:rPr>
                <w:rFonts w:cs="Arial"/>
                <w:color w:val="0D0D0D" w:themeColor="text1" w:themeTint="F2"/>
                <w:spacing w:val="-4"/>
                <w:lang w:val="en-GB"/>
              </w:rPr>
              <w:t>0</w:t>
            </w:r>
            <w:r w:rsidR="00372B1D">
              <w:rPr>
                <w:rFonts w:cs="Arial"/>
                <w:color w:val="0D0D0D" w:themeColor="text1" w:themeTint="F2"/>
                <w:spacing w:val="-4"/>
                <w:lang w:val="en-GB"/>
              </w:rPr>
              <w:t>.</w:t>
            </w:r>
            <w:r w:rsidR="005D7503" w:rsidRPr="00E46735">
              <w:rPr>
                <w:rFonts w:cs="Arial"/>
                <w:color w:val="0D0D0D" w:themeColor="text1" w:themeTint="F2"/>
                <w:spacing w:val="-4"/>
                <w:lang w:val="en-GB"/>
              </w:rPr>
              <w:t xml:space="preserve">7% </w:t>
            </w:r>
            <w:r w:rsidR="00372B1D">
              <w:rPr>
                <w:rFonts w:cs="Arial"/>
                <w:color w:val="0D0D0D" w:themeColor="text1" w:themeTint="F2"/>
                <w:spacing w:val="-4"/>
                <w:lang w:val="en-GB"/>
              </w:rPr>
              <w:t>more year-on-year</w:t>
            </w:r>
            <w:r w:rsidR="005D7503" w:rsidRPr="00E46735">
              <w:rPr>
                <w:rFonts w:cs="Arial"/>
                <w:color w:val="0D0D0D" w:themeColor="text1" w:themeTint="F2"/>
                <w:spacing w:val="-4"/>
                <w:lang w:val="en-GB"/>
              </w:rPr>
              <w:t xml:space="preserve">. </w:t>
            </w:r>
            <w:r w:rsidR="00372B1D">
              <w:rPr>
                <w:rFonts w:cs="Arial"/>
                <w:color w:val="0D0D0D" w:themeColor="text1" w:themeTint="F2"/>
                <w:spacing w:val="-4"/>
                <w:lang w:val="en-GB"/>
              </w:rPr>
              <w:t xml:space="preserve">While the internal indebtedness mildly increased </w:t>
            </w:r>
            <w:r w:rsidR="005D7503" w:rsidRPr="00E46735">
              <w:rPr>
                <w:rFonts w:cs="Arial"/>
                <w:color w:val="0D0D0D" w:themeColor="text1" w:themeTint="F2"/>
                <w:spacing w:val="-4"/>
                <w:lang w:val="en-GB"/>
              </w:rPr>
              <w:t>(+27</w:t>
            </w:r>
            <w:r w:rsidR="00AD6483" w:rsidRPr="00E46735">
              <w:rPr>
                <w:rFonts w:cs="Arial"/>
                <w:color w:val="0D0D0D" w:themeColor="text1" w:themeTint="F2"/>
                <w:spacing w:val="-4"/>
                <w:lang w:val="en-GB"/>
              </w:rPr>
              <w:t> </w:t>
            </w:r>
            <w:r w:rsidR="00372B1D">
              <w:rPr>
                <w:rFonts w:cs="Arial"/>
                <w:color w:val="0D0D0D" w:themeColor="text1" w:themeTint="F2"/>
                <w:spacing w:val="-4"/>
                <w:lang w:val="en-GB"/>
              </w:rPr>
              <w:t>bn</w:t>
            </w:r>
            <w:r w:rsidR="005D7503" w:rsidRPr="00E46735">
              <w:rPr>
                <w:rFonts w:cs="Arial"/>
                <w:color w:val="0D0D0D" w:themeColor="text1" w:themeTint="F2"/>
                <w:spacing w:val="-4"/>
                <w:lang w:val="en-GB"/>
              </w:rPr>
              <w:t xml:space="preserve">), </w:t>
            </w:r>
            <w:r w:rsidR="00DF52AE">
              <w:rPr>
                <w:rFonts w:cs="Arial"/>
                <w:color w:val="0D0D0D" w:themeColor="text1" w:themeTint="F2"/>
                <w:spacing w:val="-4"/>
                <w:lang w:val="en-GB"/>
              </w:rPr>
              <w:t xml:space="preserve">the CZK value of the external debt sank already third year in a row, since the state met its borrowing need exclusively on the domestic market. The external debt thus shared by 15.6% on the total state indebtedness and within Q4, it represented the lowest share in the last ten years. </w:t>
            </w:r>
            <w:r w:rsidR="00F804FA">
              <w:rPr>
                <w:rFonts w:cs="Arial"/>
                <w:color w:val="0D0D0D" w:themeColor="text1" w:themeTint="F2"/>
                <w:spacing w:val="-4"/>
                <w:lang w:val="en-GB"/>
              </w:rPr>
              <w:t xml:space="preserve">The volume as well as the share of the koruna bonds held by the non-residents markedly fell in connection to the outflow of the speculative capital in Q4 2017 (from </w:t>
            </w:r>
            <w:r w:rsidR="005D7503" w:rsidRPr="00E46735">
              <w:rPr>
                <w:color w:val="0D0D0D" w:themeColor="text1" w:themeTint="F2"/>
                <w:spacing w:val="-4"/>
                <w:lang w:val="en-GB"/>
              </w:rPr>
              <w:t>51</w:t>
            </w:r>
            <w:r w:rsidR="00F804FA">
              <w:rPr>
                <w:color w:val="0D0D0D" w:themeColor="text1" w:themeTint="F2"/>
                <w:spacing w:val="-4"/>
                <w:lang w:val="en-GB"/>
              </w:rPr>
              <w:t>.</w:t>
            </w:r>
            <w:r w:rsidR="005D7503" w:rsidRPr="00E46735">
              <w:rPr>
                <w:color w:val="0D0D0D" w:themeColor="text1" w:themeTint="F2"/>
                <w:spacing w:val="-4"/>
                <w:lang w:val="en-GB"/>
              </w:rPr>
              <w:t xml:space="preserve">4% </w:t>
            </w:r>
            <w:r w:rsidR="00F804FA">
              <w:rPr>
                <w:color w:val="0D0D0D" w:themeColor="text1" w:themeTint="F2"/>
                <w:spacing w:val="-4"/>
                <w:lang w:val="en-GB"/>
              </w:rPr>
              <w:t xml:space="preserve">to </w:t>
            </w:r>
            <w:r w:rsidR="005D7503" w:rsidRPr="00E46735">
              <w:rPr>
                <w:color w:val="0D0D0D" w:themeColor="text1" w:themeTint="F2"/>
                <w:spacing w:val="-4"/>
                <w:lang w:val="en-GB"/>
              </w:rPr>
              <w:t>41</w:t>
            </w:r>
            <w:r w:rsidR="00F804FA">
              <w:rPr>
                <w:color w:val="0D0D0D" w:themeColor="text1" w:themeTint="F2"/>
                <w:spacing w:val="-4"/>
                <w:lang w:val="en-GB"/>
              </w:rPr>
              <w:t>.</w:t>
            </w:r>
            <w:r w:rsidR="005D7503" w:rsidRPr="00E46735">
              <w:rPr>
                <w:color w:val="0D0D0D" w:themeColor="text1" w:themeTint="F2"/>
                <w:spacing w:val="-4"/>
                <w:lang w:val="en-GB"/>
              </w:rPr>
              <w:t>6%</w:t>
            </w:r>
            <w:r w:rsidR="00AD6483" w:rsidRPr="00E46735">
              <w:rPr>
                <w:color w:val="0D0D0D" w:themeColor="text1" w:themeTint="F2"/>
                <w:spacing w:val="-4"/>
                <w:lang w:val="en-GB"/>
              </w:rPr>
              <w:t>),</w:t>
            </w:r>
            <w:r w:rsidR="005D7503" w:rsidRPr="00E46735">
              <w:rPr>
                <w:color w:val="0D0D0D" w:themeColor="text1" w:themeTint="F2"/>
                <w:spacing w:val="-4"/>
                <w:lang w:val="en-GB"/>
              </w:rPr>
              <w:t xml:space="preserve"> a</w:t>
            </w:r>
            <w:r w:rsidR="00F804FA">
              <w:rPr>
                <w:color w:val="0D0D0D" w:themeColor="text1" w:themeTint="F2"/>
                <w:spacing w:val="-4"/>
                <w:lang w:val="en-GB"/>
              </w:rPr>
              <w:t>nd it thus returned to the value from the beginning of the year</w:t>
            </w:r>
            <w:r w:rsidR="005D7503" w:rsidRPr="00E46735">
              <w:rPr>
                <w:color w:val="0D0D0D" w:themeColor="text1" w:themeTint="F2"/>
                <w:spacing w:val="-4"/>
                <w:lang w:val="en-GB"/>
              </w:rPr>
              <w:t>.</w:t>
            </w:r>
          </w:p>
          <w:p w:rsidR="005D7503" w:rsidRPr="00627F1F" w:rsidRDefault="005D7503" w:rsidP="00CF0826">
            <w:pPr>
              <w:pStyle w:val="Textpoznpodarou"/>
              <w:jc w:val="both"/>
              <w:rPr>
                <w:spacing w:val="-4"/>
                <w:sz w:val="14"/>
                <w:szCs w:val="14"/>
                <w:lang w:val="en-GB"/>
              </w:rPr>
            </w:pPr>
            <w:r w:rsidRPr="00E46735">
              <w:rPr>
                <w:color w:val="0D0D0D" w:themeColor="text1" w:themeTint="F2"/>
                <w:spacing w:val="-4"/>
                <w:lang w:val="en-GB"/>
              </w:rPr>
              <w:t xml:space="preserve"> </w:t>
            </w:r>
          </w:p>
        </w:tc>
      </w:tr>
      <w:tr w:rsidR="00627F1F" w:rsidRPr="00465317" w:rsidTr="00627F1F">
        <w:trPr>
          <w:trHeight w:val="145"/>
        </w:trPr>
        <w:tc>
          <w:tcPr>
            <w:tcW w:w="1016" w:type="pct"/>
            <w:shd w:val="clear" w:color="auto" w:fill="auto"/>
          </w:tcPr>
          <w:p w:rsidR="00627F1F" w:rsidRPr="00465317" w:rsidRDefault="00627F1F" w:rsidP="00F96E38">
            <w:pPr>
              <w:spacing w:line="240" w:lineRule="auto"/>
              <w:rPr>
                <w:rFonts w:cs="Arial"/>
                <w:bCs/>
                <w:iCs/>
                <w:color w:val="0D0D0D" w:themeColor="text1" w:themeTint="F2"/>
                <w:sz w:val="16"/>
                <w:szCs w:val="16"/>
                <w:lang w:val="en-GB"/>
              </w:rPr>
            </w:pPr>
            <w:r>
              <w:rPr>
                <w:rFonts w:cs="Arial"/>
                <w:bCs/>
                <w:iCs/>
                <w:color w:val="0D0D0D" w:themeColor="text1" w:themeTint="F2"/>
                <w:sz w:val="16"/>
                <w:szCs w:val="16"/>
                <w:lang w:val="en-GB"/>
              </w:rPr>
              <w:t xml:space="preserve">Rate of indebtedness of the whole sector of the government institutions attained 35.1% of GDP in Q3, it lowered by nearly one tenth year-on-year. </w:t>
            </w:r>
          </w:p>
        </w:tc>
        <w:tc>
          <w:tcPr>
            <w:tcW w:w="144" w:type="pct"/>
          </w:tcPr>
          <w:p w:rsidR="00627F1F" w:rsidRPr="00465317" w:rsidRDefault="00627F1F" w:rsidP="00F96E38">
            <w:pPr>
              <w:pStyle w:val="Textpoznpodarou"/>
              <w:jc w:val="both"/>
              <w:rPr>
                <w:rFonts w:cs="Arial"/>
                <w:color w:val="0D0D0D" w:themeColor="text1" w:themeTint="F2"/>
                <w:lang w:val="en-GB"/>
              </w:rPr>
            </w:pPr>
          </w:p>
        </w:tc>
        <w:tc>
          <w:tcPr>
            <w:tcW w:w="3840" w:type="pct"/>
          </w:tcPr>
          <w:p w:rsidR="00627F1F" w:rsidRPr="00627F1F" w:rsidRDefault="00627F1F" w:rsidP="00F96E38">
            <w:pPr>
              <w:pStyle w:val="Textpoznpodarou"/>
              <w:jc w:val="both"/>
              <w:rPr>
                <w:rFonts w:cs="Arial"/>
                <w:color w:val="0D0D0D" w:themeColor="text1" w:themeTint="F2"/>
                <w:spacing w:val="-4"/>
                <w:lang w:val="en-GB"/>
              </w:rPr>
            </w:pPr>
            <w:r w:rsidRPr="00627F1F">
              <w:rPr>
                <w:rFonts w:cs="Arial"/>
                <w:color w:val="0D0D0D" w:themeColor="text1" w:themeTint="F2"/>
                <w:spacing w:val="-4"/>
                <w:lang w:val="en-GB"/>
              </w:rPr>
              <w:t xml:space="preserve">Consolidated debt of the whole sector of the government institutions (reflecting also the budget of the regional municipalities or health insurance companies) attained according to the up-to-date data of the CZSO size 1 739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at the end of Q3 2017</w:t>
            </w:r>
            <w:r w:rsidRPr="000C4253">
              <w:rPr>
                <w:rStyle w:val="Znakapoznpodarou"/>
                <w:rFonts w:cs="Arial"/>
                <w:color w:val="0D0D0D" w:themeColor="text1" w:themeTint="F2"/>
                <w:spacing w:val="-4"/>
                <w:lang w:val="en-GB"/>
              </w:rPr>
              <w:footnoteReference w:id="47"/>
            </w:r>
            <w:r w:rsidRPr="00627F1F">
              <w:rPr>
                <w:rFonts w:cs="Arial"/>
                <w:color w:val="0D0D0D" w:themeColor="text1" w:themeTint="F2"/>
                <w:spacing w:val="-4"/>
                <w:lang w:val="en-GB"/>
              </w:rPr>
              <w:t xml:space="preserve">. The rate of indebtedness was 35.1% of GDP and fell by 3.1 p.p. year-on-year, which was the similar result of both reduction of the absolute size of the debt and the growth of the nominal GDP. Apart from the central government institutions, the local government institutions also significantly participated on the reduction of the absolute size of the debt. The government institutions administered the surplus of 84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in Q1 to 3 2017 (50 CZK </w:t>
            </w:r>
            <w:proofErr w:type="spellStart"/>
            <w:r w:rsidRPr="00627F1F">
              <w:rPr>
                <w:rFonts w:cs="Arial"/>
                <w:color w:val="0D0D0D" w:themeColor="text1" w:themeTint="F2"/>
                <w:spacing w:val="-4"/>
                <w:lang w:val="en-GB"/>
              </w:rPr>
              <w:t>bn</w:t>
            </w:r>
            <w:proofErr w:type="spellEnd"/>
            <w:r w:rsidRPr="00627F1F">
              <w:rPr>
                <w:rFonts w:cs="Arial"/>
                <w:color w:val="0D0D0D" w:themeColor="text1" w:themeTint="F2"/>
                <w:spacing w:val="-4"/>
                <w:lang w:val="en-GB"/>
              </w:rPr>
              <w:t xml:space="preserve"> the year before). All government subsectors showed positive balance, as well as its year-on-year enlargement. Central government institutions contributed to the increase of the total surplus the most. </w:t>
            </w:r>
          </w:p>
        </w:tc>
      </w:tr>
    </w:tbl>
    <w:p w:rsidR="00627F1F" w:rsidRPr="00BD2DC3" w:rsidRDefault="00627F1F"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E46735" w:rsidP="00CF0826">
            <w:pPr>
              <w:pStyle w:val="Textpoznpodarou"/>
              <w:jc w:val="both"/>
              <w:rPr>
                <w:highlight w:val="yellow"/>
              </w:rPr>
            </w:pPr>
            <w:r>
              <w:rPr>
                <w:color w:val="000000"/>
              </w:rPr>
              <w:t xml:space="preserve">Chart </w:t>
            </w:r>
            <w:r w:rsidR="005D7503">
              <w:rPr>
                <w:color w:val="000000"/>
              </w:rPr>
              <w:t>22</w:t>
            </w:r>
          </w:p>
        </w:tc>
        <w:tc>
          <w:tcPr>
            <w:tcW w:w="3262" w:type="pct"/>
          </w:tcPr>
          <w:p w:rsidR="005D7503" w:rsidRPr="0007324C" w:rsidRDefault="00E46735" w:rsidP="00CF0826">
            <w:pPr>
              <w:spacing w:line="240" w:lineRule="auto"/>
              <w:rPr>
                <w:rFonts w:cs="Arial"/>
                <w:b/>
                <w:bCs/>
              </w:rPr>
            </w:pPr>
            <w:r>
              <w:rPr>
                <w:rFonts w:cs="Arial"/>
                <w:b/>
                <w:bCs/>
                <w:lang w:val="en-GB"/>
              </w:rPr>
              <w:t xml:space="preserve">Selected state budget expenditures </w:t>
            </w:r>
            <w:r w:rsidR="005D7503">
              <w:rPr>
                <w:rFonts w:cs="Arial"/>
                <w:bCs/>
              </w:rPr>
              <w:t>(</w:t>
            </w:r>
            <w:r>
              <w:rPr>
                <w:rFonts w:cs="Arial"/>
                <w:bCs/>
              </w:rPr>
              <w:t>in CZK bn</w:t>
            </w:r>
            <w:r w:rsidR="005D7503">
              <w:rPr>
                <w:rFonts w:cs="Arial"/>
                <w:bCs/>
              </w:rPr>
              <w:t>)</w:t>
            </w:r>
          </w:p>
        </w:tc>
      </w:tr>
      <w:tr w:rsidR="005D7503" w:rsidRPr="00593ECE"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Pr="00593ECE" w:rsidRDefault="00C51D4B" w:rsidP="00CF0826">
            <w:pPr>
              <w:pStyle w:val="Textpoznpodarou"/>
              <w:ind w:left="-124"/>
              <w:jc w:val="both"/>
              <w:rPr>
                <w:sz w:val="16"/>
                <w:szCs w:val="16"/>
                <w:lang w:val="en-GB"/>
              </w:rPr>
            </w:pPr>
            <w:r w:rsidRPr="00C51D4B">
              <w:rPr>
                <w:noProof/>
                <w:sz w:val="16"/>
                <w:szCs w:val="16"/>
              </w:rPr>
              <w:drawing>
                <wp:inline distT="0" distB="0" distL="0" distR="0">
                  <wp:extent cx="4760919" cy="3412044"/>
                  <wp:effectExtent l="19050" t="0" r="1581"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93ECE" w:rsidRPr="00593ECE" w:rsidRDefault="005D7503" w:rsidP="00CF0826">
            <w:pPr>
              <w:pStyle w:val="Textpoznpodarou"/>
              <w:rPr>
                <w:sz w:val="14"/>
                <w:szCs w:val="14"/>
                <w:lang w:val="en-GB"/>
              </w:rPr>
            </w:pPr>
            <w:r w:rsidRPr="00593ECE">
              <w:rPr>
                <w:sz w:val="14"/>
                <w:szCs w:val="14"/>
                <w:lang w:val="en-GB"/>
              </w:rPr>
              <w:t xml:space="preserve">* </w:t>
            </w:r>
            <w:r w:rsidR="00F96E38">
              <w:rPr>
                <w:sz w:val="14"/>
                <w:szCs w:val="14"/>
                <w:lang w:val="en-GB"/>
              </w:rPr>
              <w:t xml:space="preserve">Include mainly </w:t>
            </w:r>
            <w:r w:rsidR="00F96E38">
              <w:rPr>
                <w:rStyle w:val="shorttext"/>
                <w:rFonts w:cs="Arial"/>
                <w:color w:val="222222"/>
                <w:sz w:val="14"/>
                <w:szCs w:val="14"/>
              </w:rPr>
              <w:t>e</w:t>
            </w:r>
            <w:r w:rsidR="00F96E38" w:rsidRPr="00F96E38">
              <w:rPr>
                <w:rStyle w:val="shorttext"/>
                <w:rFonts w:cs="Arial"/>
                <w:color w:val="222222"/>
                <w:sz w:val="14"/>
                <w:szCs w:val="14"/>
              </w:rPr>
              <w:t>xpenditure on the purchase of services</w:t>
            </w:r>
            <w:r w:rsidR="00F96E38">
              <w:rPr>
                <w:rStyle w:val="shorttext"/>
                <w:rFonts w:cs="Arial"/>
                <w:color w:val="222222"/>
                <w:sz w:val="14"/>
                <w:szCs w:val="14"/>
              </w:rPr>
              <w:t xml:space="preserve"> (IT, rents)</w:t>
            </w:r>
            <w:r w:rsidR="00F96E38">
              <w:rPr>
                <w:sz w:val="14"/>
                <w:szCs w:val="14"/>
                <w:lang w:val="en-GB"/>
              </w:rPr>
              <w:t xml:space="preserve">, </w:t>
            </w:r>
            <w:r w:rsidR="00F96E38">
              <w:rPr>
                <w:rStyle w:val="shorttext"/>
                <w:rFonts w:cs="Arial"/>
                <w:color w:val="222222"/>
                <w:sz w:val="13"/>
                <w:szCs w:val="13"/>
              </w:rPr>
              <w:t>expenditure on water, fuel and energy purchases, expenditure on material purchase, expenditure on repairs and maintenance. On the other hand,</w:t>
            </w:r>
            <w:r w:rsidR="00F96E38">
              <w:rPr>
                <w:sz w:val="14"/>
                <w:szCs w:val="14"/>
                <w:lang w:val="en-GB"/>
              </w:rPr>
              <w:t xml:space="preserve"> i</w:t>
            </w:r>
            <w:r w:rsidR="00593ECE" w:rsidRPr="00F96E38">
              <w:rPr>
                <w:sz w:val="14"/>
                <w:szCs w:val="14"/>
                <w:lang w:val="en-GB"/>
              </w:rPr>
              <w:t>nterests</w:t>
            </w:r>
            <w:r w:rsidR="00593ECE" w:rsidRPr="00593ECE">
              <w:rPr>
                <w:sz w:val="14"/>
                <w:szCs w:val="14"/>
                <w:lang w:val="en-GB"/>
              </w:rPr>
              <w:t xml:space="preserve">, guarantees and other financial outlays on the state debt </w:t>
            </w:r>
            <w:r w:rsidR="00C51D4B">
              <w:rPr>
                <w:sz w:val="14"/>
                <w:szCs w:val="14"/>
                <w:lang w:val="en-GB"/>
              </w:rPr>
              <w:t>are excluded.</w:t>
            </w:r>
          </w:p>
          <w:p w:rsidR="00593ECE" w:rsidRPr="00593ECE" w:rsidRDefault="005D7503" w:rsidP="00CF0826">
            <w:pPr>
              <w:pStyle w:val="Textpoznpodarou"/>
              <w:rPr>
                <w:sz w:val="14"/>
                <w:szCs w:val="14"/>
                <w:lang w:val="en-GB"/>
              </w:rPr>
            </w:pPr>
            <w:r w:rsidRPr="00593ECE">
              <w:rPr>
                <w:sz w:val="14"/>
                <w:szCs w:val="14"/>
                <w:lang w:val="en-GB"/>
              </w:rPr>
              <w:t xml:space="preserve">** </w:t>
            </w:r>
            <w:r w:rsidR="00593ECE" w:rsidRPr="00593ECE">
              <w:rPr>
                <w:sz w:val="14"/>
                <w:szCs w:val="14"/>
                <w:lang w:val="en-GB"/>
              </w:rPr>
              <w:t xml:space="preserve">including the foster care benefits </w:t>
            </w:r>
          </w:p>
          <w:p w:rsidR="00593ECE" w:rsidRPr="00593ECE" w:rsidRDefault="005D7503" w:rsidP="00593ECE">
            <w:pPr>
              <w:pStyle w:val="Textpoznpodarou"/>
              <w:rPr>
                <w:sz w:val="14"/>
                <w:szCs w:val="14"/>
                <w:lang w:val="en-GB"/>
              </w:rPr>
            </w:pPr>
            <w:r w:rsidRPr="00593ECE">
              <w:rPr>
                <w:sz w:val="14"/>
                <w:szCs w:val="14"/>
                <w:lang w:val="en-GB"/>
              </w:rPr>
              <w:t xml:space="preserve">*** </w:t>
            </w:r>
            <w:r w:rsidR="00593ECE" w:rsidRPr="00593ECE">
              <w:rPr>
                <w:sz w:val="14"/>
                <w:szCs w:val="14"/>
                <w:lang w:val="en-GB"/>
              </w:rPr>
              <w:t>Material deprivation assistance benefits, Benefits for people with disabilities, Care benefits (based on Act on State Social Support)</w:t>
            </w:r>
          </w:p>
          <w:p w:rsidR="00A27D2E" w:rsidRPr="00C51D4B" w:rsidRDefault="00593ECE" w:rsidP="00C51D4B">
            <w:pPr>
              <w:pStyle w:val="Textpoznpodarou"/>
              <w:jc w:val="right"/>
              <w:rPr>
                <w:rFonts w:cs="Arial"/>
                <w:sz w:val="14"/>
                <w:szCs w:val="14"/>
                <w:lang w:val="en-GB"/>
              </w:rPr>
            </w:pPr>
            <w:r w:rsidRPr="00593ECE">
              <w:rPr>
                <w:rFonts w:cs="Arial"/>
                <w:sz w:val="14"/>
                <w:szCs w:val="14"/>
                <w:lang w:val="en-GB"/>
              </w:rPr>
              <w:t xml:space="preserve"> Source</w:t>
            </w:r>
            <w:r w:rsidR="005D7503" w:rsidRPr="00593ECE">
              <w:rPr>
                <w:rFonts w:cs="Arial"/>
                <w:sz w:val="14"/>
                <w:szCs w:val="14"/>
                <w:lang w:val="en-GB"/>
              </w:rPr>
              <w:t>: MF</w:t>
            </w:r>
            <w:r w:rsidR="002F19CC">
              <w:rPr>
                <w:rFonts w:cs="Arial"/>
                <w:sz w:val="14"/>
                <w:szCs w:val="14"/>
                <w:lang w:val="en-GB"/>
              </w:rPr>
              <w:t xml:space="preserve"> CR</w:t>
            </w:r>
            <w:r w:rsidR="005D7503" w:rsidRPr="00593ECE">
              <w:rPr>
                <w:rFonts w:cs="Arial"/>
                <w:sz w:val="14"/>
                <w:szCs w:val="14"/>
                <w:lang w:val="en-GB"/>
              </w:rPr>
              <w:t>, M</w:t>
            </w:r>
            <w:r w:rsidRPr="00593ECE">
              <w:rPr>
                <w:rFonts w:cs="Arial"/>
                <w:sz w:val="14"/>
                <w:szCs w:val="14"/>
                <w:lang w:val="en-GB"/>
              </w:rPr>
              <w:t>LSA</w:t>
            </w:r>
          </w:p>
        </w:tc>
      </w:tr>
    </w:tbl>
    <w:p w:rsidR="005D7503" w:rsidRDefault="005D7503" w:rsidP="005D7503">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5D7503" w:rsidRPr="00AD0FC0" w:rsidTr="00CF0826">
        <w:trPr>
          <w:trHeight w:val="145"/>
        </w:trPr>
        <w:tc>
          <w:tcPr>
            <w:tcW w:w="1016" w:type="pct"/>
            <w:shd w:val="clear" w:color="auto" w:fill="auto"/>
          </w:tcPr>
          <w:p w:rsidR="005D7503" w:rsidRPr="00465317" w:rsidRDefault="003D49E0" w:rsidP="00CF0826">
            <w:pPr>
              <w:spacing w:line="240" w:lineRule="auto"/>
              <w:rPr>
                <w:rFonts w:cs="Arial"/>
                <w:bCs/>
                <w:iCs/>
                <w:color w:val="0D0D0D" w:themeColor="text1" w:themeTint="F2"/>
                <w:sz w:val="16"/>
                <w:szCs w:val="16"/>
                <w:lang w:val="en-GB"/>
              </w:rPr>
            </w:pPr>
            <w:r w:rsidRPr="00465317">
              <w:rPr>
                <w:rFonts w:cs="Arial"/>
                <w:bCs/>
                <w:iCs/>
                <w:color w:val="0D0D0D" w:themeColor="text1" w:themeTint="F2"/>
                <w:sz w:val="16"/>
                <w:szCs w:val="16"/>
                <w:lang w:val="en-GB"/>
              </w:rPr>
              <w:t xml:space="preserve">CR was the fourth relatively least indebted EU country. </w:t>
            </w:r>
            <w:r w:rsidR="005D7503" w:rsidRPr="00465317">
              <w:rPr>
                <w:rFonts w:cs="Arial"/>
                <w:bCs/>
                <w:iCs/>
                <w:color w:val="0D0D0D" w:themeColor="text1" w:themeTint="F2"/>
                <w:sz w:val="16"/>
                <w:szCs w:val="16"/>
                <w:lang w:val="en-GB"/>
              </w:rPr>
              <w:t xml:space="preserve"> </w:t>
            </w:r>
          </w:p>
          <w:p w:rsidR="005D7503" w:rsidRDefault="005D7503" w:rsidP="00CF0826">
            <w:pPr>
              <w:spacing w:line="240" w:lineRule="auto"/>
              <w:rPr>
                <w:rFonts w:cs="Arial"/>
                <w:bCs/>
                <w:iCs/>
                <w:color w:val="0D0D0D" w:themeColor="text1" w:themeTint="F2"/>
                <w:sz w:val="16"/>
                <w:szCs w:val="16"/>
                <w:lang w:val="en-GB"/>
              </w:rPr>
            </w:pPr>
          </w:p>
          <w:p w:rsidR="002F19CC" w:rsidRPr="00465317" w:rsidRDefault="002F19CC"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p>
          <w:p w:rsidR="005D7503" w:rsidRPr="00465317" w:rsidRDefault="005D7503" w:rsidP="00CF0826">
            <w:pPr>
              <w:spacing w:line="240" w:lineRule="auto"/>
              <w:rPr>
                <w:rFonts w:cs="Arial"/>
                <w:bCs/>
                <w:iCs/>
                <w:color w:val="0D0D0D" w:themeColor="text1" w:themeTint="F2"/>
                <w:sz w:val="16"/>
                <w:szCs w:val="16"/>
                <w:lang w:val="en-GB"/>
              </w:rPr>
            </w:pPr>
            <w:r w:rsidRPr="00465317">
              <w:rPr>
                <w:rFonts w:cs="Arial"/>
                <w:color w:val="0D0D0D" w:themeColor="text1" w:themeTint="F2"/>
                <w:spacing w:val="-4"/>
                <w:sz w:val="16"/>
                <w:szCs w:val="16"/>
                <w:lang w:val="en-GB"/>
              </w:rPr>
              <w:t>Tendenc</w:t>
            </w:r>
            <w:r w:rsidR="003D49E0" w:rsidRPr="00465317">
              <w:rPr>
                <w:rFonts w:cs="Arial"/>
                <w:color w:val="0D0D0D" w:themeColor="text1" w:themeTint="F2"/>
                <w:spacing w:val="-4"/>
                <w:sz w:val="16"/>
                <w:szCs w:val="16"/>
                <w:lang w:val="en-GB"/>
              </w:rPr>
              <w:t xml:space="preserve">y to lower the relative indebtedness is apparent on the level of the whole EU since the half </w:t>
            </w:r>
            <w:r w:rsidR="00810971" w:rsidRPr="00465317">
              <w:rPr>
                <w:rFonts w:cs="Arial"/>
                <w:color w:val="0D0D0D" w:themeColor="text1" w:themeTint="F2"/>
                <w:spacing w:val="-4"/>
                <w:sz w:val="16"/>
                <w:szCs w:val="16"/>
                <w:lang w:val="en-GB"/>
              </w:rPr>
              <w:t>of</w:t>
            </w:r>
            <w:r w:rsidR="004A4A6D">
              <w:rPr>
                <w:rFonts w:cs="Arial"/>
                <w:color w:val="0D0D0D" w:themeColor="text1" w:themeTint="F2"/>
                <w:spacing w:val="-4"/>
                <w:sz w:val="16"/>
                <w:szCs w:val="16"/>
                <w:lang w:val="en-GB"/>
              </w:rPr>
              <w:t xml:space="preserve"> 2015</w:t>
            </w:r>
            <w:r w:rsidR="003E0261" w:rsidRPr="00465317">
              <w:rPr>
                <w:rFonts w:cs="Arial"/>
                <w:color w:val="0D0D0D" w:themeColor="text1" w:themeTint="F2"/>
                <w:spacing w:val="-4"/>
                <w:sz w:val="16"/>
                <w:szCs w:val="16"/>
                <w:lang w:val="en-GB"/>
              </w:rPr>
              <w:t xml:space="preserve"> nevertheless it occurred only very gradually till now. </w:t>
            </w:r>
          </w:p>
          <w:p w:rsidR="005D7503" w:rsidRPr="00465317" w:rsidRDefault="005D7503" w:rsidP="00CF0826">
            <w:pPr>
              <w:spacing w:line="240" w:lineRule="auto"/>
              <w:rPr>
                <w:rFonts w:cs="Arial"/>
                <w:bCs/>
                <w:iCs/>
                <w:color w:val="0D0D0D" w:themeColor="text1" w:themeTint="F2"/>
                <w:sz w:val="16"/>
                <w:szCs w:val="16"/>
                <w:lang w:val="en-GB"/>
              </w:rPr>
            </w:pPr>
          </w:p>
        </w:tc>
        <w:tc>
          <w:tcPr>
            <w:tcW w:w="144" w:type="pct"/>
          </w:tcPr>
          <w:p w:rsidR="005D7503" w:rsidRPr="00465317" w:rsidRDefault="005D7503" w:rsidP="00CF0826">
            <w:pPr>
              <w:pStyle w:val="Textpoznpodarou"/>
              <w:jc w:val="both"/>
              <w:rPr>
                <w:rFonts w:cs="Arial"/>
                <w:color w:val="0D0D0D" w:themeColor="text1" w:themeTint="F2"/>
                <w:lang w:val="en-GB"/>
              </w:rPr>
            </w:pPr>
          </w:p>
        </w:tc>
        <w:tc>
          <w:tcPr>
            <w:tcW w:w="3840" w:type="pct"/>
          </w:tcPr>
          <w:p w:rsidR="005D7503" w:rsidRPr="00465317" w:rsidRDefault="004F3B06" w:rsidP="00CF0826">
            <w:pPr>
              <w:pStyle w:val="Textpoznpodarou"/>
              <w:jc w:val="both"/>
              <w:rPr>
                <w:rFonts w:cs="Arial"/>
                <w:bCs/>
                <w:iCs/>
                <w:color w:val="0D0D0D" w:themeColor="text1" w:themeTint="F2"/>
                <w:spacing w:val="-4"/>
                <w:lang w:val="en-GB"/>
              </w:rPr>
            </w:pPr>
            <w:r>
              <w:rPr>
                <w:rFonts w:cs="Arial"/>
                <w:color w:val="0D0D0D" w:themeColor="text1" w:themeTint="F2"/>
                <w:spacing w:val="-4"/>
                <w:lang w:val="en-GB"/>
              </w:rPr>
              <w:t xml:space="preserve">The CR was the fourth relatively least indebted country of the EU at the end of Q3 2017 </w:t>
            </w:r>
            <w:r w:rsidR="005D7503" w:rsidRPr="00465317">
              <w:rPr>
                <w:rFonts w:cs="Arial"/>
                <w:color w:val="0D0D0D" w:themeColor="text1" w:themeTint="F2"/>
                <w:spacing w:val="-4"/>
                <w:lang w:val="en-GB"/>
              </w:rPr>
              <w:t>(</w:t>
            </w:r>
            <w:r w:rsidR="00444EC5">
              <w:rPr>
                <w:rFonts w:cs="Arial"/>
                <w:color w:val="0D0D0D" w:themeColor="text1" w:themeTint="F2"/>
                <w:spacing w:val="-4"/>
                <w:lang w:val="en-GB"/>
              </w:rPr>
              <w:t xml:space="preserve">with the distance behind Estonia, Luxembourg and Bulgaria). It was the best position since the accession of the CR into the EU. The indebtedness rate did not significantly decrease – in contrast to the CR – in the EU since the end of the last recession. </w:t>
            </w:r>
            <w:r w:rsidR="001B1FE2">
              <w:rPr>
                <w:rFonts w:cs="Arial"/>
                <w:color w:val="0D0D0D" w:themeColor="text1" w:themeTint="F2"/>
                <w:spacing w:val="-4"/>
                <w:lang w:val="en-GB"/>
              </w:rPr>
              <w:t xml:space="preserve">It fell by exactly 3 </w:t>
            </w:r>
            <w:r w:rsidR="0030607B">
              <w:rPr>
                <w:rFonts w:cs="Arial"/>
                <w:color w:val="0D0D0D" w:themeColor="text1" w:themeTint="F2"/>
                <w:spacing w:val="-4"/>
                <w:lang w:val="en-GB"/>
              </w:rPr>
              <w:t>p.p.</w:t>
            </w:r>
            <w:r w:rsidR="001B1FE2">
              <w:rPr>
                <w:rFonts w:cs="Arial"/>
                <w:color w:val="0D0D0D" w:themeColor="text1" w:themeTint="F2"/>
                <w:spacing w:val="-4"/>
                <w:lang w:val="en-GB"/>
              </w:rPr>
              <w:t xml:space="preserve"> in the last three years, by mere 0.4 </w:t>
            </w:r>
            <w:r w:rsidR="0030607B">
              <w:rPr>
                <w:rFonts w:cs="Arial"/>
                <w:color w:val="0D0D0D" w:themeColor="text1" w:themeTint="F2"/>
                <w:spacing w:val="-4"/>
                <w:lang w:val="en-GB"/>
              </w:rPr>
              <w:t>p.p.</w:t>
            </w:r>
            <w:r w:rsidR="001B1FE2">
              <w:rPr>
                <w:rFonts w:cs="Arial"/>
                <w:color w:val="0D0D0D" w:themeColor="text1" w:themeTint="F2"/>
                <w:spacing w:val="-4"/>
                <w:lang w:val="en-GB"/>
              </w:rPr>
              <w:t xml:space="preserve"> against Q3 2016 </w:t>
            </w:r>
            <w:r w:rsidR="005D7503" w:rsidRPr="00465317">
              <w:rPr>
                <w:rFonts w:cs="Arial"/>
                <w:color w:val="0D0D0D" w:themeColor="text1" w:themeTint="F2"/>
                <w:spacing w:val="-4"/>
                <w:lang w:val="en-GB"/>
              </w:rPr>
              <w:t>(</w:t>
            </w:r>
            <w:r w:rsidR="001B1FE2">
              <w:rPr>
                <w:rFonts w:cs="Arial"/>
                <w:color w:val="0D0D0D" w:themeColor="text1" w:themeTint="F2"/>
                <w:spacing w:val="-4"/>
                <w:lang w:val="en-GB"/>
              </w:rPr>
              <w:t xml:space="preserve">to </w:t>
            </w:r>
            <w:r w:rsidR="005D7503" w:rsidRPr="00465317">
              <w:rPr>
                <w:rFonts w:cs="Arial"/>
                <w:color w:val="0D0D0D" w:themeColor="text1" w:themeTint="F2"/>
                <w:spacing w:val="-4"/>
                <w:lang w:val="en-GB"/>
              </w:rPr>
              <w:t>82</w:t>
            </w:r>
            <w:r w:rsidR="001B1FE2">
              <w:rPr>
                <w:rFonts w:cs="Arial"/>
                <w:color w:val="0D0D0D" w:themeColor="text1" w:themeTint="F2"/>
                <w:spacing w:val="-4"/>
                <w:lang w:val="en-GB"/>
              </w:rPr>
              <w:t>.</w:t>
            </w:r>
            <w:r w:rsidR="005D7503" w:rsidRPr="00465317">
              <w:rPr>
                <w:rFonts w:cs="Arial"/>
                <w:color w:val="0D0D0D" w:themeColor="text1" w:themeTint="F2"/>
                <w:spacing w:val="-4"/>
                <w:lang w:val="en-GB"/>
              </w:rPr>
              <w:t>5%</w:t>
            </w:r>
            <w:r w:rsidR="001B1FE2">
              <w:rPr>
                <w:rFonts w:cs="Arial"/>
                <w:color w:val="0D0D0D" w:themeColor="text1" w:themeTint="F2"/>
                <w:spacing w:val="-4"/>
                <w:lang w:val="en-GB"/>
              </w:rPr>
              <w:t xml:space="preserve"> of GDP</w:t>
            </w:r>
            <w:r w:rsidR="005D7503" w:rsidRPr="00465317">
              <w:rPr>
                <w:rFonts w:cs="Arial"/>
                <w:color w:val="0D0D0D" w:themeColor="text1" w:themeTint="F2"/>
                <w:spacing w:val="-4"/>
                <w:lang w:val="en-GB"/>
              </w:rPr>
              <w:t xml:space="preserve">). </w:t>
            </w:r>
            <w:r w:rsidR="00A03343">
              <w:rPr>
                <w:rFonts w:cs="Arial"/>
                <w:color w:val="0D0D0D" w:themeColor="text1" w:themeTint="F2"/>
                <w:spacing w:val="-4"/>
                <w:lang w:val="en-GB"/>
              </w:rPr>
              <w:t xml:space="preserve">24 countries of the Union signalled the year-on-year reduction of the indebtedness (19 the year before). The position of the most indebted economies however improved only marginally. </w:t>
            </w:r>
            <w:r w:rsidR="007A796D">
              <w:rPr>
                <w:rFonts w:cs="Arial"/>
                <w:color w:val="0D0D0D" w:themeColor="text1" w:themeTint="F2"/>
                <w:spacing w:val="-4"/>
                <w:lang w:val="en-GB"/>
              </w:rPr>
              <w:t xml:space="preserve">In Italy and France, troubled by high unemployment, the indebtedness rate even increased </w:t>
            </w:r>
            <w:r w:rsidR="005D7503" w:rsidRPr="00465317">
              <w:rPr>
                <w:rFonts w:cs="Arial"/>
                <w:color w:val="0D0D0D" w:themeColor="text1" w:themeTint="F2"/>
                <w:spacing w:val="-4"/>
                <w:lang w:val="en-GB"/>
              </w:rPr>
              <w:t>(</w:t>
            </w:r>
            <w:r w:rsidR="007A796D">
              <w:rPr>
                <w:rFonts w:cs="Arial"/>
                <w:color w:val="0D0D0D" w:themeColor="text1" w:themeTint="F2"/>
                <w:spacing w:val="-4"/>
                <w:lang w:val="en-GB"/>
              </w:rPr>
              <w:t xml:space="preserve">by </w:t>
            </w:r>
            <w:r w:rsidR="005D7503" w:rsidRPr="00465317">
              <w:rPr>
                <w:rFonts w:cs="Arial"/>
                <w:color w:val="0D0D0D" w:themeColor="text1" w:themeTint="F2"/>
                <w:spacing w:val="-4"/>
                <w:lang w:val="en-GB"/>
              </w:rPr>
              <w:t>2, resp.</w:t>
            </w:r>
            <w:r w:rsidR="00CA2BF5" w:rsidRPr="00465317">
              <w:rPr>
                <w:rFonts w:cs="Arial"/>
                <w:color w:val="0D0D0D" w:themeColor="text1" w:themeTint="F2"/>
                <w:spacing w:val="-4"/>
                <w:lang w:val="en-GB"/>
              </w:rPr>
              <w:t> </w:t>
            </w:r>
            <w:r w:rsidR="005D7503" w:rsidRPr="00465317">
              <w:rPr>
                <w:rFonts w:cs="Arial"/>
                <w:color w:val="0D0D0D" w:themeColor="text1" w:themeTint="F2"/>
                <w:spacing w:val="-4"/>
                <w:lang w:val="en-GB"/>
              </w:rPr>
              <w:t>1</w:t>
            </w:r>
            <w:r w:rsidR="00CA2BF5" w:rsidRPr="00465317">
              <w:rPr>
                <w:rFonts w:cs="Arial"/>
                <w:color w:val="0D0D0D" w:themeColor="text1" w:themeTint="F2"/>
                <w:spacing w:val="-4"/>
                <w:lang w:val="en-GB"/>
              </w:rPr>
              <w:t> </w:t>
            </w:r>
            <w:r w:rsidR="0030607B">
              <w:rPr>
                <w:rFonts w:cs="Arial"/>
                <w:color w:val="0D0D0D" w:themeColor="text1" w:themeTint="F2"/>
                <w:spacing w:val="-4"/>
                <w:lang w:val="en-GB"/>
              </w:rPr>
              <w:t>p.p.</w:t>
            </w:r>
            <w:r w:rsidR="005D7503" w:rsidRPr="00465317">
              <w:rPr>
                <w:rFonts w:cs="Arial"/>
                <w:color w:val="0D0D0D" w:themeColor="text1" w:themeTint="F2"/>
                <w:spacing w:val="-4"/>
                <w:lang w:val="en-GB"/>
              </w:rPr>
              <w:t xml:space="preserve"> </w:t>
            </w:r>
            <w:r w:rsidR="007A796D">
              <w:rPr>
                <w:rFonts w:cs="Arial"/>
                <w:color w:val="0D0D0D" w:themeColor="text1" w:themeTint="F2"/>
                <w:spacing w:val="-4"/>
                <w:lang w:val="en-GB"/>
              </w:rPr>
              <w:t>year-on-year</w:t>
            </w:r>
            <w:r w:rsidR="005D7503" w:rsidRPr="00465317">
              <w:rPr>
                <w:rFonts w:cs="Arial"/>
                <w:color w:val="0D0D0D" w:themeColor="text1" w:themeTint="F2"/>
                <w:spacing w:val="-4"/>
                <w:lang w:val="en-GB"/>
              </w:rPr>
              <w:t xml:space="preserve">). </w:t>
            </w:r>
            <w:r w:rsidR="00A243A3">
              <w:rPr>
                <w:rFonts w:cs="Arial"/>
                <w:color w:val="0D0D0D" w:themeColor="text1" w:themeTint="F2"/>
                <w:spacing w:val="-4"/>
                <w:lang w:val="en-GB"/>
              </w:rPr>
              <w:t>O</w:t>
            </w:r>
            <w:r w:rsidR="00D8776A">
              <w:rPr>
                <w:rFonts w:cs="Arial"/>
                <w:color w:val="0D0D0D" w:themeColor="text1" w:themeTint="F2"/>
                <w:spacing w:val="-4"/>
                <w:lang w:val="en-GB"/>
              </w:rPr>
              <w:t>nly one third of the euro area members</w:t>
            </w:r>
            <w:r w:rsidR="00A243A3">
              <w:rPr>
                <w:rFonts w:cs="Arial"/>
                <w:color w:val="0D0D0D" w:themeColor="text1" w:themeTint="F2"/>
                <w:spacing w:val="-4"/>
                <w:lang w:val="en-GB"/>
              </w:rPr>
              <w:t xml:space="preserve"> fulfilled the </w:t>
            </w:r>
            <w:r w:rsidR="00A243A3" w:rsidRPr="00465317">
              <w:rPr>
                <w:rFonts w:cs="Arial"/>
                <w:color w:val="0D0D0D" w:themeColor="text1" w:themeTint="F2"/>
                <w:spacing w:val="-4"/>
                <w:lang w:val="en-GB"/>
              </w:rPr>
              <w:t>Maastricht</w:t>
            </w:r>
            <w:r w:rsidR="00A243A3">
              <w:rPr>
                <w:rFonts w:cs="Arial"/>
                <w:color w:val="0D0D0D" w:themeColor="text1" w:themeTint="F2"/>
                <w:spacing w:val="-4"/>
                <w:lang w:val="en-GB"/>
              </w:rPr>
              <w:t xml:space="preserve"> debt criterion </w:t>
            </w:r>
            <w:r w:rsidR="00A243A3" w:rsidRPr="00465317">
              <w:rPr>
                <w:rFonts w:cs="Arial"/>
                <w:color w:val="0D0D0D" w:themeColor="text1" w:themeTint="F2"/>
                <w:spacing w:val="-4"/>
                <w:lang w:val="en-GB"/>
              </w:rPr>
              <w:t>(60%</w:t>
            </w:r>
            <w:r w:rsidR="00A243A3">
              <w:rPr>
                <w:rFonts w:cs="Arial"/>
                <w:color w:val="0D0D0D" w:themeColor="text1" w:themeTint="F2"/>
                <w:spacing w:val="-4"/>
                <w:lang w:val="en-GB"/>
              </w:rPr>
              <w:t xml:space="preserve"> of GDP</w:t>
            </w:r>
            <w:r w:rsidR="00A243A3" w:rsidRPr="00465317">
              <w:rPr>
                <w:rFonts w:cs="Arial"/>
                <w:color w:val="0D0D0D" w:themeColor="text1" w:themeTint="F2"/>
                <w:spacing w:val="-4"/>
                <w:lang w:val="en-GB"/>
              </w:rPr>
              <w:t>)</w:t>
            </w:r>
            <w:r w:rsidR="00D8776A">
              <w:rPr>
                <w:rFonts w:cs="Arial"/>
                <w:color w:val="0D0D0D" w:themeColor="text1" w:themeTint="F2"/>
                <w:spacing w:val="-4"/>
                <w:lang w:val="en-GB"/>
              </w:rPr>
              <w:t xml:space="preserve">, in that from the core countries </w:t>
            </w:r>
            <w:r w:rsidR="005D7503" w:rsidRPr="00465317">
              <w:rPr>
                <w:rFonts w:cs="Arial"/>
                <w:color w:val="0D0D0D" w:themeColor="text1" w:themeTint="F2"/>
                <w:spacing w:val="-4"/>
                <w:lang w:val="en-GB"/>
              </w:rPr>
              <w:t xml:space="preserve">(EU15) </w:t>
            </w:r>
            <w:r w:rsidR="00D8776A">
              <w:rPr>
                <w:rFonts w:cs="Arial"/>
                <w:color w:val="0D0D0D" w:themeColor="text1" w:themeTint="F2"/>
                <w:spacing w:val="-4"/>
                <w:lang w:val="en-GB"/>
              </w:rPr>
              <w:t xml:space="preserve">only Luxembourg and Netherlands. </w:t>
            </w:r>
            <w:r w:rsidR="006155F1">
              <w:rPr>
                <w:rFonts w:cs="Arial"/>
                <w:color w:val="0D0D0D" w:themeColor="text1" w:themeTint="F2"/>
                <w:spacing w:val="-4"/>
                <w:lang w:val="en-GB"/>
              </w:rPr>
              <w:t xml:space="preserve">Only Germany, Sweden and Malta managed to decrease their indebtedness to the level close to the pre-crisis year 2008 so far. </w:t>
            </w:r>
          </w:p>
        </w:tc>
      </w:tr>
    </w:tbl>
    <w:p w:rsidR="008A03DE" w:rsidRPr="00CE7158" w:rsidRDefault="008A03DE" w:rsidP="00293553">
      <w:pPr>
        <w:pStyle w:val="Textpoznpodarou"/>
        <w:jc w:val="both"/>
        <w:rPr>
          <w:rFonts w:cs="Arial"/>
          <w:color w:val="000000"/>
          <w:sz w:val="10"/>
          <w:szCs w:val="10"/>
        </w:rPr>
      </w:pPr>
    </w:p>
    <w:sectPr w:rsidR="008A03DE" w:rsidRPr="00CE7158" w:rsidSect="00E83DAB">
      <w:headerReference w:type="even" r:id="rId38"/>
      <w:headerReference w:type="default" r:id="rId39"/>
      <w:footerReference w:type="even" r:id="rId40"/>
      <w:footerReference w:type="default" r:id="rId41"/>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C2" w:rsidRDefault="00D250C2" w:rsidP="00E71A58">
      <w:r>
        <w:separator/>
      </w:r>
    </w:p>
  </w:endnote>
  <w:endnote w:type="continuationSeparator" w:id="0">
    <w:p w:rsidR="00D250C2" w:rsidRDefault="00D250C2"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0800" behindDoc="0" locked="0" layoutInCell="1" allowOverlap="1">
          <wp:simplePos x="0" y="0"/>
          <wp:positionH relativeFrom="column">
            <wp:posOffset>199712</wp:posOffset>
          </wp:positionH>
          <wp:positionV relativeFrom="paragraph">
            <wp:posOffset>122403</wp:posOffset>
          </wp:positionV>
          <wp:extent cx="690634" cy="204717"/>
          <wp:effectExtent l="19050" t="0" r="0" b="0"/>
          <wp:wrapNone/>
          <wp:docPr id="4"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3"/>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Pr="00223E00">
      <w:rPr>
        <w:rFonts w:ascii="Arial" w:hAnsi="Arial" w:cs="Arial"/>
        <w:sz w:val="16"/>
        <w:szCs w:val="16"/>
      </w:rPr>
      <w:fldChar w:fldCharType="separate"/>
    </w:r>
    <w:r w:rsidR="00B6349B">
      <w:rPr>
        <w:rFonts w:ascii="Arial" w:hAnsi="Arial" w:cs="Arial"/>
        <w:noProof/>
        <w:sz w:val="16"/>
        <w:szCs w:val="16"/>
      </w:rPr>
      <w:t>3</w:t>
    </w:r>
    <w:r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22412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B6349B">
      <w:rPr>
        <w:rFonts w:ascii="Arial" w:hAnsi="Arial" w:cs="Arial"/>
        <w:noProof/>
        <w:sz w:val="16"/>
        <w:szCs w:val="16"/>
      </w:rPr>
      <w:t>6</w:t>
    </w:r>
    <w:r w:rsidRPr="005A21E0">
      <w:rPr>
        <w:rFonts w:ascii="Arial" w:hAnsi="Arial" w:cs="Arial"/>
        <w:sz w:val="16"/>
        <w:szCs w:val="16"/>
      </w:rPr>
      <w:fldChar w:fldCharType="end"/>
    </w:r>
    <w:r>
      <w:rPr>
        <w:rFonts w:ascii="Arial" w:hAnsi="Arial" w:cs="Arial"/>
        <w:sz w:val="16"/>
        <w:szCs w:val="16"/>
      </w:rPr>
      <w:tab/>
      <w:t>2018</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Default="00B6349B" w:rsidP="00357449">
    <w:pPr>
      <w:pStyle w:val="Zpat"/>
      <w:tabs>
        <w:tab w:val="clear" w:pos="4536"/>
        <w:tab w:val="clear" w:pos="9072"/>
        <w:tab w:val="left" w:pos="1134"/>
        <w:tab w:val="left" w:pos="1920"/>
        <w:tab w:val="center" w:pos="4820"/>
        <w:tab w:val="right" w:pos="9639"/>
      </w:tabs>
    </w:pPr>
    <w:r w:rsidRPr="00B6349B">
      <w:rPr>
        <w:noProof/>
        <w:lang w:eastAsia="cs-CZ"/>
      </w:rPr>
      <w:drawing>
        <wp:anchor distT="0" distB="0" distL="114300" distR="114300" simplePos="0" relativeHeight="251662848" behindDoc="0" locked="0" layoutInCell="1" allowOverlap="1">
          <wp:simplePos x="0" y="0"/>
          <wp:positionH relativeFrom="column">
            <wp:posOffset>-100538</wp:posOffset>
          </wp:positionH>
          <wp:positionV relativeFrom="paragraph">
            <wp:posOffset>183818</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90633" cy="204716"/>
                  </a:xfrm>
                  <a:prstGeom prst="rect">
                    <a:avLst/>
                  </a:prstGeom>
                  <a:noFill/>
                  <a:ln w="9525">
                    <a:noFill/>
                    <a:miter lim="800000"/>
                    <a:headEnd/>
                    <a:tailEnd/>
                  </a:ln>
                </pic:spPr>
              </pic:pic>
            </a:graphicData>
          </a:graphic>
        </wp:anchor>
      </w:drawing>
    </w:r>
    <w:r w:rsidR="00224123">
      <w:tab/>
    </w:r>
    <w:r w:rsidR="00224123">
      <w:tab/>
    </w:r>
    <w:r w:rsidR="00224123" w:rsidRPr="00DC5B3B">
      <w:t xml:space="preserve">                              </w:t>
    </w:r>
  </w:p>
  <w:p w:rsidR="00224123" w:rsidRPr="00223E00" w:rsidRDefault="0022412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Pr="00223E00">
      <w:rPr>
        <w:rFonts w:ascii="Arial" w:hAnsi="Arial" w:cs="Arial"/>
        <w:sz w:val="16"/>
        <w:szCs w:val="16"/>
      </w:rPr>
      <w:fldChar w:fldCharType="separate"/>
    </w:r>
    <w:r w:rsidR="00B6349B">
      <w:rPr>
        <w:rFonts w:ascii="Arial" w:hAnsi="Arial" w:cs="Arial"/>
        <w:noProof/>
        <w:sz w:val="16"/>
        <w:szCs w:val="16"/>
      </w:rPr>
      <w:t>7</w:t>
    </w:r>
    <w:r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C2" w:rsidRDefault="00D250C2" w:rsidP="00E71A58">
      <w:r>
        <w:separator/>
      </w:r>
    </w:p>
  </w:footnote>
  <w:footnote w:type="continuationSeparator" w:id="0">
    <w:p w:rsidR="00D250C2" w:rsidRDefault="00D250C2" w:rsidP="00E71A58">
      <w:r>
        <w:continuationSeparator/>
      </w:r>
    </w:p>
  </w:footnote>
  <w:footnote w:id="1">
    <w:p w:rsidR="00224123" w:rsidRPr="00227A27" w:rsidRDefault="00224123" w:rsidP="00A02610">
      <w:pPr>
        <w:pStyle w:val="Textpoznpodarou"/>
        <w:jc w:val="both"/>
        <w:rPr>
          <w:sz w:val="16"/>
          <w:szCs w:val="16"/>
          <w:lang w:val="en-GB"/>
        </w:rPr>
      </w:pPr>
      <w:r w:rsidRPr="0021507A">
        <w:rPr>
          <w:rStyle w:val="Znakapoznpodarou"/>
          <w:sz w:val="16"/>
          <w:szCs w:val="16"/>
        </w:rPr>
        <w:footnoteRef/>
      </w:r>
      <w:r w:rsidRPr="0021507A">
        <w:rPr>
          <w:sz w:val="16"/>
          <w:szCs w:val="16"/>
        </w:rPr>
        <w:t xml:space="preserve"> </w:t>
      </w:r>
      <w:r w:rsidRPr="00227A27">
        <w:rPr>
          <w:sz w:val="16"/>
          <w:szCs w:val="16"/>
          <w:lang w:val="en-GB"/>
        </w:rPr>
        <w:t xml:space="preserve">Data regarding the GDP, gross value added and their components are expressed in constant prices and adjusted for seasonal and calendar effects.  </w:t>
      </w:r>
      <w:r>
        <w:rPr>
          <w:sz w:val="16"/>
          <w:szCs w:val="16"/>
          <w:lang w:val="en-GB"/>
        </w:rPr>
        <w:t xml:space="preserve">There were two working days less in </w:t>
      </w:r>
      <w:r w:rsidRPr="00227A27">
        <w:rPr>
          <w:sz w:val="16"/>
          <w:szCs w:val="16"/>
          <w:lang w:val="en-GB"/>
        </w:rPr>
        <w:t>2017</w:t>
      </w:r>
      <w:r>
        <w:rPr>
          <w:sz w:val="16"/>
          <w:szCs w:val="16"/>
          <w:lang w:val="en-GB"/>
        </w:rPr>
        <w:t xml:space="preserve"> in comparison to the preceding year. </w:t>
      </w:r>
    </w:p>
  </w:footnote>
  <w:footnote w:id="2">
    <w:p w:rsidR="00224123" w:rsidRPr="00227A27" w:rsidRDefault="00224123" w:rsidP="00A02610">
      <w:pPr>
        <w:pStyle w:val="Textpoznpodarou"/>
        <w:jc w:val="both"/>
        <w:rPr>
          <w:sz w:val="16"/>
          <w:szCs w:val="16"/>
          <w:lang w:val="en-GB"/>
        </w:rPr>
      </w:pPr>
      <w:r w:rsidRPr="00227A27">
        <w:rPr>
          <w:rStyle w:val="Znakapoznpodarou"/>
          <w:sz w:val="16"/>
          <w:szCs w:val="16"/>
          <w:lang w:val="en-GB"/>
        </w:rPr>
        <w:footnoteRef/>
      </w:r>
      <w:r w:rsidRPr="00227A27">
        <w:rPr>
          <w:sz w:val="16"/>
          <w:szCs w:val="16"/>
          <w:lang w:val="en-GB"/>
        </w:rPr>
        <w:t xml:space="preserve"> </w:t>
      </w:r>
      <w:r>
        <w:rPr>
          <w:sz w:val="16"/>
          <w:szCs w:val="16"/>
          <w:lang w:val="en-GB"/>
        </w:rPr>
        <w:t xml:space="preserve">After exclusion of imports for final use. </w:t>
      </w:r>
    </w:p>
  </w:footnote>
  <w:footnote w:id="3">
    <w:p w:rsidR="00224123" w:rsidRPr="00227A27" w:rsidRDefault="00224123" w:rsidP="00A02610">
      <w:pPr>
        <w:pStyle w:val="Textpoznpodarou"/>
        <w:jc w:val="both"/>
        <w:rPr>
          <w:sz w:val="16"/>
          <w:szCs w:val="16"/>
          <w:lang w:val="en-GB"/>
        </w:rPr>
      </w:pPr>
      <w:r w:rsidRPr="00227A27">
        <w:rPr>
          <w:rStyle w:val="Znakapoznpodarou"/>
          <w:sz w:val="16"/>
          <w:szCs w:val="16"/>
          <w:lang w:val="en-GB"/>
        </w:rPr>
        <w:footnoteRef/>
      </w:r>
      <w:r w:rsidRPr="00227A27">
        <w:rPr>
          <w:sz w:val="16"/>
          <w:szCs w:val="16"/>
          <w:lang w:val="en-GB"/>
        </w:rPr>
        <w:t xml:space="preserve"> S</w:t>
      </w:r>
      <w:r>
        <w:rPr>
          <w:sz w:val="16"/>
          <w:szCs w:val="16"/>
          <w:lang w:val="en-GB"/>
        </w:rPr>
        <w:t xml:space="preserve">easonally adjusted data in the national accounts conception. </w:t>
      </w:r>
    </w:p>
  </w:footnote>
  <w:footnote w:id="4">
    <w:p w:rsidR="00224123" w:rsidRPr="00526A54" w:rsidRDefault="00224123" w:rsidP="00526A54">
      <w:pPr>
        <w:pStyle w:val="Textpoznpodarou"/>
        <w:jc w:val="both"/>
        <w:rPr>
          <w:sz w:val="16"/>
          <w:szCs w:val="16"/>
          <w:lang w:val="en-GB"/>
        </w:rPr>
      </w:pPr>
      <w:r w:rsidRPr="00EF1EE3">
        <w:rPr>
          <w:rStyle w:val="Znakapoznpodarou"/>
          <w:sz w:val="16"/>
          <w:szCs w:val="16"/>
        </w:rPr>
        <w:footnoteRef/>
      </w:r>
      <w:r w:rsidRPr="00EF1EE3">
        <w:rPr>
          <w:sz w:val="16"/>
          <w:szCs w:val="16"/>
        </w:rPr>
        <w:t xml:space="preserve"> </w:t>
      </w:r>
      <w:r w:rsidRPr="00526A54">
        <w:rPr>
          <w:sz w:val="16"/>
          <w:szCs w:val="16"/>
          <w:lang w:val="en-GB"/>
        </w:rPr>
        <w:t>The development of the GDP, gross value added and their components is expressed with the help of the volume indices (i.e. adjusted for changes in prices) and adjusted for seasonal and calendar effects. Data were published on 2.</w:t>
      </w:r>
      <w:r>
        <w:rPr>
          <w:sz w:val="16"/>
          <w:szCs w:val="16"/>
          <w:lang w:val="en-GB"/>
        </w:rPr>
        <w:t xml:space="preserve"> </w:t>
      </w:r>
      <w:r w:rsidRPr="00526A54">
        <w:rPr>
          <w:sz w:val="16"/>
          <w:szCs w:val="16"/>
          <w:lang w:val="en-GB"/>
        </w:rPr>
        <w:t>3.</w:t>
      </w:r>
      <w:r>
        <w:rPr>
          <w:sz w:val="16"/>
          <w:szCs w:val="16"/>
          <w:lang w:val="en-GB"/>
        </w:rPr>
        <w:t xml:space="preserve"> </w:t>
      </w:r>
      <w:r w:rsidRPr="00526A54">
        <w:rPr>
          <w:sz w:val="16"/>
          <w:szCs w:val="16"/>
          <w:lang w:val="en-GB"/>
        </w:rPr>
        <w:t>2018 and the revised data will be published on 3.</w:t>
      </w:r>
      <w:r>
        <w:rPr>
          <w:sz w:val="16"/>
          <w:szCs w:val="16"/>
          <w:lang w:val="en-GB"/>
        </w:rPr>
        <w:t xml:space="preserve"> </w:t>
      </w:r>
      <w:r w:rsidRPr="00526A54">
        <w:rPr>
          <w:sz w:val="16"/>
          <w:szCs w:val="16"/>
          <w:lang w:val="en-GB"/>
        </w:rPr>
        <w:t>4.</w:t>
      </w:r>
      <w:r>
        <w:rPr>
          <w:sz w:val="16"/>
          <w:szCs w:val="16"/>
          <w:lang w:val="en-GB"/>
        </w:rPr>
        <w:t xml:space="preserve"> </w:t>
      </w:r>
      <w:r w:rsidRPr="00526A54">
        <w:rPr>
          <w:sz w:val="16"/>
          <w:szCs w:val="16"/>
          <w:lang w:val="en-GB"/>
        </w:rPr>
        <w:t xml:space="preserve">2018. </w:t>
      </w:r>
    </w:p>
  </w:footnote>
  <w:footnote w:id="5">
    <w:p w:rsidR="00224123" w:rsidRPr="000B5746" w:rsidRDefault="00224123" w:rsidP="000B5746">
      <w:pPr>
        <w:pStyle w:val="Textpoznpodarou"/>
        <w:jc w:val="both"/>
        <w:rPr>
          <w:sz w:val="16"/>
          <w:szCs w:val="16"/>
          <w:lang w:val="en-GB"/>
        </w:rPr>
      </w:pPr>
      <w:r w:rsidRPr="000B5746">
        <w:rPr>
          <w:rStyle w:val="Znakapoznpodarou"/>
          <w:sz w:val="16"/>
          <w:szCs w:val="16"/>
          <w:lang w:val="en-GB"/>
        </w:rPr>
        <w:footnoteRef/>
      </w:r>
      <w:r w:rsidRPr="000B5746">
        <w:rPr>
          <w:sz w:val="16"/>
          <w:szCs w:val="16"/>
          <w:lang w:val="en-GB"/>
        </w:rPr>
        <w:t xml:space="preserve"> </w:t>
      </w:r>
      <w:proofErr w:type="gramStart"/>
      <w:r w:rsidRPr="000B5746">
        <w:rPr>
          <w:sz w:val="16"/>
          <w:szCs w:val="16"/>
          <w:lang w:val="en-GB"/>
        </w:rPr>
        <w:t>Data for Ireland and Luxembourg not available.</w:t>
      </w:r>
      <w:proofErr w:type="gramEnd"/>
      <w:r w:rsidRPr="000B5746">
        <w:rPr>
          <w:sz w:val="16"/>
          <w:szCs w:val="16"/>
          <w:lang w:val="en-GB"/>
        </w:rPr>
        <w:t xml:space="preserve"> Slovakian data are not adjusted for calendar effects. </w:t>
      </w:r>
    </w:p>
  </w:footnote>
  <w:footnote w:id="6">
    <w:p w:rsidR="00224123" w:rsidRPr="000D434D" w:rsidRDefault="00224123" w:rsidP="000D434D">
      <w:pPr>
        <w:pStyle w:val="Textpoznpodarou"/>
        <w:jc w:val="both"/>
        <w:rPr>
          <w:sz w:val="16"/>
          <w:szCs w:val="16"/>
          <w:lang w:val="en-GB"/>
        </w:rPr>
      </w:pPr>
      <w:r w:rsidRPr="007933CD">
        <w:rPr>
          <w:rStyle w:val="Znakapoznpodarou"/>
          <w:sz w:val="16"/>
          <w:szCs w:val="16"/>
        </w:rPr>
        <w:footnoteRef/>
      </w:r>
      <w:r w:rsidRPr="007933CD">
        <w:rPr>
          <w:sz w:val="16"/>
          <w:szCs w:val="16"/>
        </w:rPr>
        <w:t xml:space="preserve"> </w:t>
      </w:r>
      <w:r w:rsidRPr="000D434D">
        <w:rPr>
          <w:sz w:val="16"/>
          <w:szCs w:val="16"/>
          <w:lang w:val="en-GB"/>
        </w:rPr>
        <w:t xml:space="preserve">Data regarding the household consumption based on the durability of goods are not seasonally adjusted. </w:t>
      </w:r>
    </w:p>
  </w:footnote>
  <w:footnote w:id="7">
    <w:p w:rsidR="00224123" w:rsidRPr="00AC0725" w:rsidRDefault="00224123" w:rsidP="000D434D">
      <w:pPr>
        <w:pStyle w:val="Textpoznpodarou"/>
        <w:jc w:val="both"/>
        <w:rPr>
          <w:sz w:val="16"/>
          <w:szCs w:val="16"/>
          <w:lang w:val="en-GB"/>
        </w:rPr>
      </w:pPr>
      <w:r w:rsidRPr="00AC0725">
        <w:rPr>
          <w:rStyle w:val="Znakapoznpodarou"/>
          <w:sz w:val="16"/>
          <w:szCs w:val="16"/>
          <w:lang w:val="en-GB"/>
        </w:rPr>
        <w:footnoteRef/>
      </w:r>
      <w:r w:rsidRPr="00AC0725">
        <w:rPr>
          <w:sz w:val="16"/>
          <w:szCs w:val="16"/>
          <w:lang w:val="en-GB"/>
        </w:rPr>
        <w:t xml:space="preserve"> </w:t>
      </w:r>
      <w:r>
        <w:rPr>
          <w:sz w:val="16"/>
          <w:szCs w:val="16"/>
          <w:lang w:val="en-GB"/>
        </w:rPr>
        <w:t xml:space="preserve">Contributions to GDP change after exclusion of imports for final use. </w:t>
      </w:r>
    </w:p>
  </w:footnote>
  <w:footnote w:id="8">
    <w:p w:rsidR="00224123" w:rsidRPr="00AC0725" w:rsidRDefault="00224123" w:rsidP="000D434D">
      <w:pPr>
        <w:pStyle w:val="Textpoznpodarou"/>
        <w:jc w:val="both"/>
        <w:rPr>
          <w:sz w:val="16"/>
          <w:szCs w:val="16"/>
          <w:lang w:val="en-GB"/>
        </w:rPr>
      </w:pPr>
      <w:r w:rsidRPr="00AC0725">
        <w:rPr>
          <w:rStyle w:val="Znakapoznpodarou"/>
          <w:sz w:val="16"/>
          <w:szCs w:val="16"/>
          <w:lang w:val="en-GB"/>
        </w:rPr>
        <w:footnoteRef/>
      </w:r>
      <w:r w:rsidRPr="00AC0725">
        <w:rPr>
          <w:sz w:val="16"/>
          <w:szCs w:val="16"/>
          <w:lang w:val="en-GB"/>
        </w:rPr>
        <w:t xml:space="preserve"> </w:t>
      </w:r>
      <w:proofErr w:type="gramStart"/>
      <w:r w:rsidRPr="00AC0725">
        <w:rPr>
          <w:sz w:val="16"/>
          <w:szCs w:val="16"/>
          <w:lang w:val="en-GB"/>
        </w:rPr>
        <w:t>Converted into the real expression using the deflator of final consumption expenditure of households.</w:t>
      </w:r>
      <w:proofErr w:type="gramEnd"/>
    </w:p>
  </w:footnote>
  <w:footnote w:id="9">
    <w:p w:rsidR="00224123" w:rsidRPr="00AC0725" w:rsidRDefault="00224123" w:rsidP="000D434D">
      <w:pPr>
        <w:pStyle w:val="Textpoznpodarou"/>
        <w:jc w:val="both"/>
        <w:rPr>
          <w:lang w:val="en-GB"/>
        </w:rPr>
      </w:pPr>
      <w:r w:rsidRPr="00AC0725">
        <w:rPr>
          <w:rStyle w:val="Znakapoznpodarou"/>
          <w:sz w:val="16"/>
          <w:szCs w:val="16"/>
          <w:lang w:val="en-GB"/>
        </w:rPr>
        <w:footnoteRef/>
      </w:r>
      <w:r w:rsidRPr="00AC0725">
        <w:rPr>
          <w:sz w:val="16"/>
          <w:szCs w:val="16"/>
          <w:lang w:val="en-GB"/>
        </w:rPr>
        <w:t xml:space="preserve"> In the national accounts conception, seasonally adjusted. </w:t>
      </w:r>
    </w:p>
  </w:footnote>
  <w:footnote w:id="10">
    <w:p w:rsidR="00224123" w:rsidRPr="008434B0" w:rsidRDefault="00224123" w:rsidP="008434B0">
      <w:pPr>
        <w:pStyle w:val="Textpoznpodarou"/>
        <w:jc w:val="both"/>
        <w:rPr>
          <w:sz w:val="16"/>
          <w:szCs w:val="16"/>
          <w:lang w:val="en-GB"/>
        </w:rPr>
      </w:pPr>
      <w:r w:rsidRPr="0021552C">
        <w:rPr>
          <w:rStyle w:val="Znakapoznpodarou"/>
          <w:sz w:val="16"/>
          <w:szCs w:val="16"/>
        </w:rPr>
        <w:footnoteRef/>
      </w:r>
      <w:r w:rsidRPr="0021552C">
        <w:rPr>
          <w:sz w:val="16"/>
          <w:szCs w:val="16"/>
        </w:rPr>
        <w:t xml:space="preserve"> </w:t>
      </w:r>
      <w:r w:rsidRPr="008434B0">
        <w:rPr>
          <w:rFonts w:cs="Arial"/>
          <w:sz w:val="16"/>
          <w:szCs w:val="16"/>
          <w:lang w:val="en-GB"/>
        </w:rPr>
        <w:t xml:space="preserve">Data regarding the type classification of gross fixed capital formation are not seasonally adjusted. </w:t>
      </w:r>
    </w:p>
  </w:footnote>
  <w:footnote w:id="11">
    <w:p w:rsidR="00224123" w:rsidRPr="00167B30" w:rsidRDefault="00224123" w:rsidP="006E4368">
      <w:pPr>
        <w:pStyle w:val="Textpoznpodarou"/>
        <w:rPr>
          <w:sz w:val="16"/>
          <w:szCs w:val="16"/>
        </w:rPr>
      </w:pPr>
      <w:r w:rsidRPr="00167B30">
        <w:rPr>
          <w:rStyle w:val="Znakapoznpodarou"/>
          <w:sz w:val="16"/>
          <w:szCs w:val="16"/>
        </w:rPr>
        <w:footnoteRef/>
      </w:r>
      <w:r w:rsidRPr="00167B30">
        <w:rPr>
          <w:sz w:val="16"/>
          <w:szCs w:val="16"/>
        </w:rPr>
        <w:t xml:space="preserve"> </w:t>
      </w:r>
      <w:proofErr w:type="gramStart"/>
      <w:r w:rsidRPr="00855C69">
        <w:rPr>
          <w:sz w:val="16"/>
          <w:szCs w:val="16"/>
          <w:lang w:val="en-GB"/>
        </w:rPr>
        <w:t>Based on the methodology of the national accounts</w:t>
      </w:r>
      <w:r>
        <w:rPr>
          <w:sz w:val="16"/>
          <w:szCs w:val="16"/>
          <w:lang w:val="en-GB"/>
        </w:rPr>
        <w:t>.</w:t>
      </w:r>
      <w:proofErr w:type="gramEnd"/>
      <w:r>
        <w:rPr>
          <w:sz w:val="16"/>
          <w:szCs w:val="16"/>
          <w:lang w:val="en-GB"/>
        </w:rPr>
        <w:t xml:space="preserve"> </w:t>
      </w:r>
    </w:p>
  </w:footnote>
  <w:footnote w:id="12">
    <w:p w:rsidR="00224123" w:rsidRPr="00670182" w:rsidRDefault="00224123" w:rsidP="007B0920">
      <w:pPr>
        <w:pStyle w:val="Textpoznpodarou"/>
        <w:jc w:val="both"/>
        <w:rPr>
          <w:color w:val="0D0D0D" w:themeColor="text1" w:themeTint="F2"/>
          <w:spacing w:val="-2"/>
          <w:sz w:val="16"/>
          <w:szCs w:val="16"/>
        </w:rPr>
      </w:pPr>
      <w:r w:rsidRPr="00670182">
        <w:rPr>
          <w:rStyle w:val="Znakapoznpodarou"/>
          <w:color w:val="0D0D0D" w:themeColor="text1" w:themeTint="F2"/>
          <w:spacing w:val="-2"/>
          <w:sz w:val="16"/>
          <w:szCs w:val="16"/>
        </w:rPr>
        <w:footnoteRef/>
      </w:r>
      <w:r w:rsidRPr="00670182">
        <w:rPr>
          <w:color w:val="0D0D0D" w:themeColor="text1" w:themeTint="F2"/>
          <w:spacing w:val="-2"/>
          <w:sz w:val="16"/>
          <w:szCs w:val="16"/>
        </w:rPr>
        <w:t xml:space="preserve"> </w:t>
      </w:r>
      <w:r w:rsidRPr="00000C43">
        <w:rPr>
          <w:color w:val="0D0D0D" w:themeColor="text1" w:themeTint="F2"/>
          <w:spacing w:val="-2"/>
          <w:sz w:val="16"/>
          <w:szCs w:val="16"/>
          <w:lang w:val="en-GB"/>
        </w:rPr>
        <w:t>Data regarding the GVA are expressed in constant prices and adjusted for seasonal and calendar effects.</w:t>
      </w:r>
    </w:p>
  </w:footnote>
  <w:footnote w:id="13">
    <w:p w:rsidR="00224123" w:rsidRPr="00790164" w:rsidRDefault="00224123" w:rsidP="00DB0870">
      <w:pPr>
        <w:pStyle w:val="Textpoznpodarou"/>
        <w:jc w:val="both"/>
        <w:rPr>
          <w:sz w:val="16"/>
          <w:szCs w:val="16"/>
          <w:lang w:val="en-GB"/>
        </w:rPr>
      </w:pPr>
      <w:r w:rsidRPr="00275F5E">
        <w:rPr>
          <w:rStyle w:val="Znakapoznpodarou"/>
          <w:sz w:val="16"/>
          <w:szCs w:val="16"/>
        </w:rPr>
        <w:footnoteRef/>
      </w:r>
      <w:r w:rsidRPr="00275F5E">
        <w:rPr>
          <w:sz w:val="16"/>
          <w:szCs w:val="16"/>
        </w:rPr>
        <w:t xml:space="preserve"> </w:t>
      </w:r>
      <w:r w:rsidRPr="00790164">
        <w:rPr>
          <w:sz w:val="16"/>
          <w:szCs w:val="16"/>
          <w:lang w:val="en-GB"/>
        </w:rPr>
        <w:t>Includes public administration and defence, education, health and social care and it creates nearly one quarter of the GVA of the whole services sector.</w:t>
      </w:r>
      <w:r>
        <w:rPr>
          <w:sz w:val="16"/>
          <w:szCs w:val="16"/>
        </w:rPr>
        <w:t xml:space="preserve"> </w:t>
      </w:r>
    </w:p>
  </w:footnote>
  <w:footnote w:id="14">
    <w:p w:rsidR="00224123" w:rsidRPr="00766109" w:rsidRDefault="00224123" w:rsidP="00DB0870">
      <w:pPr>
        <w:pStyle w:val="Textpoznpodarou"/>
        <w:jc w:val="both"/>
        <w:rPr>
          <w:color w:val="0D0D0D" w:themeColor="text1" w:themeTint="F2"/>
          <w:spacing w:val="-2"/>
          <w:sz w:val="16"/>
          <w:szCs w:val="16"/>
          <w:lang w:val="en-GB"/>
        </w:rPr>
      </w:pPr>
      <w:r w:rsidRPr="00790164">
        <w:rPr>
          <w:rStyle w:val="Znakapoznpodarou"/>
          <w:color w:val="0D0D0D" w:themeColor="text1" w:themeTint="F2"/>
          <w:spacing w:val="-2"/>
          <w:sz w:val="16"/>
          <w:szCs w:val="16"/>
          <w:lang w:val="en-GB"/>
        </w:rPr>
        <w:footnoteRef/>
      </w:r>
      <w:r w:rsidRPr="00790164">
        <w:rPr>
          <w:color w:val="0D0D0D" w:themeColor="text1" w:themeTint="F2"/>
          <w:spacing w:val="-2"/>
          <w:sz w:val="16"/>
          <w:szCs w:val="16"/>
          <w:lang w:val="en-GB"/>
        </w:rPr>
        <w:t xml:space="preserve"> Included branches: Mining and quarrying, Manufacturing, Energetics. All year-on-year rates of growth of output (at the level of activity</w:t>
      </w:r>
      <w:r w:rsidRPr="00DA3F70">
        <w:rPr>
          <w:color w:val="0D0D0D" w:themeColor="text1" w:themeTint="F2"/>
          <w:spacing w:val="-2"/>
          <w:sz w:val="16"/>
          <w:szCs w:val="16"/>
          <w:lang w:val="en-GB"/>
        </w:rPr>
        <w:t xml:space="preserve"> sections as well as divisions) are adjusted for calendar effects.</w:t>
      </w:r>
      <w:r w:rsidRPr="00766109">
        <w:rPr>
          <w:color w:val="0D0D0D" w:themeColor="text1" w:themeTint="F2"/>
          <w:spacing w:val="-2"/>
          <w:sz w:val="16"/>
          <w:szCs w:val="16"/>
          <w:lang w:val="en-GB"/>
        </w:rPr>
        <w:t xml:space="preserve"> </w:t>
      </w:r>
      <w:r>
        <w:rPr>
          <w:color w:val="0D0D0D" w:themeColor="text1" w:themeTint="F2"/>
          <w:spacing w:val="-2"/>
          <w:sz w:val="16"/>
          <w:szCs w:val="16"/>
          <w:lang w:val="en-GB"/>
        </w:rPr>
        <w:t xml:space="preserve">Not adjusted, the year-on-year growth in industry was 6.5% last year </w:t>
      </w:r>
      <w:r w:rsidRPr="00766109">
        <w:rPr>
          <w:color w:val="0D0D0D" w:themeColor="text1" w:themeTint="F2"/>
          <w:spacing w:val="-2"/>
          <w:sz w:val="16"/>
          <w:szCs w:val="16"/>
          <w:lang w:val="en-GB"/>
        </w:rPr>
        <w:t>(</w:t>
      </w:r>
      <w:r>
        <w:rPr>
          <w:color w:val="0D0D0D" w:themeColor="text1" w:themeTint="F2"/>
          <w:spacing w:val="-2"/>
          <w:sz w:val="16"/>
          <w:szCs w:val="16"/>
          <w:lang w:val="en-GB"/>
        </w:rPr>
        <w:t>there were two calendar days less</w:t>
      </w:r>
      <w:r w:rsidRPr="00766109">
        <w:rPr>
          <w:color w:val="0D0D0D" w:themeColor="text1" w:themeTint="F2"/>
          <w:spacing w:val="-2"/>
          <w:sz w:val="16"/>
          <w:szCs w:val="16"/>
          <w:lang w:val="en-GB"/>
        </w:rPr>
        <w:t>).</w:t>
      </w:r>
    </w:p>
  </w:footnote>
  <w:footnote w:id="15">
    <w:p w:rsidR="00224123" w:rsidRPr="00766109" w:rsidRDefault="00224123" w:rsidP="00DB0870">
      <w:pPr>
        <w:pStyle w:val="Textpoznpodarou"/>
        <w:jc w:val="both"/>
        <w:rPr>
          <w:spacing w:val="-4"/>
          <w:sz w:val="16"/>
          <w:szCs w:val="16"/>
          <w:lang w:val="en-GB"/>
        </w:rPr>
      </w:pPr>
      <w:r w:rsidRPr="00766109">
        <w:rPr>
          <w:rStyle w:val="Znakapoznpodarou"/>
          <w:spacing w:val="-4"/>
          <w:sz w:val="16"/>
          <w:szCs w:val="16"/>
          <w:lang w:val="en-GB"/>
        </w:rPr>
        <w:footnoteRef/>
      </w:r>
      <w:r w:rsidRPr="00766109">
        <w:rPr>
          <w:spacing w:val="-4"/>
          <w:sz w:val="16"/>
          <w:szCs w:val="16"/>
          <w:lang w:val="en-GB"/>
        </w:rPr>
        <w:t xml:space="preserve"> </w:t>
      </w:r>
      <w:r>
        <w:rPr>
          <w:spacing w:val="-4"/>
          <w:sz w:val="16"/>
          <w:szCs w:val="16"/>
          <w:lang w:val="en-GB"/>
        </w:rPr>
        <w:t xml:space="preserve">In quarter-on-quarter expression, the industrial production temporarily slowed down in Q3 (0.0%) after the strong growths in the first half of the year </w:t>
      </w:r>
      <w:r w:rsidRPr="00766109">
        <w:rPr>
          <w:spacing w:val="-4"/>
          <w:sz w:val="16"/>
          <w:szCs w:val="16"/>
          <w:lang w:val="en-GB"/>
        </w:rPr>
        <w:t>(+2</w:t>
      </w:r>
      <w:r>
        <w:rPr>
          <w:spacing w:val="-4"/>
          <w:sz w:val="16"/>
          <w:szCs w:val="16"/>
          <w:lang w:val="en-GB"/>
        </w:rPr>
        <w:t>.</w:t>
      </w:r>
      <w:r w:rsidRPr="00766109">
        <w:rPr>
          <w:spacing w:val="-4"/>
          <w:sz w:val="16"/>
          <w:szCs w:val="16"/>
          <w:lang w:val="en-GB"/>
        </w:rPr>
        <w:t>9%, +2</w:t>
      </w:r>
      <w:r>
        <w:rPr>
          <w:spacing w:val="-4"/>
          <w:sz w:val="16"/>
          <w:szCs w:val="16"/>
          <w:lang w:val="en-GB"/>
        </w:rPr>
        <w:t>.</w:t>
      </w:r>
      <w:r w:rsidRPr="00766109">
        <w:rPr>
          <w:spacing w:val="-4"/>
          <w:sz w:val="16"/>
          <w:szCs w:val="16"/>
          <w:lang w:val="en-GB"/>
        </w:rPr>
        <w:t xml:space="preserve">8%). </w:t>
      </w:r>
      <w:r>
        <w:rPr>
          <w:spacing w:val="-4"/>
          <w:sz w:val="16"/>
          <w:szCs w:val="16"/>
          <w:lang w:val="en-GB"/>
        </w:rPr>
        <w:t xml:space="preserve">However, the growth renewed in Q4 </w:t>
      </w:r>
      <w:r w:rsidRPr="00766109">
        <w:rPr>
          <w:spacing w:val="-4"/>
          <w:sz w:val="16"/>
          <w:szCs w:val="16"/>
          <w:lang w:val="en-GB"/>
        </w:rPr>
        <w:t>(+1</w:t>
      </w:r>
      <w:r>
        <w:rPr>
          <w:spacing w:val="-4"/>
          <w:sz w:val="16"/>
          <w:szCs w:val="16"/>
          <w:lang w:val="en-GB"/>
        </w:rPr>
        <w:t>.</w:t>
      </w:r>
      <w:r w:rsidRPr="00766109">
        <w:rPr>
          <w:spacing w:val="-4"/>
          <w:sz w:val="16"/>
          <w:szCs w:val="16"/>
          <w:lang w:val="en-GB"/>
        </w:rPr>
        <w:t xml:space="preserve">9%). </w:t>
      </w:r>
    </w:p>
  </w:footnote>
  <w:footnote w:id="16">
    <w:p w:rsidR="00224123" w:rsidRPr="00766109" w:rsidRDefault="00224123" w:rsidP="00DB0870">
      <w:pPr>
        <w:pStyle w:val="Textpoznpodarou"/>
        <w:jc w:val="both"/>
        <w:rPr>
          <w:sz w:val="16"/>
          <w:szCs w:val="16"/>
          <w:lang w:val="en-GB"/>
        </w:rPr>
      </w:pPr>
      <w:r w:rsidRPr="00766109">
        <w:rPr>
          <w:rStyle w:val="Znakapoznpodarou"/>
          <w:sz w:val="16"/>
          <w:szCs w:val="16"/>
          <w:lang w:val="en-GB"/>
        </w:rPr>
        <w:footnoteRef/>
      </w:r>
      <w:r>
        <w:rPr>
          <w:sz w:val="16"/>
          <w:szCs w:val="16"/>
          <w:lang w:val="en-GB"/>
        </w:rPr>
        <w:t xml:space="preserve">It involves the manufacture of electrical </w:t>
      </w:r>
      <w:r w:rsidRPr="00B77ABC">
        <w:rPr>
          <w:sz w:val="16"/>
          <w:szCs w:val="16"/>
          <w:lang w:val="en-GB"/>
        </w:rPr>
        <w:t>appliances (with the year-on-year growth of output of 9.1%) and manufacture of rubber and plastic products (+8.3%).</w:t>
      </w:r>
    </w:p>
  </w:footnote>
  <w:footnote w:id="17">
    <w:p w:rsidR="00224123" w:rsidRPr="00766109" w:rsidRDefault="00224123" w:rsidP="00DB0870">
      <w:pPr>
        <w:pStyle w:val="Textpoznpodarou"/>
        <w:jc w:val="both"/>
        <w:rPr>
          <w:color w:val="0D0D0D" w:themeColor="text1" w:themeTint="F2"/>
          <w:sz w:val="16"/>
          <w:szCs w:val="16"/>
          <w:lang w:val="en-GB"/>
        </w:rPr>
      </w:pPr>
      <w:r w:rsidRPr="00766109">
        <w:rPr>
          <w:rStyle w:val="Znakapoznpodarou"/>
          <w:color w:val="0D0D0D" w:themeColor="text1" w:themeTint="F2"/>
          <w:sz w:val="16"/>
          <w:szCs w:val="16"/>
          <w:lang w:val="en-GB"/>
        </w:rPr>
        <w:footnoteRef/>
      </w:r>
      <w:r w:rsidRPr="00766109">
        <w:rPr>
          <w:color w:val="0D0D0D" w:themeColor="text1" w:themeTint="F2"/>
          <w:sz w:val="16"/>
          <w:szCs w:val="16"/>
          <w:lang w:val="en-GB"/>
        </w:rPr>
        <w:t xml:space="preserve"> </w:t>
      </w:r>
      <w:r>
        <w:rPr>
          <w:color w:val="0D0D0D" w:themeColor="text1" w:themeTint="F2"/>
          <w:sz w:val="16"/>
          <w:szCs w:val="16"/>
          <w:lang w:val="en-GB"/>
        </w:rPr>
        <w:t xml:space="preserve">Based on the data of the </w:t>
      </w:r>
      <w:proofErr w:type="gramStart"/>
      <w:r>
        <w:rPr>
          <w:color w:val="0D0D0D" w:themeColor="text1" w:themeTint="F2"/>
          <w:sz w:val="16"/>
          <w:szCs w:val="16"/>
          <w:lang w:val="en-GB"/>
        </w:rPr>
        <w:t>Automotive</w:t>
      </w:r>
      <w:proofErr w:type="gramEnd"/>
      <w:r>
        <w:rPr>
          <w:color w:val="0D0D0D" w:themeColor="text1" w:themeTint="F2"/>
          <w:sz w:val="16"/>
          <w:szCs w:val="16"/>
          <w:lang w:val="en-GB"/>
        </w:rPr>
        <w:t xml:space="preserve"> industry association, there were 1.41 mil private vehicles manufactured in the CR in 2017, by 5.2% more year-on-year</w:t>
      </w:r>
      <w:r w:rsidRPr="00E72FBF">
        <w:rPr>
          <w:color w:val="0D0D0D" w:themeColor="text1" w:themeTint="F2"/>
          <w:sz w:val="16"/>
          <w:szCs w:val="16"/>
          <w:lang w:val="en-GB"/>
        </w:rPr>
        <w:t xml:space="preserve">. </w:t>
      </w:r>
      <w:r>
        <w:rPr>
          <w:color w:val="0D0D0D" w:themeColor="text1" w:themeTint="F2"/>
          <w:sz w:val="16"/>
          <w:szCs w:val="16"/>
          <w:lang w:val="en-GB"/>
        </w:rPr>
        <w:t>Manufacturers of other types of motor vehicles also registered a growth.</w:t>
      </w:r>
    </w:p>
  </w:footnote>
  <w:footnote w:id="18">
    <w:p w:rsidR="00224123" w:rsidRPr="004616F1" w:rsidRDefault="00224123" w:rsidP="004616F1">
      <w:pPr>
        <w:pStyle w:val="Textpoznpodarou"/>
        <w:jc w:val="both"/>
        <w:rPr>
          <w:sz w:val="16"/>
          <w:szCs w:val="16"/>
          <w:lang w:val="en-GB"/>
        </w:rPr>
      </w:pPr>
      <w:r w:rsidRPr="006D2A22">
        <w:rPr>
          <w:rStyle w:val="Znakapoznpodarou"/>
          <w:sz w:val="16"/>
          <w:szCs w:val="16"/>
        </w:rPr>
        <w:footnoteRef/>
      </w:r>
      <w:r w:rsidRPr="006D2A22">
        <w:rPr>
          <w:sz w:val="16"/>
          <w:szCs w:val="16"/>
        </w:rPr>
        <w:t xml:space="preserve"> </w:t>
      </w:r>
      <w:r w:rsidRPr="004616F1">
        <w:rPr>
          <w:sz w:val="16"/>
          <w:szCs w:val="16"/>
          <w:lang w:val="en-GB"/>
        </w:rPr>
        <w:t xml:space="preserve">Output of the chemical industry exceeded the level before </w:t>
      </w:r>
      <w:r w:rsidRPr="001D1383">
        <w:rPr>
          <w:sz w:val="16"/>
          <w:szCs w:val="16"/>
          <w:lang w:val="en-GB"/>
        </w:rPr>
        <w:t>the emergencies (Q2 2015)</w:t>
      </w:r>
      <w:r w:rsidRPr="004616F1">
        <w:rPr>
          <w:sz w:val="16"/>
          <w:szCs w:val="16"/>
          <w:lang w:val="en-GB"/>
        </w:rPr>
        <w:t xml:space="preserve"> already at the beginning of year 2017.</w:t>
      </w:r>
    </w:p>
  </w:footnote>
  <w:footnote w:id="19">
    <w:p w:rsidR="00224123" w:rsidRPr="004616F1" w:rsidRDefault="00224123" w:rsidP="004616F1">
      <w:pPr>
        <w:pStyle w:val="Textpoznpodarou"/>
        <w:jc w:val="both"/>
        <w:rPr>
          <w:sz w:val="16"/>
          <w:szCs w:val="16"/>
          <w:lang w:val="en-GB"/>
        </w:rPr>
      </w:pPr>
      <w:r w:rsidRPr="004616F1">
        <w:rPr>
          <w:rStyle w:val="Znakapoznpodarou"/>
          <w:sz w:val="16"/>
          <w:szCs w:val="16"/>
          <w:lang w:val="en-GB"/>
        </w:rPr>
        <w:footnoteRef/>
      </w:r>
      <w:r w:rsidRPr="004616F1">
        <w:rPr>
          <w:sz w:val="16"/>
          <w:szCs w:val="16"/>
          <w:lang w:val="en-GB"/>
        </w:rPr>
        <w:t xml:space="preserve"> </w:t>
      </w:r>
      <w:r>
        <w:rPr>
          <w:sz w:val="16"/>
          <w:szCs w:val="16"/>
          <w:lang w:val="en-GB"/>
        </w:rPr>
        <w:t xml:space="preserve">Especially the high last year growth of electricity production participated on this </w:t>
      </w:r>
      <w:r w:rsidRPr="004616F1">
        <w:rPr>
          <w:sz w:val="16"/>
          <w:szCs w:val="16"/>
          <w:lang w:val="en-GB"/>
        </w:rPr>
        <w:t>(+4</w:t>
      </w:r>
      <w:r w:rsidRPr="001D1383">
        <w:rPr>
          <w:sz w:val="16"/>
          <w:szCs w:val="16"/>
          <w:lang w:val="en-GB"/>
        </w:rPr>
        <w:t>.5%, to 87 </w:t>
      </w:r>
      <w:proofErr w:type="spellStart"/>
      <w:r w:rsidRPr="001D1383">
        <w:rPr>
          <w:sz w:val="16"/>
          <w:szCs w:val="16"/>
          <w:lang w:val="en-GB"/>
        </w:rPr>
        <w:t>TWh</w:t>
      </w:r>
      <w:proofErr w:type="spellEnd"/>
      <w:r w:rsidRPr="001D1383">
        <w:rPr>
          <w:sz w:val="16"/>
          <w:szCs w:val="16"/>
          <w:lang w:val="en-GB"/>
        </w:rPr>
        <w:t>), in that by</w:t>
      </w:r>
      <w:r>
        <w:rPr>
          <w:sz w:val="16"/>
          <w:szCs w:val="16"/>
          <w:lang w:val="en-GB"/>
        </w:rPr>
        <w:t xml:space="preserve"> 17.6% in nuclear power plants. </w:t>
      </w:r>
    </w:p>
  </w:footnote>
  <w:footnote w:id="20">
    <w:p w:rsidR="00224123" w:rsidRPr="00A375DE" w:rsidRDefault="00224123" w:rsidP="00A375DE">
      <w:pPr>
        <w:pStyle w:val="Textpoznpodarou"/>
        <w:jc w:val="both"/>
        <w:rPr>
          <w:sz w:val="16"/>
          <w:szCs w:val="16"/>
          <w:lang w:val="en-GB"/>
        </w:rPr>
      </w:pPr>
      <w:r w:rsidRPr="00F75025">
        <w:rPr>
          <w:rStyle w:val="Znakapoznpodarou"/>
          <w:sz w:val="16"/>
          <w:szCs w:val="16"/>
        </w:rPr>
        <w:footnoteRef/>
      </w:r>
      <w:r>
        <w:rPr>
          <w:sz w:val="16"/>
          <w:szCs w:val="16"/>
        </w:rPr>
        <w:t xml:space="preserve"> </w:t>
      </w:r>
      <w:r w:rsidRPr="00A375DE">
        <w:rPr>
          <w:sz w:val="16"/>
          <w:szCs w:val="16"/>
          <w:lang w:val="en-GB"/>
        </w:rPr>
        <w:t xml:space="preserve">Last year´s fall was however the mildest in the last six years.  </w:t>
      </w:r>
    </w:p>
  </w:footnote>
  <w:footnote w:id="21">
    <w:p w:rsidR="00224123" w:rsidRPr="00A375DE" w:rsidRDefault="00224123" w:rsidP="00A375DE">
      <w:pPr>
        <w:pStyle w:val="Textpoznpodarou"/>
        <w:jc w:val="both"/>
        <w:rPr>
          <w:spacing w:val="-2"/>
          <w:sz w:val="16"/>
          <w:szCs w:val="16"/>
          <w:lang w:val="en-GB"/>
        </w:rPr>
      </w:pPr>
      <w:r w:rsidRPr="00A375DE">
        <w:rPr>
          <w:rStyle w:val="Znakapoznpodarou"/>
          <w:spacing w:val="-2"/>
          <w:sz w:val="16"/>
          <w:szCs w:val="16"/>
          <w:lang w:val="en-GB"/>
        </w:rPr>
        <w:footnoteRef/>
      </w:r>
      <w:r w:rsidRPr="00A375DE">
        <w:rPr>
          <w:spacing w:val="-2"/>
          <w:sz w:val="16"/>
          <w:szCs w:val="16"/>
          <w:lang w:val="en-GB"/>
        </w:rPr>
        <w:t xml:space="preserve"> </w:t>
      </w:r>
      <w:r>
        <w:rPr>
          <w:spacing w:val="-2"/>
          <w:sz w:val="16"/>
          <w:szCs w:val="16"/>
          <w:lang w:val="en-GB"/>
        </w:rPr>
        <w:t xml:space="preserve">Last year, 10 out of 24 manufacturing branches lagged behind its output level of year 2007. Among the more weight significant activities, it was food industry </w:t>
      </w:r>
      <w:r w:rsidRPr="00A375DE">
        <w:rPr>
          <w:spacing w:val="-2"/>
          <w:sz w:val="16"/>
          <w:szCs w:val="16"/>
          <w:lang w:val="en-GB"/>
        </w:rPr>
        <w:t xml:space="preserve">(-5%), </w:t>
      </w:r>
      <w:r>
        <w:rPr>
          <w:spacing w:val="-2"/>
          <w:sz w:val="16"/>
          <w:szCs w:val="16"/>
          <w:lang w:val="en-GB"/>
        </w:rPr>
        <w:t xml:space="preserve">metallurgy and foundry industry </w:t>
      </w:r>
      <w:r w:rsidRPr="00A375DE">
        <w:rPr>
          <w:spacing w:val="-2"/>
          <w:sz w:val="16"/>
          <w:szCs w:val="16"/>
          <w:lang w:val="en-GB"/>
        </w:rPr>
        <w:t>(-12%) a</w:t>
      </w:r>
      <w:r>
        <w:rPr>
          <w:spacing w:val="-2"/>
          <w:sz w:val="16"/>
          <w:szCs w:val="16"/>
          <w:lang w:val="en-GB"/>
        </w:rPr>
        <w:t xml:space="preserve">nd manufacture of other non-metal mineral products </w:t>
      </w:r>
      <w:r w:rsidRPr="00A375DE">
        <w:rPr>
          <w:spacing w:val="-2"/>
          <w:sz w:val="16"/>
          <w:szCs w:val="16"/>
          <w:lang w:val="en-GB"/>
        </w:rPr>
        <w:t>(-13%).</w:t>
      </w:r>
    </w:p>
  </w:footnote>
  <w:footnote w:id="22">
    <w:p w:rsidR="00224123" w:rsidRPr="006F5693" w:rsidRDefault="00224123" w:rsidP="007B0920">
      <w:pPr>
        <w:pStyle w:val="Textpoznpodarou"/>
        <w:jc w:val="both"/>
        <w:rPr>
          <w:spacing w:val="-4"/>
          <w:sz w:val="16"/>
          <w:szCs w:val="16"/>
          <w:lang w:val="en-US"/>
        </w:rPr>
      </w:pPr>
      <w:r w:rsidRPr="006F5693">
        <w:rPr>
          <w:rStyle w:val="Znakapoznpodarou"/>
          <w:color w:val="0D0D0D" w:themeColor="text1" w:themeTint="F2"/>
          <w:spacing w:val="-4"/>
          <w:sz w:val="16"/>
          <w:szCs w:val="16"/>
          <w:lang w:val="en-US"/>
        </w:rPr>
        <w:footnoteRef/>
      </w:r>
      <w:r w:rsidRPr="006F5693">
        <w:rPr>
          <w:color w:val="0D0D0D" w:themeColor="text1" w:themeTint="F2"/>
          <w:spacing w:val="-4"/>
          <w:sz w:val="16"/>
          <w:szCs w:val="16"/>
          <w:lang w:val="en-US"/>
        </w:rPr>
        <w:t xml:space="preserve"> All year-on-year data related to the construction output are adjusted for calendar effects.</w:t>
      </w:r>
    </w:p>
  </w:footnote>
  <w:footnote w:id="23">
    <w:p w:rsidR="00224123" w:rsidRPr="007E20C0" w:rsidRDefault="00224123" w:rsidP="008963A7">
      <w:pPr>
        <w:spacing w:line="240" w:lineRule="auto"/>
        <w:jc w:val="both"/>
        <w:rPr>
          <w:lang w:val="en-GB"/>
        </w:rPr>
      </w:pPr>
      <w:r w:rsidRPr="004A26AF">
        <w:rPr>
          <w:rStyle w:val="Znakapoznpodarou"/>
          <w:color w:val="0D0D0D" w:themeColor="text1" w:themeTint="F2"/>
          <w:sz w:val="16"/>
          <w:szCs w:val="16"/>
        </w:rPr>
        <w:footnoteRef/>
      </w:r>
      <w:r w:rsidRPr="003E73E7">
        <w:rPr>
          <w:color w:val="0D0D0D" w:themeColor="text1" w:themeTint="F2"/>
          <w:sz w:val="16"/>
          <w:szCs w:val="16"/>
          <w:lang w:val="en-GB"/>
        </w:rPr>
        <w:t xml:space="preserve">Excluding trade, financial and insurance activities, science, research and public services. All data for services are </w:t>
      </w:r>
      <w:r>
        <w:rPr>
          <w:color w:val="0D0D0D" w:themeColor="text1" w:themeTint="F2"/>
          <w:sz w:val="16"/>
          <w:szCs w:val="16"/>
          <w:lang w:val="en-GB"/>
        </w:rPr>
        <w:t xml:space="preserve">in constant prices, year-on-year data are </w:t>
      </w:r>
      <w:r w:rsidRPr="003E73E7">
        <w:rPr>
          <w:color w:val="0D0D0D" w:themeColor="text1" w:themeTint="F2"/>
          <w:sz w:val="16"/>
          <w:szCs w:val="16"/>
          <w:lang w:val="en-GB"/>
        </w:rPr>
        <w:t>adjusted for calendar effects</w:t>
      </w:r>
      <w:r>
        <w:rPr>
          <w:color w:val="0D0D0D" w:themeColor="text1" w:themeTint="F2"/>
          <w:sz w:val="16"/>
          <w:szCs w:val="16"/>
          <w:lang w:val="en-GB"/>
        </w:rPr>
        <w:t xml:space="preserve">, quarter-on-quarter data are adjusted for seasonal </w:t>
      </w:r>
      <w:r w:rsidRPr="007E20C0">
        <w:rPr>
          <w:color w:val="0D0D0D" w:themeColor="text1" w:themeTint="F2"/>
          <w:sz w:val="16"/>
          <w:szCs w:val="16"/>
          <w:lang w:val="en-GB"/>
        </w:rPr>
        <w:t>effects (including the effect of the number of working days).</w:t>
      </w:r>
    </w:p>
  </w:footnote>
  <w:footnote w:id="24">
    <w:p w:rsidR="00224123" w:rsidRPr="00312A00" w:rsidRDefault="00224123" w:rsidP="008963A7">
      <w:pPr>
        <w:pStyle w:val="Textpoznpodarou"/>
        <w:jc w:val="both"/>
        <w:rPr>
          <w:sz w:val="16"/>
          <w:szCs w:val="16"/>
          <w:lang w:val="en-GB"/>
        </w:rPr>
      </w:pPr>
      <w:r w:rsidRPr="00B7677D">
        <w:rPr>
          <w:rStyle w:val="Znakapoznpodarou"/>
          <w:sz w:val="16"/>
          <w:szCs w:val="16"/>
        </w:rPr>
        <w:footnoteRef/>
      </w:r>
      <w:r w:rsidRPr="00B7677D">
        <w:rPr>
          <w:sz w:val="16"/>
          <w:szCs w:val="16"/>
        </w:rPr>
        <w:t xml:space="preserve"> </w:t>
      </w:r>
      <w:r w:rsidRPr="00312A00">
        <w:rPr>
          <w:sz w:val="16"/>
          <w:szCs w:val="16"/>
          <w:lang w:val="en-GB"/>
        </w:rPr>
        <w:t xml:space="preserve">The transfer of some activities from the grey economy </w:t>
      </w:r>
      <w:r>
        <w:rPr>
          <w:sz w:val="16"/>
          <w:szCs w:val="16"/>
          <w:lang w:val="en-GB"/>
        </w:rPr>
        <w:t xml:space="preserve">in connection with the measures introduced in the previous year on the side of tax collection </w:t>
      </w:r>
      <w:r w:rsidRPr="00312A00">
        <w:rPr>
          <w:sz w:val="16"/>
          <w:szCs w:val="16"/>
          <w:lang w:val="en-GB"/>
        </w:rPr>
        <w:t xml:space="preserve">could also </w:t>
      </w:r>
      <w:r>
        <w:rPr>
          <w:sz w:val="16"/>
          <w:szCs w:val="16"/>
          <w:lang w:val="en-GB"/>
        </w:rPr>
        <w:t>be evident in the high pace of sales in 2017</w:t>
      </w:r>
      <w:r w:rsidRPr="00312A00">
        <w:rPr>
          <w:sz w:val="16"/>
          <w:szCs w:val="16"/>
          <w:lang w:val="en-GB"/>
        </w:rPr>
        <w:t xml:space="preserve">. </w:t>
      </w:r>
    </w:p>
  </w:footnote>
  <w:footnote w:id="25">
    <w:p w:rsidR="00224123" w:rsidRPr="004E70ED" w:rsidRDefault="00224123" w:rsidP="004E70ED">
      <w:pPr>
        <w:pStyle w:val="Textpoznpodarou"/>
        <w:jc w:val="both"/>
        <w:rPr>
          <w:sz w:val="16"/>
          <w:szCs w:val="16"/>
          <w:lang w:val="en-GB"/>
        </w:rPr>
      </w:pPr>
      <w:r w:rsidRPr="00544A98">
        <w:rPr>
          <w:rStyle w:val="Znakapoznpodarou"/>
          <w:sz w:val="16"/>
          <w:szCs w:val="16"/>
        </w:rPr>
        <w:footnoteRef/>
      </w:r>
      <w:r w:rsidRPr="00544A98">
        <w:rPr>
          <w:sz w:val="16"/>
          <w:szCs w:val="16"/>
        </w:rPr>
        <w:t xml:space="preserve"> </w:t>
      </w:r>
      <w:r w:rsidRPr="004E70ED">
        <w:rPr>
          <w:sz w:val="16"/>
          <w:szCs w:val="16"/>
          <w:lang w:val="en-GB"/>
        </w:rPr>
        <w:t>Data do not include the motorist segment</w:t>
      </w:r>
      <w:r>
        <w:rPr>
          <w:sz w:val="16"/>
          <w:szCs w:val="16"/>
          <w:lang w:val="en-GB"/>
        </w:rPr>
        <w:t xml:space="preserve"> (CZ-NACE 45)</w:t>
      </w:r>
      <w:r w:rsidRPr="004E70ED">
        <w:rPr>
          <w:sz w:val="16"/>
          <w:szCs w:val="16"/>
          <w:lang w:val="en-GB"/>
        </w:rPr>
        <w:t>. Retail data are adjusted for calendar effects i</w:t>
      </w:r>
      <w:r>
        <w:rPr>
          <w:sz w:val="16"/>
          <w:szCs w:val="16"/>
          <w:lang w:val="en-GB"/>
        </w:rPr>
        <w:t>n constant prices.</w:t>
      </w:r>
    </w:p>
  </w:footnote>
  <w:footnote w:id="26">
    <w:p w:rsidR="00224123" w:rsidRPr="004E70ED" w:rsidRDefault="00224123" w:rsidP="004E70ED">
      <w:pPr>
        <w:pStyle w:val="Textpoznpodarou"/>
        <w:jc w:val="both"/>
        <w:rPr>
          <w:color w:val="0D0D0D" w:themeColor="text1" w:themeTint="F2"/>
          <w:sz w:val="16"/>
          <w:szCs w:val="16"/>
          <w:lang w:val="en-GB"/>
        </w:rPr>
      </w:pPr>
      <w:r w:rsidRPr="004E70ED">
        <w:rPr>
          <w:rStyle w:val="Znakapoznpodarou"/>
          <w:color w:val="0D0D0D" w:themeColor="text1" w:themeTint="F2"/>
          <w:sz w:val="16"/>
          <w:szCs w:val="16"/>
          <w:lang w:val="en-GB"/>
        </w:rPr>
        <w:footnoteRef/>
      </w:r>
      <w:r w:rsidRPr="004E70ED">
        <w:rPr>
          <w:color w:val="0D0D0D" w:themeColor="text1" w:themeTint="F2"/>
          <w:sz w:val="16"/>
          <w:szCs w:val="16"/>
          <w:lang w:val="en-GB"/>
        </w:rPr>
        <w:t xml:space="preserve"> </w:t>
      </w:r>
      <w:r>
        <w:rPr>
          <w:color w:val="0D0D0D" w:themeColor="text1" w:themeTint="F2"/>
          <w:sz w:val="16"/>
          <w:szCs w:val="16"/>
          <w:lang w:val="en-GB"/>
        </w:rPr>
        <w:t xml:space="preserve">International comparison draws on data published on </w:t>
      </w:r>
      <w:r>
        <w:rPr>
          <w:rFonts w:cs="Arial"/>
          <w:color w:val="0D0D0D" w:themeColor="text1" w:themeTint="F2"/>
          <w:sz w:val="16"/>
          <w:szCs w:val="16"/>
          <w:lang w:val="en-GB"/>
        </w:rPr>
        <w:t>20</w:t>
      </w:r>
      <w:r w:rsidRPr="00797354">
        <w:rPr>
          <w:rFonts w:cs="Arial"/>
          <w:color w:val="0D0D0D" w:themeColor="text1" w:themeTint="F2"/>
          <w:sz w:val="16"/>
          <w:szCs w:val="16"/>
          <w:vertAlign w:val="superscript"/>
          <w:lang w:val="en-GB"/>
        </w:rPr>
        <w:t>th</w:t>
      </w:r>
      <w:r>
        <w:rPr>
          <w:rFonts w:cs="Arial"/>
          <w:color w:val="0D0D0D" w:themeColor="text1" w:themeTint="F2"/>
          <w:sz w:val="16"/>
          <w:szCs w:val="16"/>
          <w:lang w:val="en-GB"/>
        </w:rPr>
        <w:t xml:space="preserve"> March of</w:t>
      </w:r>
      <w:r w:rsidRPr="004E70ED">
        <w:rPr>
          <w:rFonts w:cs="Arial"/>
          <w:color w:val="0D0D0D" w:themeColor="text1" w:themeTint="F2"/>
          <w:sz w:val="16"/>
          <w:szCs w:val="16"/>
          <w:lang w:val="en-GB"/>
        </w:rPr>
        <w:t xml:space="preserve"> 2018.</w:t>
      </w:r>
    </w:p>
  </w:footnote>
  <w:footnote w:id="27">
    <w:p w:rsidR="00224123" w:rsidRPr="004E70ED" w:rsidRDefault="00224123" w:rsidP="004E70ED">
      <w:pPr>
        <w:pStyle w:val="Textpoznpodarou"/>
        <w:jc w:val="both"/>
        <w:rPr>
          <w:sz w:val="16"/>
          <w:szCs w:val="16"/>
          <w:lang w:val="en-GB"/>
        </w:rPr>
      </w:pPr>
      <w:r w:rsidRPr="004E70ED">
        <w:rPr>
          <w:rStyle w:val="Znakapoznpodarou"/>
          <w:sz w:val="16"/>
          <w:szCs w:val="16"/>
          <w:lang w:val="en-GB"/>
        </w:rPr>
        <w:footnoteRef/>
      </w:r>
      <w:r w:rsidRPr="004E70ED">
        <w:rPr>
          <w:sz w:val="16"/>
          <w:szCs w:val="16"/>
          <w:lang w:val="en-GB"/>
        </w:rPr>
        <w:t xml:space="preserve"> Data from the ARAD database of the Czech National Bank.</w:t>
      </w:r>
    </w:p>
  </w:footnote>
  <w:footnote w:id="28">
    <w:p w:rsidR="00224123" w:rsidRPr="00507A87" w:rsidRDefault="00224123" w:rsidP="00C47D7C">
      <w:pPr>
        <w:pStyle w:val="Textpoznpodarou"/>
        <w:jc w:val="both"/>
        <w:rPr>
          <w:sz w:val="16"/>
          <w:szCs w:val="16"/>
          <w:lang w:val="en-GB"/>
        </w:rPr>
      </w:pPr>
      <w:r w:rsidRPr="001374E5">
        <w:rPr>
          <w:rStyle w:val="Znakapoznpodarou"/>
          <w:sz w:val="16"/>
          <w:szCs w:val="16"/>
        </w:rPr>
        <w:footnoteRef/>
      </w:r>
      <w:r w:rsidRPr="001374E5">
        <w:rPr>
          <w:sz w:val="16"/>
          <w:szCs w:val="16"/>
        </w:rPr>
        <w:t xml:space="preserve"> </w:t>
      </w:r>
      <w:proofErr w:type="gramStart"/>
      <w:r w:rsidRPr="00507A87">
        <w:rPr>
          <w:sz w:val="16"/>
          <w:szCs w:val="16"/>
          <w:lang w:val="en-GB"/>
        </w:rPr>
        <w:t>Based on the data from the Ministry of Finance of the CR. State bonds according to the type of holder.</w:t>
      </w:r>
      <w:proofErr w:type="gramEnd"/>
      <w:r w:rsidRPr="00507A87">
        <w:rPr>
          <w:sz w:val="16"/>
          <w:szCs w:val="16"/>
          <w:lang w:val="en-GB"/>
        </w:rPr>
        <w:t xml:space="preserve"> </w:t>
      </w:r>
    </w:p>
  </w:footnote>
  <w:footnote w:id="29">
    <w:p w:rsidR="00224123" w:rsidRPr="003279A7" w:rsidRDefault="00224123" w:rsidP="00C47D7C">
      <w:pPr>
        <w:pStyle w:val="Textpoznpodarou"/>
        <w:jc w:val="both"/>
        <w:rPr>
          <w:sz w:val="16"/>
          <w:szCs w:val="16"/>
        </w:rPr>
      </w:pPr>
      <w:r w:rsidRPr="00507A87">
        <w:rPr>
          <w:rStyle w:val="Znakapoznpodarou"/>
          <w:sz w:val="16"/>
          <w:szCs w:val="16"/>
          <w:lang w:val="en-GB"/>
        </w:rPr>
        <w:footnoteRef/>
      </w:r>
      <w:r w:rsidRPr="00507A87">
        <w:rPr>
          <w:sz w:val="16"/>
          <w:szCs w:val="16"/>
          <w:lang w:val="en-GB"/>
        </w:rPr>
        <w:t xml:space="preserve"> </w:t>
      </w:r>
      <w:proofErr w:type="gramStart"/>
      <w:r w:rsidRPr="00507A87">
        <w:rPr>
          <w:sz w:val="16"/>
          <w:szCs w:val="16"/>
          <w:lang w:val="en-GB"/>
        </w:rPr>
        <w:t>Statistical data of the foreign trade in the national conception in the nominal terms including only the trade with goods.</w:t>
      </w:r>
      <w:proofErr w:type="gramEnd"/>
      <w:r w:rsidRPr="00507A87">
        <w:rPr>
          <w:sz w:val="16"/>
          <w:szCs w:val="16"/>
          <w:lang w:val="en-GB"/>
        </w:rPr>
        <w:t xml:space="preserve"> The value of exports is captured in the FOB prices, i.e. including the costs connected with the transport to the CR boundaries. Import depicted lower in this chapter is in CIF prices, i.e. including costs associated with the transportation abroad, up all the way to the CR boundaries. </w:t>
      </w:r>
      <w:proofErr w:type="gramStart"/>
      <w:r w:rsidRPr="00507A87">
        <w:rPr>
          <w:sz w:val="16"/>
          <w:szCs w:val="16"/>
          <w:lang w:val="en-GB"/>
        </w:rPr>
        <w:t xml:space="preserve">Data valid as of </w:t>
      </w:r>
      <w:r>
        <w:rPr>
          <w:sz w:val="16"/>
          <w:szCs w:val="16"/>
          <w:lang w:val="en-GB"/>
        </w:rPr>
        <w:t>9</w:t>
      </w:r>
      <w:r w:rsidRPr="00507A87">
        <w:rPr>
          <w:sz w:val="16"/>
          <w:szCs w:val="16"/>
          <w:lang w:val="en-GB"/>
        </w:rPr>
        <w:t>.</w:t>
      </w:r>
      <w:proofErr w:type="gramEnd"/>
      <w:r>
        <w:rPr>
          <w:sz w:val="16"/>
          <w:szCs w:val="16"/>
          <w:lang w:val="en-GB"/>
        </w:rPr>
        <w:t xml:space="preserve"> 3</w:t>
      </w:r>
      <w:r w:rsidRPr="00507A87">
        <w:rPr>
          <w:sz w:val="16"/>
          <w:szCs w:val="16"/>
          <w:lang w:val="en-GB"/>
        </w:rPr>
        <w:t>.</w:t>
      </w:r>
      <w:r>
        <w:rPr>
          <w:sz w:val="16"/>
          <w:szCs w:val="16"/>
          <w:lang w:val="en-GB"/>
        </w:rPr>
        <w:t xml:space="preserve"> </w:t>
      </w:r>
      <w:r w:rsidRPr="00507A87">
        <w:rPr>
          <w:sz w:val="16"/>
          <w:szCs w:val="16"/>
          <w:lang w:val="en-GB"/>
        </w:rPr>
        <w:t>201</w:t>
      </w:r>
      <w:r>
        <w:rPr>
          <w:sz w:val="16"/>
          <w:szCs w:val="16"/>
          <w:lang w:val="en-GB"/>
        </w:rPr>
        <w:t>8</w:t>
      </w:r>
      <w:r w:rsidRPr="00507A87">
        <w:rPr>
          <w:sz w:val="16"/>
          <w:szCs w:val="16"/>
          <w:lang w:val="en-GB"/>
        </w:rPr>
        <w:t xml:space="preserve">. </w:t>
      </w:r>
      <w:r w:rsidRPr="003279A7">
        <w:rPr>
          <w:sz w:val="16"/>
          <w:szCs w:val="16"/>
        </w:rPr>
        <w:t xml:space="preserve">  </w:t>
      </w:r>
    </w:p>
  </w:footnote>
  <w:footnote w:id="30">
    <w:p w:rsidR="00224123" w:rsidRPr="002B725B" w:rsidRDefault="00224123" w:rsidP="002B725B">
      <w:pPr>
        <w:pStyle w:val="Textpoznpodarou"/>
        <w:jc w:val="both"/>
        <w:rPr>
          <w:sz w:val="16"/>
          <w:szCs w:val="16"/>
          <w:lang w:val="en-GB"/>
        </w:rPr>
      </w:pPr>
      <w:r w:rsidRPr="00B4223A">
        <w:rPr>
          <w:rStyle w:val="Znakapoznpodarou"/>
          <w:sz w:val="16"/>
          <w:szCs w:val="16"/>
        </w:rPr>
        <w:footnoteRef/>
      </w:r>
      <w:r w:rsidRPr="00B4223A">
        <w:rPr>
          <w:sz w:val="16"/>
          <w:szCs w:val="16"/>
        </w:rPr>
        <w:t xml:space="preserve"> </w:t>
      </w:r>
      <w:r w:rsidRPr="002B725B">
        <w:rPr>
          <w:sz w:val="16"/>
          <w:szCs w:val="16"/>
          <w:lang w:val="en-GB"/>
        </w:rPr>
        <w:t>Unless stated otherwise, data regarding employment are in the conception of the national accounts adjusted for seasonal effects in this chapter.</w:t>
      </w:r>
    </w:p>
  </w:footnote>
  <w:footnote w:id="31">
    <w:p w:rsidR="00224123" w:rsidRPr="002B725B" w:rsidRDefault="00224123" w:rsidP="002B725B">
      <w:pPr>
        <w:pStyle w:val="Textpoznpodarou"/>
        <w:jc w:val="both"/>
        <w:rPr>
          <w:sz w:val="16"/>
          <w:szCs w:val="16"/>
          <w:lang w:val="en-GB"/>
        </w:rPr>
      </w:pPr>
      <w:r w:rsidRPr="002B725B">
        <w:rPr>
          <w:rStyle w:val="Znakapoznpodarou"/>
          <w:sz w:val="16"/>
          <w:szCs w:val="16"/>
          <w:lang w:val="en-GB"/>
        </w:rPr>
        <w:footnoteRef/>
      </w:r>
      <w:r w:rsidRPr="002B725B">
        <w:rPr>
          <w:sz w:val="16"/>
          <w:szCs w:val="16"/>
          <w:lang w:val="en-GB"/>
        </w:rPr>
        <w:t xml:space="preserve"> </w:t>
      </w:r>
      <w:r>
        <w:rPr>
          <w:sz w:val="16"/>
          <w:szCs w:val="16"/>
          <w:lang w:val="en-GB"/>
        </w:rPr>
        <w:t>Similar situation also occurred in both Q3 2015 and 2016. In both cases it represents only a one-off deviation from the longer-term growth trend.</w:t>
      </w:r>
    </w:p>
  </w:footnote>
  <w:footnote w:id="32">
    <w:p w:rsidR="00224123" w:rsidRPr="00D77D68" w:rsidRDefault="00224123" w:rsidP="00D77D68">
      <w:pPr>
        <w:pStyle w:val="Textpoznpodarou"/>
        <w:jc w:val="both"/>
        <w:rPr>
          <w:spacing w:val="-3"/>
          <w:sz w:val="16"/>
          <w:szCs w:val="16"/>
          <w:lang w:val="en-GB"/>
        </w:rPr>
      </w:pPr>
      <w:r w:rsidRPr="003161CA">
        <w:rPr>
          <w:rStyle w:val="Znakapoznpodarou"/>
          <w:spacing w:val="-3"/>
          <w:sz w:val="16"/>
          <w:szCs w:val="16"/>
        </w:rPr>
        <w:footnoteRef/>
      </w:r>
      <w:r>
        <w:rPr>
          <w:spacing w:val="-3"/>
          <w:sz w:val="16"/>
          <w:szCs w:val="16"/>
        </w:rPr>
        <w:t xml:space="preserve"> </w:t>
      </w:r>
      <w:r w:rsidRPr="00D77D68">
        <w:rPr>
          <w:spacing w:val="-3"/>
          <w:sz w:val="16"/>
          <w:szCs w:val="16"/>
          <w:lang w:val="en-GB"/>
        </w:rPr>
        <w:t>Includes branches: Public administration and defence, education, health and social care.</w:t>
      </w:r>
    </w:p>
  </w:footnote>
  <w:footnote w:id="33">
    <w:p w:rsidR="00224123" w:rsidRPr="00D77D68" w:rsidRDefault="00224123" w:rsidP="00D77D68">
      <w:pPr>
        <w:pStyle w:val="Textpoznpodarou"/>
        <w:jc w:val="both"/>
        <w:rPr>
          <w:sz w:val="16"/>
          <w:szCs w:val="16"/>
          <w:lang w:val="en-GB"/>
        </w:rPr>
      </w:pPr>
      <w:r w:rsidRPr="00D77D68">
        <w:rPr>
          <w:rStyle w:val="Znakapoznpodarou"/>
          <w:sz w:val="16"/>
          <w:szCs w:val="16"/>
          <w:lang w:val="en-GB"/>
        </w:rPr>
        <w:footnoteRef/>
      </w:r>
      <w:r w:rsidRPr="00D77D68">
        <w:rPr>
          <w:sz w:val="16"/>
          <w:szCs w:val="16"/>
          <w:lang w:val="en-GB"/>
        </w:rPr>
        <w:t xml:space="preserve"> </w:t>
      </w:r>
      <w:r>
        <w:rPr>
          <w:sz w:val="16"/>
          <w:szCs w:val="16"/>
          <w:lang w:val="en-GB"/>
        </w:rPr>
        <w:t xml:space="preserve">139 thousand persons worked this way in Q3 2017, 114 thousand two years ago. </w:t>
      </w:r>
      <w:r w:rsidRPr="00D77D68">
        <w:rPr>
          <w:sz w:val="16"/>
          <w:szCs w:val="16"/>
          <w:lang w:val="en-GB"/>
        </w:rPr>
        <w:t xml:space="preserve"> </w:t>
      </w:r>
    </w:p>
  </w:footnote>
  <w:footnote w:id="34">
    <w:p w:rsidR="00224123" w:rsidRPr="001A68CA" w:rsidRDefault="00224123" w:rsidP="001A68CA">
      <w:pPr>
        <w:pStyle w:val="Textpoznpodarou"/>
        <w:jc w:val="both"/>
        <w:rPr>
          <w:b/>
          <w:sz w:val="16"/>
          <w:szCs w:val="16"/>
          <w:lang w:val="en-GB"/>
        </w:rPr>
      </w:pPr>
      <w:r w:rsidRPr="001A68CA">
        <w:rPr>
          <w:rStyle w:val="Znakapoznpodarou"/>
          <w:sz w:val="16"/>
          <w:szCs w:val="16"/>
          <w:lang w:val="en-GB"/>
        </w:rPr>
        <w:footnoteRef/>
      </w:r>
      <w:r w:rsidRPr="001A68CA">
        <w:rPr>
          <w:sz w:val="16"/>
          <w:szCs w:val="16"/>
          <w:lang w:val="en-GB"/>
        </w:rPr>
        <w:t xml:space="preserve"> It represented the only from the 19 main branches, wher</w:t>
      </w:r>
      <w:r>
        <w:rPr>
          <w:sz w:val="16"/>
          <w:szCs w:val="16"/>
          <w:lang w:val="en-GB"/>
        </w:rPr>
        <w:t>e</w:t>
      </w:r>
      <w:r w:rsidRPr="001A68CA">
        <w:rPr>
          <w:sz w:val="16"/>
          <w:szCs w:val="16"/>
          <w:lang w:val="en-GB"/>
        </w:rPr>
        <w:t xml:space="preserve"> the last year´s rate of growth did not significantly rise compared to year 2016 </w:t>
      </w:r>
      <w:r w:rsidRPr="001A68CA">
        <w:rPr>
          <w:rFonts w:cs="Arial"/>
          <w:color w:val="0D0D0D" w:themeColor="text1" w:themeTint="F2"/>
          <w:spacing w:val="-4"/>
          <w:sz w:val="16"/>
          <w:szCs w:val="16"/>
          <w:lang w:val="en-GB"/>
        </w:rPr>
        <w:t xml:space="preserve">(+3.3%). </w:t>
      </w:r>
      <w:r>
        <w:rPr>
          <w:rFonts w:cs="Arial"/>
          <w:color w:val="0D0D0D" w:themeColor="text1" w:themeTint="F2"/>
          <w:spacing w:val="-4"/>
          <w:sz w:val="16"/>
          <w:szCs w:val="16"/>
          <w:lang w:val="en-GB"/>
        </w:rPr>
        <w:t>In absolute terms however, the addition to wages (+1819 CZK) was here comparable to the branch accommodation, food service and restaurants or the whole economy last year.</w:t>
      </w:r>
      <w:r w:rsidRPr="001A68CA">
        <w:rPr>
          <w:rFonts w:cs="Arial"/>
          <w:color w:val="0D0D0D" w:themeColor="text1" w:themeTint="F2"/>
          <w:spacing w:val="-4"/>
          <w:sz w:val="16"/>
          <w:szCs w:val="16"/>
          <w:lang w:val="en-GB"/>
        </w:rPr>
        <w:t xml:space="preserve"> </w:t>
      </w:r>
    </w:p>
  </w:footnote>
  <w:footnote w:id="35">
    <w:p w:rsidR="00224123" w:rsidRPr="00230CA7" w:rsidRDefault="00224123" w:rsidP="00230CA7">
      <w:pPr>
        <w:pStyle w:val="Textpoznpodarou"/>
        <w:jc w:val="both"/>
        <w:rPr>
          <w:sz w:val="16"/>
          <w:szCs w:val="16"/>
          <w:lang w:val="en-GB"/>
        </w:rPr>
      </w:pPr>
      <w:r w:rsidRPr="00E83936">
        <w:rPr>
          <w:rStyle w:val="Znakapoznpodarou"/>
          <w:sz w:val="16"/>
          <w:szCs w:val="16"/>
        </w:rPr>
        <w:footnoteRef/>
      </w:r>
      <w:r w:rsidRPr="00E83936">
        <w:rPr>
          <w:sz w:val="16"/>
          <w:szCs w:val="16"/>
        </w:rPr>
        <w:t xml:space="preserve"> </w:t>
      </w:r>
      <w:r w:rsidRPr="00230CA7">
        <w:rPr>
          <w:sz w:val="16"/>
          <w:szCs w:val="16"/>
          <w:lang w:val="en-GB"/>
        </w:rPr>
        <w:t xml:space="preserve">Foreign Exchange rates announced by the CNB data in working days. Unless stated otherwise, all data in this chapter have been taken over from the ARAD database of the Czech National Bank. </w:t>
      </w:r>
    </w:p>
  </w:footnote>
  <w:footnote w:id="36">
    <w:p w:rsidR="00224123" w:rsidRPr="00DD20FA" w:rsidRDefault="00224123" w:rsidP="00A827B4">
      <w:pPr>
        <w:pStyle w:val="Textpoznpodarou"/>
        <w:jc w:val="both"/>
        <w:rPr>
          <w:color w:val="0D0D0D" w:themeColor="text1" w:themeTint="F2"/>
          <w:spacing w:val="-2"/>
          <w:sz w:val="16"/>
          <w:szCs w:val="16"/>
          <w:lang w:val="en-GB"/>
        </w:rPr>
      </w:pPr>
      <w:r w:rsidRPr="00DD20FA">
        <w:rPr>
          <w:rStyle w:val="Znakapoznpodarou"/>
          <w:spacing w:val="-2"/>
          <w:sz w:val="16"/>
          <w:szCs w:val="16"/>
          <w:lang w:val="en-GB"/>
        </w:rPr>
        <w:footnoteRef/>
      </w:r>
      <w:r w:rsidRPr="00DD20FA">
        <w:rPr>
          <w:spacing w:val="-2"/>
          <w:sz w:val="16"/>
          <w:szCs w:val="16"/>
          <w:lang w:val="en-GB"/>
        </w:rPr>
        <w:t xml:space="preserve"> Unless stated otherwise, all dat</w:t>
      </w:r>
      <w:r>
        <w:rPr>
          <w:spacing w:val="-2"/>
          <w:sz w:val="16"/>
          <w:szCs w:val="16"/>
          <w:lang w:val="en-GB"/>
        </w:rPr>
        <w:t>a</w:t>
      </w:r>
      <w:r w:rsidRPr="00DD20FA">
        <w:rPr>
          <w:spacing w:val="-2"/>
          <w:sz w:val="16"/>
          <w:szCs w:val="16"/>
          <w:lang w:val="en-GB"/>
        </w:rPr>
        <w:t xml:space="preserve"> related to the state budget are sourced from the data of the Ministry of Finance on the cash fulfilment. </w:t>
      </w:r>
    </w:p>
  </w:footnote>
  <w:footnote w:id="37">
    <w:p w:rsidR="00224123" w:rsidRPr="00DD20FA" w:rsidRDefault="00224123" w:rsidP="00A827B4">
      <w:pPr>
        <w:pStyle w:val="Textpoznpodarou"/>
        <w:jc w:val="both"/>
        <w:rPr>
          <w:color w:val="0D0D0D" w:themeColor="text1" w:themeTint="F2"/>
          <w:spacing w:val="-3"/>
          <w:sz w:val="16"/>
          <w:szCs w:val="16"/>
          <w:lang w:val="en-GB"/>
        </w:rPr>
      </w:pPr>
      <w:r w:rsidRPr="00DD20FA">
        <w:rPr>
          <w:rStyle w:val="Znakapoznpodarou"/>
          <w:color w:val="0D0D0D" w:themeColor="text1" w:themeTint="F2"/>
          <w:spacing w:val="-3"/>
          <w:sz w:val="16"/>
          <w:szCs w:val="16"/>
          <w:lang w:val="en-GB"/>
        </w:rPr>
        <w:footnoteRef/>
      </w:r>
      <w:r w:rsidRPr="00DD20FA">
        <w:rPr>
          <w:color w:val="0D0D0D" w:themeColor="text1" w:themeTint="F2"/>
          <w:spacing w:val="-3"/>
          <w:sz w:val="16"/>
          <w:szCs w:val="16"/>
          <w:lang w:val="en-GB"/>
        </w:rPr>
        <w:t xml:space="preserve"> </w:t>
      </w:r>
      <w:r>
        <w:rPr>
          <w:color w:val="0D0D0D" w:themeColor="text1" w:themeTint="F2"/>
          <w:spacing w:val="-3"/>
          <w:sz w:val="16"/>
          <w:szCs w:val="16"/>
          <w:lang w:val="en-GB"/>
        </w:rPr>
        <w:t xml:space="preserve">The balance was +26.5 CZK bn in total for the first ten months of 2017. The capital outlays increased during November and December (by 30 CZK bn to 81.6 bn). Rate of growth of expenditure on the wages of state employees also accelerated, similarly to the non-investment outlays to business entities or state funds. </w:t>
      </w:r>
      <w:r w:rsidRPr="00DD20FA">
        <w:rPr>
          <w:color w:val="0D0D0D" w:themeColor="text1" w:themeTint="F2"/>
          <w:spacing w:val="-3"/>
          <w:sz w:val="16"/>
          <w:szCs w:val="16"/>
          <w:lang w:val="en-GB"/>
        </w:rPr>
        <w:t xml:space="preserve"> </w:t>
      </w:r>
    </w:p>
  </w:footnote>
  <w:footnote w:id="38">
    <w:p w:rsidR="00224123" w:rsidRPr="00DD20FA" w:rsidRDefault="00224123" w:rsidP="00A827B4">
      <w:pPr>
        <w:pStyle w:val="Textpoznpodarou"/>
        <w:jc w:val="both"/>
        <w:rPr>
          <w:i/>
          <w:color w:val="0D0D0D" w:themeColor="text1" w:themeTint="F2"/>
          <w:sz w:val="16"/>
          <w:szCs w:val="16"/>
          <w:lang w:val="en-GB"/>
        </w:rPr>
      </w:pPr>
      <w:r w:rsidRPr="00DD20FA">
        <w:rPr>
          <w:rStyle w:val="Znakapoznpodarou"/>
          <w:color w:val="0D0D0D" w:themeColor="text1" w:themeTint="F2"/>
          <w:spacing w:val="-2"/>
          <w:sz w:val="16"/>
          <w:szCs w:val="16"/>
          <w:lang w:val="en-GB"/>
        </w:rPr>
        <w:footnoteRef/>
      </w:r>
      <w:r w:rsidRPr="00DD20FA">
        <w:rPr>
          <w:color w:val="0D0D0D" w:themeColor="text1" w:themeTint="F2"/>
          <w:spacing w:val="-2"/>
          <w:sz w:val="16"/>
          <w:szCs w:val="16"/>
          <w:lang w:val="en-GB"/>
        </w:rPr>
        <w:t xml:space="preserve"> </w:t>
      </w:r>
      <w:r>
        <w:rPr>
          <w:color w:val="0D0D0D" w:themeColor="text1" w:themeTint="F2"/>
          <w:spacing w:val="-2"/>
          <w:sz w:val="16"/>
          <w:szCs w:val="16"/>
          <w:lang w:val="en-GB"/>
        </w:rPr>
        <w:t xml:space="preserve">According to the calculations of the MF, the SB balance adjusted on both income and expenditure side for the resources on programmes from the EU budget and Financial mechanisms (EEA and the Norway Grants, Swiss – Czech Cooperation Programme) arrived at -1.3 CZK bn in 2017 (-13.6 bn the year before). </w:t>
      </w:r>
      <w:r w:rsidRPr="00DD20FA">
        <w:rPr>
          <w:rStyle w:val="Zvraznn"/>
          <w:i w:val="0"/>
          <w:color w:val="0D0D0D" w:themeColor="text1" w:themeTint="F2"/>
          <w:spacing w:val="-2"/>
          <w:sz w:val="16"/>
          <w:szCs w:val="16"/>
          <w:lang w:val="en-GB"/>
        </w:rPr>
        <w:t xml:space="preserve"> </w:t>
      </w:r>
    </w:p>
  </w:footnote>
  <w:footnote w:id="39">
    <w:p w:rsidR="00224123" w:rsidRPr="00DD20FA" w:rsidRDefault="00224123" w:rsidP="00A827B4">
      <w:pPr>
        <w:pStyle w:val="Textpoznpodarou"/>
        <w:jc w:val="both"/>
        <w:rPr>
          <w:color w:val="0D0D0D" w:themeColor="text1" w:themeTint="F2"/>
          <w:spacing w:val="-4"/>
          <w:sz w:val="16"/>
          <w:szCs w:val="16"/>
          <w:lang w:val="en-GB"/>
        </w:rPr>
      </w:pPr>
      <w:r w:rsidRPr="00DD20FA">
        <w:rPr>
          <w:rStyle w:val="Znakapoznpodarou"/>
          <w:color w:val="0D0D0D" w:themeColor="text1" w:themeTint="F2"/>
          <w:spacing w:val="-4"/>
          <w:sz w:val="16"/>
          <w:szCs w:val="16"/>
          <w:lang w:val="en-GB"/>
        </w:rPr>
        <w:footnoteRef/>
      </w:r>
      <w:r w:rsidRPr="00DD20FA">
        <w:rPr>
          <w:color w:val="0D0D0D" w:themeColor="text1" w:themeTint="F2"/>
          <w:spacing w:val="-4"/>
          <w:sz w:val="16"/>
          <w:szCs w:val="16"/>
          <w:lang w:val="en-GB"/>
        </w:rPr>
        <w:t xml:space="preserve"> </w:t>
      </w:r>
      <w:r>
        <w:rPr>
          <w:color w:val="0D0D0D" w:themeColor="text1" w:themeTint="F2"/>
          <w:spacing w:val="-2"/>
          <w:sz w:val="16"/>
          <w:szCs w:val="16"/>
          <w:lang w:val="en-GB"/>
        </w:rPr>
        <w:t>The proportion of the SB on the state-wide VAT revenue fell from 70.25% to 69.68% due to the change of the budget appropriations of taxes to the benefit of municipalities starting 1. 1. 2017. Reciprocally, the percentage share of the tax revenue – from the tax returns on income taxes of natural persons was amended.</w:t>
      </w:r>
    </w:p>
  </w:footnote>
  <w:footnote w:id="40">
    <w:p w:rsidR="00224123" w:rsidRPr="004D3B7D" w:rsidRDefault="00224123" w:rsidP="004D3B7D">
      <w:pPr>
        <w:pStyle w:val="Textpoznpodarou"/>
        <w:jc w:val="both"/>
        <w:rPr>
          <w:sz w:val="16"/>
          <w:szCs w:val="16"/>
          <w:lang w:val="en-GB"/>
        </w:rPr>
      </w:pPr>
      <w:r w:rsidRPr="007F2E68">
        <w:rPr>
          <w:rStyle w:val="Znakapoznpodarou"/>
          <w:sz w:val="16"/>
          <w:szCs w:val="16"/>
        </w:rPr>
        <w:footnoteRef/>
      </w:r>
      <w:r w:rsidRPr="007F2E68">
        <w:rPr>
          <w:sz w:val="16"/>
          <w:szCs w:val="16"/>
        </w:rPr>
        <w:t xml:space="preserve"> </w:t>
      </w:r>
      <w:r w:rsidRPr="004D3B7D">
        <w:rPr>
          <w:sz w:val="16"/>
          <w:szCs w:val="16"/>
          <w:lang w:val="en-GB"/>
        </w:rPr>
        <w:t xml:space="preserve">Nearly one half of the yearly volume of investment was drawn in the last quarter. Further </w:t>
      </w:r>
      <w:r>
        <w:rPr>
          <w:sz w:val="16"/>
          <w:szCs w:val="16"/>
          <w:lang w:val="en-GB"/>
        </w:rPr>
        <w:t xml:space="preserve">one </w:t>
      </w:r>
      <w:r w:rsidRPr="004D3B7D">
        <w:rPr>
          <w:sz w:val="16"/>
          <w:szCs w:val="16"/>
          <w:lang w:val="en-GB"/>
        </w:rPr>
        <w:t>quarter th</w:t>
      </w:r>
      <w:r>
        <w:rPr>
          <w:sz w:val="16"/>
          <w:szCs w:val="16"/>
          <w:lang w:val="en-GB"/>
        </w:rPr>
        <w:t>e</w:t>
      </w:r>
      <w:r w:rsidRPr="004D3B7D">
        <w:rPr>
          <w:sz w:val="16"/>
          <w:szCs w:val="16"/>
          <w:lang w:val="en-GB"/>
        </w:rPr>
        <w:t>n in Q3 2017.</w:t>
      </w:r>
    </w:p>
  </w:footnote>
  <w:footnote w:id="41">
    <w:p w:rsidR="00224123" w:rsidRPr="00BE6CA9" w:rsidRDefault="00224123" w:rsidP="00BE6CA9">
      <w:pPr>
        <w:pStyle w:val="Textpoznpodarou"/>
        <w:jc w:val="both"/>
        <w:rPr>
          <w:sz w:val="16"/>
          <w:szCs w:val="16"/>
          <w:lang w:val="en-GB"/>
        </w:rPr>
      </w:pPr>
      <w:r w:rsidRPr="002B6CE9">
        <w:rPr>
          <w:rStyle w:val="Znakapoznpodarou"/>
          <w:sz w:val="16"/>
          <w:szCs w:val="16"/>
        </w:rPr>
        <w:footnoteRef/>
      </w:r>
      <w:r w:rsidRPr="002B6CE9">
        <w:rPr>
          <w:sz w:val="16"/>
          <w:szCs w:val="16"/>
        </w:rPr>
        <w:t xml:space="preserve"> </w:t>
      </w:r>
      <w:r w:rsidRPr="00BE6CA9">
        <w:rPr>
          <w:sz w:val="16"/>
          <w:szCs w:val="16"/>
          <w:lang w:val="en-GB"/>
        </w:rPr>
        <w:t>As of 1</w:t>
      </w:r>
      <w:r w:rsidRPr="00BE6CA9">
        <w:rPr>
          <w:sz w:val="16"/>
          <w:szCs w:val="16"/>
          <w:vertAlign w:val="superscript"/>
          <w:lang w:val="en-GB"/>
        </w:rPr>
        <w:t>st</w:t>
      </w:r>
      <w:r w:rsidRPr="00BE6CA9">
        <w:rPr>
          <w:sz w:val="16"/>
          <w:szCs w:val="16"/>
          <w:lang w:val="en-GB"/>
        </w:rPr>
        <w:t xml:space="preserve"> September 2016, the wages were raised to teachers (+8%), but also non-educational employees (+5%) – their wages were also raised starting 1</w:t>
      </w:r>
      <w:r w:rsidRPr="00BE6CA9">
        <w:rPr>
          <w:sz w:val="16"/>
          <w:szCs w:val="16"/>
          <w:vertAlign w:val="superscript"/>
          <w:lang w:val="en-GB"/>
        </w:rPr>
        <w:t>st</w:t>
      </w:r>
      <w:r w:rsidRPr="00BE6CA9">
        <w:rPr>
          <w:sz w:val="16"/>
          <w:szCs w:val="16"/>
          <w:lang w:val="en-GB"/>
        </w:rPr>
        <w:t xml:space="preserve"> July 2017 (by further 9.4%). </w:t>
      </w:r>
      <w:r>
        <w:rPr>
          <w:sz w:val="16"/>
          <w:szCs w:val="16"/>
          <w:lang w:val="en-GB"/>
        </w:rPr>
        <w:t>Wages then rose also to the educational employees (+15%) as of 1</w:t>
      </w:r>
      <w:r w:rsidRPr="00785C7A">
        <w:rPr>
          <w:sz w:val="16"/>
          <w:szCs w:val="16"/>
          <w:vertAlign w:val="superscript"/>
          <w:lang w:val="en-GB"/>
        </w:rPr>
        <w:t>st</w:t>
      </w:r>
      <w:r>
        <w:rPr>
          <w:sz w:val="16"/>
          <w:szCs w:val="16"/>
          <w:lang w:val="en-GB"/>
        </w:rPr>
        <w:t xml:space="preserve"> November </w:t>
      </w:r>
      <w:r w:rsidRPr="00BE6CA9">
        <w:rPr>
          <w:sz w:val="16"/>
          <w:szCs w:val="16"/>
          <w:lang w:val="en-GB"/>
        </w:rPr>
        <w:t>2017</w:t>
      </w:r>
      <w:r>
        <w:rPr>
          <w:sz w:val="16"/>
          <w:szCs w:val="16"/>
          <w:lang w:val="en-GB"/>
        </w:rPr>
        <w:t xml:space="preserve">. </w:t>
      </w:r>
      <w:r w:rsidRPr="00BE6CA9">
        <w:rPr>
          <w:sz w:val="16"/>
          <w:szCs w:val="16"/>
          <w:lang w:val="en-GB"/>
        </w:rPr>
        <w:t xml:space="preserve"> </w:t>
      </w:r>
    </w:p>
  </w:footnote>
  <w:footnote w:id="42">
    <w:p w:rsidR="00224123" w:rsidRPr="00E82336" w:rsidRDefault="00224123" w:rsidP="003843B1">
      <w:pPr>
        <w:pStyle w:val="Textpoznpodarou"/>
        <w:jc w:val="both"/>
        <w:rPr>
          <w:sz w:val="16"/>
          <w:szCs w:val="16"/>
        </w:rPr>
      </w:pPr>
      <w:r w:rsidRPr="00E82336">
        <w:rPr>
          <w:rStyle w:val="Znakapoznpodarou"/>
          <w:sz w:val="16"/>
          <w:szCs w:val="16"/>
        </w:rPr>
        <w:footnoteRef/>
      </w:r>
      <w:r w:rsidRPr="00E82336">
        <w:rPr>
          <w:sz w:val="16"/>
          <w:szCs w:val="16"/>
        </w:rPr>
        <w:t xml:space="preserve"> </w:t>
      </w:r>
      <w:r>
        <w:rPr>
          <w:sz w:val="16"/>
          <w:szCs w:val="16"/>
          <w:lang w:val="en-GB"/>
        </w:rPr>
        <w:t>It is expressed as the difference between revenues and expenditure on the pensions from the SB (based on preliminary data).</w:t>
      </w:r>
    </w:p>
  </w:footnote>
  <w:footnote w:id="43">
    <w:p w:rsidR="00224123" w:rsidRPr="00627F1F" w:rsidRDefault="00224123" w:rsidP="00593ECE">
      <w:pPr>
        <w:pStyle w:val="Textpoznpodarou"/>
        <w:jc w:val="both"/>
        <w:rPr>
          <w:spacing w:val="-2"/>
          <w:sz w:val="16"/>
          <w:szCs w:val="16"/>
          <w:lang w:val="en-GB"/>
        </w:rPr>
      </w:pPr>
      <w:r w:rsidRPr="00627F1F">
        <w:rPr>
          <w:rStyle w:val="Znakapoznpodarou"/>
          <w:spacing w:val="-2"/>
          <w:sz w:val="16"/>
          <w:szCs w:val="16"/>
        </w:rPr>
        <w:footnoteRef/>
      </w:r>
      <w:r w:rsidRPr="00627F1F">
        <w:rPr>
          <w:spacing w:val="-2"/>
          <w:sz w:val="16"/>
          <w:szCs w:val="16"/>
        </w:rPr>
        <w:t xml:space="preserve"> </w:t>
      </w:r>
      <w:r w:rsidRPr="00627F1F">
        <w:rPr>
          <w:spacing w:val="-2"/>
          <w:sz w:val="16"/>
          <w:szCs w:val="16"/>
          <w:lang w:val="en-GB"/>
        </w:rPr>
        <w:t>Even though the total number of unemployed registered with the LO fell by more than 100 thousand, the number of persons with the right to claim support was lower only by 17.3 thousand year-on-year at the end of December 2017. The long-term unemployed succeeded to find a job in a higher extent. The number of applicants with the right to the unemployment support thus mildly increased to 30.5% (from 27.0% last year). The average monthly size of the unemployment support was 6 969 CZK at the end of year 2017, 6 457 CZK the year before.</w:t>
      </w:r>
    </w:p>
  </w:footnote>
  <w:footnote w:id="44">
    <w:p w:rsidR="00224123" w:rsidRPr="00593ECE" w:rsidRDefault="00224123" w:rsidP="00593ECE">
      <w:pPr>
        <w:pStyle w:val="Textpoznpodarou"/>
        <w:jc w:val="both"/>
        <w:rPr>
          <w:sz w:val="16"/>
          <w:szCs w:val="16"/>
          <w:lang w:val="en-GB"/>
        </w:rPr>
      </w:pPr>
      <w:r w:rsidRPr="00593ECE">
        <w:rPr>
          <w:rStyle w:val="Znakapoznpodarou"/>
          <w:sz w:val="16"/>
          <w:szCs w:val="16"/>
          <w:lang w:val="en-GB"/>
        </w:rPr>
        <w:footnoteRef/>
      </w:r>
      <w:r w:rsidRPr="00593ECE">
        <w:rPr>
          <w:sz w:val="16"/>
          <w:szCs w:val="16"/>
          <w:lang w:val="en-GB"/>
        </w:rPr>
        <w:t xml:space="preserve"> </w:t>
      </w:r>
      <w:r>
        <w:rPr>
          <w:sz w:val="16"/>
          <w:szCs w:val="16"/>
          <w:lang w:val="en-GB"/>
        </w:rPr>
        <w:t>The difference between the revenues and expenditures in the area of the health insurance remained according to the data of the MLSA positive (+3.1 CZK bn) in 2017 as a result of the strong growth of the collection of insurance (+10.7%)</w:t>
      </w:r>
      <w:r w:rsidRPr="00593ECE">
        <w:rPr>
          <w:sz w:val="16"/>
          <w:szCs w:val="16"/>
          <w:lang w:val="en-GB"/>
        </w:rPr>
        <w:t>.</w:t>
      </w:r>
    </w:p>
  </w:footnote>
  <w:footnote w:id="45">
    <w:p w:rsidR="00224123" w:rsidRPr="00593ECE" w:rsidRDefault="00224123" w:rsidP="00593ECE">
      <w:pPr>
        <w:pStyle w:val="Textpoznpodarou"/>
        <w:jc w:val="both"/>
        <w:rPr>
          <w:rFonts w:cs="Arial"/>
          <w:color w:val="0D0D0D" w:themeColor="text1" w:themeTint="F2"/>
          <w:spacing w:val="-4"/>
          <w:sz w:val="16"/>
          <w:szCs w:val="16"/>
          <w:lang w:val="en-GB"/>
        </w:rPr>
      </w:pPr>
      <w:r w:rsidRPr="00593ECE">
        <w:rPr>
          <w:rStyle w:val="Znakapoznpodarou"/>
          <w:spacing w:val="-4"/>
          <w:sz w:val="16"/>
          <w:szCs w:val="16"/>
          <w:lang w:val="en-GB"/>
        </w:rPr>
        <w:footnoteRef/>
      </w:r>
      <w:r w:rsidRPr="00593ECE">
        <w:rPr>
          <w:spacing w:val="-4"/>
          <w:sz w:val="16"/>
          <w:szCs w:val="16"/>
          <w:lang w:val="en-GB"/>
        </w:rPr>
        <w:t xml:space="preserve"> </w:t>
      </w:r>
      <w:r>
        <w:rPr>
          <w:spacing w:val="-4"/>
          <w:sz w:val="16"/>
          <w:szCs w:val="16"/>
          <w:lang w:val="en-GB"/>
        </w:rPr>
        <w:t xml:space="preserve">Acceleration of the rate of growth was caused mainly by the legislative amendment, which raised the contribution in all grades of dependence by 10% as of 1 .8. 2016. </w:t>
      </w:r>
    </w:p>
  </w:footnote>
  <w:footnote w:id="46">
    <w:p w:rsidR="00224123" w:rsidRPr="00B75AAD" w:rsidRDefault="00224123" w:rsidP="00593ECE">
      <w:pPr>
        <w:pStyle w:val="Textpoznpodarou"/>
        <w:jc w:val="both"/>
        <w:rPr>
          <w:sz w:val="16"/>
          <w:szCs w:val="16"/>
          <w:lang w:val="en-GB"/>
        </w:rPr>
      </w:pPr>
      <w:r w:rsidRPr="00593ECE">
        <w:rPr>
          <w:rStyle w:val="Znakapoznpodarou"/>
          <w:sz w:val="16"/>
          <w:szCs w:val="16"/>
          <w:lang w:val="en-GB"/>
        </w:rPr>
        <w:footnoteRef/>
      </w:r>
      <w:r w:rsidRPr="00593ECE">
        <w:rPr>
          <w:sz w:val="16"/>
          <w:szCs w:val="16"/>
          <w:lang w:val="en-GB"/>
        </w:rPr>
        <w:t xml:space="preserve"> </w:t>
      </w:r>
      <w:r>
        <w:rPr>
          <w:sz w:val="16"/>
          <w:szCs w:val="16"/>
          <w:lang w:val="en-GB"/>
        </w:rPr>
        <w:t xml:space="preserve">The debt hiked to 1 789 CZK bn during Q1 and recorded the fastest quarter-on-quarter growth since year </w:t>
      </w:r>
      <w:r w:rsidRPr="00593ECE">
        <w:rPr>
          <w:spacing w:val="-2"/>
          <w:sz w:val="16"/>
          <w:szCs w:val="16"/>
          <w:lang w:val="en-GB"/>
        </w:rPr>
        <w:t>2010 (+</w:t>
      </w:r>
      <w:r w:rsidRPr="00593ECE">
        <w:rPr>
          <w:rFonts w:cs="Arial"/>
          <w:spacing w:val="-2"/>
          <w:sz w:val="16"/>
          <w:szCs w:val="16"/>
          <w:lang w:val="en-GB"/>
        </w:rPr>
        <w:t>11%</w:t>
      </w:r>
      <w:r w:rsidRPr="00593ECE">
        <w:rPr>
          <w:rFonts w:cs="Arial"/>
          <w:color w:val="0D0D0D" w:themeColor="text1" w:themeTint="F2"/>
          <w:spacing w:val="-4"/>
          <w:sz w:val="16"/>
          <w:szCs w:val="16"/>
          <w:lang w:val="en-GB"/>
        </w:rPr>
        <w:t>)</w:t>
      </w:r>
      <w:r w:rsidRPr="00593ECE">
        <w:rPr>
          <w:spacing w:val="-2"/>
          <w:sz w:val="16"/>
          <w:szCs w:val="16"/>
          <w:lang w:val="en-GB"/>
        </w:rPr>
        <w:t>. T</w:t>
      </w:r>
      <w:r>
        <w:rPr>
          <w:spacing w:val="-2"/>
          <w:sz w:val="16"/>
          <w:szCs w:val="16"/>
          <w:lang w:val="en-GB"/>
        </w:rPr>
        <w:t xml:space="preserve">his short-term increase was connected to the specific situation on the bond market due to the expectations associated with the termination of the regime of forex interventions. State bonds were sold for the negative yield in the value of 493 CZK bn in 2017, which brought additional revenues into the state budget in the amount of 1.2 bn. The proportion of the state debt, which does not carry any interest costs, rose from 12.0% to 15.2% during the year 2017. </w:t>
      </w:r>
    </w:p>
  </w:footnote>
  <w:footnote w:id="47">
    <w:p w:rsidR="00224123" w:rsidRPr="00E9220F" w:rsidRDefault="00224123" w:rsidP="00627F1F">
      <w:pPr>
        <w:pStyle w:val="Textpoznpodarou"/>
        <w:jc w:val="both"/>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w:t>
      </w:r>
      <w:r w:rsidRPr="00C30EB6">
        <w:rPr>
          <w:color w:val="0D0D0D" w:themeColor="text1" w:themeTint="F2"/>
          <w:spacing w:val="-2"/>
          <w:sz w:val="16"/>
          <w:szCs w:val="16"/>
          <w:lang w:val="en-GB"/>
        </w:rPr>
        <w:t xml:space="preserve">The CZSO </w:t>
      </w:r>
      <w:r>
        <w:rPr>
          <w:color w:val="0D0D0D" w:themeColor="text1" w:themeTint="F2"/>
          <w:spacing w:val="-2"/>
          <w:sz w:val="16"/>
          <w:szCs w:val="16"/>
          <w:lang w:val="en-GB"/>
        </w:rPr>
        <w:t xml:space="preserve">will </w:t>
      </w:r>
      <w:r w:rsidRPr="00C30EB6">
        <w:rPr>
          <w:color w:val="0D0D0D" w:themeColor="text1" w:themeTint="F2"/>
          <w:spacing w:val="-2"/>
          <w:sz w:val="16"/>
          <w:szCs w:val="16"/>
          <w:lang w:val="en-GB"/>
        </w:rPr>
        <w:t>publis</w:t>
      </w:r>
      <w:r>
        <w:rPr>
          <w:color w:val="0D0D0D" w:themeColor="text1" w:themeTint="F2"/>
          <w:spacing w:val="-2"/>
          <w:sz w:val="16"/>
          <w:szCs w:val="16"/>
          <w:lang w:val="en-GB"/>
        </w:rPr>
        <w:t>h</w:t>
      </w:r>
      <w:r w:rsidRPr="00C30EB6">
        <w:rPr>
          <w:color w:val="0D0D0D" w:themeColor="text1" w:themeTint="F2"/>
          <w:spacing w:val="-2"/>
          <w:sz w:val="16"/>
          <w:szCs w:val="16"/>
          <w:lang w:val="en-GB"/>
        </w:rPr>
        <w:t xml:space="preserve"> the preliminary data regarding to debt and deficit of the government institutions sector for </w:t>
      </w:r>
      <w:r>
        <w:rPr>
          <w:color w:val="0D0D0D" w:themeColor="text1" w:themeTint="F2"/>
          <w:spacing w:val="-2"/>
          <w:sz w:val="16"/>
          <w:szCs w:val="16"/>
          <w:lang w:val="en-GB"/>
        </w:rPr>
        <w:t xml:space="preserve">the whole year </w:t>
      </w:r>
      <w:r w:rsidRPr="00C30EB6">
        <w:rPr>
          <w:color w:val="0D0D0D" w:themeColor="text1" w:themeTint="F2"/>
          <w:spacing w:val="-2"/>
          <w:sz w:val="16"/>
          <w:szCs w:val="16"/>
          <w:lang w:val="en-GB"/>
        </w:rPr>
        <w:t xml:space="preserve">2017 on 4th </w:t>
      </w:r>
      <w:r>
        <w:rPr>
          <w:color w:val="0D0D0D" w:themeColor="text1" w:themeTint="F2"/>
          <w:spacing w:val="-2"/>
          <w:sz w:val="16"/>
          <w:szCs w:val="16"/>
          <w:lang w:val="en-GB"/>
        </w:rPr>
        <w:t xml:space="preserve">April </w:t>
      </w:r>
      <w:r w:rsidRPr="00C30EB6">
        <w:rPr>
          <w:color w:val="0D0D0D" w:themeColor="text1" w:themeTint="F2"/>
          <w:spacing w:val="-2"/>
          <w:sz w:val="16"/>
          <w:szCs w:val="16"/>
          <w:lang w:val="en-GB"/>
        </w:rPr>
        <w:t>201</w:t>
      </w:r>
      <w:r>
        <w:rPr>
          <w:color w:val="0D0D0D" w:themeColor="text1" w:themeTint="F2"/>
          <w:spacing w:val="-2"/>
          <w:sz w:val="16"/>
          <w:szCs w:val="16"/>
          <w:lang w:val="en-GB"/>
        </w:rPr>
        <w:t>8</w:t>
      </w:r>
      <w:r w:rsidRPr="00C30EB6">
        <w:rPr>
          <w:color w:val="0D0D0D" w:themeColor="text1" w:themeTint="F2"/>
          <w:spacing w:val="-2"/>
          <w:sz w:val="16"/>
          <w:szCs w:val="16"/>
          <w:lang w:val="en-GB"/>
        </w:rPr>
        <w:t xml:space="preserve">, </w:t>
      </w:r>
      <w:proofErr w:type="spellStart"/>
      <w:r w:rsidRPr="00C30EB6">
        <w:rPr>
          <w:color w:val="0D0D0D" w:themeColor="text1" w:themeTint="F2"/>
          <w:spacing w:val="-2"/>
          <w:sz w:val="16"/>
          <w:szCs w:val="16"/>
          <w:lang w:val="en-GB"/>
        </w:rPr>
        <w:t>Eurostat</w:t>
      </w:r>
      <w:proofErr w:type="spellEnd"/>
      <w:r w:rsidRPr="00C30EB6">
        <w:rPr>
          <w:color w:val="0D0D0D" w:themeColor="text1" w:themeTint="F2"/>
          <w:spacing w:val="-2"/>
          <w:sz w:val="16"/>
          <w:szCs w:val="16"/>
          <w:lang w:val="en-GB"/>
        </w:rPr>
        <w:t xml:space="preserve"> then on 24th </w:t>
      </w:r>
      <w:r>
        <w:rPr>
          <w:color w:val="0D0D0D" w:themeColor="text1" w:themeTint="F2"/>
          <w:spacing w:val="-2"/>
          <w:sz w:val="16"/>
          <w:szCs w:val="16"/>
          <w:lang w:val="en-GB"/>
        </w:rPr>
        <w:t xml:space="preserve">April </w:t>
      </w:r>
      <w:r w:rsidRPr="00C30EB6">
        <w:rPr>
          <w:color w:val="0D0D0D" w:themeColor="text1" w:themeTint="F2"/>
          <w:spacing w:val="-2"/>
          <w:sz w:val="16"/>
          <w:szCs w:val="16"/>
          <w:lang w:val="en-GB"/>
        </w:rPr>
        <w:t>201</w:t>
      </w:r>
      <w:r>
        <w:rPr>
          <w:color w:val="0D0D0D" w:themeColor="text1" w:themeTint="F2"/>
          <w:spacing w:val="-2"/>
          <w:sz w:val="16"/>
          <w:szCs w:val="16"/>
          <w:lang w:val="en-GB"/>
        </w:rPr>
        <w:t>8</w:t>
      </w:r>
      <w:r w:rsidRPr="00C30EB6">
        <w:rPr>
          <w:color w:val="0D0D0D" w:themeColor="text1" w:themeTint="F2"/>
          <w:spacing w:val="-2"/>
          <w:sz w:val="16"/>
          <w:szCs w:val="16"/>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173642" w:rsidRDefault="00224123"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DC5B3B" w:rsidRDefault="00224123"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2473CA" w:rsidRDefault="00224123" w:rsidP="00D766EF">
    <w:pPr>
      <w:pStyle w:val="Zhlav"/>
      <w:tabs>
        <w:tab w:val="clear" w:pos="4536"/>
        <w:tab w:val="clear" w:pos="9072"/>
        <w:tab w:val="left" w:pos="-6379"/>
        <w:tab w:val="center" w:pos="4820"/>
        <w:tab w:val="right" w:pos="9639"/>
      </w:tabs>
      <w:rPr>
        <w:rFonts w:ascii="Arial" w:hAnsi="Arial" w:cs="Arial"/>
        <w:sz w:val="16"/>
        <w:szCs w:val="16"/>
        <w:lang w:val="en-US"/>
      </w:rPr>
    </w:pPr>
    <w:r w:rsidRPr="002473CA">
      <w:rPr>
        <w:rFonts w:ascii="Arial" w:hAnsi="Arial" w:cs="Arial"/>
        <w:sz w:val="16"/>
        <w:szCs w:val="16"/>
        <w:lang w:val="en-US"/>
      </w:rPr>
      <w:t>The Czech Economy Development in 2017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123" w:rsidRPr="00ED0C9B" w:rsidRDefault="00224123" w:rsidP="0030768C">
    <w:pPr>
      <w:pStyle w:val="Zhlav"/>
      <w:tabs>
        <w:tab w:val="clear" w:pos="4536"/>
        <w:tab w:val="clear" w:pos="9072"/>
        <w:tab w:val="left" w:pos="-6379"/>
        <w:tab w:val="center" w:pos="4820"/>
        <w:tab w:val="right" w:pos="9639"/>
      </w:tabs>
      <w:rPr>
        <w:rFonts w:ascii="Arial" w:hAnsi="Arial" w:cs="Arial"/>
        <w:sz w:val="16"/>
        <w:szCs w:val="16"/>
        <w:lang w:val="en-GB"/>
      </w:rPr>
    </w:pPr>
    <w:r w:rsidRPr="00ED0C9B">
      <w:rPr>
        <w:rFonts w:ascii="Arial" w:hAnsi="Arial" w:cs="Arial"/>
        <w:sz w:val="16"/>
        <w:szCs w:val="16"/>
        <w:lang w:val="en-GB"/>
      </w:rPr>
      <w:t>The Czech Economy Development in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7"/>
  </w:num>
  <w:num w:numId="2">
    <w:abstractNumId w:val="23"/>
  </w:num>
  <w:num w:numId="3">
    <w:abstractNumId w:val="13"/>
  </w:num>
  <w:num w:numId="4">
    <w:abstractNumId w:val="21"/>
  </w:num>
  <w:num w:numId="5">
    <w:abstractNumId w:val="15"/>
  </w:num>
  <w:num w:numId="6">
    <w:abstractNumId w:val="18"/>
  </w:num>
  <w:num w:numId="7">
    <w:abstractNumId w:val="5"/>
  </w:num>
  <w:num w:numId="8">
    <w:abstractNumId w:val="11"/>
  </w:num>
  <w:num w:numId="9">
    <w:abstractNumId w:val="20"/>
  </w:num>
  <w:num w:numId="10">
    <w:abstractNumId w:val="4"/>
  </w:num>
  <w:num w:numId="11">
    <w:abstractNumId w:val="9"/>
  </w:num>
  <w:num w:numId="12">
    <w:abstractNumId w:val="2"/>
  </w:num>
  <w:num w:numId="13">
    <w:abstractNumId w:val="8"/>
  </w:num>
  <w:num w:numId="14">
    <w:abstractNumId w:val="0"/>
  </w:num>
  <w:num w:numId="15">
    <w:abstractNumId w:val="19"/>
  </w:num>
  <w:num w:numId="16">
    <w:abstractNumId w:val="16"/>
  </w:num>
  <w:num w:numId="17">
    <w:abstractNumId w:val="7"/>
  </w:num>
  <w:num w:numId="18">
    <w:abstractNumId w:val="22"/>
  </w:num>
  <w:num w:numId="19">
    <w:abstractNumId w:val="10"/>
  </w:num>
  <w:num w:numId="20">
    <w:abstractNumId w:val="1"/>
  </w:num>
  <w:num w:numId="21">
    <w:abstractNumId w:val="12"/>
  </w:num>
  <w:num w:numId="22">
    <w:abstractNumId w:val="14"/>
  </w:num>
  <w:num w:numId="23">
    <w:abstractNumId w:val="3"/>
  </w:num>
  <w:num w:numId="24">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B70BD"/>
    <w:rsid w:val="00000C43"/>
    <w:rsid w:val="00000FA7"/>
    <w:rsid w:val="00001EFF"/>
    <w:rsid w:val="00002F5C"/>
    <w:rsid w:val="00003687"/>
    <w:rsid w:val="00003C43"/>
    <w:rsid w:val="00004C5D"/>
    <w:rsid w:val="00004EB0"/>
    <w:rsid w:val="00004FF9"/>
    <w:rsid w:val="00006AAD"/>
    <w:rsid w:val="00007498"/>
    <w:rsid w:val="0000767A"/>
    <w:rsid w:val="000101F5"/>
    <w:rsid w:val="000104B9"/>
    <w:rsid w:val="00010702"/>
    <w:rsid w:val="00010770"/>
    <w:rsid w:val="00010982"/>
    <w:rsid w:val="00011191"/>
    <w:rsid w:val="0001159B"/>
    <w:rsid w:val="000117CA"/>
    <w:rsid w:val="00012986"/>
    <w:rsid w:val="000129CF"/>
    <w:rsid w:val="00013C75"/>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1B1D"/>
    <w:rsid w:val="00022081"/>
    <w:rsid w:val="0002292C"/>
    <w:rsid w:val="00022983"/>
    <w:rsid w:val="00022B41"/>
    <w:rsid w:val="00022D8D"/>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1F6"/>
    <w:rsid w:val="00034D3F"/>
    <w:rsid w:val="00035CCF"/>
    <w:rsid w:val="00035FC6"/>
    <w:rsid w:val="0003705E"/>
    <w:rsid w:val="00037667"/>
    <w:rsid w:val="0003780E"/>
    <w:rsid w:val="0004075D"/>
    <w:rsid w:val="000411E1"/>
    <w:rsid w:val="00041E9C"/>
    <w:rsid w:val="00042EC6"/>
    <w:rsid w:val="00043C68"/>
    <w:rsid w:val="00043E05"/>
    <w:rsid w:val="0004442E"/>
    <w:rsid w:val="00044913"/>
    <w:rsid w:val="00045681"/>
    <w:rsid w:val="0004694F"/>
    <w:rsid w:val="00046E43"/>
    <w:rsid w:val="000500DC"/>
    <w:rsid w:val="000509FD"/>
    <w:rsid w:val="000516F5"/>
    <w:rsid w:val="00051ADE"/>
    <w:rsid w:val="00052052"/>
    <w:rsid w:val="00052172"/>
    <w:rsid w:val="0005235A"/>
    <w:rsid w:val="000534FD"/>
    <w:rsid w:val="00053CBA"/>
    <w:rsid w:val="00054E43"/>
    <w:rsid w:val="00055059"/>
    <w:rsid w:val="000553E4"/>
    <w:rsid w:val="00055CE3"/>
    <w:rsid w:val="0005619C"/>
    <w:rsid w:val="000567FA"/>
    <w:rsid w:val="00056B26"/>
    <w:rsid w:val="00057C16"/>
    <w:rsid w:val="00060F26"/>
    <w:rsid w:val="00062D43"/>
    <w:rsid w:val="00062E1E"/>
    <w:rsid w:val="00062EC5"/>
    <w:rsid w:val="00063AF0"/>
    <w:rsid w:val="00064256"/>
    <w:rsid w:val="00065425"/>
    <w:rsid w:val="0006638F"/>
    <w:rsid w:val="00066B7B"/>
    <w:rsid w:val="000673F8"/>
    <w:rsid w:val="00070314"/>
    <w:rsid w:val="000706A4"/>
    <w:rsid w:val="00070A0C"/>
    <w:rsid w:val="00071F80"/>
    <w:rsid w:val="00072118"/>
    <w:rsid w:val="00073173"/>
    <w:rsid w:val="0007324C"/>
    <w:rsid w:val="00073655"/>
    <w:rsid w:val="000777FF"/>
    <w:rsid w:val="000779AC"/>
    <w:rsid w:val="00077C8D"/>
    <w:rsid w:val="000807ED"/>
    <w:rsid w:val="00080A41"/>
    <w:rsid w:val="00080AA8"/>
    <w:rsid w:val="00081851"/>
    <w:rsid w:val="0008376A"/>
    <w:rsid w:val="00083803"/>
    <w:rsid w:val="00083D7F"/>
    <w:rsid w:val="00083FE5"/>
    <w:rsid w:val="00084393"/>
    <w:rsid w:val="00084771"/>
    <w:rsid w:val="00085094"/>
    <w:rsid w:val="0008716A"/>
    <w:rsid w:val="00087634"/>
    <w:rsid w:val="0008769B"/>
    <w:rsid w:val="00091237"/>
    <w:rsid w:val="000916B1"/>
    <w:rsid w:val="0009191B"/>
    <w:rsid w:val="000920EC"/>
    <w:rsid w:val="000921B6"/>
    <w:rsid w:val="00092208"/>
    <w:rsid w:val="00092505"/>
    <w:rsid w:val="000927EB"/>
    <w:rsid w:val="00092832"/>
    <w:rsid w:val="00092C9A"/>
    <w:rsid w:val="00092D0F"/>
    <w:rsid w:val="00093F4B"/>
    <w:rsid w:val="00093FF2"/>
    <w:rsid w:val="0009437C"/>
    <w:rsid w:val="00096747"/>
    <w:rsid w:val="000973B6"/>
    <w:rsid w:val="000977F5"/>
    <w:rsid w:val="00097BFC"/>
    <w:rsid w:val="00097D02"/>
    <w:rsid w:val="000A1183"/>
    <w:rsid w:val="000A1A47"/>
    <w:rsid w:val="000A1B31"/>
    <w:rsid w:val="000A2121"/>
    <w:rsid w:val="000A2484"/>
    <w:rsid w:val="000A2929"/>
    <w:rsid w:val="000A36CE"/>
    <w:rsid w:val="000A4FFD"/>
    <w:rsid w:val="000A59BF"/>
    <w:rsid w:val="000A66C2"/>
    <w:rsid w:val="000A68A7"/>
    <w:rsid w:val="000A6F68"/>
    <w:rsid w:val="000B1CFE"/>
    <w:rsid w:val="000B210A"/>
    <w:rsid w:val="000B2324"/>
    <w:rsid w:val="000B249B"/>
    <w:rsid w:val="000B2729"/>
    <w:rsid w:val="000B27B2"/>
    <w:rsid w:val="000B2ADE"/>
    <w:rsid w:val="000B3B01"/>
    <w:rsid w:val="000B3C13"/>
    <w:rsid w:val="000B3DB9"/>
    <w:rsid w:val="000B3F02"/>
    <w:rsid w:val="000B4550"/>
    <w:rsid w:val="000B48A2"/>
    <w:rsid w:val="000B48E7"/>
    <w:rsid w:val="000B4E9F"/>
    <w:rsid w:val="000B4F41"/>
    <w:rsid w:val="000B5746"/>
    <w:rsid w:val="000B7663"/>
    <w:rsid w:val="000B7A90"/>
    <w:rsid w:val="000C1106"/>
    <w:rsid w:val="000C11D3"/>
    <w:rsid w:val="000C12F5"/>
    <w:rsid w:val="000C2F62"/>
    <w:rsid w:val="000C3408"/>
    <w:rsid w:val="000C4253"/>
    <w:rsid w:val="000C54AF"/>
    <w:rsid w:val="000C57C5"/>
    <w:rsid w:val="000C5C0F"/>
    <w:rsid w:val="000C5D56"/>
    <w:rsid w:val="000C60D8"/>
    <w:rsid w:val="000C6498"/>
    <w:rsid w:val="000C6F88"/>
    <w:rsid w:val="000C70D9"/>
    <w:rsid w:val="000D0B22"/>
    <w:rsid w:val="000D0D51"/>
    <w:rsid w:val="000D14B3"/>
    <w:rsid w:val="000D1BFB"/>
    <w:rsid w:val="000D1F52"/>
    <w:rsid w:val="000D208B"/>
    <w:rsid w:val="000D263E"/>
    <w:rsid w:val="000D2B8D"/>
    <w:rsid w:val="000D2BD3"/>
    <w:rsid w:val="000D2E41"/>
    <w:rsid w:val="000D342A"/>
    <w:rsid w:val="000D434D"/>
    <w:rsid w:val="000D43CB"/>
    <w:rsid w:val="000D5E7A"/>
    <w:rsid w:val="000D5FAA"/>
    <w:rsid w:val="000D65A4"/>
    <w:rsid w:val="000D6AEF"/>
    <w:rsid w:val="000D7414"/>
    <w:rsid w:val="000E025B"/>
    <w:rsid w:val="000E055F"/>
    <w:rsid w:val="000E0ECB"/>
    <w:rsid w:val="000E153A"/>
    <w:rsid w:val="000E19A8"/>
    <w:rsid w:val="000E1EEA"/>
    <w:rsid w:val="000E4241"/>
    <w:rsid w:val="000E4A42"/>
    <w:rsid w:val="000E5549"/>
    <w:rsid w:val="000E6184"/>
    <w:rsid w:val="000E6476"/>
    <w:rsid w:val="000E78D2"/>
    <w:rsid w:val="000F3332"/>
    <w:rsid w:val="000F33EE"/>
    <w:rsid w:val="000F3511"/>
    <w:rsid w:val="000F401E"/>
    <w:rsid w:val="000F45F0"/>
    <w:rsid w:val="000F5445"/>
    <w:rsid w:val="000F5598"/>
    <w:rsid w:val="000F5673"/>
    <w:rsid w:val="000F67B2"/>
    <w:rsid w:val="000F6CFB"/>
    <w:rsid w:val="000F7121"/>
    <w:rsid w:val="000F74B6"/>
    <w:rsid w:val="000F790F"/>
    <w:rsid w:val="000F7C25"/>
    <w:rsid w:val="000F7E1B"/>
    <w:rsid w:val="000F7F49"/>
    <w:rsid w:val="00100014"/>
    <w:rsid w:val="00100224"/>
    <w:rsid w:val="0010039A"/>
    <w:rsid w:val="001012BD"/>
    <w:rsid w:val="0010177A"/>
    <w:rsid w:val="00101E94"/>
    <w:rsid w:val="00101FB2"/>
    <w:rsid w:val="001028CF"/>
    <w:rsid w:val="00102CB8"/>
    <w:rsid w:val="00102F02"/>
    <w:rsid w:val="0010385D"/>
    <w:rsid w:val="00103E41"/>
    <w:rsid w:val="001041B6"/>
    <w:rsid w:val="00104F55"/>
    <w:rsid w:val="001070EA"/>
    <w:rsid w:val="001076CA"/>
    <w:rsid w:val="00107FF4"/>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394A"/>
    <w:rsid w:val="00124D2D"/>
    <w:rsid w:val="00124DA1"/>
    <w:rsid w:val="00125326"/>
    <w:rsid w:val="00125CB5"/>
    <w:rsid w:val="001261B3"/>
    <w:rsid w:val="001264C1"/>
    <w:rsid w:val="00127535"/>
    <w:rsid w:val="001305B2"/>
    <w:rsid w:val="001307BE"/>
    <w:rsid w:val="00130C8F"/>
    <w:rsid w:val="001314F2"/>
    <w:rsid w:val="001317DA"/>
    <w:rsid w:val="00131FFA"/>
    <w:rsid w:val="001323BA"/>
    <w:rsid w:val="0013254D"/>
    <w:rsid w:val="00133643"/>
    <w:rsid w:val="00133AAC"/>
    <w:rsid w:val="00133FBD"/>
    <w:rsid w:val="00134DFD"/>
    <w:rsid w:val="001350B3"/>
    <w:rsid w:val="00136168"/>
    <w:rsid w:val="00136561"/>
    <w:rsid w:val="00136AE8"/>
    <w:rsid w:val="00136B6B"/>
    <w:rsid w:val="001400E1"/>
    <w:rsid w:val="001405FA"/>
    <w:rsid w:val="001408DD"/>
    <w:rsid w:val="001413B3"/>
    <w:rsid w:val="00142533"/>
    <w:rsid w:val="001425C3"/>
    <w:rsid w:val="00142F16"/>
    <w:rsid w:val="001432C1"/>
    <w:rsid w:val="00143E03"/>
    <w:rsid w:val="00143E93"/>
    <w:rsid w:val="00143FA3"/>
    <w:rsid w:val="0014428D"/>
    <w:rsid w:val="0014514D"/>
    <w:rsid w:val="00145AF9"/>
    <w:rsid w:val="00146FE4"/>
    <w:rsid w:val="0014731B"/>
    <w:rsid w:val="00147E55"/>
    <w:rsid w:val="00150040"/>
    <w:rsid w:val="001500FC"/>
    <w:rsid w:val="00150CEC"/>
    <w:rsid w:val="00151AC0"/>
    <w:rsid w:val="00151B27"/>
    <w:rsid w:val="00152046"/>
    <w:rsid w:val="001520AF"/>
    <w:rsid w:val="00152488"/>
    <w:rsid w:val="00152E53"/>
    <w:rsid w:val="00152FDD"/>
    <w:rsid w:val="0015323B"/>
    <w:rsid w:val="00153FED"/>
    <w:rsid w:val="00154147"/>
    <w:rsid w:val="001550F3"/>
    <w:rsid w:val="00155746"/>
    <w:rsid w:val="00156318"/>
    <w:rsid w:val="0015639A"/>
    <w:rsid w:val="0016081D"/>
    <w:rsid w:val="00160CF3"/>
    <w:rsid w:val="00160DCA"/>
    <w:rsid w:val="00160E61"/>
    <w:rsid w:val="00161300"/>
    <w:rsid w:val="00161DB6"/>
    <w:rsid w:val="001620FA"/>
    <w:rsid w:val="00162853"/>
    <w:rsid w:val="00162C62"/>
    <w:rsid w:val="00163793"/>
    <w:rsid w:val="00163841"/>
    <w:rsid w:val="00163F4D"/>
    <w:rsid w:val="00164978"/>
    <w:rsid w:val="001663DE"/>
    <w:rsid w:val="00167FB2"/>
    <w:rsid w:val="001707DE"/>
    <w:rsid w:val="00170B04"/>
    <w:rsid w:val="00170F47"/>
    <w:rsid w:val="001711F2"/>
    <w:rsid w:val="001714F2"/>
    <w:rsid w:val="001718C2"/>
    <w:rsid w:val="00171E6C"/>
    <w:rsid w:val="00172B64"/>
    <w:rsid w:val="00173583"/>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7CE"/>
    <w:rsid w:val="00182981"/>
    <w:rsid w:val="001833E9"/>
    <w:rsid w:val="00184CF9"/>
    <w:rsid w:val="00184DE8"/>
    <w:rsid w:val="00185010"/>
    <w:rsid w:val="001852EC"/>
    <w:rsid w:val="00185D56"/>
    <w:rsid w:val="00186447"/>
    <w:rsid w:val="001874CF"/>
    <w:rsid w:val="00187F91"/>
    <w:rsid w:val="00190214"/>
    <w:rsid w:val="00190D9B"/>
    <w:rsid w:val="0019161A"/>
    <w:rsid w:val="00191BAE"/>
    <w:rsid w:val="001921B5"/>
    <w:rsid w:val="00193432"/>
    <w:rsid w:val="0019346C"/>
    <w:rsid w:val="0019357D"/>
    <w:rsid w:val="00194096"/>
    <w:rsid w:val="0019431C"/>
    <w:rsid w:val="00194AE3"/>
    <w:rsid w:val="00195335"/>
    <w:rsid w:val="00195444"/>
    <w:rsid w:val="0019579E"/>
    <w:rsid w:val="00197806"/>
    <w:rsid w:val="001A1087"/>
    <w:rsid w:val="001A199D"/>
    <w:rsid w:val="001A2855"/>
    <w:rsid w:val="001A2BDB"/>
    <w:rsid w:val="001A30F4"/>
    <w:rsid w:val="001A47AB"/>
    <w:rsid w:val="001A4C0D"/>
    <w:rsid w:val="001A552F"/>
    <w:rsid w:val="001A56F3"/>
    <w:rsid w:val="001A5A2F"/>
    <w:rsid w:val="001A68CA"/>
    <w:rsid w:val="001A737B"/>
    <w:rsid w:val="001A750C"/>
    <w:rsid w:val="001B008E"/>
    <w:rsid w:val="001B05FE"/>
    <w:rsid w:val="001B1D89"/>
    <w:rsid w:val="001B1EFA"/>
    <w:rsid w:val="001B1FE2"/>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C677A"/>
    <w:rsid w:val="001D05E6"/>
    <w:rsid w:val="001D12FB"/>
    <w:rsid w:val="001D1383"/>
    <w:rsid w:val="001D1D45"/>
    <w:rsid w:val="001D1E7C"/>
    <w:rsid w:val="001D2583"/>
    <w:rsid w:val="001D3787"/>
    <w:rsid w:val="001D3A7A"/>
    <w:rsid w:val="001D47E5"/>
    <w:rsid w:val="001D4EEB"/>
    <w:rsid w:val="001D53CB"/>
    <w:rsid w:val="001D584C"/>
    <w:rsid w:val="001D5E1B"/>
    <w:rsid w:val="001D66C1"/>
    <w:rsid w:val="001D6EF6"/>
    <w:rsid w:val="001D7C6F"/>
    <w:rsid w:val="001E0024"/>
    <w:rsid w:val="001E0241"/>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D52"/>
    <w:rsid w:val="001F3E68"/>
    <w:rsid w:val="001F4597"/>
    <w:rsid w:val="001F56A9"/>
    <w:rsid w:val="001F5C6A"/>
    <w:rsid w:val="001F63A7"/>
    <w:rsid w:val="001F670A"/>
    <w:rsid w:val="001F7C2A"/>
    <w:rsid w:val="00200D15"/>
    <w:rsid w:val="00200D2A"/>
    <w:rsid w:val="00201E7B"/>
    <w:rsid w:val="0020223B"/>
    <w:rsid w:val="0020294A"/>
    <w:rsid w:val="00203074"/>
    <w:rsid w:val="0020340C"/>
    <w:rsid w:val="00203B09"/>
    <w:rsid w:val="00203B46"/>
    <w:rsid w:val="00203FCB"/>
    <w:rsid w:val="002047DA"/>
    <w:rsid w:val="002048E1"/>
    <w:rsid w:val="00205711"/>
    <w:rsid w:val="002070AB"/>
    <w:rsid w:val="00207DB6"/>
    <w:rsid w:val="00210278"/>
    <w:rsid w:val="00210CC2"/>
    <w:rsid w:val="00210F5B"/>
    <w:rsid w:val="00210FFA"/>
    <w:rsid w:val="00211262"/>
    <w:rsid w:val="0021139C"/>
    <w:rsid w:val="002115F5"/>
    <w:rsid w:val="00211AC9"/>
    <w:rsid w:val="00212491"/>
    <w:rsid w:val="0021329E"/>
    <w:rsid w:val="002133D5"/>
    <w:rsid w:val="0021355B"/>
    <w:rsid w:val="002137A1"/>
    <w:rsid w:val="0021396F"/>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4123"/>
    <w:rsid w:val="002244CE"/>
    <w:rsid w:val="002250AD"/>
    <w:rsid w:val="002252E0"/>
    <w:rsid w:val="002255F6"/>
    <w:rsid w:val="00225F36"/>
    <w:rsid w:val="00226466"/>
    <w:rsid w:val="002266D0"/>
    <w:rsid w:val="00226887"/>
    <w:rsid w:val="00227991"/>
    <w:rsid w:val="00227A27"/>
    <w:rsid w:val="00230574"/>
    <w:rsid w:val="00230CA7"/>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924"/>
    <w:rsid w:val="00240A5B"/>
    <w:rsid w:val="00240C76"/>
    <w:rsid w:val="002411EF"/>
    <w:rsid w:val="00241446"/>
    <w:rsid w:val="00241FC7"/>
    <w:rsid w:val="00242730"/>
    <w:rsid w:val="002436BA"/>
    <w:rsid w:val="002439C3"/>
    <w:rsid w:val="002444ED"/>
    <w:rsid w:val="00244A15"/>
    <w:rsid w:val="00244D40"/>
    <w:rsid w:val="002452E5"/>
    <w:rsid w:val="0024644F"/>
    <w:rsid w:val="00246AE9"/>
    <w:rsid w:val="002473CA"/>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5A44"/>
    <w:rsid w:val="00257083"/>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534"/>
    <w:rsid w:val="00266F3E"/>
    <w:rsid w:val="00270785"/>
    <w:rsid w:val="00271B9B"/>
    <w:rsid w:val="0027224A"/>
    <w:rsid w:val="00272464"/>
    <w:rsid w:val="00272B0B"/>
    <w:rsid w:val="00272CC5"/>
    <w:rsid w:val="00273C60"/>
    <w:rsid w:val="00273DCD"/>
    <w:rsid w:val="00274291"/>
    <w:rsid w:val="00276C09"/>
    <w:rsid w:val="00276CFE"/>
    <w:rsid w:val="00277071"/>
    <w:rsid w:val="002776A5"/>
    <w:rsid w:val="0027786C"/>
    <w:rsid w:val="00277BF7"/>
    <w:rsid w:val="0028019B"/>
    <w:rsid w:val="00280A72"/>
    <w:rsid w:val="00281416"/>
    <w:rsid w:val="00282084"/>
    <w:rsid w:val="00283720"/>
    <w:rsid w:val="00283C61"/>
    <w:rsid w:val="00283D6A"/>
    <w:rsid w:val="00284C6F"/>
    <w:rsid w:val="00285CD3"/>
    <w:rsid w:val="0028633E"/>
    <w:rsid w:val="0028686A"/>
    <w:rsid w:val="00286E66"/>
    <w:rsid w:val="002870B7"/>
    <w:rsid w:val="002919B5"/>
    <w:rsid w:val="002920F5"/>
    <w:rsid w:val="00292D0B"/>
    <w:rsid w:val="00293441"/>
    <w:rsid w:val="00293553"/>
    <w:rsid w:val="00294238"/>
    <w:rsid w:val="00294776"/>
    <w:rsid w:val="0029493E"/>
    <w:rsid w:val="002962E0"/>
    <w:rsid w:val="00296C2E"/>
    <w:rsid w:val="002A04C7"/>
    <w:rsid w:val="002A1B05"/>
    <w:rsid w:val="002A267F"/>
    <w:rsid w:val="002A3354"/>
    <w:rsid w:val="002A35EA"/>
    <w:rsid w:val="002A37B6"/>
    <w:rsid w:val="002A3BD5"/>
    <w:rsid w:val="002A43A2"/>
    <w:rsid w:val="002A44ED"/>
    <w:rsid w:val="002A4612"/>
    <w:rsid w:val="002A4F70"/>
    <w:rsid w:val="002A5263"/>
    <w:rsid w:val="002A5D3F"/>
    <w:rsid w:val="002A5DF2"/>
    <w:rsid w:val="002A63B9"/>
    <w:rsid w:val="002A6821"/>
    <w:rsid w:val="002A6F67"/>
    <w:rsid w:val="002A74D2"/>
    <w:rsid w:val="002A7A78"/>
    <w:rsid w:val="002A7CDA"/>
    <w:rsid w:val="002A7F47"/>
    <w:rsid w:val="002B1544"/>
    <w:rsid w:val="002B1DC1"/>
    <w:rsid w:val="002B36C8"/>
    <w:rsid w:val="002B385B"/>
    <w:rsid w:val="002B4ADE"/>
    <w:rsid w:val="002B6B7A"/>
    <w:rsid w:val="002B71B4"/>
    <w:rsid w:val="002B7240"/>
    <w:rsid w:val="002B725B"/>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0CF"/>
    <w:rsid w:val="002D54BF"/>
    <w:rsid w:val="002D5C3D"/>
    <w:rsid w:val="002D5E94"/>
    <w:rsid w:val="002D632D"/>
    <w:rsid w:val="002D6B01"/>
    <w:rsid w:val="002D6B11"/>
    <w:rsid w:val="002D6FC7"/>
    <w:rsid w:val="002D778C"/>
    <w:rsid w:val="002D7EF4"/>
    <w:rsid w:val="002E02A1"/>
    <w:rsid w:val="002E0982"/>
    <w:rsid w:val="002E0DB9"/>
    <w:rsid w:val="002E10D3"/>
    <w:rsid w:val="002E1BFA"/>
    <w:rsid w:val="002E1C23"/>
    <w:rsid w:val="002E2CE4"/>
    <w:rsid w:val="002E31A0"/>
    <w:rsid w:val="002E34F3"/>
    <w:rsid w:val="002E4217"/>
    <w:rsid w:val="002E435E"/>
    <w:rsid w:val="002E4C1C"/>
    <w:rsid w:val="002E6DB8"/>
    <w:rsid w:val="002E73F2"/>
    <w:rsid w:val="002F0709"/>
    <w:rsid w:val="002F0FDB"/>
    <w:rsid w:val="002F149A"/>
    <w:rsid w:val="002F19CC"/>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64E"/>
    <w:rsid w:val="00304771"/>
    <w:rsid w:val="00304E6C"/>
    <w:rsid w:val="00305736"/>
    <w:rsid w:val="00305C33"/>
    <w:rsid w:val="0030607B"/>
    <w:rsid w:val="00306C5B"/>
    <w:rsid w:val="00306E3B"/>
    <w:rsid w:val="0030768C"/>
    <w:rsid w:val="00310ADB"/>
    <w:rsid w:val="003119B6"/>
    <w:rsid w:val="003124EF"/>
    <w:rsid w:val="00312A00"/>
    <w:rsid w:val="00312C3D"/>
    <w:rsid w:val="003131A6"/>
    <w:rsid w:val="00313F7F"/>
    <w:rsid w:val="00314331"/>
    <w:rsid w:val="00317E31"/>
    <w:rsid w:val="00320214"/>
    <w:rsid w:val="003209D6"/>
    <w:rsid w:val="0032109A"/>
    <w:rsid w:val="0032214F"/>
    <w:rsid w:val="00322164"/>
    <w:rsid w:val="00322719"/>
    <w:rsid w:val="0032330F"/>
    <w:rsid w:val="00323486"/>
    <w:rsid w:val="00323A13"/>
    <w:rsid w:val="00323CF7"/>
    <w:rsid w:val="00323E61"/>
    <w:rsid w:val="00324055"/>
    <w:rsid w:val="0032513D"/>
    <w:rsid w:val="00326251"/>
    <w:rsid w:val="0032739C"/>
    <w:rsid w:val="003273BB"/>
    <w:rsid w:val="00327602"/>
    <w:rsid w:val="003276D1"/>
    <w:rsid w:val="00327DEE"/>
    <w:rsid w:val="003301FD"/>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BE6"/>
    <w:rsid w:val="00335E99"/>
    <w:rsid w:val="0033627B"/>
    <w:rsid w:val="003406BD"/>
    <w:rsid w:val="00343474"/>
    <w:rsid w:val="00343F84"/>
    <w:rsid w:val="00344135"/>
    <w:rsid w:val="003450E2"/>
    <w:rsid w:val="00351315"/>
    <w:rsid w:val="00351B63"/>
    <w:rsid w:val="00352482"/>
    <w:rsid w:val="00352E57"/>
    <w:rsid w:val="00352FC0"/>
    <w:rsid w:val="003541B0"/>
    <w:rsid w:val="0035457E"/>
    <w:rsid w:val="00355885"/>
    <w:rsid w:val="00355CAA"/>
    <w:rsid w:val="0035605E"/>
    <w:rsid w:val="00356244"/>
    <w:rsid w:val="00356CAE"/>
    <w:rsid w:val="00356FED"/>
    <w:rsid w:val="00357449"/>
    <w:rsid w:val="00357C28"/>
    <w:rsid w:val="00361F76"/>
    <w:rsid w:val="0036238B"/>
    <w:rsid w:val="00362408"/>
    <w:rsid w:val="003630B0"/>
    <w:rsid w:val="00364087"/>
    <w:rsid w:val="003649FC"/>
    <w:rsid w:val="00364C0E"/>
    <w:rsid w:val="00364EAD"/>
    <w:rsid w:val="003651A4"/>
    <w:rsid w:val="00365680"/>
    <w:rsid w:val="003657F3"/>
    <w:rsid w:val="00366D4D"/>
    <w:rsid w:val="00366F77"/>
    <w:rsid w:val="00367038"/>
    <w:rsid w:val="003670FE"/>
    <w:rsid w:val="0036710C"/>
    <w:rsid w:val="0037040B"/>
    <w:rsid w:val="00370963"/>
    <w:rsid w:val="0037144E"/>
    <w:rsid w:val="00372272"/>
    <w:rsid w:val="0037290D"/>
    <w:rsid w:val="00372B1D"/>
    <w:rsid w:val="003736B5"/>
    <w:rsid w:val="00374546"/>
    <w:rsid w:val="00374DB6"/>
    <w:rsid w:val="00374F1E"/>
    <w:rsid w:val="003750CF"/>
    <w:rsid w:val="003769F0"/>
    <w:rsid w:val="00376DEC"/>
    <w:rsid w:val="00377200"/>
    <w:rsid w:val="00377666"/>
    <w:rsid w:val="00377E93"/>
    <w:rsid w:val="0038034A"/>
    <w:rsid w:val="00380E04"/>
    <w:rsid w:val="00380E6C"/>
    <w:rsid w:val="00381171"/>
    <w:rsid w:val="0038187C"/>
    <w:rsid w:val="00383227"/>
    <w:rsid w:val="003839C9"/>
    <w:rsid w:val="00383FD2"/>
    <w:rsid w:val="0038422D"/>
    <w:rsid w:val="003843B1"/>
    <w:rsid w:val="00384D8F"/>
    <w:rsid w:val="003857A2"/>
    <w:rsid w:val="00385D71"/>
    <w:rsid w:val="00385D98"/>
    <w:rsid w:val="00385EC5"/>
    <w:rsid w:val="0038658E"/>
    <w:rsid w:val="003875C2"/>
    <w:rsid w:val="0039066E"/>
    <w:rsid w:val="00391C95"/>
    <w:rsid w:val="00392110"/>
    <w:rsid w:val="00392B64"/>
    <w:rsid w:val="00392B9E"/>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1F5"/>
    <w:rsid w:val="003A6B38"/>
    <w:rsid w:val="003B2142"/>
    <w:rsid w:val="003B2580"/>
    <w:rsid w:val="003B2721"/>
    <w:rsid w:val="003B293F"/>
    <w:rsid w:val="003B2D28"/>
    <w:rsid w:val="003B2E63"/>
    <w:rsid w:val="003B3189"/>
    <w:rsid w:val="003B3A9D"/>
    <w:rsid w:val="003B3DDD"/>
    <w:rsid w:val="003B5031"/>
    <w:rsid w:val="003B5A32"/>
    <w:rsid w:val="003B6105"/>
    <w:rsid w:val="003B769D"/>
    <w:rsid w:val="003B7F20"/>
    <w:rsid w:val="003C03CC"/>
    <w:rsid w:val="003C04C4"/>
    <w:rsid w:val="003C08E2"/>
    <w:rsid w:val="003C0B96"/>
    <w:rsid w:val="003C0CB5"/>
    <w:rsid w:val="003C26F4"/>
    <w:rsid w:val="003C3686"/>
    <w:rsid w:val="003C3E2C"/>
    <w:rsid w:val="003C4852"/>
    <w:rsid w:val="003C5BC7"/>
    <w:rsid w:val="003C5F05"/>
    <w:rsid w:val="003C601E"/>
    <w:rsid w:val="003C66C4"/>
    <w:rsid w:val="003C6DB9"/>
    <w:rsid w:val="003D1FA0"/>
    <w:rsid w:val="003D2393"/>
    <w:rsid w:val="003D2519"/>
    <w:rsid w:val="003D2C4E"/>
    <w:rsid w:val="003D3600"/>
    <w:rsid w:val="003D3825"/>
    <w:rsid w:val="003D3EC4"/>
    <w:rsid w:val="003D3FB2"/>
    <w:rsid w:val="003D44E2"/>
    <w:rsid w:val="003D4760"/>
    <w:rsid w:val="003D49DC"/>
    <w:rsid w:val="003D49E0"/>
    <w:rsid w:val="003D4DD9"/>
    <w:rsid w:val="003D4FB5"/>
    <w:rsid w:val="003D59BE"/>
    <w:rsid w:val="003D5D7A"/>
    <w:rsid w:val="003D5E4B"/>
    <w:rsid w:val="003D653F"/>
    <w:rsid w:val="003D6B55"/>
    <w:rsid w:val="003E0261"/>
    <w:rsid w:val="003E0663"/>
    <w:rsid w:val="003E133F"/>
    <w:rsid w:val="003E1A70"/>
    <w:rsid w:val="003E2469"/>
    <w:rsid w:val="003E49F6"/>
    <w:rsid w:val="003E699C"/>
    <w:rsid w:val="003E69F3"/>
    <w:rsid w:val="003E782E"/>
    <w:rsid w:val="003E7A0B"/>
    <w:rsid w:val="003E7B2B"/>
    <w:rsid w:val="003E7F69"/>
    <w:rsid w:val="003F01D7"/>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3F7948"/>
    <w:rsid w:val="004000D5"/>
    <w:rsid w:val="00400244"/>
    <w:rsid w:val="004005C1"/>
    <w:rsid w:val="00400BBD"/>
    <w:rsid w:val="00401716"/>
    <w:rsid w:val="004018F7"/>
    <w:rsid w:val="00401A09"/>
    <w:rsid w:val="0040273A"/>
    <w:rsid w:val="00402C25"/>
    <w:rsid w:val="004036FB"/>
    <w:rsid w:val="00403D65"/>
    <w:rsid w:val="0040501E"/>
    <w:rsid w:val="004050D7"/>
    <w:rsid w:val="004076EE"/>
    <w:rsid w:val="004078BD"/>
    <w:rsid w:val="00407C32"/>
    <w:rsid w:val="00410132"/>
    <w:rsid w:val="004104E4"/>
    <w:rsid w:val="00410A97"/>
    <w:rsid w:val="00410BCD"/>
    <w:rsid w:val="00410DE5"/>
    <w:rsid w:val="0041175D"/>
    <w:rsid w:val="004117CE"/>
    <w:rsid w:val="00412044"/>
    <w:rsid w:val="004120DE"/>
    <w:rsid w:val="004121D6"/>
    <w:rsid w:val="004123BE"/>
    <w:rsid w:val="0041329F"/>
    <w:rsid w:val="00414CE5"/>
    <w:rsid w:val="00416618"/>
    <w:rsid w:val="00416673"/>
    <w:rsid w:val="0041677D"/>
    <w:rsid w:val="00420D92"/>
    <w:rsid w:val="0042160D"/>
    <w:rsid w:val="0042254E"/>
    <w:rsid w:val="00423A3C"/>
    <w:rsid w:val="00423C04"/>
    <w:rsid w:val="00424D9B"/>
    <w:rsid w:val="00424F18"/>
    <w:rsid w:val="00425612"/>
    <w:rsid w:val="0042681B"/>
    <w:rsid w:val="00426B7F"/>
    <w:rsid w:val="00426E44"/>
    <w:rsid w:val="00427193"/>
    <w:rsid w:val="00427332"/>
    <w:rsid w:val="0043068A"/>
    <w:rsid w:val="004306E0"/>
    <w:rsid w:val="00430BD6"/>
    <w:rsid w:val="00431D54"/>
    <w:rsid w:val="00431F98"/>
    <w:rsid w:val="004325CC"/>
    <w:rsid w:val="004329BE"/>
    <w:rsid w:val="00432C38"/>
    <w:rsid w:val="004333B9"/>
    <w:rsid w:val="004342EC"/>
    <w:rsid w:val="00434D5A"/>
    <w:rsid w:val="00435874"/>
    <w:rsid w:val="00436EDB"/>
    <w:rsid w:val="00437C76"/>
    <w:rsid w:val="00437F4A"/>
    <w:rsid w:val="0044105C"/>
    <w:rsid w:val="00441306"/>
    <w:rsid w:val="00442197"/>
    <w:rsid w:val="00442BD1"/>
    <w:rsid w:val="00443293"/>
    <w:rsid w:val="00443CC7"/>
    <w:rsid w:val="00443E95"/>
    <w:rsid w:val="004441A0"/>
    <w:rsid w:val="00444268"/>
    <w:rsid w:val="00444326"/>
    <w:rsid w:val="004443BF"/>
    <w:rsid w:val="00444C19"/>
    <w:rsid w:val="00444EC5"/>
    <w:rsid w:val="00445218"/>
    <w:rsid w:val="00445CDD"/>
    <w:rsid w:val="0044683E"/>
    <w:rsid w:val="00446892"/>
    <w:rsid w:val="00447267"/>
    <w:rsid w:val="004475C7"/>
    <w:rsid w:val="00447E36"/>
    <w:rsid w:val="00450700"/>
    <w:rsid w:val="00450C30"/>
    <w:rsid w:val="004514C2"/>
    <w:rsid w:val="004522AE"/>
    <w:rsid w:val="004529C7"/>
    <w:rsid w:val="004540FF"/>
    <w:rsid w:val="004541F1"/>
    <w:rsid w:val="00454921"/>
    <w:rsid w:val="00454D31"/>
    <w:rsid w:val="00455BB8"/>
    <w:rsid w:val="00455ECA"/>
    <w:rsid w:val="00456EA3"/>
    <w:rsid w:val="0045707D"/>
    <w:rsid w:val="004570DE"/>
    <w:rsid w:val="00457296"/>
    <w:rsid w:val="00457320"/>
    <w:rsid w:val="00457D0F"/>
    <w:rsid w:val="00460164"/>
    <w:rsid w:val="0046039A"/>
    <w:rsid w:val="00460A6B"/>
    <w:rsid w:val="00460F61"/>
    <w:rsid w:val="004616F1"/>
    <w:rsid w:val="00461977"/>
    <w:rsid w:val="00461A3F"/>
    <w:rsid w:val="00461C4C"/>
    <w:rsid w:val="004620C7"/>
    <w:rsid w:val="004629FD"/>
    <w:rsid w:val="00462AD2"/>
    <w:rsid w:val="00463B4B"/>
    <w:rsid w:val="00463F4D"/>
    <w:rsid w:val="00464658"/>
    <w:rsid w:val="0046471F"/>
    <w:rsid w:val="00464BE8"/>
    <w:rsid w:val="00465019"/>
    <w:rsid w:val="00465317"/>
    <w:rsid w:val="00465FA4"/>
    <w:rsid w:val="0046613F"/>
    <w:rsid w:val="0046655D"/>
    <w:rsid w:val="00466808"/>
    <w:rsid w:val="00466AAE"/>
    <w:rsid w:val="0046765E"/>
    <w:rsid w:val="004676E2"/>
    <w:rsid w:val="004703E3"/>
    <w:rsid w:val="00471B64"/>
    <w:rsid w:val="00471EDD"/>
    <w:rsid w:val="00473E94"/>
    <w:rsid w:val="0047400C"/>
    <w:rsid w:val="00474471"/>
    <w:rsid w:val="004745D9"/>
    <w:rsid w:val="00474619"/>
    <w:rsid w:val="0047494A"/>
    <w:rsid w:val="00474B94"/>
    <w:rsid w:val="00475076"/>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3F5F"/>
    <w:rsid w:val="00494343"/>
    <w:rsid w:val="00494AAB"/>
    <w:rsid w:val="00494FB8"/>
    <w:rsid w:val="0049548B"/>
    <w:rsid w:val="00496C2F"/>
    <w:rsid w:val="0049740D"/>
    <w:rsid w:val="004978D3"/>
    <w:rsid w:val="004A06A6"/>
    <w:rsid w:val="004A1160"/>
    <w:rsid w:val="004A11F8"/>
    <w:rsid w:val="004A22BD"/>
    <w:rsid w:val="004A22FA"/>
    <w:rsid w:val="004A25E2"/>
    <w:rsid w:val="004A269A"/>
    <w:rsid w:val="004A26AF"/>
    <w:rsid w:val="004A26DB"/>
    <w:rsid w:val="004A30FB"/>
    <w:rsid w:val="004A35DD"/>
    <w:rsid w:val="004A37D3"/>
    <w:rsid w:val="004A3AD6"/>
    <w:rsid w:val="004A3BCE"/>
    <w:rsid w:val="004A4A6D"/>
    <w:rsid w:val="004A4D61"/>
    <w:rsid w:val="004A5155"/>
    <w:rsid w:val="004A56EB"/>
    <w:rsid w:val="004A5865"/>
    <w:rsid w:val="004A7670"/>
    <w:rsid w:val="004A77DF"/>
    <w:rsid w:val="004B0295"/>
    <w:rsid w:val="004B0803"/>
    <w:rsid w:val="004B10A8"/>
    <w:rsid w:val="004B1F58"/>
    <w:rsid w:val="004B1F9D"/>
    <w:rsid w:val="004B2093"/>
    <w:rsid w:val="004B22DA"/>
    <w:rsid w:val="004B314A"/>
    <w:rsid w:val="004B3CB7"/>
    <w:rsid w:val="004B3D55"/>
    <w:rsid w:val="004B41DC"/>
    <w:rsid w:val="004B55B7"/>
    <w:rsid w:val="004B5836"/>
    <w:rsid w:val="004B5E1F"/>
    <w:rsid w:val="004B5F05"/>
    <w:rsid w:val="004C0009"/>
    <w:rsid w:val="004C00A6"/>
    <w:rsid w:val="004C0243"/>
    <w:rsid w:val="004C08F1"/>
    <w:rsid w:val="004C0B46"/>
    <w:rsid w:val="004C0BBB"/>
    <w:rsid w:val="004C1AD6"/>
    <w:rsid w:val="004C1B86"/>
    <w:rsid w:val="004C1DEE"/>
    <w:rsid w:val="004C3382"/>
    <w:rsid w:val="004C3867"/>
    <w:rsid w:val="004C4AB7"/>
    <w:rsid w:val="004C4B88"/>
    <w:rsid w:val="004C4CD0"/>
    <w:rsid w:val="004C5121"/>
    <w:rsid w:val="004C57B5"/>
    <w:rsid w:val="004C5C25"/>
    <w:rsid w:val="004C6717"/>
    <w:rsid w:val="004C6CFF"/>
    <w:rsid w:val="004C7065"/>
    <w:rsid w:val="004C70DC"/>
    <w:rsid w:val="004C7268"/>
    <w:rsid w:val="004C77A8"/>
    <w:rsid w:val="004C7C50"/>
    <w:rsid w:val="004D0211"/>
    <w:rsid w:val="004D1C9C"/>
    <w:rsid w:val="004D2A0E"/>
    <w:rsid w:val="004D2D7A"/>
    <w:rsid w:val="004D3B7D"/>
    <w:rsid w:val="004D458D"/>
    <w:rsid w:val="004D474F"/>
    <w:rsid w:val="004D4F13"/>
    <w:rsid w:val="004D504B"/>
    <w:rsid w:val="004D536E"/>
    <w:rsid w:val="004D58CE"/>
    <w:rsid w:val="004D6307"/>
    <w:rsid w:val="004D70B1"/>
    <w:rsid w:val="004D745A"/>
    <w:rsid w:val="004D76CC"/>
    <w:rsid w:val="004E1415"/>
    <w:rsid w:val="004E1839"/>
    <w:rsid w:val="004E38D2"/>
    <w:rsid w:val="004E4A75"/>
    <w:rsid w:val="004E541A"/>
    <w:rsid w:val="004E5A5C"/>
    <w:rsid w:val="004E7007"/>
    <w:rsid w:val="004E70ED"/>
    <w:rsid w:val="004E76D6"/>
    <w:rsid w:val="004E7F57"/>
    <w:rsid w:val="004F06F5"/>
    <w:rsid w:val="004F0B25"/>
    <w:rsid w:val="004F191F"/>
    <w:rsid w:val="004F2A4D"/>
    <w:rsid w:val="004F2A73"/>
    <w:rsid w:val="004F33A0"/>
    <w:rsid w:val="004F353A"/>
    <w:rsid w:val="004F3B06"/>
    <w:rsid w:val="004F4353"/>
    <w:rsid w:val="004F447D"/>
    <w:rsid w:val="004F4C28"/>
    <w:rsid w:val="004F4E82"/>
    <w:rsid w:val="004F5470"/>
    <w:rsid w:val="004F5950"/>
    <w:rsid w:val="004F5CC5"/>
    <w:rsid w:val="004F5DCC"/>
    <w:rsid w:val="004F6350"/>
    <w:rsid w:val="004F7170"/>
    <w:rsid w:val="00501BFD"/>
    <w:rsid w:val="005028E1"/>
    <w:rsid w:val="00503955"/>
    <w:rsid w:val="005041D8"/>
    <w:rsid w:val="00505989"/>
    <w:rsid w:val="00506309"/>
    <w:rsid w:val="0050692E"/>
    <w:rsid w:val="00507040"/>
    <w:rsid w:val="00507638"/>
    <w:rsid w:val="005079F8"/>
    <w:rsid w:val="00507A87"/>
    <w:rsid w:val="00510189"/>
    <w:rsid w:val="00510428"/>
    <w:rsid w:val="005108C0"/>
    <w:rsid w:val="00510C81"/>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6CF6"/>
    <w:rsid w:val="00516F2B"/>
    <w:rsid w:val="00517567"/>
    <w:rsid w:val="0051778E"/>
    <w:rsid w:val="005177BB"/>
    <w:rsid w:val="005215EF"/>
    <w:rsid w:val="00521CFC"/>
    <w:rsid w:val="00522795"/>
    <w:rsid w:val="00522F36"/>
    <w:rsid w:val="00524637"/>
    <w:rsid w:val="0052495F"/>
    <w:rsid w:val="00524FDD"/>
    <w:rsid w:val="00525137"/>
    <w:rsid w:val="005251DD"/>
    <w:rsid w:val="005257A8"/>
    <w:rsid w:val="00526A54"/>
    <w:rsid w:val="00526D50"/>
    <w:rsid w:val="00526DB6"/>
    <w:rsid w:val="00527F5A"/>
    <w:rsid w:val="005300CB"/>
    <w:rsid w:val="0053017A"/>
    <w:rsid w:val="0053030C"/>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2E0"/>
    <w:rsid w:val="00541822"/>
    <w:rsid w:val="00542D19"/>
    <w:rsid w:val="00543989"/>
    <w:rsid w:val="005440E1"/>
    <w:rsid w:val="0054516B"/>
    <w:rsid w:val="0054531C"/>
    <w:rsid w:val="0054559E"/>
    <w:rsid w:val="005459BD"/>
    <w:rsid w:val="00546833"/>
    <w:rsid w:val="0054787A"/>
    <w:rsid w:val="00551147"/>
    <w:rsid w:val="00551259"/>
    <w:rsid w:val="005513D5"/>
    <w:rsid w:val="00551A4F"/>
    <w:rsid w:val="00552112"/>
    <w:rsid w:val="005523B9"/>
    <w:rsid w:val="005538E2"/>
    <w:rsid w:val="00553C88"/>
    <w:rsid w:val="005545E0"/>
    <w:rsid w:val="00554865"/>
    <w:rsid w:val="00554E57"/>
    <w:rsid w:val="00556C12"/>
    <w:rsid w:val="00557E6A"/>
    <w:rsid w:val="00562749"/>
    <w:rsid w:val="00562DE9"/>
    <w:rsid w:val="0056303C"/>
    <w:rsid w:val="00563270"/>
    <w:rsid w:val="005638A5"/>
    <w:rsid w:val="00564137"/>
    <w:rsid w:val="00566381"/>
    <w:rsid w:val="00566A03"/>
    <w:rsid w:val="00571932"/>
    <w:rsid w:val="00573A00"/>
    <w:rsid w:val="00573C97"/>
    <w:rsid w:val="00574240"/>
    <w:rsid w:val="005743B4"/>
    <w:rsid w:val="0057454C"/>
    <w:rsid w:val="005752BD"/>
    <w:rsid w:val="005752EB"/>
    <w:rsid w:val="005755FE"/>
    <w:rsid w:val="0057569E"/>
    <w:rsid w:val="00575CDC"/>
    <w:rsid w:val="005765D5"/>
    <w:rsid w:val="00576A3E"/>
    <w:rsid w:val="0057703D"/>
    <w:rsid w:val="005807D6"/>
    <w:rsid w:val="00581892"/>
    <w:rsid w:val="0058366F"/>
    <w:rsid w:val="00583D5B"/>
    <w:rsid w:val="00583FFD"/>
    <w:rsid w:val="00585EFE"/>
    <w:rsid w:val="00587CCD"/>
    <w:rsid w:val="005908AE"/>
    <w:rsid w:val="00590CDE"/>
    <w:rsid w:val="0059176E"/>
    <w:rsid w:val="00592854"/>
    <w:rsid w:val="00593152"/>
    <w:rsid w:val="005934CE"/>
    <w:rsid w:val="00593CA3"/>
    <w:rsid w:val="00593D14"/>
    <w:rsid w:val="00593ECE"/>
    <w:rsid w:val="00594161"/>
    <w:rsid w:val="00594969"/>
    <w:rsid w:val="00594B91"/>
    <w:rsid w:val="00595035"/>
    <w:rsid w:val="005959ED"/>
    <w:rsid w:val="00595C7C"/>
    <w:rsid w:val="0059649D"/>
    <w:rsid w:val="00596601"/>
    <w:rsid w:val="00596C5E"/>
    <w:rsid w:val="005A038A"/>
    <w:rsid w:val="005A198E"/>
    <w:rsid w:val="005A1FEE"/>
    <w:rsid w:val="005A20D8"/>
    <w:rsid w:val="005A2194"/>
    <w:rsid w:val="005A21E0"/>
    <w:rsid w:val="005A3210"/>
    <w:rsid w:val="005A33A1"/>
    <w:rsid w:val="005A3687"/>
    <w:rsid w:val="005A54EE"/>
    <w:rsid w:val="005A563B"/>
    <w:rsid w:val="005A5F82"/>
    <w:rsid w:val="005A61D1"/>
    <w:rsid w:val="005A6CD0"/>
    <w:rsid w:val="005A6E85"/>
    <w:rsid w:val="005A7500"/>
    <w:rsid w:val="005A77E4"/>
    <w:rsid w:val="005A77F6"/>
    <w:rsid w:val="005A7896"/>
    <w:rsid w:val="005B0262"/>
    <w:rsid w:val="005B0B4C"/>
    <w:rsid w:val="005B0B8F"/>
    <w:rsid w:val="005B1BDB"/>
    <w:rsid w:val="005B22A7"/>
    <w:rsid w:val="005B2BAA"/>
    <w:rsid w:val="005B2D53"/>
    <w:rsid w:val="005B3247"/>
    <w:rsid w:val="005B3409"/>
    <w:rsid w:val="005B498A"/>
    <w:rsid w:val="005B513A"/>
    <w:rsid w:val="005B52AE"/>
    <w:rsid w:val="005B6E77"/>
    <w:rsid w:val="005B75C7"/>
    <w:rsid w:val="005B7B12"/>
    <w:rsid w:val="005C16CB"/>
    <w:rsid w:val="005C21D6"/>
    <w:rsid w:val="005C27C5"/>
    <w:rsid w:val="005C3F9F"/>
    <w:rsid w:val="005C406F"/>
    <w:rsid w:val="005C40BA"/>
    <w:rsid w:val="005C419C"/>
    <w:rsid w:val="005C4A23"/>
    <w:rsid w:val="005C562C"/>
    <w:rsid w:val="005C571E"/>
    <w:rsid w:val="005C5812"/>
    <w:rsid w:val="005C5885"/>
    <w:rsid w:val="005C6400"/>
    <w:rsid w:val="005C76F1"/>
    <w:rsid w:val="005C7F1E"/>
    <w:rsid w:val="005D0341"/>
    <w:rsid w:val="005D073B"/>
    <w:rsid w:val="005D11D2"/>
    <w:rsid w:val="005D1E78"/>
    <w:rsid w:val="005D1EDA"/>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06"/>
    <w:rsid w:val="005E75B8"/>
    <w:rsid w:val="005F0976"/>
    <w:rsid w:val="005F26CE"/>
    <w:rsid w:val="005F38D3"/>
    <w:rsid w:val="005F393C"/>
    <w:rsid w:val="005F3F04"/>
    <w:rsid w:val="005F4057"/>
    <w:rsid w:val="005F4088"/>
    <w:rsid w:val="005F42F4"/>
    <w:rsid w:val="005F49ED"/>
    <w:rsid w:val="005F4C83"/>
    <w:rsid w:val="005F5628"/>
    <w:rsid w:val="005F5916"/>
    <w:rsid w:val="005F5A4E"/>
    <w:rsid w:val="005F5F61"/>
    <w:rsid w:val="005F601D"/>
    <w:rsid w:val="005F6119"/>
    <w:rsid w:val="005F7940"/>
    <w:rsid w:val="00600712"/>
    <w:rsid w:val="0060091A"/>
    <w:rsid w:val="0060107A"/>
    <w:rsid w:val="00601AFF"/>
    <w:rsid w:val="00602D1D"/>
    <w:rsid w:val="00603A13"/>
    <w:rsid w:val="00604307"/>
    <w:rsid w:val="0060487F"/>
    <w:rsid w:val="00604CF7"/>
    <w:rsid w:val="00605419"/>
    <w:rsid w:val="00605814"/>
    <w:rsid w:val="00606B93"/>
    <w:rsid w:val="00607727"/>
    <w:rsid w:val="00607934"/>
    <w:rsid w:val="00610BD5"/>
    <w:rsid w:val="00611363"/>
    <w:rsid w:val="00611531"/>
    <w:rsid w:val="006118AA"/>
    <w:rsid w:val="0061196F"/>
    <w:rsid w:val="00611C28"/>
    <w:rsid w:val="006122F3"/>
    <w:rsid w:val="00612E84"/>
    <w:rsid w:val="006139C7"/>
    <w:rsid w:val="00615023"/>
    <w:rsid w:val="006150EA"/>
    <w:rsid w:val="006153E3"/>
    <w:rsid w:val="006155F1"/>
    <w:rsid w:val="006167AB"/>
    <w:rsid w:val="0061718A"/>
    <w:rsid w:val="00617D2D"/>
    <w:rsid w:val="00617D83"/>
    <w:rsid w:val="00620430"/>
    <w:rsid w:val="00620AC5"/>
    <w:rsid w:val="00621575"/>
    <w:rsid w:val="006215FC"/>
    <w:rsid w:val="00624093"/>
    <w:rsid w:val="006260B8"/>
    <w:rsid w:val="00626576"/>
    <w:rsid w:val="00627F1F"/>
    <w:rsid w:val="0063030A"/>
    <w:rsid w:val="006305C4"/>
    <w:rsid w:val="00630E82"/>
    <w:rsid w:val="00630F66"/>
    <w:rsid w:val="00631FC2"/>
    <w:rsid w:val="00632171"/>
    <w:rsid w:val="0063332A"/>
    <w:rsid w:val="00633729"/>
    <w:rsid w:val="00633C64"/>
    <w:rsid w:val="006347F9"/>
    <w:rsid w:val="0063494E"/>
    <w:rsid w:val="00634C90"/>
    <w:rsid w:val="00635818"/>
    <w:rsid w:val="00635E79"/>
    <w:rsid w:val="006365E8"/>
    <w:rsid w:val="00636A55"/>
    <w:rsid w:val="00636A84"/>
    <w:rsid w:val="00636E26"/>
    <w:rsid w:val="00636E5E"/>
    <w:rsid w:val="00637211"/>
    <w:rsid w:val="006379E0"/>
    <w:rsid w:val="00637D0E"/>
    <w:rsid w:val="006404A7"/>
    <w:rsid w:val="006407F3"/>
    <w:rsid w:val="006408EC"/>
    <w:rsid w:val="0064129B"/>
    <w:rsid w:val="00641DF7"/>
    <w:rsid w:val="00643497"/>
    <w:rsid w:val="00643735"/>
    <w:rsid w:val="00643A80"/>
    <w:rsid w:val="00644DFC"/>
    <w:rsid w:val="006451E4"/>
    <w:rsid w:val="006454B4"/>
    <w:rsid w:val="0064574A"/>
    <w:rsid w:val="00645A9C"/>
    <w:rsid w:val="006460B8"/>
    <w:rsid w:val="00646448"/>
    <w:rsid w:val="006467D0"/>
    <w:rsid w:val="00646B41"/>
    <w:rsid w:val="006504A0"/>
    <w:rsid w:val="00650784"/>
    <w:rsid w:val="00650C83"/>
    <w:rsid w:val="006520C7"/>
    <w:rsid w:val="006520D5"/>
    <w:rsid w:val="00652179"/>
    <w:rsid w:val="00652CBB"/>
    <w:rsid w:val="00652CF0"/>
    <w:rsid w:val="006530B8"/>
    <w:rsid w:val="006535D6"/>
    <w:rsid w:val="00654093"/>
    <w:rsid w:val="00654E14"/>
    <w:rsid w:val="006564FB"/>
    <w:rsid w:val="00656716"/>
    <w:rsid w:val="006572ED"/>
    <w:rsid w:val="00657E87"/>
    <w:rsid w:val="0066026B"/>
    <w:rsid w:val="00660457"/>
    <w:rsid w:val="00660CB4"/>
    <w:rsid w:val="00660E1E"/>
    <w:rsid w:val="006637B1"/>
    <w:rsid w:val="00663CFD"/>
    <w:rsid w:val="006647AD"/>
    <w:rsid w:val="00664B64"/>
    <w:rsid w:val="00665691"/>
    <w:rsid w:val="00665B35"/>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E9B"/>
    <w:rsid w:val="00675F0F"/>
    <w:rsid w:val="006764ED"/>
    <w:rsid w:val="00676AFC"/>
    <w:rsid w:val="00676F11"/>
    <w:rsid w:val="00680079"/>
    <w:rsid w:val="00680ECC"/>
    <w:rsid w:val="00680F68"/>
    <w:rsid w:val="0068260E"/>
    <w:rsid w:val="0068373D"/>
    <w:rsid w:val="00683BFE"/>
    <w:rsid w:val="00683EAB"/>
    <w:rsid w:val="00683EC9"/>
    <w:rsid w:val="0068437D"/>
    <w:rsid w:val="006847C5"/>
    <w:rsid w:val="006857DF"/>
    <w:rsid w:val="00685E66"/>
    <w:rsid w:val="00686B72"/>
    <w:rsid w:val="00686BF1"/>
    <w:rsid w:val="006873E5"/>
    <w:rsid w:val="00687AE5"/>
    <w:rsid w:val="00690A09"/>
    <w:rsid w:val="00690A25"/>
    <w:rsid w:val="00691748"/>
    <w:rsid w:val="00691E14"/>
    <w:rsid w:val="0069340D"/>
    <w:rsid w:val="006936AD"/>
    <w:rsid w:val="00693EA1"/>
    <w:rsid w:val="00693FEA"/>
    <w:rsid w:val="00694930"/>
    <w:rsid w:val="00695170"/>
    <w:rsid w:val="00695BEF"/>
    <w:rsid w:val="006960D6"/>
    <w:rsid w:val="006963FB"/>
    <w:rsid w:val="00696AA5"/>
    <w:rsid w:val="006977F6"/>
    <w:rsid w:val="0069789D"/>
    <w:rsid w:val="00697A13"/>
    <w:rsid w:val="006A109C"/>
    <w:rsid w:val="006A14D5"/>
    <w:rsid w:val="006A1582"/>
    <w:rsid w:val="006A18AE"/>
    <w:rsid w:val="006A23E5"/>
    <w:rsid w:val="006A288C"/>
    <w:rsid w:val="006A2EE8"/>
    <w:rsid w:val="006A3CF3"/>
    <w:rsid w:val="006A4522"/>
    <w:rsid w:val="006A568F"/>
    <w:rsid w:val="006A5B57"/>
    <w:rsid w:val="006A65EF"/>
    <w:rsid w:val="006A672B"/>
    <w:rsid w:val="006A683F"/>
    <w:rsid w:val="006A7257"/>
    <w:rsid w:val="006B1781"/>
    <w:rsid w:val="006B1913"/>
    <w:rsid w:val="006B23A9"/>
    <w:rsid w:val="006B23D8"/>
    <w:rsid w:val="006B281D"/>
    <w:rsid w:val="006B3F8A"/>
    <w:rsid w:val="006B5152"/>
    <w:rsid w:val="006B59D7"/>
    <w:rsid w:val="006B5CA3"/>
    <w:rsid w:val="006B6171"/>
    <w:rsid w:val="006B6B3B"/>
    <w:rsid w:val="006B7248"/>
    <w:rsid w:val="006B7714"/>
    <w:rsid w:val="006B78D8"/>
    <w:rsid w:val="006B797F"/>
    <w:rsid w:val="006B7CCE"/>
    <w:rsid w:val="006C090F"/>
    <w:rsid w:val="006C0935"/>
    <w:rsid w:val="006C0BCE"/>
    <w:rsid w:val="006C0E9E"/>
    <w:rsid w:val="006C113F"/>
    <w:rsid w:val="006C1AA9"/>
    <w:rsid w:val="006C1CE7"/>
    <w:rsid w:val="006C20A0"/>
    <w:rsid w:val="006C2927"/>
    <w:rsid w:val="006C2AED"/>
    <w:rsid w:val="006C38DD"/>
    <w:rsid w:val="006C3DC1"/>
    <w:rsid w:val="006C457F"/>
    <w:rsid w:val="006C53C7"/>
    <w:rsid w:val="006C5577"/>
    <w:rsid w:val="006C559A"/>
    <w:rsid w:val="006C586D"/>
    <w:rsid w:val="006C58FA"/>
    <w:rsid w:val="006C6197"/>
    <w:rsid w:val="006C7A7B"/>
    <w:rsid w:val="006C7D09"/>
    <w:rsid w:val="006D004F"/>
    <w:rsid w:val="006D042D"/>
    <w:rsid w:val="006D06EF"/>
    <w:rsid w:val="006D07EC"/>
    <w:rsid w:val="006D1418"/>
    <w:rsid w:val="006D142E"/>
    <w:rsid w:val="006D231B"/>
    <w:rsid w:val="006D3976"/>
    <w:rsid w:val="006D3B87"/>
    <w:rsid w:val="006D4497"/>
    <w:rsid w:val="006D4E6F"/>
    <w:rsid w:val="006D61F6"/>
    <w:rsid w:val="006D710C"/>
    <w:rsid w:val="006D7297"/>
    <w:rsid w:val="006E0EB0"/>
    <w:rsid w:val="006E182C"/>
    <w:rsid w:val="006E1F4C"/>
    <w:rsid w:val="006E22C8"/>
    <w:rsid w:val="006E279A"/>
    <w:rsid w:val="006E2C28"/>
    <w:rsid w:val="006E2F3F"/>
    <w:rsid w:val="006E2F44"/>
    <w:rsid w:val="006E313B"/>
    <w:rsid w:val="006E394C"/>
    <w:rsid w:val="006E4368"/>
    <w:rsid w:val="006E442A"/>
    <w:rsid w:val="006E4434"/>
    <w:rsid w:val="006E4A1B"/>
    <w:rsid w:val="006E59FC"/>
    <w:rsid w:val="006E5CFD"/>
    <w:rsid w:val="006E5FC4"/>
    <w:rsid w:val="006E635B"/>
    <w:rsid w:val="006E642F"/>
    <w:rsid w:val="006E76BE"/>
    <w:rsid w:val="006E7E2C"/>
    <w:rsid w:val="006F0D32"/>
    <w:rsid w:val="006F0E00"/>
    <w:rsid w:val="006F1326"/>
    <w:rsid w:val="006F1553"/>
    <w:rsid w:val="006F1DDD"/>
    <w:rsid w:val="006F2280"/>
    <w:rsid w:val="006F2BEE"/>
    <w:rsid w:val="006F32FF"/>
    <w:rsid w:val="006F3708"/>
    <w:rsid w:val="006F376C"/>
    <w:rsid w:val="006F3A90"/>
    <w:rsid w:val="006F3E6B"/>
    <w:rsid w:val="006F440D"/>
    <w:rsid w:val="006F4619"/>
    <w:rsid w:val="006F4A59"/>
    <w:rsid w:val="006F5693"/>
    <w:rsid w:val="006F6968"/>
    <w:rsid w:val="00700232"/>
    <w:rsid w:val="00701382"/>
    <w:rsid w:val="007014C7"/>
    <w:rsid w:val="00702100"/>
    <w:rsid w:val="00702358"/>
    <w:rsid w:val="00702D6F"/>
    <w:rsid w:val="007031C6"/>
    <w:rsid w:val="00703B6C"/>
    <w:rsid w:val="00703C6B"/>
    <w:rsid w:val="00703CFE"/>
    <w:rsid w:val="007047D5"/>
    <w:rsid w:val="00705A91"/>
    <w:rsid w:val="00705D98"/>
    <w:rsid w:val="00707891"/>
    <w:rsid w:val="00707D43"/>
    <w:rsid w:val="00710F7C"/>
    <w:rsid w:val="00711398"/>
    <w:rsid w:val="00711970"/>
    <w:rsid w:val="00711EF1"/>
    <w:rsid w:val="0071229A"/>
    <w:rsid w:val="00712572"/>
    <w:rsid w:val="00712691"/>
    <w:rsid w:val="00713495"/>
    <w:rsid w:val="00713EEB"/>
    <w:rsid w:val="007142C1"/>
    <w:rsid w:val="0071479D"/>
    <w:rsid w:val="00715487"/>
    <w:rsid w:val="00715504"/>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0C3"/>
    <w:rsid w:val="007265C6"/>
    <w:rsid w:val="0072671B"/>
    <w:rsid w:val="0072704A"/>
    <w:rsid w:val="007273DC"/>
    <w:rsid w:val="007279B9"/>
    <w:rsid w:val="00727F9F"/>
    <w:rsid w:val="00730AE8"/>
    <w:rsid w:val="00730BBC"/>
    <w:rsid w:val="007315DA"/>
    <w:rsid w:val="00731963"/>
    <w:rsid w:val="00732706"/>
    <w:rsid w:val="0073325D"/>
    <w:rsid w:val="00733C96"/>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0BF"/>
    <w:rsid w:val="0074329D"/>
    <w:rsid w:val="00744376"/>
    <w:rsid w:val="007449EA"/>
    <w:rsid w:val="00744D00"/>
    <w:rsid w:val="00744D2B"/>
    <w:rsid w:val="00745273"/>
    <w:rsid w:val="00745650"/>
    <w:rsid w:val="00745F3C"/>
    <w:rsid w:val="00746DD9"/>
    <w:rsid w:val="00747459"/>
    <w:rsid w:val="0075057A"/>
    <w:rsid w:val="00751771"/>
    <w:rsid w:val="00751C1C"/>
    <w:rsid w:val="00752180"/>
    <w:rsid w:val="007521A1"/>
    <w:rsid w:val="0075274D"/>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90D"/>
    <w:rsid w:val="00762EBA"/>
    <w:rsid w:val="0076359D"/>
    <w:rsid w:val="00763A13"/>
    <w:rsid w:val="00763D86"/>
    <w:rsid w:val="00766109"/>
    <w:rsid w:val="00766F78"/>
    <w:rsid w:val="0076719C"/>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1EBB"/>
    <w:rsid w:val="007821DB"/>
    <w:rsid w:val="00782235"/>
    <w:rsid w:val="00782818"/>
    <w:rsid w:val="007838F1"/>
    <w:rsid w:val="007841BB"/>
    <w:rsid w:val="00784C4A"/>
    <w:rsid w:val="00784DCA"/>
    <w:rsid w:val="00785C7A"/>
    <w:rsid w:val="00787432"/>
    <w:rsid w:val="00787507"/>
    <w:rsid w:val="0078778C"/>
    <w:rsid w:val="007879F2"/>
    <w:rsid w:val="00790164"/>
    <w:rsid w:val="00790393"/>
    <w:rsid w:val="007904B2"/>
    <w:rsid w:val="00790C15"/>
    <w:rsid w:val="00791804"/>
    <w:rsid w:val="0079197F"/>
    <w:rsid w:val="00791CF8"/>
    <w:rsid w:val="00791EF9"/>
    <w:rsid w:val="00792262"/>
    <w:rsid w:val="00793387"/>
    <w:rsid w:val="00793BAE"/>
    <w:rsid w:val="007941C3"/>
    <w:rsid w:val="00794870"/>
    <w:rsid w:val="00794E0A"/>
    <w:rsid w:val="00795B04"/>
    <w:rsid w:val="0079638B"/>
    <w:rsid w:val="00796642"/>
    <w:rsid w:val="00797354"/>
    <w:rsid w:val="007A11D9"/>
    <w:rsid w:val="007A327B"/>
    <w:rsid w:val="007A36DE"/>
    <w:rsid w:val="007A4048"/>
    <w:rsid w:val="007A45B1"/>
    <w:rsid w:val="007A4606"/>
    <w:rsid w:val="007A4D58"/>
    <w:rsid w:val="007A5039"/>
    <w:rsid w:val="007A6772"/>
    <w:rsid w:val="007A684C"/>
    <w:rsid w:val="007A74B4"/>
    <w:rsid w:val="007A796D"/>
    <w:rsid w:val="007B04E8"/>
    <w:rsid w:val="007B0920"/>
    <w:rsid w:val="007B0D67"/>
    <w:rsid w:val="007B0F90"/>
    <w:rsid w:val="007B1966"/>
    <w:rsid w:val="007B2257"/>
    <w:rsid w:val="007B22E6"/>
    <w:rsid w:val="007B2779"/>
    <w:rsid w:val="007B2AF7"/>
    <w:rsid w:val="007B2F37"/>
    <w:rsid w:val="007B3DCC"/>
    <w:rsid w:val="007B4518"/>
    <w:rsid w:val="007B4EEC"/>
    <w:rsid w:val="007B5031"/>
    <w:rsid w:val="007B573F"/>
    <w:rsid w:val="007B70B8"/>
    <w:rsid w:val="007B72AC"/>
    <w:rsid w:val="007B78F8"/>
    <w:rsid w:val="007C0065"/>
    <w:rsid w:val="007C010B"/>
    <w:rsid w:val="007C29B0"/>
    <w:rsid w:val="007C3289"/>
    <w:rsid w:val="007C32B6"/>
    <w:rsid w:val="007C3AE3"/>
    <w:rsid w:val="007C3C8E"/>
    <w:rsid w:val="007C5363"/>
    <w:rsid w:val="007C5E52"/>
    <w:rsid w:val="007C605B"/>
    <w:rsid w:val="007C6557"/>
    <w:rsid w:val="007C6EA2"/>
    <w:rsid w:val="007C6EBA"/>
    <w:rsid w:val="007C75CA"/>
    <w:rsid w:val="007C7BAC"/>
    <w:rsid w:val="007C7CC5"/>
    <w:rsid w:val="007D0ACF"/>
    <w:rsid w:val="007D2749"/>
    <w:rsid w:val="007D2A5A"/>
    <w:rsid w:val="007D2AD8"/>
    <w:rsid w:val="007D2C47"/>
    <w:rsid w:val="007D2C61"/>
    <w:rsid w:val="007D2DA3"/>
    <w:rsid w:val="007D2F81"/>
    <w:rsid w:val="007D3167"/>
    <w:rsid w:val="007D329F"/>
    <w:rsid w:val="007D3A2C"/>
    <w:rsid w:val="007D3CF7"/>
    <w:rsid w:val="007D4128"/>
    <w:rsid w:val="007D4281"/>
    <w:rsid w:val="007D42F5"/>
    <w:rsid w:val="007D44C3"/>
    <w:rsid w:val="007D5947"/>
    <w:rsid w:val="007D65C1"/>
    <w:rsid w:val="007D7936"/>
    <w:rsid w:val="007E030F"/>
    <w:rsid w:val="007E0D49"/>
    <w:rsid w:val="007E0E59"/>
    <w:rsid w:val="007E0F4B"/>
    <w:rsid w:val="007E12C1"/>
    <w:rsid w:val="007E15E9"/>
    <w:rsid w:val="007E1EF7"/>
    <w:rsid w:val="007E20C0"/>
    <w:rsid w:val="007E34F7"/>
    <w:rsid w:val="007E3715"/>
    <w:rsid w:val="007E4996"/>
    <w:rsid w:val="007E5036"/>
    <w:rsid w:val="007E5880"/>
    <w:rsid w:val="007E5F3D"/>
    <w:rsid w:val="007E61FF"/>
    <w:rsid w:val="007E6588"/>
    <w:rsid w:val="007E7063"/>
    <w:rsid w:val="007E7E61"/>
    <w:rsid w:val="007F0316"/>
    <w:rsid w:val="007F0845"/>
    <w:rsid w:val="007F0DF6"/>
    <w:rsid w:val="007F1092"/>
    <w:rsid w:val="007F16F9"/>
    <w:rsid w:val="007F2801"/>
    <w:rsid w:val="007F2BF6"/>
    <w:rsid w:val="007F3E3E"/>
    <w:rsid w:val="007F42E0"/>
    <w:rsid w:val="007F45FF"/>
    <w:rsid w:val="007F500D"/>
    <w:rsid w:val="007F5F14"/>
    <w:rsid w:val="007F61D3"/>
    <w:rsid w:val="007F646D"/>
    <w:rsid w:val="007F69EE"/>
    <w:rsid w:val="007F7B54"/>
    <w:rsid w:val="007F7C60"/>
    <w:rsid w:val="00800073"/>
    <w:rsid w:val="008001F0"/>
    <w:rsid w:val="008005D7"/>
    <w:rsid w:val="00801547"/>
    <w:rsid w:val="00801D15"/>
    <w:rsid w:val="00801FDD"/>
    <w:rsid w:val="008020C2"/>
    <w:rsid w:val="00802386"/>
    <w:rsid w:val="0080255C"/>
    <w:rsid w:val="008054FB"/>
    <w:rsid w:val="0080585A"/>
    <w:rsid w:val="00806088"/>
    <w:rsid w:val="00806D07"/>
    <w:rsid w:val="0081019B"/>
    <w:rsid w:val="00810971"/>
    <w:rsid w:val="0081187C"/>
    <w:rsid w:val="00811E24"/>
    <w:rsid w:val="008120C5"/>
    <w:rsid w:val="00812386"/>
    <w:rsid w:val="00812E2B"/>
    <w:rsid w:val="00813A70"/>
    <w:rsid w:val="00813CB4"/>
    <w:rsid w:val="00813DB0"/>
    <w:rsid w:val="00813FE6"/>
    <w:rsid w:val="00814833"/>
    <w:rsid w:val="00814965"/>
    <w:rsid w:val="00815B82"/>
    <w:rsid w:val="00815C6E"/>
    <w:rsid w:val="00815DD0"/>
    <w:rsid w:val="00815F10"/>
    <w:rsid w:val="0081645F"/>
    <w:rsid w:val="00816A28"/>
    <w:rsid w:val="00816DDF"/>
    <w:rsid w:val="008174A3"/>
    <w:rsid w:val="00817755"/>
    <w:rsid w:val="00817865"/>
    <w:rsid w:val="008178C2"/>
    <w:rsid w:val="008178CF"/>
    <w:rsid w:val="00817BBE"/>
    <w:rsid w:val="00817C98"/>
    <w:rsid w:val="00820C9F"/>
    <w:rsid w:val="00821AAE"/>
    <w:rsid w:val="00821C4A"/>
    <w:rsid w:val="00821CEB"/>
    <w:rsid w:val="00821FF6"/>
    <w:rsid w:val="00823AAF"/>
    <w:rsid w:val="00824081"/>
    <w:rsid w:val="0082409A"/>
    <w:rsid w:val="00824626"/>
    <w:rsid w:val="008252D7"/>
    <w:rsid w:val="008259CC"/>
    <w:rsid w:val="00825C0F"/>
    <w:rsid w:val="00826376"/>
    <w:rsid w:val="00826ED1"/>
    <w:rsid w:val="00827181"/>
    <w:rsid w:val="0082733C"/>
    <w:rsid w:val="00827746"/>
    <w:rsid w:val="00827D56"/>
    <w:rsid w:val="0083102D"/>
    <w:rsid w:val="0083143E"/>
    <w:rsid w:val="0083159D"/>
    <w:rsid w:val="008318FF"/>
    <w:rsid w:val="00831E95"/>
    <w:rsid w:val="00832187"/>
    <w:rsid w:val="00832493"/>
    <w:rsid w:val="008328C9"/>
    <w:rsid w:val="008329BD"/>
    <w:rsid w:val="008334C3"/>
    <w:rsid w:val="008336D8"/>
    <w:rsid w:val="008339C4"/>
    <w:rsid w:val="00834B56"/>
    <w:rsid w:val="00834F0A"/>
    <w:rsid w:val="00834FAA"/>
    <w:rsid w:val="00835181"/>
    <w:rsid w:val="00835991"/>
    <w:rsid w:val="00836086"/>
    <w:rsid w:val="00837566"/>
    <w:rsid w:val="00837871"/>
    <w:rsid w:val="0084002E"/>
    <w:rsid w:val="00840458"/>
    <w:rsid w:val="00840699"/>
    <w:rsid w:val="00841D9F"/>
    <w:rsid w:val="00842078"/>
    <w:rsid w:val="00842604"/>
    <w:rsid w:val="008434B0"/>
    <w:rsid w:val="00843ECF"/>
    <w:rsid w:val="0084535E"/>
    <w:rsid w:val="00845A11"/>
    <w:rsid w:val="00845AB1"/>
    <w:rsid w:val="00846673"/>
    <w:rsid w:val="00846891"/>
    <w:rsid w:val="008508A9"/>
    <w:rsid w:val="00851087"/>
    <w:rsid w:val="0085188D"/>
    <w:rsid w:val="008518D8"/>
    <w:rsid w:val="0085220C"/>
    <w:rsid w:val="008525F9"/>
    <w:rsid w:val="0085281A"/>
    <w:rsid w:val="00853C0F"/>
    <w:rsid w:val="00853F33"/>
    <w:rsid w:val="008548EA"/>
    <w:rsid w:val="008550EA"/>
    <w:rsid w:val="008559FE"/>
    <w:rsid w:val="0085686D"/>
    <w:rsid w:val="00857339"/>
    <w:rsid w:val="00860706"/>
    <w:rsid w:val="00861C98"/>
    <w:rsid w:val="00862A7A"/>
    <w:rsid w:val="00862FBD"/>
    <w:rsid w:val="00863104"/>
    <w:rsid w:val="008636CD"/>
    <w:rsid w:val="00863702"/>
    <w:rsid w:val="00863D9E"/>
    <w:rsid w:val="00863FDC"/>
    <w:rsid w:val="008642AF"/>
    <w:rsid w:val="00864B5A"/>
    <w:rsid w:val="00864F00"/>
    <w:rsid w:val="00865286"/>
    <w:rsid w:val="00865729"/>
    <w:rsid w:val="0086590D"/>
    <w:rsid w:val="00865EA8"/>
    <w:rsid w:val="00865ED4"/>
    <w:rsid w:val="008669A7"/>
    <w:rsid w:val="00867464"/>
    <w:rsid w:val="00867B8F"/>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10BB"/>
    <w:rsid w:val="00883A67"/>
    <w:rsid w:val="00883D45"/>
    <w:rsid w:val="00884519"/>
    <w:rsid w:val="00884D69"/>
    <w:rsid w:val="0088503D"/>
    <w:rsid w:val="00885620"/>
    <w:rsid w:val="00885EC6"/>
    <w:rsid w:val="008869D2"/>
    <w:rsid w:val="00886A8F"/>
    <w:rsid w:val="0088733A"/>
    <w:rsid w:val="008901CC"/>
    <w:rsid w:val="0089061C"/>
    <w:rsid w:val="00891251"/>
    <w:rsid w:val="00891BE0"/>
    <w:rsid w:val="008929A0"/>
    <w:rsid w:val="00893269"/>
    <w:rsid w:val="00893302"/>
    <w:rsid w:val="00893648"/>
    <w:rsid w:val="00893D05"/>
    <w:rsid w:val="00893D83"/>
    <w:rsid w:val="00893F0C"/>
    <w:rsid w:val="00893F3C"/>
    <w:rsid w:val="008945A1"/>
    <w:rsid w:val="00894A63"/>
    <w:rsid w:val="00894F71"/>
    <w:rsid w:val="00895A54"/>
    <w:rsid w:val="008963A7"/>
    <w:rsid w:val="00896776"/>
    <w:rsid w:val="00896874"/>
    <w:rsid w:val="00896916"/>
    <w:rsid w:val="00896BDE"/>
    <w:rsid w:val="0089763E"/>
    <w:rsid w:val="008A03DE"/>
    <w:rsid w:val="008A0861"/>
    <w:rsid w:val="008A0BB2"/>
    <w:rsid w:val="008A1AB3"/>
    <w:rsid w:val="008A1D5C"/>
    <w:rsid w:val="008A2890"/>
    <w:rsid w:val="008A3292"/>
    <w:rsid w:val="008A3A85"/>
    <w:rsid w:val="008A43E9"/>
    <w:rsid w:val="008A4CB1"/>
    <w:rsid w:val="008A5F34"/>
    <w:rsid w:val="008A615E"/>
    <w:rsid w:val="008A632B"/>
    <w:rsid w:val="008A6720"/>
    <w:rsid w:val="008A6BFE"/>
    <w:rsid w:val="008A6F21"/>
    <w:rsid w:val="008A6F3F"/>
    <w:rsid w:val="008A6F67"/>
    <w:rsid w:val="008A73DA"/>
    <w:rsid w:val="008B00C2"/>
    <w:rsid w:val="008B04A0"/>
    <w:rsid w:val="008B05E8"/>
    <w:rsid w:val="008B07EF"/>
    <w:rsid w:val="008B16DE"/>
    <w:rsid w:val="008B190E"/>
    <w:rsid w:val="008B1A8A"/>
    <w:rsid w:val="008B1FC9"/>
    <w:rsid w:val="008B4EEA"/>
    <w:rsid w:val="008B531F"/>
    <w:rsid w:val="008B54A3"/>
    <w:rsid w:val="008B5F41"/>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4DBA"/>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1DE"/>
    <w:rsid w:val="008D2671"/>
    <w:rsid w:val="008D2A16"/>
    <w:rsid w:val="008D2ECF"/>
    <w:rsid w:val="008D347D"/>
    <w:rsid w:val="008D3F3D"/>
    <w:rsid w:val="008D4376"/>
    <w:rsid w:val="008D4F04"/>
    <w:rsid w:val="008D51E9"/>
    <w:rsid w:val="008D5BAD"/>
    <w:rsid w:val="008D699D"/>
    <w:rsid w:val="008E0367"/>
    <w:rsid w:val="008E2DCD"/>
    <w:rsid w:val="008E308D"/>
    <w:rsid w:val="008E31FF"/>
    <w:rsid w:val="008E3B0F"/>
    <w:rsid w:val="008E46A3"/>
    <w:rsid w:val="008E5DE6"/>
    <w:rsid w:val="008E5E90"/>
    <w:rsid w:val="008E6113"/>
    <w:rsid w:val="008E6AB3"/>
    <w:rsid w:val="008E6AD3"/>
    <w:rsid w:val="008E6EBD"/>
    <w:rsid w:val="008E71A6"/>
    <w:rsid w:val="008E77B6"/>
    <w:rsid w:val="008E7C55"/>
    <w:rsid w:val="008F032E"/>
    <w:rsid w:val="008F062F"/>
    <w:rsid w:val="008F0F14"/>
    <w:rsid w:val="008F1638"/>
    <w:rsid w:val="008F1723"/>
    <w:rsid w:val="008F2097"/>
    <w:rsid w:val="008F2F44"/>
    <w:rsid w:val="008F352D"/>
    <w:rsid w:val="008F3F1C"/>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7D4"/>
    <w:rsid w:val="00905A11"/>
    <w:rsid w:val="00905FE8"/>
    <w:rsid w:val="009066E1"/>
    <w:rsid w:val="00906F67"/>
    <w:rsid w:val="00907A41"/>
    <w:rsid w:val="00910098"/>
    <w:rsid w:val="009102BD"/>
    <w:rsid w:val="00910F93"/>
    <w:rsid w:val="00910FBC"/>
    <w:rsid w:val="00911E3B"/>
    <w:rsid w:val="0091255A"/>
    <w:rsid w:val="00914426"/>
    <w:rsid w:val="0091561A"/>
    <w:rsid w:val="0091675F"/>
    <w:rsid w:val="00917709"/>
    <w:rsid w:val="00917918"/>
    <w:rsid w:val="00920874"/>
    <w:rsid w:val="00921F14"/>
    <w:rsid w:val="009227C6"/>
    <w:rsid w:val="0092347C"/>
    <w:rsid w:val="00923750"/>
    <w:rsid w:val="009243A5"/>
    <w:rsid w:val="0092465F"/>
    <w:rsid w:val="0092500F"/>
    <w:rsid w:val="009250D2"/>
    <w:rsid w:val="0092519D"/>
    <w:rsid w:val="0092540B"/>
    <w:rsid w:val="009256C5"/>
    <w:rsid w:val="00925A21"/>
    <w:rsid w:val="00926283"/>
    <w:rsid w:val="009306BE"/>
    <w:rsid w:val="00930CD7"/>
    <w:rsid w:val="0093161F"/>
    <w:rsid w:val="009339FD"/>
    <w:rsid w:val="00934836"/>
    <w:rsid w:val="00934963"/>
    <w:rsid w:val="00936ECA"/>
    <w:rsid w:val="00937320"/>
    <w:rsid w:val="00937B11"/>
    <w:rsid w:val="00940F1F"/>
    <w:rsid w:val="00941250"/>
    <w:rsid w:val="00941339"/>
    <w:rsid w:val="0094396E"/>
    <w:rsid w:val="0094427A"/>
    <w:rsid w:val="00944380"/>
    <w:rsid w:val="00945904"/>
    <w:rsid w:val="009459C5"/>
    <w:rsid w:val="009459DE"/>
    <w:rsid w:val="00945E5E"/>
    <w:rsid w:val="0094626C"/>
    <w:rsid w:val="00946552"/>
    <w:rsid w:val="0095013A"/>
    <w:rsid w:val="00953AEF"/>
    <w:rsid w:val="00954FC3"/>
    <w:rsid w:val="009551E2"/>
    <w:rsid w:val="00955783"/>
    <w:rsid w:val="009558A6"/>
    <w:rsid w:val="00955E5F"/>
    <w:rsid w:val="009560B0"/>
    <w:rsid w:val="009564B2"/>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040B"/>
    <w:rsid w:val="00971DC6"/>
    <w:rsid w:val="00971DD6"/>
    <w:rsid w:val="00972263"/>
    <w:rsid w:val="0097242E"/>
    <w:rsid w:val="00972502"/>
    <w:rsid w:val="00972D8D"/>
    <w:rsid w:val="00973A9E"/>
    <w:rsid w:val="00973AAE"/>
    <w:rsid w:val="00974236"/>
    <w:rsid w:val="009742F7"/>
    <w:rsid w:val="0097476C"/>
    <w:rsid w:val="00974923"/>
    <w:rsid w:val="00974D48"/>
    <w:rsid w:val="00974D5F"/>
    <w:rsid w:val="00975017"/>
    <w:rsid w:val="009759DF"/>
    <w:rsid w:val="009777B3"/>
    <w:rsid w:val="00977A4D"/>
    <w:rsid w:val="00980373"/>
    <w:rsid w:val="00980621"/>
    <w:rsid w:val="0098095B"/>
    <w:rsid w:val="00982072"/>
    <w:rsid w:val="009821FE"/>
    <w:rsid w:val="009833FA"/>
    <w:rsid w:val="00983ACF"/>
    <w:rsid w:val="00983DBB"/>
    <w:rsid w:val="00983ECF"/>
    <w:rsid w:val="00985157"/>
    <w:rsid w:val="00986208"/>
    <w:rsid w:val="00986745"/>
    <w:rsid w:val="00986746"/>
    <w:rsid w:val="009867BC"/>
    <w:rsid w:val="009869C4"/>
    <w:rsid w:val="009870EF"/>
    <w:rsid w:val="00987109"/>
    <w:rsid w:val="00987309"/>
    <w:rsid w:val="00987351"/>
    <w:rsid w:val="0099012D"/>
    <w:rsid w:val="00990363"/>
    <w:rsid w:val="00991266"/>
    <w:rsid w:val="00991952"/>
    <w:rsid w:val="009928AE"/>
    <w:rsid w:val="00993BE6"/>
    <w:rsid w:val="00993D9C"/>
    <w:rsid w:val="00993F56"/>
    <w:rsid w:val="00994835"/>
    <w:rsid w:val="0099483E"/>
    <w:rsid w:val="009954FF"/>
    <w:rsid w:val="0099571E"/>
    <w:rsid w:val="00995E2F"/>
    <w:rsid w:val="009961BC"/>
    <w:rsid w:val="00996355"/>
    <w:rsid w:val="00997301"/>
    <w:rsid w:val="0099788F"/>
    <w:rsid w:val="00997ADD"/>
    <w:rsid w:val="00997CDD"/>
    <w:rsid w:val="009A05A2"/>
    <w:rsid w:val="009A1374"/>
    <w:rsid w:val="009A13FA"/>
    <w:rsid w:val="009A1EA4"/>
    <w:rsid w:val="009A2014"/>
    <w:rsid w:val="009A2030"/>
    <w:rsid w:val="009A3A87"/>
    <w:rsid w:val="009A4E12"/>
    <w:rsid w:val="009A5003"/>
    <w:rsid w:val="009A5C68"/>
    <w:rsid w:val="009A5DE2"/>
    <w:rsid w:val="009A6EF7"/>
    <w:rsid w:val="009B04D0"/>
    <w:rsid w:val="009B052C"/>
    <w:rsid w:val="009B0676"/>
    <w:rsid w:val="009B0975"/>
    <w:rsid w:val="009B0EF2"/>
    <w:rsid w:val="009B19B8"/>
    <w:rsid w:val="009B23A3"/>
    <w:rsid w:val="009B25CE"/>
    <w:rsid w:val="009B2C0E"/>
    <w:rsid w:val="009B4925"/>
    <w:rsid w:val="009B4B4B"/>
    <w:rsid w:val="009B4BD4"/>
    <w:rsid w:val="009B4CE3"/>
    <w:rsid w:val="009B6342"/>
    <w:rsid w:val="009B6FD3"/>
    <w:rsid w:val="009B70BD"/>
    <w:rsid w:val="009C07A5"/>
    <w:rsid w:val="009C0CD4"/>
    <w:rsid w:val="009C24A3"/>
    <w:rsid w:val="009C3705"/>
    <w:rsid w:val="009C6215"/>
    <w:rsid w:val="009C7388"/>
    <w:rsid w:val="009C74C2"/>
    <w:rsid w:val="009D0CFF"/>
    <w:rsid w:val="009D1551"/>
    <w:rsid w:val="009D2859"/>
    <w:rsid w:val="009D36EC"/>
    <w:rsid w:val="009D3757"/>
    <w:rsid w:val="009D3CD0"/>
    <w:rsid w:val="009D3E88"/>
    <w:rsid w:val="009D4076"/>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07B5"/>
    <w:rsid w:val="009F346F"/>
    <w:rsid w:val="009F371A"/>
    <w:rsid w:val="009F3F25"/>
    <w:rsid w:val="009F3FC3"/>
    <w:rsid w:val="009F41C4"/>
    <w:rsid w:val="009F5846"/>
    <w:rsid w:val="009F63D2"/>
    <w:rsid w:val="009F777A"/>
    <w:rsid w:val="009F7B52"/>
    <w:rsid w:val="009F7D77"/>
    <w:rsid w:val="00A004D2"/>
    <w:rsid w:val="00A015EA"/>
    <w:rsid w:val="00A0172C"/>
    <w:rsid w:val="00A02610"/>
    <w:rsid w:val="00A03343"/>
    <w:rsid w:val="00A03965"/>
    <w:rsid w:val="00A03B8A"/>
    <w:rsid w:val="00A05B91"/>
    <w:rsid w:val="00A06B3D"/>
    <w:rsid w:val="00A07BB0"/>
    <w:rsid w:val="00A10D66"/>
    <w:rsid w:val="00A12BA8"/>
    <w:rsid w:val="00A133F2"/>
    <w:rsid w:val="00A138D7"/>
    <w:rsid w:val="00A13993"/>
    <w:rsid w:val="00A14081"/>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3A3"/>
    <w:rsid w:val="00A24F8C"/>
    <w:rsid w:val="00A262BF"/>
    <w:rsid w:val="00A264F5"/>
    <w:rsid w:val="00A271AD"/>
    <w:rsid w:val="00A276D5"/>
    <w:rsid w:val="00A27D2E"/>
    <w:rsid w:val="00A301C5"/>
    <w:rsid w:val="00A30336"/>
    <w:rsid w:val="00A30BB5"/>
    <w:rsid w:val="00A3128F"/>
    <w:rsid w:val="00A326D0"/>
    <w:rsid w:val="00A33C9A"/>
    <w:rsid w:val="00A348DC"/>
    <w:rsid w:val="00A35287"/>
    <w:rsid w:val="00A355F2"/>
    <w:rsid w:val="00A35CB2"/>
    <w:rsid w:val="00A37201"/>
    <w:rsid w:val="00A37229"/>
    <w:rsid w:val="00A375DE"/>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29C8"/>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5A2B"/>
    <w:rsid w:val="00A67641"/>
    <w:rsid w:val="00A6766C"/>
    <w:rsid w:val="00A70765"/>
    <w:rsid w:val="00A711B0"/>
    <w:rsid w:val="00A71279"/>
    <w:rsid w:val="00A721FB"/>
    <w:rsid w:val="00A727BA"/>
    <w:rsid w:val="00A72CA4"/>
    <w:rsid w:val="00A72D4B"/>
    <w:rsid w:val="00A732AE"/>
    <w:rsid w:val="00A738E8"/>
    <w:rsid w:val="00A74192"/>
    <w:rsid w:val="00A750EB"/>
    <w:rsid w:val="00A75837"/>
    <w:rsid w:val="00A75E40"/>
    <w:rsid w:val="00A76B12"/>
    <w:rsid w:val="00A76EF2"/>
    <w:rsid w:val="00A7727E"/>
    <w:rsid w:val="00A77EB2"/>
    <w:rsid w:val="00A803A1"/>
    <w:rsid w:val="00A81094"/>
    <w:rsid w:val="00A827B4"/>
    <w:rsid w:val="00A82B66"/>
    <w:rsid w:val="00A82C52"/>
    <w:rsid w:val="00A83798"/>
    <w:rsid w:val="00A83914"/>
    <w:rsid w:val="00A83B58"/>
    <w:rsid w:val="00A84D59"/>
    <w:rsid w:val="00A84D7D"/>
    <w:rsid w:val="00A84FAF"/>
    <w:rsid w:val="00A85100"/>
    <w:rsid w:val="00A851B6"/>
    <w:rsid w:val="00A851ED"/>
    <w:rsid w:val="00A85729"/>
    <w:rsid w:val="00A8574B"/>
    <w:rsid w:val="00A857C0"/>
    <w:rsid w:val="00A85F5E"/>
    <w:rsid w:val="00A90343"/>
    <w:rsid w:val="00A90B8B"/>
    <w:rsid w:val="00A91336"/>
    <w:rsid w:val="00A9221C"/>
    <w:rsid w:val="00A92277"/>
    <w:rsid w:val="00A92916"/>
    <w:rsid w:val="00A929D1"/>
    <w:rsid w:val="00A92B4C"/>
    <w:rsid w:val="00A9334B"/>
    <w:rsid w:val="00A94628"/>
    <w:rsid w:val="00A94954"/>
    <w:rsid w:val="00A9497A"/>
    <w:rsid w:val="00A949A6"/>
    <w:rsid w:val="00A95545"/>
    <w:rsid w:val="00A95AAE"/>
    <w:rsid w:val="00A95AF3"/>
    <w:rsid w:val="00A96241"/>
    <w:rsid w:val="00A96463"/>
    <w:rsid w:val="00A96F21"/>
    <w:rsid w:val="00A97E3F"/>
    <w:rsid w:val="00A97EC0"/>
    <w:rsid w:val="00AA09D3"/>
    <w:rsid w:val="00AA0CDE"/>
    <w:rsid w:val="00AA1034"/>
    <w:rsid w:val="00AA1356"/>
    <w:rsid w:val="00AA220F"/>
    <w:rsid w:val="00AA23FB"/>
    <w:rsid w:val="00AA34FE"/>
    <w:rsid w:val="00AA42AB"/>
    <w:rsid w:val="00AA4A76"/>
    <w:rsid w:val="00AA50E5"/>
    <w:rsid w:val="00AA559A"/>
    <w:rsid w:val="00AA57A4"/>
    <w:rsid w:val="00AA5F10"/>
    <w:rsid w:val="00AA6FA8"/>
    <w:rsid w:val="00AA7C35"/>
    <w:rsid w:val="00AB0BB9"/>
    <w:rsid w:val="00AB104D"/>
    <w:rsid w:val="00AB1441"/>
    <w:rsid w:val="00AB1653"/>
    <w:rsid w:val="00AB2AF1"/>
    <w:rsid w:val="00AB440B"/>
    <w:rsid w:val="00AB47E3"/>
    <w:rsid w:val="00AB74C5"/>
    <w:rsid w:val="00AB75A7"/>
    <w:rsid w:val="00AB7BEE"/>
    <w:rsid w:val="00AB7DF2"/>
    <w:rsid w:val="00AC0725"/>
    <w:rsid w:val="00AC0B14"/>
    <w:rsid w:val="00AC1E3F"/>
    <w:rsid w:val="00AC20EB"/>
    <w:rsid w:val="00AC219A"/>
    <w:rsid w:val="00AC2CE1"/>
    <w:rsid w:val="00AC3D02"/>
    <w:rsid w:val="00AC49B5"/>
    <w:rsid w:val="00AC4F18"/>
    <w:rsid w:val="00AC5F5B"/>
    <w:rsid w:val="00AC69CA"/>
    <w:rsid w:val="00AC7501"/>
    <w:rsid w:val="00AC79F3"/>
    <w:rsid w:val="00AD0B46"/>
    <w:rsid w:val="00AD1094"/>
    <w:rsid w:val="00AD2565"/>
    <w:rsid w:val="00AD2862"/>
    <w:rsid w:val="00AD306C"/>
    <w:rsid w:val="00AD3111"/>
    <w:rsid w:val="00AD31B8"/>
    <w:rsid w:val="00AD3424"/>
    <w:rsid w:val="00AD3E3F"/>
    <w:rsid w:val="00AD4FEF"/>
    <w:rsid w:val="00AD50D1"/>
    <w:rsid w:val="00AD5414"/>
    <w:rsid w:val="00AD59BB"/>
    <w:rsid w:val="00AD5D68"/>
    <w:rsid w:val="00AD5D71"/>
    <w:rsid w:val="00AD6483"/>
    <w:rsid w:val="00AD675A"/>
    <w:rsid w:val="00AD6A63"/>
    <w:rsid w:val="00AD6BE5"/>
    <w:rsid w:val="00AD6C73"/>
    <w:rsid w:val="00AD7D49"/>
    <w:rsid w:val="00AE06D0"/>
    <w:rsid w:val="00AE1B8A"/>
    <w:rsid w:val="00AE20DF"/>
    <w:rsid w:val="00AE26E1"/>
    <w:rsid w:val="00AE39DC"/>
    <w:rsid w:val="00AE3CDA"/>
    <w:rsid w:val="00AE481D"/>
    <w:rsid w:val="00AE5270"/>
    <w:rsid w:val="00AE608F"/>
    <w:rsid w:val="00AE6734"/>
    <w:rsid w:val="00AE684E"/>
    <w:rsid w:val="00AE7968"/>
    <w:rsid w:val="00AE7B2B"/>
    <w:rsid w:val="00AE7DFF"/>
    <w:rsid w:val="00AF128B"/>
    <w:rsid w:val="00AF13A0"/>
    <w:rsid w:val="00AF1AEA"/>
    <w:rsid w:val="00AF2536"/>
    <w:rsid w:val="00AF2852"/>
    <w:rsid w:val="00AF3225"/>
    <w:rsid w:val="00AF398B"/>
    <w:rsid w:val="00AF4983"/>
    <w:rsid w:val="00AF4A95"/>
    <w:rsid w:val="00AF4B98"/>
    <w:rsid w:val="00AF4CA7"/>
    <w:rsid w:val="00AF518B"/>
    <w:rsid w:val="00AF5275"/>
    <w:rsid w:val="00AF5D62"/>
    <w:rsid w:val="00AF6367"/>
    <w:rsid w:val="00AF6A79"/>
    <w:rsid w:val="00AF6B7C"/>
    <w:rsid w:val="00AF724E"/>
    <w:rsid w:val="00AF73A9"/>
    <w:rsid w:val="00AF7C9B"/>
    <w:rsid w:val="00B013C0"/>
    <w:rsid w:val="00B01436"/>
    <w:rsid w:val="00B0178A"/>
    <w:rsid w:val="00B01C2C"/>
    <w:rsid w:val="00B0231C"/>
    <w:rsid w:val="00B034DC"/>
    <w:rsid w:val="00B05A37"/>
    <w:rsid w:val="00B07372"/>
    <w:rsid w:val="00B079BC"/>
    <w:rsid w:val="00B07C2A"/>
    <w:rsid w:val="00B10100"/>
    <w:rsid w:val="00B1076A"/>
    <w:rsid w:val="00B111CA"/>
    <w:rsid w:val="00B128E5"/>
    <w:rsid w:val="00B13681"/>
    <w:rsid w:val="00B13BCE"/>
    <w:rsid w:val="00B15C1D"/>
    <w:rsid w:val="00B15DCD"/>
    <w:rsid w:val="00B16201"/>
    <w:rsid w:val="00B16796"/>
    <w:rsid w:val="00B17335"/>
    <w:rsid w:val="00B17E71"/>
    <w:rsid w:val="00B17FDE"/>
    <w:rsid w:val="00B208FC"/>
    <w:rsid w:val="00B20C65"/>
    <w:rsid w:val="00B20DF8"/>
    <w:rsid w:val="00B2153E"/>
    <w:rsid w:val="00B21953"/>
    <w:rsid w:val="00B22E17"/>
    <w:rsid w:val="00B2419B"/>
    <w:rsid w:val="00B25567"/>
    <w:rsid w:val="00B25E31"/>
    <w:rsid w:val="00B266C5"/>
    <w:rsid w:val="00B26CDA"/>
    <w:rsid w:val="00B27293"/>
    <w:rsid w:val="00B300E8"/>
    <w:rsid w:val="00B301BB"/>
    <w:rsid w:val="00B30737"/>
    <w:rsid w:val="00B3216D"/>
    <w:rsid w:val="00B321E3"/>
    <w:rsid w:val="00B3229E"/>
    <w:rsid w:val="00B32DDB"/>
    <w:rsid w:val="00B340AD"/>
    <w:rsid w:val="00B3447A"/>
    <w:rsid w:val="00B3448C"/>
    <w:rsid w:val="00B34931"/>
    <w:rsid w:val="00B34FC6"/>
    <w:rsid w:val="00B35174"/>
    <w:rsid w:val="00B35BEA"/>
    <w:rsid w:val="00B365CB"/>
    <w:rsid w:val="00B37915"/>
    <w:rsid w:val="00B3793D"/>
    <w:rsid w:val="00B40879"/>
    <w:rsid w:val="00B41BE6"/>
    <w:rsid w:val="00B42831"/>
    <w:rsid w:val="00B428A4"/>
    <w:rsid w:val="00B428EA"/>
    <w:rsid w:val="00B454B4"/>
    <w:rsid w:val="00B457E7"/>
    <w:rsid w:val="00B45D1B"/>
    <w:rsid w:val="00B45DE5"/>
    <w:rsid w:val="00B461D6"/>
    <w:rsid w:val="00B46248"/>
    <w:rsid w:val="00B46D25"/>
    <w:rsid w:val="00B47430"/>
    <w:rsid w:val="00B4795A"/>
    <w:rsid w:val="00B47AC6"/>
    <w:rsid w:val="00B52D2D"/>
    <w:rsid w:val="00B534EF"/>
    <w:rsid w:val="00B548DA"/>
    <w:rsid w:val="00B54B85"/>
    <w:rsid w:val="00B55BA8"/>
    <w:rsid w:val="00B55F15"/>
    <w:rsid w:val="00B561A6"/>
    <w:rsid w:val="00B56645"/>
    <w:rsid w:val="00B57CC4"/>
    <w:rsid w:val="00B60062"/>
    <w:rsid w:val="00B606B9"/>
    <w:rsid w:val="00B6136C"/>
    <w:rsid w:val="00B62960"/>
    <w:rsid w:val="00B6349B"/>
    <w:rsid w:val="00B63A11"/>
    <w:rsid w:val="00B63FD0"/>
    <w:rsid w:val="00B643EC"/>
    <w:rsid w:val="00B6449F"/>
    <w:rsid w:val="00B6493D"/>
    <w:rsid w:val="00B6553E"/>
    <w:rsid w:val="00B65C84"/>
    <w:rsid w:val="00B6608F"/>
    <w:rsid w:val="00B661F6"/>
    <w:rsid w:val="00B6724D"/>
    <w:rsid w:val="00B67E42"/>
    <w:rsid w:val="00B73180"/>
    <w:rsid w:val="00B74317"/>
    <w:rsid w:val="00B74D75"/>
    <w:rsid w:val="00B75700"/>
    <w:rsid w:val="00B75AAD"/>
    <w:rsid w:val="00B760C1"/>
    <w:rsid w:val="00B76D1E"/>
    <w:rsid w:val="00B77ABC"/>
    <w:rsid w:val="00B77BC8"/>
    <w:rsid w:val="00B77DC3"/>
    <w:rsid w:val="00B77FB7"/>
    <w:rsid w:val="00B800EB"/>
    <w:rsid w:val="00B822D2"/>
    <w:rsid w:val="00B823F1"/>
    <w:rsid w:val="00B831B4"/>
    <w:rsid w:val="00B83CFE"/>
    <w:rsid w:val="00B83D46"/>
    <w:rsid w:val="00B848B8"/>
    <w:rsid w:val="00B84A41"/>
    <w:rsid w:val="00B84D57"/>
    <w:rsid w:val="00B8504B"/>
    <w:rsid w:val="00B853C2"/>
    <w:rsid w:val="00B85689"/>
    <w:rsid w:val="00B8672A"/>
    <w:rsid w:val="00B86748"/>
    <w:rsid w:val="00B86B70"/>
    <w:rsid w:val="00B907EA"/>
    <w:rsid w:val="00B91EC9"/>
    <w:rsid w:val="00B924CA"/>
    <w:rsid w:val="00B92A4B"/>
    <w:rsid w:val="00B92C9D"/>
    <w:rsid w:val="00B93384"/>
    <w:rsid w:val="00B93530"/>
    <w:rsid w:val="00B93616"/>
    <w:rsid w:val="00B94417"/>
    <w:rsid w:val="00B945B0"/>
    <w:rsid w:val="00B945C1"/>
    <w:rsid w:val="00B94DE2"/>
    <w:rsid w:val="00B95566"/>
    <w:rsid w:val="00B95940"/>
    <w:rsid w:val="00B95EF8"/>
    <w:rsid w:val="00B95F50"/>
    <w:rsid w:val="00B96BD9"/>
    <w:rsid w:val="00B979A0"/>
    <w:rsid w:val="00BA094F"/>
    <w:rsid w:val="00BA0DED"/>
    <w:rsid w:val="00BA0F99"/>
    <w:rsid w:val="00BA1EC9"/>
    <w:rsid w:val="00BA622C"/>
    <w:rsid w:val="00BA6D2C"/>
    <w:rsid w:val="00BB0274"/>
    <w:rsid w:val="00BB0B13"/>
    <w:rsid w:val="00BB12AC"/>
    <w:rsid w:val="00BB16AD"/>
    <w:rsid w:val="00BB1CFD"/>
    <w:rsid w:val="00BB2C53"/>
    <w:rsid w:val="00BB32DA"/>
    <w:rsid w:val="00BB3A54"/>
    <w:rsid w:val="00BB4286"/>
    <w:rsid w:val="00BB462A"/>
    <w:rsid w:val="00BB4D26"/>
    <w:rsid w:val="00BB4E21"/>
    <w:rsid w:val="00BB51AF"/>
    <w:rsid w:val="00BB6F86"/>
    <w:rsid w:val="00BB7746"/>
    <w:rsid w:val="00BC10DE"/>
    <w:rsid w:val="00BC22EB"/>
    <w:rsid w:val="00BC26CA"/>
    <w:rsid w:val="00BC6556"/>
    <w:rsid w:val="00BC682B"/>
    <w:rsid w:val="00BC68BA"/>
    <w:rsid w:val="00BC6B04"/>
    <w:rsid w:val="00BC6D27"/>
    <w:rsid w:val="00BD059A"/>
    <w:rsid w:val="00BD08A0"/>
    <w:rsid w:val="00BD0CBB"/>
    <w:rsid w:val="00BD186B"/>
    <w:rsid w:val="00BD1EAC"/>
    <w:rsid w:val="00BD254C"/>
    <w:rsid w:val="00BD3428"/>
    <w:rsid w:val="00BD345F"/>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E6CA9"/>
    <w:rsid w:val="00BF18F4"/>
    <w:rsid w:val="00BF1907"/>
    <w:rsid w:val="00BF1A69"/>
    <w:rsid w:val="00BF2C67"/>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27C8"/>
    <w:rsid w:val="00C034E6"/>
    <w:rsid w:val="00C05715"/>
    <w:rsid w:val="00C05926"/>
    <w:rsid w:val="00C06370"/>
    <w:rsid w:val="00C0784A"/>
    <w:rsid w:val="00C10B28"/>
    <w:rsid w:val="00C10B3B"/>
    <w:rsid w:val="00C10D62"/>
    <w:rsid w:val="00C10FAE"/>
    <w:rsid w:val="00C1135D"/>
    <w:rsid w:val="00C11DAF"/>
    <w:rsid w:val="00C11E1F"/>
    <w:rsid w:val="00C123B4"/>
    <w:rsid w:val="00C12A69"/>
    <w:rsid w:val="00C13150"/>
    <w:rsid w:val="00C13737"/>
    <w:rsid w:val="00C150BE"/>
    <w:rsid w:val="00C158B0"/>
    <w:rsid w:val="00C15A0C"/>
    <w:rsid w:val="00C15CEB"/>
    <w:rsid w:val="00C15DCB"/>
    <w:rsid w:val="00C16208"/>
    <w:rsid w:val="00C1711F"/>
    <w:rsid w:val="00C17AB1"/>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12D"/>
    <w:rsid w:val="00C2463B"/>
    <w:rsid w:val="00C24E77"/>
    <w:rsid w:val="00C2613A"/>
    <w:rsid w:val="00C268AD"/>
    <w:rsid w:val="00C2732D"/>
    <w:rsid w:val="00C273C6"/>
    <w:rsid w:val="00C27913"/>
    <w:rsid w:val="00C3004E"/>
    <w:rsid w:val="00C300C6"/>
    <w:rsid w:val="00C30828"/>
    <w:rsid w:val="00C30924"/>
    <w:rsid w:val="00C31D16"/>
    <w:rsid w:val="00C31DD8"/>
    <w:rsid w:val="00C3271C"/>
    <w:rsid w:val="00C32A35"/>
    <w:rsid w:val="00C336DD"/>
    <w:rsid w:val="00C339DE"/>
    <w:rsid w:val="00C34D57"/>
    <w:rsid w:val="00C34FDE"/>
    <w:rsid w:val="00C35C16"/>
    <w:rsid w:val="00C36EC3"/>
    <w:rsid w:val="00C40E09"/>
    <w:rsid w:val="00C40F81"/>
    <w:rsid w:val="00C41463"/>
    <w:rsid w:val="00C41A06"/>
    <w:rsid w:val="00C41A72"/>
    <w:rsid w:val="00C42D45"/>
    <w:rsid w:val="00C43CB1"/>
    <w:rsid w:val="00C4422D"/>
    <w:rsid w:val="00C44EBB"/>
    <w:rsid w:val="00C466D1"/>
    <w:rsid w:val="00C476C5"/>
    <w:rsid w:val="00C47D7C"/>
    <w:rsid w:val="00C47EB6"/>
    <w:rsid w:val="00C503B0"/>
    <w:rsid w:val="00C511C2"/>
    <w:rsid w:val="00C51D4B"/>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69F"/>
    <w:rsid w:val="00C636C0"/>
    <w:rsid w:val="00C63B1A"/>
    <w:rsid w:val="00C64E60"/>
    <w:rsid w:val="00C6517A"/>
    <w:rsid w:val="00C657A4"/>
    <w:rsid w:val="00C65B84"/>
    <w:rsid w:val="00C66589"/>
    <w:rsid w:val="00C6736C"/>
    <w:rsid w:val="00C7179C"/>
    <w:rsid w:val="00C71A1D"/>
    <w:rsid w:val="00C71EC4"/>
    <w:rsid w:val="00C73ED2"/>
    <w:rsid w:val="00C7410A"/>
    <w:rsid w:val="00C74735"/>
    <w:rsid w:val="00C74791"/>
    <w:rsid w:val="00C7591E"/>
    <w:rsid w:val="00C75C7E"/>
    <w:rsid w:val="00C75C9B"/>
    <w:rsid w:val="00C76425"/>
    <w:rsid w:val="00C76D8E"/>
    <w:rsid w:val="00C77833"/>
    <w:rsid w:val="00C80953"/>
    <w:rsid w:val="00C80C9B"/>
    <w:rsid w:val="00C8180B"/>
    <w:rsid w:val="00C8335E"/>
    <w:rsid w:val="00C83F9C"/>
    <w:rsid w:val="00C844CA"/>
    <w:rsid w:val="00C84CE3"/>
    <w:rsid w:val="00C85614"/>
    <w:rsid w:val="00C86127"/>
    <w:rsid w:val="00C864FB"/>
    <w:rsid w:val="00C86509"/>
    <w:rsid w:val="00C86F39"/>
    <w:rsid w:val="00C9003C"/>
    <w:rsid w:val="00C905B2"/>
    <w:rsid w:val="00C90CF4"/>
    <w:rsid w:val="00C91C19"/>
    <w:rsid w:val="00C92988"/>
    <w:rsid w:val="00C929A0"/>
    <w:rsid w:val="00C930FB"/>
    <w:rsid w:val="00C93389"/>
    <w:rsid w:val="00C937DB"/>
    <w:rsid w:val="00C93F0E"/>
    <w:rsid w:val="00C94519"/>
    <w:rsid w:val="00C94E11"/>
    <w:rsid w:val="00C94E83"/>
    <w:rsid w:val="00C9567E"/>
    <w:rsid w:val="00C9613F"/>
    <w:rsid w:val="00C97038"/>
    <w:rsid w:val="00C9730D"/>
    <w:rsid w:val="00C97D46"/>
    <w:rsid w:val="00CA02B2"/>
    <w:rsid w:val="00CA0883"/>
    <w:rsid w:val="00CA1085"/>
    <w:rsid w:val="00CA140F"/>
    <w:rsid w:val="00CA25C2"/>
    <w:rsid w:val="00CA2BF5"/>
    <w:rsid w:val="00CA37BB"/>
    <w:rsid w:val="00CA37CA"/>
    <w:rsid w:val="00CA39E1"/>
    <w:rsid w:val="00CA5016"/>
    <w:rsid w:val="00CA5724"/>
    <w:rsid w:val="00CA6508"/>
    <w:rsid w:val="00CA6B87"/>
    <w:rsid w:val="00CA6BA1"/>
    <w:rsid w:val="00CA6CD5"/>
    <w:rsid w:val="00CA6D0B"/>
    <w:rsid w:val="00CB158C"/>
    <w:rsid w:val="00CB1910"/>
    <w:rsid w:val="00CB2150"/>
    <w:rsid w:val="00CB289A"/>
    <w:rsid w:val="00CB28EE"/>
    <w:rsid w:val="00CB2B15"/>
    <w:rsid w:val="00CB2EEA"/>
    <w:rsid w:val="00CB39FE"/>
    <w:rsid w:val="00CB43A7"/>
    <w:rsid w:val="00CB49F6"/>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575E"/>
    <w:rsid w:val="00CC62AD"/>
    <w:rsid w:val="00CC6CA2"/>
    <w:rsid w:val="00CC7086"/>
    <w:rsid w:val="00CC7B80"/>
    <w:rsid w:val="00CD0080"/>
    <w:rsid w:val="00CD0779"/>
    <w:rsid w:val="00CD1A5C"/>
    <w:rsid w:val="00CD2B3C"/>
    <w:rsid w:val="00CD2DA6"/>
    <w:rsid w:val="00CD30F6"/>
    <w:rsid w:val="00CD4907"/>
    <w:rsid w:val="00CD4B29"/>
    <w:rsid w:val="00CD5493"/>
    <w:rsid w:val="00CD5FE3"/>
    <w:rsid w:val="00CD6339"/>
    <w:rsid w:val="00CD6607"/>
    <w:rsid w:val="00CD67CA"/>
    <w:rsid w:val="00CD6954"/>
    <w:rsid w:val="00CD6DA3"/>
    <w:rsid w:val="00CD6EF1"/>
    <w:rsid w:val="00CD6FE1"/>
    <w:rsid w:val="00CD7E35"/>
    <w:rsid w:val="00CE0ABC"/>
    <w:rsid w:val="00CE0B0C"/>
    <w:rsid w:val="00CE0CD6"/>
    <w:rsid w:val="00CE1313"/>
    <w:rsid w:val="00CE21C7"/>
    <w:rsid w:val="00CE2682"/>
    <w:rsid w:val="00CE2756"/>
    <w:rsid w:val="00CE29D6"/>
    <w:rsid w:val="00CE31D8"/>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56A8"/>
    <w:rsid w:val="00CF5BD8"/>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2AD"/>
    <w:rsid w:val="00D136D4"/>
    <w:rsid w:val="00D13830"/>
    <w:rsid w:val="00D13ECF"/>
    <w:rsid w:val="00D142E5"/>
    <w:rsid w:val="00D148CD"/>
    <w:rsid w:val="00D14AFA"/>
    <w:rsid w:val="00D155E4"/>
    <w:rsid w:val="00D1611E"/>
    <w:rsid w:val="00D163CC"/>
    <w:rsid w:val="00D16E69"/>
    <w:rsid w:val="00D17F4A"/>
    <w:rsid w:val="00D205A9"/>
    <w:rsid w:val="00D217EE"/>
    <w:rsid w:val="00D24299"/>
    <w:rsid w:val="00D245BA"/>
    <w:rsid w:val="00D248FE"/>
    <w:rsid w:val="00D250C2"/>
    <w:rsid w:val="00D252D6"/>
    <w:rsid w:val="00D2689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614A"/>
    <w:rsid w:val="00D369AD"/>
    <w:rsid w:val="00D374B3"/>
    <w:rsid w:val="00D37689"/>
    <w:rsid w:val="00D378CC"/>
    <w:rsid w:val="00D37E80"/>
    <w:rsid w:val="00D4042C"/>
    <w:rsid w:val="00D40B9E"/>
    <w:rsid w:val="00D41281"/>
    <w:rsid w:val="00D41320"/>
    <w:rsid w:val="00D42312"/>
    <w:rsid w:val="00D433F5"/>
    <w:rsid w:val="00D43998"/>
    <w:rsid w:val="00D439C2"/>
    <w:rsid w:val="00D44A1D"/>
    <w:rsid w:val="00D451E0"/>
    <w:rsid w:val="00D4538D"/>
    <w:rsid w:val="00D455F9"/>
    <w:rsid w:val="00D45A1D"/>
    <w:rsid w:val="00D45B52"/>
    <w:rsid w:val="00D4615E"/>
    <w:rsid w:val="00D4651F"/>
    <w:rsid w:val="00D478E2"/>
    <w:rsid w:val="00D51739"/>
    <w:rsid w:val="00D5264C"/>
    <w:rsid w:val="00D53794"/>
    <w:rsid w:val="00D53B5F"/>
    <w:rsid w:val="00D547BA"/>
    <w:rsid w:val="00D55626"/>
    <w:rsid w:val="00D556BC"/>
    <w:rsid w:val="00D5626D"/>
    <w:rsid w:val="00D56631"/>
    <w:rsid w:val="00D56D85"/>
    <w:rsid w:val="00D5759D"/>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05B"/>
    <w:rsid w:val="00D73256"/>
    <w:rsid w:val="00D7383E"/>
    <w:rsid w:val="00D73A30"/>
    <w:rsid w:val="00D73E6F"/>
    <w:rsid w:val="00D73FB6"/>
    <w:rsid w:val="00D74278"/>
    <w:rsid w:val="00D74ABF"/>
    <w:rsid w:val="00D74C65"/>
    <w:rsid w:val="00D74E97"/>
    <w:rsid w:val="00D74F21"/>
    <w:rsid w:val="00D754CE"/>
    <w:rsid w:val="00D758D0"/>
    <w:rsid w:val="00D75DC2"/>
    <w:rsid w:val="00D75DC3"/>
    <w:rsid w:val="00D766EF"/>
    <w:rsid w:val="00D76C03"/>
    <w:rsid w:val="00D77D68"/>
    <w:rsid w:val="00D77E0D"/>
    <w:rsid w:val="00D77F8D"/>
    <w:rsid w:val="00D80A6A"/>
    <w:rsid w:val="00D80E07"/>
    <w:rsid w:val="00D8118B"/>
    <w:rsid w:val="00D8119B"/>
    <w:rsid w:val="00D81B44"/>
    <w:rsid w:val="00D82462"/>
    <w:rsid w:val="00D831C6"/>
    <w:rsid w:val="00D83EF3"/>
    <w:rsid w:val="00D84BD1"/>
    <w:rsid w:val="00D85773"/>
    <w:rsid w:val="00D85886"/>
    <w:rsid w:val="00D85D55"/>
    <w:rsid w:val="00D867A7"/>
    <w:rsid w:val="00D868CE"/>
    <w:rsid w:val="00D86DAE"/>
    <w:rsid w:val="00D875C9"/>
    <w:rsid w:val="00D8776A"/>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3F70"/>
    <w:rsid w:val="00DA4AF6"/>
    <w:rsid w:val="00DA649A"/>
    <w:rsid w:val="00DA7AB2"/>
    <w:rsid w:val="00DB016E"/>
    <w:rsid w:val="00DB06E9"/>
    <w:rsid w:val="00DB0870"/>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08E4"/>
    <w:rsid w:val="00DC176E"/>
    <w:rsid w:val="00DC226A"/>
    <w:rsid w:val="00DC257F"/>
    <w:rsid w:val="00DC2A9F"/>
    <w:rsid w:val="00DC2FA9"/>
    <w:rsid w:val="00DC350B"/>
    <w:rsid w:val="00DC3790"/>
    <w:rsid w:val="00DC408A"/>
    <w:rsid w:val="00DC436D"/>
    <w:rsid w:val="00DC519B"/>
    <w:rsid w:val="00DC53D9"/>
    <w:rsid w:val="00DC5B3B"/>
    <w:rsid w:val="00DC60C2"/>
    <w:rsid w:val="00DC6796"/>
    <w:rsid w:val="00DC68E7"/>
    <w:rsid w:val="00DC6CC6"/>
    <w:rsid w:val="00DC78DF"/>
    <w:rsid w:val="00DC7D4C"/>
    <w:rsid w:val="00DD0726"/>
    <w:rsid w:val="00DD0821"/>
    <w:rsid w:val="00DD0E32"/>
    <w:rsid w:val="00DD1878"/>
    <w:rsid w:val="00DD1DC1"/>
    <w:rsid w:val="00DD20FA"/>
    <w:rsid w:val="00DD21F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E5AD3"/>
    <w:rsid w:val="00DE6EAC"/>
    <w:rsid w:val="00DE74A8"/>
    <w:rsid w:val="00DE7B69"/>
    <w:rsid w:val="00DF0615"/>
    <w:rsid w:val="00DF0DC3"/>
    <w:rsid w:val="00DF1328"/>
    <w:rsid w:val="00DF18C6"/>
    <w:rsid w:val="00DF1A2F"/>
    <w:rsid w:val="00DF204C"/>
    <w:rsid w:val="00DF2078"/>
    <w:rsid w:val="00DF21FD"/>
    <w:rsid w:val="00DF2873"/>
    <w:rsid w:val="00DF293C"/>
    <w:rsid w:val="00DF330C"/>
    <w:rsid w:val="00DF34B2"/>
    <w:rsid w:val="00DF3A10"/>
    <w:rsid w:val="00DF4C74"/>
    <w:rsid w:val="00DF52AE"/>
    <w:rsid w:val="00DF5578"/>
    <w:rsid w:val="00DF594F"/>
    <w:rsid w:val="00DF6CF8"/>
    <w:rsid w:val="00DF6F6E"/>
    <w:rsid w:val="00DF78DD"/>
    <w:rsid w:val="00DF7FEC"/>
    <w:rsid w:val="00E00CCA"/>
    <w:rsid w:val="00E01B16"/>
    <w:rsid w:val="00E01B6E"/>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09E"/>
    <w:rsid w:val="00E144D2"/>
    <w:rsid w:val="00E144D6"/>
    <w:rsid w:val="00E14A98"/>
    <w:rsid w:val="00E15346"/>
    <w:rsid w:val="00E15B7D"/>
    <w:rsid w:val="00E16157"/>
    <w:rsid w:val="00E17C5F"/>
    <w:rsid w:val="00E2097E"/>
    <w:rsid w:val="00E215EA"/>
    <w:rsid w:val="00E21CAB"/>
    <w:rsid w:val="00E221FC"/>
    <w:rsid w:val="00E222BB"/>
    <w:rsid w:val="00E22782"/>
    <w:rsid w:val="00E22E78"/>
    <w:rsid w:val="00E24619"/>
    <w:rsid w:val="00E24871"/>
    <w:rsid w:val="00E25223"/>
    <w:rsid w:val="00E25999"/>
    <w:rsid w:val="00E26123"/>
    <w:rsid w:val="00E263A8"/>
    <w:rsid w:val="00E30BEA"/>
    <w:rsid w:val="00E31764"/>
    <w:rsid w:val="00E3288A"/>
    <w:rsid w:val="00E329AB"/>
    <w:rsid w:val="00E32BC2"/>
    <w:rsid w:val="00E32DFC"/>
    <w:rsid w:val="00E33313"/>
    <w:rsid w:val="00E3405E"/>
    <w:rsid w:val="00E34985"/>
    <w:rsid w:val="00E34E4A"/>
    <w:rsid w:val="00E365B3"/>
    <w:rsid w:val="00E366BB"/>
    <w:rsid w:val="00E372FD"/>
    <w:rsid w:val="00E37C45"/>
    <w:rsid w:val="00E40844"/>
    <w:rsid w:val="00E40AAA"/>
    <w:rsid w:val="00E4164E"/>
    <w:rsid w:val="00E41A59"/>
    <w:rsid w:val="00E42444"/>
    <w:rsid w:val="00E427EA"/>
    <w:rsid w:val="00E42C77"/>
    <w:rsid w:val="00E42D52"/>
    <w:rsid w:val="00E438CF"/>
    <w:rsid w:val="00E43B06"/>
    <w:rsid w:val="00E43C41"/>
    <w:rsid w:val="00E4500E"/>
    <w:rsid w:val="00E450CE"/>
    <w:rsid w:val="00E45703"/>
    <w:rsid w:val="00E45A00"/>
    <w:rsid w:val="00E45CE7"/>
    <w:rsid w:val="00E4631F"/>
    <w:rsid w:val="00E46735"/>
    <w:rsid w:val="00E46A4A"/>
    <w:rsid w:val="00E46E03"/>
    <w:rsid w:val="00E46F78"/>
    <w:rsid w:val="00E4793B"/>
    <w:rsid w:val="00E479D8"/>
    <w:rsid w:val="00E47B32"/>
    <w:rsid w:val="00E47CB8"/>
    <w:rsid w:val="00E47FCD"/>
    <w:rsid w:val="00E522BB"/>
    <w:rsid w:val="00E52A3D"/>
    <w:rsid w:val="00E533B7"/>
    <w:rsid w:val="00E539E4"/>
    <w:rsid w:val="00E53C14"/>
    <w:rsid w:val="00E549C7"/>
    <w:rsid w:val="00E569C7"/>
    <w:rsid w:val="00E569D7"/>
    <w:rsid w:val="00E571F2"/>
    <w:rsid w:val="00E57429"/>
    <w:rsid w:val="00E60FCE"/>
    <w:rsid w:val="00E61EA8"/>
    <w:rsid w:val="00E62A33"/>
    <w:rsid w:val="00E63200"/>
    <w:rsid w:val="00E63221"/>
    <w:rsid w:val="00E63960"/>
    <w:rsid w:val="00E63BFD"/>
    <w:rsid w:val="00E63EC6"/>
    <w:rsid w:val="00E64AE4"/>
    <w:rsid w:val="00E64CFF"/>
    <w:rsid w:val="00E64EA1"/>
    <w:rsid w:val="00E6582D"/>
    <w:rsid w:val="00E669C7"/>
    <w:rsid w:val="00E67611"/>
    <w:rsid w:val="00E67859"/>
    <w:rsid w:val="00E70510"/>
    <w:rsid w:val="00E705CD"/>
    <w:rsid w:val="00E71262"/>
    <w:rsid w:val="00E71A58"/>
    <w:rsid w:val="00E71C3A"/>
    <w:rsid w:val="00E72BA7"/>
    <w:rsid w:val="00E737F6"/>
    <w:rsid w:val="00E7568F"/>
    <w:rsid w:val="00E764AE"/>
    <w:rsid w:val="00E76733"/>
    <w:rsid w:val="00E76F80"/>
    <w:rsid w:val="00E7724B"/>
    <w:rsid w:val="00E776DE"/>
    <w:rsid w:val="00E80E31"/>
    <w:rsid w:val="00E81130"/>
    <w:rsid w:val="00E813EF"/>
    <w:rsid w:val="00E81556"/>
    <w:rsid w:val="00E83DAB"/>
    <w:rsid w:val="00E841E3"/>
    <w:rsid w:val="00E84F21"/>
    <w:rsid w:val="00E85720"/>
    <w:rsid w:val="00E8618A"/>
    <w:rsid w:val="00E90A4B"/>
    <w:rsid w:val="00E90D67"/>
    <w:rsid w:val="00E90F73"/>
    <w:rsid w:val="00E910A7"/>
    <w:rsid w:val="00E91607"/>
    <w:rsid w:val="00E921C7"/>
    <w:rsid w:val="00E92995"/>
    <w:rsid w:val="00E92A8C"/>
    <w:rsid w:val="00E93035"/>
    <w:rsid w:val="00E932EA"/>
    <w:rsid w:val="00E9446C"/>
    <w:rsid w:val="00E94612"/>
    <w:rsid w:val="00E94ADB"/>
    <w:rsid w:val="00E95797"/>
    <w:rsid w:val="00E9682F"/>
    <w:rsid w:val="00E96A8D"/>
    <w:rsid w:val="00E96FC2"/>
    <w:rsid w:val="00E970D9"/>
    <w:rsid w:val="00E972BA"/>
    <w:rsid w:val="00E97FA2"/>
    <w:rsid w:val="00EA06CB"/>
    <w:rsid w:val="00EA0AF3"/>
    <w:rsid w:val="00EA0C68"/>
    <w:rsid w:val="00EA19E2"/>
    <w:rsid w:val="00EA1CFB"/>
    <w:rsid w:val="00EA2169"/>
    <w:rsid w:val="00EA3BF6"/>
    <w:rsid w:val="00EA3EBE"/>
    <w:rsid w:val="00EA3FAC"/>
    <w:rsid w:val="00EA4153"/>
    <w:rsid w:val="00EA421A"/>
    <w:rsid w:val="00EA5CD6"/>
    <w:rsid w:val="00EA76FD"/>
    <w:rsid w:val="00EA77CA"/>
    <w:rsid w:val="00EA78FE"/>
    <w:rsid w:val="00EB03D4"/>
    <w:rsid w:val="00EB0555"/>
    <w:rsid w:val="00EB0938"/>
    <w:rsid w:val="00EB0FCC"/>
    <w:rsid w:val="00EB1298"/>
    <w:rsid w:val="00EB20A0"/>
    <w:rsid w:val="00EB29CA"/>
    <w:rsid w:val="00EB2CE9"/>
    <w:rsid w:val="00EB30B6"/>
    <w:rsid w:val="00EB4335"/>
    <w:rsid w:val="00EB4FA4"/>
    <w:rsid w:val="00EB5146"/>
    <w:rsid w:val="00EB514B"/>
    <w:rsid w:val="00EB522B"/>
    <w:rsid w:val="00EB5410"/>
    <w:rsid w:val="00EB55E9"/>
    <w:rsid w:val="00EB5641"/>
    <w:rsid w:val="00EB592C"/>
    <w:rsid w:val="00EB599D"/>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0C9B"/>
    <w:rsid w:val="00ED2989"/>
    <w:rsid w:val="00ED2B0B"/>
    <w:rsid w:val="00ED2CA5"/>
    <w:rsid w:val="00ED336F"/>
    <w:rsid w:val="00ED390A"/>
    <w:rsid w:val="00ED3A94"/>
    <w:rsid w:val="00ED40F0"/>
    <w:rsid w:val="00ED4AC0"/>
    <w:rsid w:val="00ED54D6"/>
    <w:rsid w:val="00ED5726"/>
    <w:rsid w:val="00ED7AA7"/>
    <w:rsid w:val="00ED7C3C"/>
    <w:rsid w:val="00EE0113"/>
    <w:rsid w:val="00EE0298"/>
    <w:rsid w:val="00EE0384"/>
    <w:rsid w:val="00EE043A"/>
    <w:rsid w:val="00EE0473"/>
    <w:rsid w:val="00EE07DE"/>
    <w:rsid w:val="00EE1057"/>
    <w:rsid w:val="00EE10AA"/>
    <w:rsid w:val="00EE1637"/>
    <w:rsid w:val="00EE208C"/>
    <w:rsid w:val="00EE3547"/>
    <w:rsid w:val="00EE3B7A"/>
    <w:rsid w:val="00EE3CA2"/>
    <w:rsid w:val="00EE3E78"/>
    <w:rsid w:val="00EE450E"/>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5CA"/>
    <w:rsid w:val="00EF3CF0"/>
    <w:rsid w:val="00EF4685"/>
    <w:rsid w:val="00EF51FE"/>
    <w:rsid w:val="00EF5397"/>
    <w:rsid w:val="00EF63CC"/>
    <w:rsid w:val="00EF6B4F"/>
    <w:rsid w:val="00EF6BE3"/>
    <w:rsid w:val="00F00D0E"/>
    <w:rsid w:val="00F00D3C"/>
    <w:rsid w:val="00F020EA"/>
    <w:rsid w:val="00F02A72"/>
    <w:rsid w:val="00F032C4"/>
    <w:rsid w:val="00F0356B"/>
    <w:rsid w:val="00F04811"/>
    <w:rsid w:val="00F0488C"/>
    <w:rsid w:val="00F0496E"/>
    <w:rsid w:val="00F04D10"/>
    <w:rsid w:val="00F04FAE"/>
    <w:rsid w:val="00F053EA"/>
    <w:rsid w:val="00F0540C"/>
    <w:rsid w:val="00F06158"/>
    <w:rsid w:val="00F0625B"/>
    <w:rsid w:val="00F068A8"/>
    <w:rsid w:val="00F06944"/>
    <w:rsid w:val="00F069AC"/>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3F6"/>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267A"/>
    <w:rsid w:val="00F3364D"/>
    <w:rsid w:val="00F339D0"/>
    <w:rsid w:val="00F353AE"/>
    <w:rsid w:val="00F35ACD"/>
    <w:rsid w:val="00F365BF"/>
    <w:rsid w:val="00F36BB9"/>
    <w:rsid w:val="00F36BF8"/>
    <w:rsid w:val="00F36FC0"/>
    <w:rsid w:val="00F375BA"/>
    <w:rsid w:val="00F37760"/>
    <w:rsid w:val="00F37F3C"/>
    <w:rsid w:val="00F403D1"/>
    <w:rsid w:val="00F40562"/>
    <w:rsid w:val="00F4170B"/>
    <w:rsid w:val="00F43292"/>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C70"/>
    <w:rsid w:val="00F54FD3"/>
    <w:rsid w:val="00F554F9"/>
    <w:rsid w:val="00F55605"/>
    <w:rsid w:val="00F56375"/>
    <w:rsid w:val="00F56E04"/>
    <w:rsid w:val="00F57CAD"/>
    <w:rsid w:val="00F57CD7"/>
    <w:rsid w:val="00F6080A"/>
    <w:rsid w:val="00F61BFE"/>
    <w:rsid w:val="00F62F02"/>
    <w:rsid w:val="00F6339F"/>
    <w:rsid w:val="00F638E6"/>
    <w:rsid w:val="00F63DDE"/>
    <w:rsid w:val="00F63FB7"/>
    <w:rsid w:val="00F64726"/>
    <w:rsid w:val="00F64C5B"/>
    <w:rsid w:val="00F64F44"/>
    <w:rsid w:val="00F6561A"/>
    <w:rsid w:val="00F66243"/>
    <w:rsid w:val="00F66CA8"/>
    <w:rsid w:val="00F67BDA"/>
    <w:rsid w:val="00F70309"/>
    <w:rsid w:val="00F7078A"/>
    <w:rsid w:val="00F70C8E"/>
    <w:rsid w:val="00F70E45"/>
    <w:rsid w:val="00F727D5"/>
    <w:rsid w:val="00F72F44"/>
    <w:rsid w:val="00F73150"/>
    <w:rsid w:val="00F73A0C"/>
    <w:rsid w:val="00F7593A"/>
    <w:rsid w:val="00F7593B"/>
    <w:rsid w:val="00F759DC"/>
    <w:rsid w:val="00F76309"/>
    <w:rsid w:val="00F76563"/>
    <w:rsid w:val="00F76F35"/>
    <w:rsid w:val="00F7717C"/>
    <w:rsid w:val="00F771A5"/>
    <w:rsid w:val="00F77387"/>
    <w:rsid w:val="00F80021"/>
    <w:rsid w:val="00F804FA"/>
    <w:rsid w:val="00F80D1E"/>
    <w:rsid w:val="00F817A4"/>
    <w:rsid w:val="00F81C3A"/>
    <w:rsid w:val="00F83573"/>
    <w:rsid w:val="00F835E1"/>
    <w:rsid w:val="00F835FC"/>
    <w:rsid w:val="00F8373A"/>
    <w:rsid w:val="00F83E21"/>
    <w:rsid w:val="00F83FA4"/>
    <w:rsid w:val="00F8410C"/>
    <w:rsid w:val="00F84E18"/>
    <w:rsid w:val="00F852E5"/>
    <w:rsid w:val="00F853A5"/>
    <w:rsid w:val="00F8630A"/>
    <w:rsid w:val="00F86F2E"/>
    <w:rsid w:val="00F90350"/>
    <w:rsid w:val="00F916FB"/>
    <w:rsid w:val="00F91EAF"/>
    <w:rsid w:val="00F9310A"/>
    <w:rsid w:val="00F94681"/>
    <w:rsid w:val="00F95117"/>
    <w:rsid w:val="00F951D6"/>
    <w:rsid w:val="00F96E38"/>
    <w:rsid w:val="00F97ED2"/>
    <w:rsid w:val="00FA05D7"/>
    <w:rsid w:val="00FA16BD"/>
    <w:rsid w:val="00FA1992"/>
    <w:rsid w:val="00FA1C6C"/>
    <w:rsid w:val="00FA23C1"/>
    <w:rsid w:val="00FA2447"/>
    <w:rsid w:val="00FA2A4A"/>
    <w:rsid w:val="00FA2BDE"/>
    <w:rsid w:val="00FA2C2A"/>
    <w:rsid w:val="00FA309A"/>
    <w:rsid w:val="00FA6B3F"/>
    <w:rsid w:val="00FA7644"/>
    <w:rsid w:val="00FA76E1"/>
    <w:rsid w:val="00FB0A9A"/>
    <w:rsid w:val="00FB16AD"/>
    <w:rsid w:val="00FB1BC4"/>
    <w:rsid w:val="00FB1F21"/>
    <w:rsid w:val="00FB332E"/>
    <w:rsid w:val="00FB3763"/>
    <w:rsid w:val="00FB483B"/>
    <w:rsid w:val="00FB56F1"/>
    <w:rsid w:val="00FB5A54"/>
    <w:rsid w:val="00FB5FD4"/>
    <w:rsid w:val="00FB6398"/>
    <w:rsid w:val="00FB67F3"/>
    <w:rsid w:val="00FB6AF4"/>
    <w:rsid w:val="00FB7710"/>
    <w:rsid w:val="00FC0D8A"/>
    <w:rsid w:val="00FC0E5F"/>
    <w:rsid w:val="00FC135D"/>
    <w:rsid w:val="00FC26FB"/>
    <w:rsid w:val="00FC2CF4"/>
    <w:rsid w:val="00FC3C84"/>
    <w:rsid w:val="00FC3EED"/>
    <w:rsid w:val="00FC428D"/>
    <w:rsid w:val="00FC4660"/>
    <w:rsid w:val="00FC56DE"/>
    <w:rsid w:val="00FC5E01"/>
    <w:rsid w:val="00FC6140"/>
    <w:rsid w:val="00FC6DB5"/>
    <w:rsid w:val="00FC740A"/>
    <w:rsid w:val="00FD1261"/>
    <w:rsid w:val="00FD1627"/>
    <w:rsid w:val="00FD1BBD"/>
    <w:rsid w:val="00FD33E5"/>
    <w:rsid w:val="00FD38B2"/>
    <w:rsid w:val="00FD38F7"/>
    <w:rsid w:val="00FD4262"/>
    <w:rsid w:val="00FD43A0"/>
    <w:rsid w:val="00FD473D"/>
    <w:rsid w:val="00FD55BA"/>
    <w:rsid w:val="00FD61C8"/>
    <w:rsid w:val="00FD63CE"/>
    <w:rsid w:val="00FD77BB"/>
    <w:rsid w:val="00FD7D49"/>
    <w:rsid w:val="00FE1251"/>
    <w:rsid w:val="00FE16E6"/>
    <w:rsid w:val="00FE2F3B"/>
    <w:rsid w:val="00FE2F78"/>
    <w:rsid w:val="00FE3510"/>
    <w:rsid w:val="00FE371D"/>
    <w:rsid w:val="00FE375F"/>
    <w:rsid w:val="00FE3D8B"/>
    <w:rsid w:val="00FE4FCB"/>
    <w:rsid w:val="00FE60A8"/>
    <w:rsid w:val="00FE688F"/>
    <w:rsid w:val="00FE6920"/>
    <w:rsid w:val="00FE705E"/>
    <w:rsid w:val="00FF02EB"/>
    <w:rsid w:val="00FF288B"/>
    <w:rsid w:val="00FF28E0"/>
    <w:rsid w:val="00FF2FB4"/>
    <w:rsid w:val="00FF30B3"/>
    <w:rsid w:val="00FF3DF3"/>
    <w:rsid w:val="00FF4027"/>
    <w:rsid w:val="00FF45A2"/>
    <w:rsid w:val="00FF4BD5"/>
    <w:rsid w:val="00FF55B1"/>
    <w:rsid w:val="00FF5A33"/>
    <w:rsid w:val="00FF65DF"/>
    <w:rsid w:val="00FF6B00"/>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 w:type="character" w:customStyle="1" w:styleId="shorttext">
    <w:name w:val="short_text"/>
    <w:basedOn w:val="Standardnpsmoodstavce"/>
    <w:rsid w:val="00F96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2268191">
      <w:bodyDiv w:val="1"/>
      <w:marLeft w:val="0"/>
      <w:marRight w:val="0"/>
      <w:marTop w:val="0"/>
      <w:marBottom w:val="0"/>
      <w:divBdr>
        <w:top w:val="none" w:sz="0" w:space="0" w:color="auto"/>
        <w:left w:val="none" w:sz="0" w:space="0" w:color="auto"/>
        <w:bottom w:val="none" w:sz="0" w:space="0" w:color="auto"/>
        <w:right w:val="none" w:sz="0" w:space="0" w:color="auto"/>
      </w:divBdr>
    </w:div>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328634465">
      <w:bodyDiv w:val="1"/>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 w:id="1749158053">
      <w:bodyDiv w:val="1"/>
      <w:marLeft w:val="0"/>
      <w:marRight w:val="0"/>
      <w:marTop w:val="0"/>
      <w:marBottom w:val="0"/>
      <w:divBdr>
        <w:top w:val="none" w:sz="0" w:space="0" w:color="auto"/>
        <w:left w:val="none" w:sz="0" w:space="0" w:color="auto"/>
        <w:bottom w:val="none" w:sz="0" w:space="0" w:color="auto"/>
        <w:right w:val="none" w:sz="0" w:space="0" w:color="auto"/>
      </w:divBdr>
    </w:div>
    <w:div w:id="2084790664">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ri.kamenicky@czso.cz"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6.xm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trh%20pr&#225;ce-2017.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JKAM%20CSU\PUBLIKACE\PUBLIKACE\2017\QMakro\Celorok\ENGL\ENGL-Grafy-trh%20pr&#225;ce-201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trh%20pr&#225;ce-20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JKAM%20CSU\PUBLIKACE\PUBLIKACE\2017\QMakro\Celorok\ENGL\ENGL-Grafy-st&#225;tn&#237;%20rozpo&#269;et-rok-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7\QMakro\Celorok\ENGL\ENGL-Odv&#283;tv&#237;%20grafy-rok-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7\QMakro\Celorok\ENGL\ENGL-Odv&#283;tv&#237;%20grafy-rok-2017.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QMakro\Celorok\ENGL\ENGL-Odv&#283;tv&#237;%20grafy-rok-2017.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JKAM%20CSU\PUBLIKACE\PUBLIKACE\2017\QMakro\Celorok\ENGL\ENGL-Odv&#283;tv&#237;%20grafy-rok-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Anal&#253;za\Q\2017Q4\Makroanal&#253;za%20grafy_e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93E-2"/>
          <c:y val="2.304663608562698E-2"/>
          <c:w val="0.93617042384329663"/>
          <c:h val="0.741928402566711"/>
        </c:manualLayout>
      </c:layout>
      <c:barChart>
        <c:barDir val="col"/>
        <c:grouping val="clustered"/>
        <c:ser>
          <c:idx val="0"/>
          <c:order val="0"/>
          <c:tx>
            <c:strRef>
              <c:f>'souhrnná výkonnost 1'!$C$4</c:f>
              <c:strCache>
                <c:ptCount val="1"/>
                <c:pt idx="0">
                  <c:v>CR year-on-year change</c:v>
                </c:pt>
              </c:strCache>
            </c:strRef>
          </c:tx>
          <c:spPr>
            <a:solidFill>
              <a:schemeClr val="bg1">
                <a:lumMod val="65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1'!$C$9:$C$28</c:f>
              <c:numCache>
                <c:formatCode>0.0</c:formatCode>
                <c:ptCount val="20"/>
                <c:pt idx="0">
                  <c:v>-1.7511683134985254</c:v>
                </c:pt>
                <c:pt idx="1">
                  <c:v>-1.1225511599608375</c:v>
                </c:pt>
                <c:pt idx="2">
                  <c:v>-0.35187335671894032</c:v>
                </c:pt>
                <c:pt idx="3">
                  <c:v>1.3064560933108851</c:v>
                </c:pt>
                <c:pt idx="4">
                  <c:v>1.6429317745401164</c:v>
                </c:pt>
                <c:pt idx="5">
                  <c:v>2.379951450221256</c:v>
                </c:pt>
                <c:pt idx="6">
                  <c:v>3.4229941989101462</c:v>
                </c:pt>
                <c:pt idx="7">
                  <c:v>3.3996850847558227</c:v>
                </c:pt>
                <c:pt idx="8">
                  <c:v>5.1924491451289043</c:v>
                </c:pt>
                <c:pt idx="9">
                  <c:v>5.7975987955825827</c:v>
                </c:pt>
                <c:pt idx="10">
                  <c:v>5.6880052521313953</c:v>
                </c:pt>
                <c:pt idx="11">
                  <c:v>4.8807255143514396</c:v>
                </c:pt>
                <c:pt idx="12">
                  <c:v>3.5408169174491197</c:v>
                </c:pt>
                <c:pt idx="13">
                  <c:v>2.8477395147454176</c:v>
                </c:pt>
                <c:pt idx="14">
                  <c:v>1.843939906776342</c:v>
                </c:pt>
                <c:pt idx="15">
                  <c:v>1.7654418234806435</c:v>
                </c:pt>
                <c:pt idx="16" formatCode="General">
                  <c:v>2.9941522181081548</c:v>
                </c:pt>
                <c:pt idx="17" formatCode="General">
                  <c:v>4.637718174337266</c:v>
                </c:pt>
                <c:pt idx="18" formatCode="General">
                  <c:v>5.1185945537624358</c:v>
                </c:pt>
                <c:pt idx="19" formatCode="General">
                  <c:v>5.2033349062953755</c:v>
                </c:pt>
              </c:numCache>
            </c:numRef>
          </c:val>
        </c:ser>
        <c:ser>
          <c:idx val="1"/>
          <c:order val="1"/>
          <c:tx>
            <c:strRef>
              <c:f>'souhrnná výkonnost 1'!$D$4</c:f>
              <c:strCache>
                <c:ptCount val="1"/>
                <c:pt idx="0">
                  <c:v>EU28 year-on-year change</c:v>
                </c:pt>
              </c:strCache>
            </c:strRef>
          </c:tx>
          <c:spPr>
            <a:solidFill>
              <a:schemeClr val="bg1">
                <a:lumMod val="50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1'!$D$9:$D$28</c:f>
              <c:numCache>
                <c:formatCode>0.0</c:formatCode>
                <c:ptCount val="20"/>
                <c:pt idx="0">
                  <c:v>-0.5911330049261021</c:v>
                </c:pt>
                <c:pt idx="1">
                  <c:v>9.8716683119455764E-2</c:v>
                </c:pt>
                <c:pt idx="2">
                  <c:v>0.49358341559723645</c:v>
                </c:pt>
                <c:pt idx="3">
                  <c:v>1.1892963330029618</c:v>
                </c:pt>
                <c:pt idx="4">
                  <c:v>1.6848364717542021</c:v>
                </c:pt>
                <c:pt idx="5">
                  <c:v>1.4792899408284024</c:v>
                </c:pt>
                <c:pt idx="6">
                  <c:v>1.5717092337917571</c:v>
                </c:pt>
                <c:pt idx="7">
                  <c:v>1.8609206660137181</c:v>
                </c:pt>
                <c:pt idx="8" formatCode="#,##0.0">
                  <c:v>2.2000000000000002</c:v>
                </c:pt>
                <c:pt idx="9" formatCode="#,##0.0">
                  <c:v>2.2999999999999998</c:v>
                </c:pt>
                <c:pt idx="10" formatCode="#,##0.0">
                  <c:v>2.2000000000000002</c:v>
                </c:pt>
                <c:pt idx="11" formatCode="#,##0.0">
                  <c:v>2.2000000000000002</c:v>
                </c:pt>
                <c:pt idx="12" formatCode="#,##0.0">
                  <c:v>1.9000000000000001</c:v>
                </c:pt>
                <c:pt idx="13" formatCode="#,##0.0">
                  <c:v>1.9000000000000001</c:v>
                </c:pt>
                <c:pt idx="14" formatCode="#,##0.0">
                  <c:v>1.9000000000000001</c:v>
                </c:pt>
                <c:pt idx="15" formatCode="#,##0.0">
                  <c:v>2</c:v>
                </c:pt>
                <c:pt idx="16" formatCode="#,##0.0">
                  <c:v>2.2000000000000002</c:v>
                </c:pt>
                <c:pt idx="17" formatCode="#,##0.0">
                  <c:v>2.5</c:v>
                </c:pt>
                <c:pt idx="18" formatCode="#,##0.0">
                  <c:v>2.8</c:v>
                </c:pt>
                <c:pt idx="19" formatCode="#,##0.0">
                  <c:v>2.6</c:v>
                </c:pt>
              </c:numCache>
            </c:numRef>
          </c:val>
        </c:ser>
        <c:gapWidth val="100"/>
        <c:axId val="120153600"/>
        <c:axId val="120808576"/>
      </c:barChart>
      <c:lineChart>
        <c:grouping val="standard"/>
        <c:ser>
          <c:idx val="2"/>
          <c:order val="2"/>
          <c:tx>
            <c:strRef>
              <c:f>'souhrnná výkonnost 1'!$E$4</c:f>
              <c:strCache>
                <c:ptCount val="1"/>
                <c:pt idx="0">
                  <c:v>ČR quarter-on-quarter change</c:v>
                </c:pt>
              </c:strCache>
            </c:strRef>
          </c:tx>
          <c:spPr>
            <a:ln w="19050">
              <a:noFill/>
            </a:ln>
          </c:spPr>
          <c:marker>
            <c:symbol val="dash"/>
            <c:size val="8"/>
            <c:spPr>
              <a:solidFill>
                <a:schemeClr val="accent1"/>
              </a:solidFill>
              <a:ln>
                <a:noFill/>
              </a:ln>
            </c:spPr>
          </c:marker>
          <c:val>
            <c:numRef>
              <c:f>'souhrnná výkonnost 1'!$E$9:$E$28</c:f>
              <c:numCache>
                <c:formatCode>0.0</c:formatCode>
                <c:ptCount val="20"/>
                <c:pt idx="0">
                  <c:v>-0.45693637688056332</c:v>
                </c:pt>
                <c:pt idx="1">
                  <c:v>0.19806063963226012</c:v>
                </c:pt>
                <c:pt idx="2">
                  <c:v>0.25106366477383801</c:v>
                </c:pt>
                <c:pt idx="3">
                  <c:v>1.3159486871259642</c:v>
                </c:pt>
                <c:pt idx="4">
                  <c:v>-0.1263175650510249</c:v>
                </c:pt>
                <c:pt idx="5">
                  <c:v>0.92460345837255964</c:v>
                </c:pt>
                <c:pt idx="6">
                  <c:v>1.272417391970436</c:v>
                </c:pt>
                <c:pt idx="7">
                  <c:v>1.2931144515490858</c:v>
                </c:pt>
                <c:pt idx="8">
                  <c:v>1.6053119684405321</c:v>
                </c:pt>
                <c:pt idx="9">
                  <c:v>1.5052011058400858</c:v>
                </c:pt>
                <c:pt idx="10">
                  <c:v>1.1675113903011718</c:v>
                </c:pt>
                <c:pt idx="11">
                  <c:v>0.51940433488746729</c:v>
                </c:pt>
                <c:pt idx="12">
                  <c:v>0.30724856994861316</c:v>
                </c:pt>
                <c:pt idx="13">
                  <c:v>0.82574962730442047</c:v>
                </c:pt>
                <c:pt idx="14">
                  <c:v>0.18011090146271183</c:v>
                </c:pt>
                <c:pt idx="15">
                  <c:v>0.4419271616601182</c:v>
                </c:pt>
                <c:pt idx="16" formatCode="General">
                  <c:v>1.51835281875799</c:v>
                </c:pt>
                <c:pt idx="17" formatCode="General">
                  <c:v>2.4347125250016717</c:v>
                </c:pt>
                <c:pt idx="18" formatCode="General">
                  <c:v>0.64050176109941503</c:v>
                </c:pt>
                <c:pt idx="19" formatCode="General">
                  <c:v>0.52289746337408038</c:v>
                </c:pt>
              </c:numCache>
            </c:numRef>
          </c:val>
        </c:ser>
        <c:ser>
          <c:idx val="3"/>
          <c:order val="3"/>
          <c:tx>
            <c:strRef>
              <c:f>'souhrnná výkonnost 1'!$F$4</c:f>
              <c:strCache>
                <c:ptCount val="1"/>
                <c:pt idx="0">
                  <c:v>EU28 quarter-on-quarter change</c:v>
                </c:pt>
              </c:strCache>
            </c:strRef>
          </c:tx>
          <c:spPr>
            <a:ln w="19050">
              <a:noFill/>
            </a:ln>
          </c:spPr>
          <c:marker>
            <c:symbol val="dash"/>
            <c:size val="8"/>
            <c:spPr>
              <a:solidFill>
                <a:schemeClr val="accent2"/>
              </a:solidFill>
              <a:ln>
                <a:noFill/>
              </a:ln>
            </c:spPr>
          </c:marker>
          <c:val>
            <c:numRef>
              <c:f>'souhrnná výkonnost 1'!$F$9:$F$28</c:f>
              <c:numCache>
                <c:formatCode>0.0</c:formatCode>
                <c:ptCount val="20"/>
                <c:pt idx="0">
                  <c:v>0</c:v>
                </c:pt>
                <c:pt idx="1">
                  <c:v>0.49554013875123876</c:v>
                </c:pt>
                <c:pt idx="2">
                  <c:v>0.39447731755423304</c:v>
                </c:pt>
                <c:pt idx="3">
                  <c:v>0.29469548133595086</c:v>
                </c:pt>
                <c:pt idx="4">
                  <c:v>0.48971596474045143</c:v>
                </c:pt>
                <c:pt idx="5">
                  <c:v>0.29239766081872481</c:v>
                </c:pt>
                <c:pt idx="6">
                  <c:v>0.48590864917395615</c:v>
                </c:pt>
                <c:pt idx="7">
                  <c:v>0.58027079303674456</c:v>
                </c:pt>
                <c:pt idx="8" formatCode="#,##0.0">
                  <c:v>0.70000000000000062</c:v>
                </c:pt>
                <c:pt idx="9" formatCode="#,##0.0">
                  <c:v>0.4</c:v>
                </c:pt>
                <c:pt idx="10" formatCode="#,##0.0">
                  <c:v>0.5</c:v>
                </c:pt>
                <c:pt idx="11" formatCode="#,##0.0">
                  <c:v>0.5</c:v>
                </c:pt>
                <c:pt idx="12" formatCode="#,##0.0">
                  <c:v>0.4</c:v>
                </c:pt>
                <c:pt idx="13" formatCode="#,##0.0">
                  <c:v>0.4</c:v>
                </c:pt>
                <c:pt idx="14" formatCode="#,##0.0">
                  <c:v>0.4</c:v>
                </c:pt>
                <c:pt idx="15" formatCode="#,##0.0">
                  <c:v>0.70000000000000062</c:v>
                </c:pt>
                <c:pt idx="16" formatCode="#,##0.0">
                  <c:v>0.60000000000000064</c:v>
                </c:pt>
                <c:pt idx="17" formatCode="#,##0.0">
                  <c:v>0.70000000000000062</c:v>
                </c:pt>
                <c:pt idx="18" formatCode="#,##0.0">
                  <c:v>0.70000000000000062</c:v>
                </c:pt>
                <c:pt idx="19" formatCode="#,##0.0">
                  <c:v>0.60000000000000064</c:v>
                </c:pt>
              </c:numCache>
            </c:numRef>
          </c:val>
        </c:ser>
        <c:marker val="1"/>
        <c:axId val="120153600"/>
        <c:axId val="120808576"/>
      </c:lineChart>
      <c:catAx>
        <c:axId val="120153600"/>
        <c:scaling>
          <c:orientation val="minMax"/>
        </c:scaling>
        <c:axPos val="b"/>
        <c:tickLblPos val="low"/>
        <c:spPr>
          <a:ln>
            <a:solidFill>
              <a:schemeClr val="tx1"/>
            </a:solidFill>
          </a:ln>
        </c:spPr>
        <c:txPr>
          <a:bodyPr rot="0" vert="horz"/>
          <a:lstStyle/>
          <a:p>
            <a:pPr>
              <a:defRPr/>
            </a:pPr>
            <a:endParaRPr lang="cs-CZ"/>
          </a:p>
        </c:txPr>
        <c:crossAx val="120808576"/>
        <c:crosses val="autoZero"/>
        <c:auto val="1"/>
        <c:lblAlgn val="ctr"/>
        <c:lblOffset val="100"/>
      </c:catAx>
      <c:valAx>
        <c:axId val="120808576"/>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20153600"/>
        <c:crosses val="autoZero"/>
        <c:crossBetween val="between"/>
      </c:valAx>
      <c:spPr>
        <a:ln>
          <a:solidFill>
            <a:schemeClr val="tx1"/>
          </a:solidFill>
        </a:ln>
      </c:spPr>
    </c:plotArea>
    <c:legend>
      <c:legendPos val="b"/>
      <c:layout>
        <c:manualLayout>
          <c:xMode val="edge"/>
          <c:yMode val="edge"/>
          <c:x val="3.9667131036811895E-2"/>
          <c:y val="0.89437255125718029"/>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656266097578916E-2"/>
          <c:y val="2.3304908251716772E-2"/>
          <c:w val="0.92389825103638445"/>
          <c:h val="0.63153439153439161"/>
        </c:manualLayout>
      </c:layout>
      <c:barChart>
        <c:barDir val="col"/>
        <c:grouping val="clustered"/>
        <c:ser>
          <c:idx val="0"/>
          <c:order val="0"/>
          <c:tx>
            <c:strRef>
              <c:f>'Vnější vztahy 2'!$A$6</c:f>
              <c:strCache>
                <c:ptCount val="1"/>
                <c:pt idx="0">
                  <c:v>2016</c:v>
                </c:pt>
              </c:strCache>
            </c:strRef>
          </c:tx>
          <c:spPr>
            <a:solidFill>
              <a:schemeClr val="tx1">
                <a:lumMod val="50000"/>
                <a:lumOff val="50000"/>
              </a:schemeClr>
            </a:solidFill>
            <a:ln>
              <a:noFill/>
            </a:ln>
          </c:spPr>
          <c:cat>
            <c:strRef>
              <c:f>'Vnější vztahy 2'!$B$5:$N$5</c:f>
              <c:strCache>
                <c:ptCount val="13"/>
                <c:pt idx="0">
                  <c:v>Oil and natural gas</c:v>
                </c:pt>
                <c:pt idx="1">
                  <c:v>Food products</c:v>
                </c:pt>
                <c:pt idx="2">
                  <c:v>Clothing</c:v>
                </c:pt>
                <c:pt idx="3">
                  <c:v>Coke, refined                                                               oil products</c:v>
                </c:pt>
                <c:pt idx="4">
                  <c:v>Chemical subst.                                           and prod.</c:v>
                </c:pt>
                <c:pt idx="5">
                  <c:v>Pharmaceutical                                       products</c:v>
                </c:pt>
                <c:pt idx="6">
                  <c:v>Other non-metal                                        prod.</c:v>
                </c:pt>
                <c:pt idx="7">
                  <c:v>Basic metals</c:v>
                </c:pt>
                <c:pt idx="8">
                  <c:v>Metal products</c:v>
                </c:pt>
                <c:pt idx="9">
                  <c:v>Computers,                                           el. appliances</c:v>
                </c:pt>
                <c:pt idx="10">
                  <c:v>Electrical                                       equipment</c:v>
                </c:pt>
                <c:pt idx="11">
                  <c:v>Machines                                        and appl. n.e.c.</c:v>
                </c:pt>
                <c:pt idx="12">
                  <c:v>Motor vehicles</c:v>
                </c:pt>
              </c:strCache>
            </c:strRef>
          </c:cat>
          <c:val>
            <c:numRef>
              <c:f>'Vnější vztahy 2'!$B$6:$N$6</c:f>
              <c:numCache>
                <c:formatCode>General</c:formatCode>
                <c:ptCount val="13"/>
                <c:pt idx="0">
                  <c:v>-77.664999999999992</c:v>
                </c:pt>
                <c:pt idx="1">
                  <c:v>-36.097000000000001</c:v>
                </c:pt>
                <c:pt idx="2">
                  <c:v>-27.305</c:v>
                </c:pt>
                <c:pt idx="3">
                  <c:v>-30.190999999999999</c:v>
                </c:pt>
                <c:pt idx="4">
                  <c:v>-119.44500000000002</c:v>
                </c:pt>
                <c:pt idx="5">
                  <c:v>-45.016000000000005</c:v>
                </c:pt>
                <c:pt idx="6">
                  <c:v>23.847999999999999</c:v>
                </c:pt>
                <c:pt idx="7">
                  <c:v>-95.741000000000099</c:v>
                </c:pt>
                <c:pt idx="8">
                  <c:v>60.407000000000004</c:v>
                </c:pt>
                <c:pt idx="9">
                  <c:v>-59.457999999999998</c:v>
                </c:pt>
                <c:pt idx="10">
                  <c:v>39.121000000000002</c:v>
                </c:pt>
                <c:pt idx="11">
                  <c:v>63.431000000000004</c:v>
                </c:pt>
                <c:pt idx="12">
                  <c:v>415.952</c:v>
                </c:pt>
              </c:numCache>
            </c:numRef>
          </c:val>
        </c:ser>
        <c:ser>
          <c:idx val="1"/>
          <c:order val="1"/>
          <c:tx>
            <c:strRef>
              <c:f>'Vnější vztahy 2'!$A$7</c:f>
              <c:strCache>
                <c:ptCount val="1"/>
                <c:pt idx="0">
                  <c:v>2017</c:v>
                </c:pt>
              </c:strCache>
            </c:strRef>
          </c:tx>
          <c:spPr>
            <a:solidFill>
              <a:schemeClr val="bg1">
                <a:lumMod val="65000"/>
              </a:schemeClr>
            </a:solidFill>
          </c:spPr>
          <c:val>
            <c:numRef>
              <c:f>'Vnější vztahy 2'!$B$7:$N$7</c:f>
              <c:numCache>
                <c:formatCode>General</c:formatCode>
                <c:ptCount val="13"/>
                <c:pt idx="0">
                  <c:v>-117.798</c:v>
                </c:pt>
                <c:pt idx="1">
                  <c:v>-41.052</c:v>
                </c:pt>
                <c:pt idx="2">
                  <c:v>-29.896000000000001</c:v>
                </c:pt>
                <c:pt idx="3">
                  <c:v>-16.481999999999989</c:v>
                </c:pt>
                <c:pt idx="4">
                  <c:v>-108.26400000000002</c:v>
                </c:pt>
                <c:pt idx="5">
                  <c:v>-50.586000000000006</c:v>
                </c:pt>
                <c:pt idx="6">
                  <c:v>23.99299999999997</c:v>
                </c:pt>
                <c:pt idx="7">
                  <c:v>-124.97799999999999</c:v>
                </c:pt>
                <c:pt idx="8">
                  <c:v>59.509</c:v>
                </c:pt>
                <c:pt idx="9">
                  <c:v>-61.706000000000003</c:v>
                </c:pt>
                <c:pt idx="10">
                  <c:v>40.922000000000011</c:v>
                </c:pt>
                <c:pt idx="11">
                  <c:v>76.837999999999994</c:v>
                </c:pt>
                <c:pt idx="12">
                  <c:v>447.09099999999955</c:v>
                </c:pt>
              </c:numCache>
            </c:numRef>
          </c:val>
        </c:ser>
        <c:gapWidth val="97"/>
        <c:axId val="154206592"/>
        <c:axId val="154208128"/>
      </c:barChart>
      <c:catAx>
        <c:axId val="154206592"/>
        <c:scaling>
          <c:orientation val="minMax"/>
        </c:scaling>
        <c:axPos val="b"/>
        <c:tickLblPos val="low"/>
        <c:spPr>
          <a:ln>
            <a:solidFill>
              <a:schemeClr val="tx1"/>
            </a:solidFill>
          </a:ln>
        </c:spPr>
        <c:txPr>
          <a:bodyPr rot="-5400000" vert="horz"/>
          <a:lstStyle/>
          <a:p>
            <a:pPr>
              <a:defRPr/>
            </a:pPr>
            <a:endParaRPr lang="cs-CZ"/>
          </a:p>
        </c:txPr>
        <c:crossAx val="154208128"/>
        <c:crosses val="autoZero"/>
        <c:auto val="1"/>
        <c:lblAlgn val="ctr"/>
        <c:lblOffset val="100"/>
      </c:catAx>
      <c:valAx>
        <c:axId val="154208128"/>
        <c:scaling>
          <c:orientation val="minMax"/>
          <c:max val="450"/>
          <c:min val="-150"/>
        </c:scaling>
        <c:axPos val="l"/>
        <c:majorGridlines>
          <c:spPr>
            <a:ln w="6350">
              <a:solidFill>
                <a:schemeClr val="bg1">
                  <a:lumMod val="75000"/>
                </a:schemeClr>
              </a:solidFill>
            </a:ln>
          </c:spPr>
        </c:majorGridlines>
        <c:numFmt formatCode="General" sourceLinked="1"/>
        <c:tickLblPos val="nextTo"/>
        <c:crossAx val="154206592"/>
        <c:crosses val="autoZero"/>
        <c:crossBetween val="between"/>
        <c:majorUnit val="5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568840579710145E-2"/>
          <c:y val="2.1811315924219993E-2"/>
          <c:w val="0.92237743255066085"/>
          <c:h val="0.73318107621299566"/>
        </c:manualLayout>
      </c:layout>
      <c:barChart>
        <c:barDir val="col"/>
        <c:grouping val="clustered"/>
        <c:ser>
          <c:idx val="0"/>
          <c:order val="0"/>
          <c:tx>
            <c:strRef>
              <c:f>'Ceny 2'!$C$5</c:f>
              <c:strCache>
                <c:ptCount val="1"/>
                <c:pt idx="0">
                  <c:v>Total</c:v>
                </c:pt>
              </c:strCache>
            </c:strRef>
          </c:tx>
          <c:spPr>
            <a:solidFill>
              <a:schemeClr val="bg1">
                <a:lumMod val="65000"/>
              </a:schemeClr>
            </a:solidFill>
            <a:ln w="19050">
              <a:noFill/>
            </a:ln>
          </c:spP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2'!$C$10:$C$29</c:f>
              <c:numCache>
                <c:formatCode>0.0</c:formatCode>
                <c:ptCount val="20"/>
                <c:pt idx="0">
                  <c:v>1.7999999999999949</c:v>
                </c:pt>
                <c:pt idx="1">
                  <c:v>1.5</c:v>
                </c:pt>
                <c:pt idx="2">
                  <c:v>1.2000000000000028</c:v>
                </c:pt>
                <c:pt idx="3">
                  <c:v>1.0999999999999925</c:v>
                </c:pt>
                <c:pt idx="4">
                  <c:v>0.20000000000000284</c:v>
                </c:pt>
                <c:pt idx="5">
                  <c:v>0.20000000000000284</c:v>
                </c:pt>
                <c:pt idx="6">
                  <c:v>0.59999999999999432</c:v>
                </c:pt>
                <c:pt idx="7">
                  <c:v>0.5</c:v>
                </c:pt>
                <c:pt idx="8">
                  <c:v>9.9999999999994524E-2</c:v>
                </c:pt>
                <c:pt idx="9">
                  <c:v>0.70000000000000284</c:v>
                </c:pt>
                <c:pt idx="10">
                  <c:v>0.40000000000000568</c:v>
                </c:pt>
                <c:pt idx="11">
                  <c:v>9.9999999999994524E-2</c:v>
                </c:pt>
                <c:pt idx="12">
                  <c:v>0.5</c:v>
                </c:pt>
                <c:pt idx="13">
                  <c:v>0.20000000000000284</c:v>
                </c:pt>
                <c:pt idx="14">
                  <c:v>0.5</c:v>
                </c:pt>
                <c:pt idx="15">
                  <c:v>1.4000000000000057</c:v>
                </c:pt>
                <c:pt idx="16" formatCode="General">
                  <c:v>2.4000000000000057</c:v>
                </c:pt>
                <c:pt idx="17" formatCode="General">
                  <c:v>2.2000000000000042</c:v>
                </c:pt>
                <c:pt idx="18">
                  <c:v>2.5</c:v>
                </c:pt>
                <c:pt idx="19">
                  <c:v>2.6</c:v>
                </c:pt>
              </c:numCache>
            </c:numRef>
          </c:val>
        </c:ser>
        <c:gapWidth val="95"/>
        <c:axId val="154235648"/>
        <c:axId val="154237184"/>
      </c:barChart>
      <c:lineChart>
        <c:grouping val="standard"/>
        <c:ser>
          <c:idx val="1"/>
          <c:order val="1"/>
          <c:tx>
            <c:strRef>
              <c:f>'Ceny 2'!$D$5</c:f>
              <c:strCache>
                <c:ptCount val="1"/>
                <c:pt idx="0">
                  <c:v>Food</c:v>
                </c:pt>
              </c:strCache>
            </c:strRef>
          </c:tx>
          <c:spPr>
            <a:ln w="19050">
              <a:solidFill>
                <a:srgbClr val="0071BC"/>
              </a:solidFill>
            </a:ln>
          </c:spPr>
          <c:marker>
            <c:symbol val="none"/>
          </c:marke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2'!$D$10:$D$29</c:f>
              <c:numCache>
                <c:formatCode>0.0</c:formatCode>
                <c:ptCount val="20"/>
                <c:pt idx="0">
                  <c:v>4.9000000000000083</c:v>
                </c:pt>
                <c:pt idx="1">
                  <c:v>5.4000000000000083</c:v>
                </c:pt>
                <c:pt idx="2">
                  <c:v>5.2999999999999972</c:v>
                </c:pt>
                <c:pt idx="3">
                  <c:v>4.0999999999999943</c:v>
                </c:pt>
                <c:pt idx="4">
                  <c:v>3.9000000000000057</c:v>
                </c:pt>
                <c:pt idx="5">
                  <c:v>1.5</c:v>
                </c:pt>
                <c:pt idx="6">
                  <c:v>1.4000000000000057</c:v>
                </c:pt>
                <c:pt idx="7">
                  <c:v>1.2000000000000028</c:v>
                </c:pt>
                <c:pt idx="8">
                  <c:v>-1.5999999999999925</c:v>
                </c:pt>
                <c:pt idx="9">
                  <c:v>-9.9999999999994524E-2</c:v>
                </c:pt>
                <c:pt idx="10">
                  <c:v>-0.90000000000000568</c:v>
                </c:pt>
                <c:pt idx="11">
                  <c:v>-1.5999999999999925</c:v>
                </c:pt>
                <c:pt idx="12">
                  <c:v>-1.7000000000000028</c:v>
                </c:pt>
                <c:pt idx="13">
                  <c:v>-2.4000000000000057</c:v>
                </c:pt>
                <c:pt idx="14">
                  <c:v>-0.7999999999999976</c:v>
                </c:pt>
                <c:pt idx="15">
                  <c:v>1.2000000000000028</c:v>
                </c:pt>
                <c:pt idx="16" formatCode="General">
                  <c:v>4.2000000000000028</c:v>
                </c:pt>
                <c:pt idx="17" formatCode="General">
                  <c:v>4.5</c:v>
                </c:pt>
                <c:pt idx="18">
                  <c:v>5.7</c:v>
                </c:pt>
                <c:pt idx="19">
                  <c:v>6.3</c:v>
                </c:pt>
              </c:numCache>
            </c:numRef>
          </c:val>
        </c:ser>
        <c:ser>
          <c:idx val="3"/>
          <c:order val="2"/>
          <c:tx>
            <c:strRef>
              <c:f>'Ceny 2'!$F$5</c:f>
              <c:strCache>
                <c:ptCount val="1"/>
                <c:pt idx="0">
                  <c:v>Housing and energy</c:v>
                </c:pt>
              </c:strCache>
            </c:strRef>
          </c:tx>
          <c:spPr>
            <a:ln w="19050">
              <a:solidFill>
                <a:srgbClr val="7DBB2D"/>
              </a:solidFill>
            </a:ln>
          </c:spPr>
          <c:marker>
            <c:symbol val="none"/>
          </c:marke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2'!$F$10:$F$29</c:f>
              <c:numCache>
                <c:formatCode>0.0</c:formatCode>
                <c:ptCount val="20"/>
                <c:pt idx="0">
                  <c:v>2.5999999999999943</c:v>
                </c:pt>
                <c:pt idx="1">
                  <c:v>2</c:v>
                </c:pt>
                <c:pt idx="2">
                  <c:v>1.2000000000000028</c:v>
                </c:pt>
                <c:pt idx="3">
                  <c:v>1.2000000000000028</c:v>
                </c:pt>
                <c:pt idx="4">
                  <c:v>-2.4000000000000057</c:v>
                </c:pt>
                <c:pt idx="5">
                  <c:v>-1.7000000000000028</c:v>
                </c:pt>
                <c:pt idx="6">
                  <c:v>-0.70000000000000284</c:v>
                </c:pt>
                <c:pt idx="7">
                  <c:v>-0.59999999999999432</c:v>
                </c:pt>
                <c:pt idx="8">
                  <c:v>1.0999999999999925</c:v>
                </c:pt>
                <c:pt idx="9">
                  <c:v>1.2000000000000028</c:v>
                </c:pt>
                <c:pt idx="10">
                  <c:v>0.7999999999999976</c:v>
                </c:pt>
                <c:pt idx="11">
                  <c:v>0.90000000000000568</c:v>
                </c:pt>
                <c:pt idx="12">
                  <c:v>0.90000000000000568</c:v>
                </c:pt>
                <c:pt idx="13">
                  <c:v>0.5</c:v>
                </c:pt>
                <c:pt idx="14">
                  <c:v>0.40000000000000568</c:v>
                </c:pt>
                <c:pt idx="15">
                  <c:v>0.59999999999999432</c:v>
                </c:pt>
                <c:pt idx="16" formatCode="General">
                  <c:v>0.7999999999999976</c:v>
                </c:pt>
                <c:pt idx="17" formatCode="General">
                  <c:v>1.5</c:v>
                </c:pt>
                <c:pt idx="18">
                  <c:v>2.1</c:v>
                </c:pt>
                <c:pt idx="19">
                  <c:v>2.2000000000000002</c:v>
                </c:pt>
              </c:numCache>
            </c:numRef>
          </c:val>
        </c:ser>
        <c:ser>
          <c:idx val="4"/>
          <c:order val="3"/>
          <c:tx>
            <c:strRef>
              <c:f>'Ceny 2'!$G$5</c:f>
              <c:strCache>
                <c:ptCount val="1"/>
                <c:pt idx="0">
                  <c:v>Transportation</c:v>
                </c:pt>
              </c:strCache>
            </c:strRef>
          </c:tx>
          <c:spPr>
            <a:ln w="19050">
              <a:solidFill>
                <a:srgbClr val="FFC000"/>
              </a:solidFill>
            </a:ln>
          </c:spPr>
          <c:marker>
            <c:symbol val="none"/>
          </c:marker>
          <c:val>
            <c:numRef>
              <c:f>'Ceny 2'!$G$10:$G$29</c:f>
              <c:numCache>
                <c:formatCode>General</c:formatCode>
                <c:ptCount val="20"/>
                <c:pt idx="0">
                  <c:v>-0.7999999999999976</c:v>
                </c:pt>
                <c:pt idx="1">
                  <c:v>-1.2000000000000028</c:v>
                </c:pt>
                <c:pt idx="2">
                  <c:v>-0.40000000000000568</c:v>
                </c:pt>
                <c:pt idx="3">
                  <c:v>-0.20000000000000284</c:v>
                </c:pt>
                <c:pt idx="4">
                  <c:v>9.9999999999994524E-2</c:v>
                </c:pt>
                <c:pt idx="5">
                  <c:v>0.29999999999999788</c:v>
                </c:pt>
                <c:pt idx="6">
                  <c:v>0.5</c:v>
                </c:pt>
                <c:pt idx="7">
                  <c:v>0</c:v>
                </c:pt>
                <c:pt idx="8">
                  <c:v>-4.9000000000000083</c:v>
                </c:pt>
                <c:pt idx="9">
                  <c:v>-3.2999999999999972</c:v>
                </c:pt>
                <c:pt idx="10">
                  <c:v>-3.7999999999999972</c:v>
                </c:pt>
                <c:pt idx="11">
                  <c:v>-4.7000000000000028</c:v>
                </c:pt>
                <c:pt idx="12">
                  <c:v>-2.7000000000000042</c:v>
                </c:pt>
                <c:pt idx="13">
                  <c:v>-2.9000000000000057</c:v>
                </c:pt>
                <c:pt idx="14">
                  <c:v>-2.2999999999999972</c:v>
                </c:pt>
                <c:pt idx="15">
                  <c:v>1.0999999999999925</c:v>
                </c:pt>
                <c:pt idx="16">
                  <c:v>6</c:v>
                </c:pt>
                <c:pt idx="17">
                  <c:v>3.9000000000000057</c:v>
                </c:pt>
                <c:pt idx="18" formatCode="0.0">
                  <c:v>2.5</c:v>
                </c:pt>
                <c:pt idx="19" formatCode="0.0">
                  <c:v>2.5</c:v>
                </c:pt>
              </c:numCache>
            </c:numRef>
          </c:val>
        </c:ser>
        <c:ser>
          <c:idx val="2"/>
          <c:order val="4"/>
          <c:tx>
            <c:strRef>
              <c:f>'Ceny 2'!$H$5</c:f>
              <c:strCache>
                <c:ptCount val="1"/>
                <c:pt idx="0">
                  <c:v>Restaurants and hotels</c:v>
                </c:pt>
              </c:strCache>
            </c:strRef>
          </c:tx>
          <c:spPr>
            <a:ln w="19050">
              <a:solidFill>
                <a:schemeClr val="accent2"/>
              </a:solidFill>
            </a:ln>
          </c:spPr>
          <c:marker>
            <c:symbol val="none"/>
          </c:marker>
          <c:val>
            <c:numRef>
              <c:f>'Ceny 2'!$H$10:$H$29</c:f>
              <c:numCache>
                <c:formatCode>###,###,##0.0</c:formatCode>
                <c:ptCount val="20"/>
                <c:pt idx="0">
                  <c:v>2.4000000000000057</c:v>
                </c:pt>
                <c:pt idx="1">
                  <c:v>1.9000000000000061</c:v>
                </c:pt>
                <c:pt idx="2">
                  <c:v>2</c:v>
                </c:pt>
                <c:pt idx="3">
                  <c:v>1.7999999999999949</c:v>
                </c:pt>
                <c:pt idx="4">
                  <c:v>1.5999999999999925</c:v>
                </c:pt>
                <c:pt idx="5">
                  <c:v>1.7000000000000028</c:v>
                </c:pt>
                <c:pt idx="6">
                  <c:v>1.7000000000000028</c:v>
                </c:pt>
                <c:pt idx="7">
                  <c:v>1.7000000000000028</c:v>
                </c:pt>
                <c:pt idx="8">
                  <c:v>1.7000000000000028</c:v>
                </c:pt>
                <c:pt idx="9">
                  <c:v>1.5999999999999925</c:v>
                </c:pt>
                <c:pt idx="10">
                  <c:v>1.4000000000000057</c:v>
                </c:pt>
                <c:pt idx="11">
                  <c:v>1.2999999999999949</c:v>
                </c:pt>
                <c:pt idx="12">
                  <c:v>1.2000000000000028</c:v>
                </c:pt>
                <c:pt idx="13">
                  <c:v>1.0999999999999925</c:v>
                </c:pt>
                <c:pt idx="14">
                  <c:v>1.2000000000000028</c:v>
                </c:pt>
                <c:pt idx="15">
                  <c:v>2.7000000000000042</c:v>
                </c:pt>
                <c:pt idx="16">
                  <c:v>5.2000000000000028</c:v>
                </c:pt>
                <c:pt idx="17">
                  <c:v>5.7999999999999972</c:v>
                </c:pt>
                <c:pt idx="18">
                  <c:v>6.2999999999999972</c:v>
                </c:pt>
                <c:pt idx="19" formatCode="0.0">
                  <c:v>5.6</c:v>
                </c:pt>
              </c:numCache>
            </c:numRef>
          </c:val>
        </c:ser>
        <c:marker val="1"/>
        <c:axId val="154235648"/>
        <c:axId val="154237184"/>
      </c:lineChart>
      <c:catAx>
        <c:axId val="154235648"/>
        <c:scaling>
          <c:orientation val="minMax"/>
        </c:scaling>
        <c:axPos val="b"/>
        <c:tickLblPos val="low"/>
        <c:spPr>
          <a:ln>
            <a:solidFill>
              <a:schemeClr val="tx1"/>
            </a:solidFill>
          </a:ln>
        </c:spPr>
        <c:txPr>
          <a:bodyPr rot="0" vert="horz"/>
          <a:lstStyle/>
          <a:p>
            <a:pPr>
              <a:defRPr/>
            </a:pPr>
            <a:endParaRPr lang="cs-CZ"/>
          </a:p>
        </c:txPr>
        <c:crossAx val="154237184"/>
        <c:crosses val="autoZero"/>
        <c:auto val="1"/>
        <c:lblAlgn val="ctr"/>
        <c:lblOffset val="100"/>
      </c:catAx>
      <c:valAx>
        <c:axId val="154237184"/>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54235648"/>
        <c:crosses val="autoZero"/>
        <c:crossBetween val="between"/>
        <c:majorUnit val="1"/>
      </c:valAx>
      <c:spPr>
        <a:ln>
          <a:solidFill>
            <a:schemeClr val="tx1"/>
          </a:solidFill>
        </a:ln>
      </c:spPr>
    </c:plotArea>
    <c:legend>
      <c:legendPos val="b"/>
      <c:layout>
        <c:manualLayout>
          <c:xMode val="edge"/>
          <c:yMode val="edge"/>
          <c:x val="5.6562767491901512E-2"/>
          <c:y val="0.87255825734549908"/>
          <c:w val="0.92362905268491069"/>
          <c:h val="0.10076212991106663"/>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9258203189717562E-2"/>
          <c:y val="2.9569886214146503E-2"/>
          <c:w val="0.92637856314472322"/>
          <c:h val="0.73556653157716956"/>
        </c:manualLayout>
      </c:layout>
      <c:barChart>
        <c:barDir val="col"/>
        <c:grouping val="clustered"/>
        <c:ser>
          <c:idx val="0"/>
          <c:order val="0"/>
          <c:tx>
            <c:strRef>
              <c:f>'Ceny 1'!$C$5</c:f>
              <c:strCache>
                <c:ptCount val="1"/>
                <c:pt idx="0">
                  <c:v>Realised prices of older flats, the CR</c:v>
                </c:pt>
              </c:strCache>
            </c:strRef>
          </c:tx>
          <c:spPr>
            <a:solidFill>
              <a:schemeClr val="bg1">
                <a:lumMod val="65000"/>
              </a:schemeClr>
            </a:solidFill>
            <a:ln w="19050">
              <a:noFill/>
            </a:ln>
          </c:spP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1'!$C$10:$C$29</c:f>
              <c:numCache>
                <c:formatCode>General</c:formatCode>
                <c:ptCount val="20"/>
                <c:pt idx="0">
                  <c:v>-5.0999999999999943</c:v>
                </c:pt>
                <c:pt idx="1">
                  <c:v>-3.5999999999999943</c:v>
                </c:pt>
                <c:pt idx="2">
                  <c:v>-2.5</c:v>
                </c:pt>
                <c:pt idx="3">
                  <c:v>-1.7000000000000028</c:v>
                </c:pt>
                <c:pt idx="4">
                  <c:v>1.2000000000000028</c:v>
                </c:pt>
                <c:pt idx="5">
                  <c:v>2.5</c:v>
                </c:pt>
                <c:pt idx="6">
                  <c:v>4.5</c:v>
                </c:pt>
                <c:pt idx="7">
                  <c:v>5.7000000000000028</c:v>
                </c:pt>
                <c:pt idx="8">
                  <c:v>4.2999999999999972</c:v>
                </c:pt>
                <c:pt idx="9">
                  <c:v>4.9000000000000083</c:v>
                </c:pt>
                <c:pt idx="10">
                  <c:v>6</c:v>
                </c:pt>
                <c:pt idx="11">
                  <c:v>6.7999999999999972</c:v>
                </c:pt>
                <c:pt idx="12">
                  <c:v>8.9000000000000057</c:v>
                </c:pt>
                <c:pt idx="13">
                  <c:v>10.3</c:v>
                </c:pt>
                <c:pt idx="14">
                  <c:v>12.3</c:v>
                </c:pt>
                <c:pt idx="15">
                  <c:v>14.600000000000001</c:v>
                </c:pt>
                <c:pt idx="16">
                  <c:v>17.200000000000003</c:v>
                </c:pt>
                <c:pt idx="17">
                  <c:v>18.700000000000003</c:v>
                </c:pt>
                <c:pt idx="18">
                  <c:v>15.8</c:v>
                </c:pt>
                <c:pt idx="19">
                  <c:v>12.700000000000003</c:v>
                </c:pt>
              </c:numCache>
            </c:numRef>
          </c:val>
        </c:ser>
        <c:ser>
          <c:idx val="1"/>
          <c:order val="1"/>
          <c:tx>
            <c:strRef>
              <c:f>'Ceny 1'!$D$5</c:f>
              <c:strCache>
                <c:ptCount val="1"/>
                <c:pt idx="0">
                  <c:v>Realised prices of older flats, Prague</c:v>
                </c:pt>
              </c:strCache>
            </c:strRef>
          </c:tx>
          <c:spPr>
            <a:solidFill>
              <a:prstClr val="black">
                <a:lumMod val="50000"/>
                <a:lumOff val="50000"/>
              </a:prstClr>
            </a:solidFill>
            <a:ln w="19050">
              <a:noFill/>
            </a:ln>
          </c:spP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1'!$D$10:$D$29</c:f>
              <c:numCache>
                <c:formatCode>General</c:formatCode>
                <c:ptCount val="20"/>
                <c:pt idx="0">
                  <c:v>0</c:v>
                </c:pt>
                <c:pt idx="1">
                  <c:v>0.70000000000000284</c:v>
                </c:pt>
                <c:pt idx="2">
                  <c:v>2.0999999999999943</c:v>
                </c:pt>
                <c:pt idx="3">
                  <c:v>0.5</c:v>
                </c:pt>
                <c:pt idx="4">
                  <c:v>2</c:v>
                </c:pt>
                <c:pt idx="5">
                  <c:v>2.0999999999999943</c:v>
                </c:pt>
                <c:pt idx="6">
                  <c:v>3.2000000000000042</c:v>
                </c:pt>
                <c:pt idx="7">
                  <c:v>5.2000000000000028</c:v>
                </c:pt>
                <c:pt idx="8">
                  <c:v>5</c:v>
                </c:pt>
                <c:pt idx="9">
                  <c:v>5.9000000000000083</c:v>
                </c:pt>
                <c:pt idx="10">
                  <c:v>5.5999999999999943</c:v>
                </c:pt>
                <c:pt idx="11">
                  <c:v>4.5999999999999943</c:v>
                </c:pt>
                <c:pt idx="12">
                  <c:v>5.7999999999999972</c:v>
                </c:pt>
                <c:pt idx="13">
                  <c:v>7.5</c:v>
                </c:pt>
                <c:pt idx="14">
                  <c:v>9.4000000000000057</c:v>
                </c:pt>
                <c:pt idx="15">
                  <c:v>13.900000000000006</c:v>
                </c:pt>
                <c:pt idx="16">
                  <c:v>16.200000000000003</c:v>
                </c:pt>
                <c:pt idx="17">
                  <c:v>19</c:v>
                </c:pt>
                <c:pt idx="18">
                  <c:v>16.400000000000006</c:v>
                </c:pt>
                <c:pt idx="19">
                  <c:v>10.700000000000003</c:v>
                </c:pt>
              </c:numCache>
            </c:numRef>
          </c:val>
        </c:ser>
        <c:gapWidth val="95"/>
        <c:axId val="154268032"/>
        <c:axId val="154269568"/>
      </c:barChart>
      <c:lineChart>
        <c:grouping val="standard"/>
        <c:ser>
          <c:idx val="2"/>
          <c:order val="2"/>
          <c:tx>
            <c:strRef>
              <c:f>'Ceny 1'!$E$5</c:f>
              <c:strCache>
                <c:ptCount val="1"/>
                <c:pt idx="0">
                  <c:v>Catalogue prices of flats, the CR</c:v>
                </c:pt>
              </c:strCache>
            </c:strRef>
          </c:tx>
          <c:spPr>
            <a:ln w="19050">
              <a:solidFill>
                <a:schemeClr val="accent2"/>
              </a:solidFill>
            </a:ln>
          </c:spPr>
          <c:marker>
            <c:symbol val="none"/>
          </c:marke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1'!$E$10:$E$29</c:f>
              <c:numCache>
                <c:formatCode>0.0</c:formatCode>
                <c:ptCount val="20"/>
                <c:pt idx="0">
                  <c:v>1.5806111696522671</c:v>
                </c:pt>
                <c:pt idx="1">
                  <c:v>-0.20661157024793683</c:v>
                </c:pt>
                <c:pt idx="2">
                  <c:v>1.4583333333333393</c:v>
                </c:pt>
                <c:pt idx="3">
                  <c:v>1.9668737060041468</c:v>
                </c:pt>
                <c:pt idx="4">
                  <c:v>3.0082987551867162</c:v>
                </c:pt>
                <c:pt idx="5">
                  <c:v>4.1407867494823956</c:v>
                </c:pt>
                <c:pt idx="6">
                  <c:v>4.620123203285412</c:v>
                </c:pt>
                <c:pt idx="7">
                  <c:v>2.7411167512690429</c:v>
                </c:pt>
                <c:pt idx="8">
                  <c:v>3.6253776435045406</c:v>
                </c:pt>
                <c:pt idx="9">
                  <c:v>4.9701789264413518</c:v>
                </c:pt>
                <c:pt idx="10">
                  <c:v>6.0843964671246233</c:v>
                </c:pt>
                <c:pt idx="11">
                  <c:v>9.5849802371541557</c:v>
                </c:pt>
                <c:pt idx="12">
                  <c:v>10.204081632653049</c:v>
                </c:pt>
                <c:pt idx="13">
                  <c:v>10.321969696969704</c:v>
                </c:pt>
                <c:pt idx="14">
                  <c:v>9.8982423681776162</c:v>
                </c:pt>
                <c:pt idx="15">
                  <c:v>9.9188458070333638</c:v>
                </c:pt>
                <c:pt idx="16">
                  <c:v>9.5238095238095202</c:v>
                </c:pt>
                <c:pt idx="17" formatCode="General">
                  <c:v>9.5278969957081507</c:v>
                </c:pt>
                <c:pt idx="18" formatCode="General">
                  <c:v>12.542087542087534</c:v>
                </c:pt>
                <c:pt idx="19" formatCode="General">
                  <c:v>12.469237079573427</c:v>
                </c:pt>
              </c:numCache>
            </c:numRef>
          </c:val>
        </c:ser>
        <c:ser>
          <c:idx val="3"/>
          <c:order val="3"/>
          <c:tx>
            <c:strRef>
              <c:f>'Ceny 1'!$F$5</c:f>
              <c:strCache>
                <c:ptCount val="1"/>
                <c:pt idx="0">
                  <c:v>Catalogue prices of flats, Prague</c:v>
                </c:pt>
              </c:strCache>
            </c:strRef>
          </c:tx>
          <c:spPr>
            <a:ln>
              <a:solidFill>
                <a:schemeClr val="accent1"/>
              </a:solidFill>
            </a:ln>
          </c:spPr>
          <c:marker>
            <c:symbol val="none"/>
          </c:marke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1'!$F$10:$F$29</c:f>
              <c:numCache>
                <c:formatCode>0.0</c:formatCode>
                <c:ptCount val="20"/>
                <c:pt idx="0">
                  <c:v>6.1522419186652666</c:v>
                </c:pt>
                <c:pt idx="1">
                  <c:v>1.8924302788844536</c:v>
                </c:pt>
                <c:pt idx="2">
                  <c:v>2.6812313803376426</c:v>
                </c:pt>
                <c:pt idx="3">
                  <c:v>3.4482758620689653</c:v>
                </c:pt>
                <c:pt idx="4">
                  <c:v>3.8310412573673962</c:v>
                </c:pt>
                <c:pt idx="5">
                  <c:v>5.2785923753665784</c:v>
                </c:pt>
                <c:pt idx="6">
                  <c:v>6.6731141199226212</c:v>
                </c:pt>
                <c:pt idx="7">
                  <c:v>5.1428571428571486</c:v>
                </c:pt>
                <c:pt idx="8">
                  <c:v>5.771050141911072</c:v>
                </c:pt>
                <c:pt idx="9">
                  <c:v>6.4995357474466076</c:v>
                </c:pt>
                <c:pt idx="10">
                  <c:v>6.7089755213055291</c:v>
                </c:pt>
                <c:pt idx="11">
                  <c:v>8.7862318840579601</c:v>
                </c:pt>
                <c:pt idx="12">
                  <c:v>10.196779964221831</c:v>
                </c:pt>
                <c:pt idx="13">
                  <c:v>10.549258936355701</c:v>
                </c:pt>
                <c:pt idx="14">
                  <c:v>9.7706032285471505</c:v>
                </c:pt>
                <c:pt idx="15">
                  <c:v>11.323896752706085</c:v>
                </c:pt>
                <c:pt idx="16">
                  <c:v>13.636363636363633</c:v>
                </c:pt>
                <c:pt idx="17" formatCode="General">
                  <c:v>14.589905362776037</c:v>
                </c:pt>
                <c:pt idx="18" formatCode="General">
                  <c:v>18.266253869969024</c:v>
                </c:pt>
                <c:pt idx="19" formatCode="General">
                  <c:v>18.773373223635023</c:v>
                </c:pt>
              </c:numCache>
            </c:numRef>
          </c:val>
        </c:ser>
        <c:marker val="1"/>
        <c:axId val="154268032"/>
        <c:axId val="154269568"/>
      </c:lineChart>
      <c:catAx>
        <c:axId val="154268032"/>
        <c:scaling>
          <c:orientation val="minMax"/>
        </c:scaling>
        <c:axPos val="b"/>
        <c:tickLblPos val="low"/>
        <c:spPr>
          <a:ln>
            <a:solidFill>
              <a:schemeClr val="tx1"/>
            </a:solidFill>
          </a:ln>
        </c:spPr>
        <c:txPr>
          <a:bodyPr rot="0" vert="horz"/>
          <a:lstStyle/>
          <a:p>
            <a:pPr>
              <a:defRPr/>
            </a:pPr>
            <a:endParaRPr lang="cs-CZ"/>
          </a:p>
        </c:txPr>
        <c:crossAx val="154269568"/>
        <c:crosses val="autoZero"/>
        <c:auto val="1"/>
        <c:lblAlgn val="ctr"/>
        <c:lblOffset val="100"/>
      </c:catAx>
      <c:valAx>
        <c:axId val="154269568"/>
        <c:scaling>
          <c:orientation val="minMax"/>
          <c:min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54268032"/>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691"/>
          <c:h val="9.838061465721031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1707738197712412E-2"/>
          <c:y val="2.1811315924220108E-2"/>
          <c:w val="0.89142432050272657"/>
          <c:h val="0.68692485380116963"/>
        </c:manualLayout>
      </c:layout>
      <c:barChart>
        <c:barDir val="col"/>
        <c:grouping val="clustered"/>
        <c:ser>
          <c:idx val="0"/>
          <c:order val="0"/>
          <c:tx>
            <c:strRef>
              <c:f>'Ceny 4'!$C$5</c:f>
              <c:strCache>
                <c:ptCount val="1"/>
                <c:pt idx="0">
                  <c:v>Total</c:v>
                </c:pt>
              </c:strCache>
            </c:strRef>
          </c:tx>
          <c:spPr>
            <a:solidFill>
              <a:schemeClr val="bg1">
                <a:lumMod val="65000"/>
              </a:schemeClr>
            </a:solidFill>
            <a:ln w="19050">
              <a:noFill/>
            </a:ln>
          </c:spP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4'!$C$6:$C$65</c:f>
              <c:numCache>
                <c:formatCode>0.0</c:formatCode>
                <c:ptCount val="60"/>
                <c:pt idx="0">
                  <c:v>1.4000000000000057</c:v>
                </c:pt>
                <c:pt idx="1">
                  <c:v>1.2999999999999949</c:v>
                </c:pt>
                <c:pt idx="2">
                  <c:v>1</c:v>
                </c:pt>
                <c:pt idx="3">
                  <c:v>0.5</c:v>
                </c:pt>
                <c:pt idx="4">
                  <c:v>0.29999999999999788</c:v>
                </c:pt>
                <c:pt idx="5">
                  <c:v>0.70000000000000284</c:v>
                </c:pt>
                <c:pt idx="6">
                  <c:v>1.0999999999999925</c:v>
                </c:pt>
                <c:pt idx="7">
                  <c:v>0.5</c:v>
                </c:pt>
                <c:pt idx="8">
                  <c:v>0.59999999999999432</c:v>
                </c:pt>
                <c:pt idx="9">
                  <c:v>0</c:v>
                </c:pt>
                <c:pt idx="10">
                  <c:v>0.70000000000000284</c:v>
                </c:pt>
                <c:pt idx="11">
                  <c:v>1.7000000000000028</c:v>
                </c:pt>
                <c:pt idx="12">
                  <c:v>-0.70000000000000284</c:v>
                </c:pt>
                <c:pt idx="13">
                  <c:v>-0.70000000000000284</c:v>
                </c:pt>
                <c:pt idx="14">
                  <c:v>-0.7999999999999976</c:v>
                </c:pt>
                <c:pt idx="15">
                  <c:v>-0.29999999999999788</c:v>
                </c:pt>
                <c:pt idx="16">
                  <c:v>-9.9999999999994524E-2</c:v>
                </c:pt>
                <c:pt idx="17">
                  <c:v>-0.20000000000000284</c:v>
                </c:pt>
                <c:pt idx="18">
                  <c:v>-9.9999999999994524E-2</c:v>
                </c:pt>
                <c:pt idx="19">
                  <c:v>0</c:v>
                </c:pt>
                <c:pt idx="20">
                  <c:v>-0.29999999999999788</c:v>
                </c:pt>
                <c:pt idx="21">
                  <c:v>-0.29999999999999788</c:v>
                </c:pt>
                <c:pt idx="22">
                  <c:v>-1.7000000000000028</c:v>
                </c:pt>
                <c:pt idx="23">
                  <c:v>-3.7000000000000042</c:v>
                </c:pt>
                <c:pt idx="24">
                  <c:v>-3.5</c:v>
                </c:pt>
                <c:pt idx="25">
                  <c:v>-3.5999999999999943</c:v>
                </c:pt>
                <c:pt idx="26">
                  <c:v>-2.9000000000000057</c:v>
                </c:pt>
                <c:pt idx="27">
                  <c:v>-2.5999999999999943</c:v>
                </c:pt>
                <c:pt idx="28">
                  <c:v>-2.0999999999999943</c:v>
                </c:pt>
                <c:pt idx="29">
                  <c:v>-2.2999999999999972</c:v>
                </c:pt>
                <c:pt idx="30">
                  <c:v>-3</c:v>
                </c:pt>
                <c:pt idx="31">
                  <c:v>-3.7000000000000042</c:v>
                </c:pt>
                <c:pt idx="32">
                  <c:v>-4.2000000000000028</c:v>
                </c:pt>
                <c:pt idx="33">
                  <c:v>-3.9000000000000057</c:v>
                </c:pt>
                <c:pt idx="34">
                  <c:v>-3.7000000000000042</c:v>
                </c:pt>
                <c:pt idx="35">
                  <c:v>-2.9000000000000057</c:v>
                </c:pt>
                <c:pt idx="36">
                  <c:v>-3.4000000000000057</c:v>
                </c:pt>
                <c:pt idx="37">
                  <c:v>-4</c:v>
                </c:pt>
                <c:pt idx="38">
                  <c:v>-4.5</c:v>
                </c:pt>
                <c:pt idx="39">
                  <c:v>-4.7000000000000028</c:v>
                </c:pt>
                <c:pt idx="40">
                  <c:v>-4.7999999999999972</c:v>
                </c:pt>
                <c:pt idx="41">
                  <c:v>-4.4000000000000083</c:v>
                </c:pt>
                <c:pt idx="42">
                  <c:v>-4</c:v>
                </c:pt>
                <c:pt idx="43">
                  <c:v>-3.4000000000000057</c:v>
                </c:pt>
                <c:pt idx="44">
                  <c:v>-2.4000000000000057</c:v>
                </c:pt>
                <c:pt idx="45">
                  <c:v>-1.7000000000000028</c:v>
                </c:pt>
                <c:pt idx="46">
                  <c:v>-1.2999999999999949</c:v>
                </c:pt>
                <c:pt idx="47">
                  <c:v>-0.40000000000000568</c:v>
                </c:pt>
                <c:pt idx="48" formatCode="General">
                  <c:v>2.0999999999999943</c:v>
                </c:pt>
                <c:pt idx="49" formatCode="General">
                  <c:v>3.0999999999999943</c:v>
                </c:pt>
                <c:pt idx="50">
                  <c:v>3</c:v>
                </c:pt>
                <c:pt idx="51">
                  <c:v>3.2000000000000042</c:v>
                </c:pt>
                <c:pt idx="52" formatCode="General">
                  <c:v>2.2999999999999972</c:v>
                </c:pt>
                <c:pt idx="53" formatCode="General">
                  <c:v>1.2999999999999949</c:v>
                </c:pt>
                <c:pt idx="54" formatCode="General">
                  <c:v>1.1000000000000001</c:v>
                </c:pt>
                <c:pt idx="55" formatCode="General">
                  <c:v>1.4</c:v>
                </c:pt>
                <c:pt idx="56" formatCode="General">
                  <c:v>1.7</c:v>
                </c:pt>
                <c:pt idx="57" formatCode="General">
                  <c:v>1.1000000000000001</c:v>
                </c:pt>
                <c:pt idx="58" formatCode="General">
                  <c:v>0.9</c:v>
                </c:pt>
                <c:pt idx="59" formatCode="General">
                  <c:v>0.70000000000000062</c:v>
                </c:pt>
              </c:numCache>
            </c:numRef>
          </c:val>
        </c:ser>
        <c:gapWidth val="96"/>
        <c:axId val="154833664"/>
        <c:axId val="154835200"/>
      </c:barChart>
      <c:lineChart>
        <c:grouping val="standard"/>
        <c:ser>
          <c:idx val="1"/>
          <c:order val="1"/>
          <c:tx>
            <c:strRef>
              <c:f>'Ceny 4'!$D$5</c:f>
              <c:strCache>
                <c:ptCount val="1"/>
                <c:pt idx="0">
                  <c:v>Mining and quarrying,</c:v>
                </c:pt>
              </c:strCache>
            </c:strRef>
          </c:tx>
          <c:spPr>
            <a:ln w="19050">
              <a:solidFill>
                <a:srgbClr val="7DBB2D"/>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4'!$D$6:$D$65</c:f>
              <c:numCache>
                <c:formatCode>0.0</c:formatCode>
                <c:ptCount val="60"/>
                <c:pt idx="0">
                  <c:v>-2.7000000000000042</c:v>
                </c:pt>
                <c:pt idx="1">
                  <c:v>-3.0999999999999943</c:v>
                </c:pt>
                <c:pt idx="2">
                  <c:v>-2.4000000000000057</c:v>
                </c:pt>
                <c:pt idx="3">
                  <c:v>0.5</c:v>
                </c:pt>
                <c:pt idx="4">
                  <c:v>0.5</c:v>
                </c:pt>
                <c:pt idx="5">
                  <c:v>0.20000000000000284</c:v>
                </c:pt>
                <c:pt idx="6">
                  <c:v>-1.2999999999999949</c:v>
                </c:pt>
                <c:pt idx="7">
                  <c:v>-1.2000000000000028</c:v>
                </c:pt>
                <c:pt idx="8">
                  <c:v>-3.5999999999999943</c:v>
                </c:pt>
                <c:pt idx="9">
                  <c:v>-3</c:v>
                </c:pt>
                <c:pt idx="10">
                  <c:v>0.20000000000000284</c:v>
                </c:pt>
                <c:pt idx="11">
                  <c:v>0.29999999999999788</c:v>
                </c:pt>
                <c:pt idx="12">
                  <c:v>-3</c:v>
                </c:pt>
                <c:pt idx="13">
                  <c:v>-3.0999999999999943</c:v>
                </c:pt>
                <c:pt idx="14">
                  <c:v>-4</c:v>
                </c:pt>
                <c:pt idx="15">
                  <c:v>-4.0999999999999943</c:v>
                </c:pt>
                <c:pt idx="16">
                  <c:v>-4.5999999999999943</c:v>
                </c:pt>
                <c:pt idx="17">
                  <c:v>-4.7999999999999972</c:v>
                </c:pt>
                <c:pt idx="18">
                  <c:v>-3</c:v>
                </c:pt>
                <c:pt idx="19">
                  <c:v>-3.5999999999999943</c:v>
                </c:pt>
                <c:pt idx="20">
                  <c:v>-1.9000000000000061</c:v>
                </c:pt>
                <c:pt idx="21">
                  <c:v>-2.0999999999999943</c:v>
                </c:pt>
                <c:pt idx="22">
                  <c:v>-2.2999999999999972</c:v>
                </c:pt>
                <c:pt idx="23">
                  <c:v>-2.7999999999999972</c:v>
                </c:pt>
                <c:pt idx="24">
                  <c:v>-0.90000000000000568</c:v>
                </c:pt>
                <c:pt idx="25">
                  <c:v>-1.5</c:v>
                </c:pt>
                <c:pt idx="26">
                  <c:v>-0.90000000000000568</c:v>
                </c:pt>
                <c:pt idx="27">
                  <c:v>-0.90000000000000568</c:v>
                </c:pt>
                <c:pt idx="28">
                  <c:v>0.29999999999999788</c:v>
                </c:pt>
                <c:pt idx="29">
                  <c:v>0.59999999999999432</c:v>
                </c:pt>
                <c:pt idx="30">
                  <c:v>0.40000000000000568</c:v>
                </c:pt>
                <c:pt idx="31">
                  <c:v>-0.29999999999999788</c:v>
                </c:pt>
                <c:pt idx="32">
                  <c:v>-1.7000000000000028</c:v>
                </c:pt>
                <c:pt idx="33">
                  <c:v>-1.4000000000000057</c:v>
                </c:pt>
                <c:pt idx="34">
                  <c:v>-0.59999999999999432</c:v>
                </c:pt>
                <c:pt idx="35">
                  <c:v>-0.5</c:v>
                </c:pt>
                <c:pt idx="36">
                  <c:v>-6.5999999999999943</c:v>
                </c:pt>
                <c:pt idx="37">
                  <c:v>-6.0999999999999943</c:v>
                </c:pt>
                <c:pt idx="38">
                  <c:v>-6.5</c:v>
                </c:pt>
                <c:pt idx="39">
                  <c:v>-7</c:v>
                </c:pt>
                <c:pt idx="40">
                  <c:v>-7.0999999999999943</c:v>
                </c:pt>
                <c:pt idx="41">
                  <c:v>-7.2999999999999972</c:v>
                </c:pt>
                <c:pt idx="42">
                  <c:v>-6.5999999999999943</c:v>
                </c:pt>
                <c:pt idx="43">
                  <c:v>-6</c:v>
                </c:pt>
                <c:pt idx="44">
                  <c:v>-4.9000000000000083</c:v>
                </c:pt>
                <c:pt idx="45">
                  <c:v>-5.2000000000000028</c:v>
                </c:pt>
                <c:pt idx="46">
                  <c:v>-5.2999999999999972</c:v>
                </c:pt>
                <c:pt idx="47">
                  <c:v>-5.0999999999999943</c:v>
                </c:pt>
                <c:pt idx="48" formatCode="General">
                  <c:v>2.2999999999999972</c:v>
                </c:pt>
                <c:pt idx="49" formatCode="General">
                  <c:v>5.7999999999999972</c:v>
                </c:pt>
                <c:pt idx="50">
                  <c:v>6.2000000000000028</c:v>
                </c:pt>
                <c:pt idx="51">
                  <c:v>6.4000000000000083</c:v>
                </c:pt>
                <c:pt idx="52" formatCode="General">
                  <c:v>4.2999999999999972</c:v>
                </c:pt>
                <c:pt idx="53" formatCode="General">
                  <c:v>4.0999999999999943</c:v>
                </c:pt>
                <c:pt idx="54" formatCode="General">
                  <c:v>2.9</c:v>
                </c:pt>
                <c:pt idx="55" formatCode="General">
                  <c:v>1.7</c:v>
                </c:pt>
                <c:pt idx="56" formatCode="General">
                  <c:v>1.9000000000000001</c:v>
                </c:pt>
                <c:pt idx="57" formatCode="General">
                  <c:v>3.4</c:v>
                </c:pt>
                <c:pt idx="58" formatCode="General">
                  <c:v>3.3</c:v>
                </c:pt>
                <c:pt idx="59" formatCode="General">
                  <c:v>3.6</c:v>
                </c:pt>
              </c:numCache>
            </c:numRef>
          </c:val>
        </c:ser>
        <c:ser>
          <c:idx val="2"/>
          <c:order val="2"/>
          <c:tx>
            <c:strRef>
              <c:f>'Ceny 4'!$E$5</c:f>
              <c:strCache>
                <c:ptCount val="1"/>
                <c:pt idx="0">
                  <c:v>Manufacturing</c:v>
                </c:pt>
              </c:strCache>
            </c:strRef>
          </c:tx>
          <c:spPr>
            <a:ln w="19050">
              <a:solidFill>
                <a:srgbClr val="BD1B21"/>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4'!$E$6:$E$65</c:f>
              <c:numCache>
                <c:formatCode>0.0</c:formatCode>
                <c:ptCount val="60"/>
                <c:pt idx="0">
                  <c:v>1</c:v>
                </c:pt>
                <c:pt idx="1">
                  <c:v>0.90000000000000568</c:v>
                </c:pt>
                <c:pt idx="2">
                  <c:v>0.5</c:v>
                </c:pt>
                <c:pt idx="3">
                  <c:v>-0.29999999999999788</c:v>
                </c:pt>
                <c:pt idx="4">
                  <c:v>-0.40000000000000568</c:v>
                </c:pt>
                <c:pt idx="5">
                  <c:v>0</c:v>
                </c:pt>
                <c:pt idx="6">
                  <c:v>0.59999999999999432</c:v>
                </c:pt>
                <c:pt idx="7">
                  <c:v>-0.29999999999999788</c:v>
                </c:pt>
                <c:pt idx="8">
                  <c:v>0</c:v>
                </c:pt>
                <c:pt idx="9">
                  <c:v>-0.7999999999999976</c:v>
                </c:pt>
                <c:pt idx="10">
                  <c:v>-0.20000000000000284</c:v>
                </c:pt>
                <c:pt idx="11">
                  <c:v>1.2999999999999949</c:v>
                </c:pt>
                <c:pt idx="12">
                  <c:v>1.0999999999999925</c:v>
                </c:pt>
                <c:pt idx="13">
                  <c:v>1.2000000000000028</c:v>
                </c:pt>
                <c:pt idx="14">
                  <c:v>1</c:v>
                </c:pt>
                <c:pt idx="15">
                  <c:v>1.5999999999999925</c:v>
                </c:pt>
                <c:pt idx="16">
                  <c:v>1.9000000000000061</c:v>
                </c:pt>
                <c:pt idx="17">
                  <c:v>1.9000000000000061</c:v>
                </c:pt>
                <c:pt idx="18">
                  <c:v>1.7999999999999949</c:v>
                </c:pt>
                <c:pt idx="19">
                  <c:v>2.0999999999999943</c:v>
                </c:pt>
                <c:pt idx="20">
                  <c:v>1.5</c:v>
                </c:pt>
                <c:pt idx="21">
                  <c:v>1.5</c:v>
                </c:pt>
                <c:pt idx="22">
                  <c:v>-9.9999999999994524E-2</c:v>
                </c:pt>
                <c:pt idx="23">
                  <c:v>-2.7999999999999972</c:v>
                </c:pt>
                <c:pt idx="24">
                  <c:v>-4.2999999999999972</c:v>
                </c:pt>
                <c:pt idx="25">
                  <c:v>-4.4000000000000083</c:v>
                </c:pt>
                <c:pt idx="26">
                  <c:v>-3.5</c:v>
                </c:pt>
                <c:pt idx="27">
                  <c:v>-3.0999999999999943</c:v>
                </c:pt>
                <c:pt idx="28">
                  <c:v>-2.7000000000000042</c:v>
                </c:pt>
                <c:pt idx="29">
                  <c:v>-2.7999999999999972</c:v>
                </c:pt>
                <c:pt idx="30">
                  <c:v>-3.5999999999999943</c:v>
                </c:pt>
                <c:pt idx="31">
                  <c:v>-4.7000000000000028</c:v>
                </c:pt>
                <c:pt idx="32">
                  <c:v>-5.2000000000000028</c:v>
                </c:pt>
                <c:pt idx="33">
                  <c:v>-4.9000000000000083</c:v>
                </c:pt>
                <c:pt idx="34">
                  <c:v>-4.5999999999999943</c:v>
                </c:pt>
                <c:pt idx="35">
                  <c:v>-3.5</c:v>
                </c:pt>
                <c:pt idx="36">
                  <c:v>-3.2999999999999972</c:v>
                </c:pt>
                <c:pt idx="37">
                  <c:v>-4.0999999999999943</c:v>
                </c:pt>
                <c:pt idx="38">
                  <c:v>-4.5999999999999943</c:v>
                </c:pt>
                <c:pt idx="39">
                  <c:v>-4.9000000000000083</c:v>
                </c:pt>
                <c:pt idx="40">
                  <c:v>-5</c:v>
                </c:pt>
                <c:pt idx="41">
                  <c:v>-4.5</c:v>
                </c:pt>
                <c:pt idx="42">
                  <c:v>-4</c:v>
                </c:pt>
                <c:pt idx="43">
                  <c:v>-3.2000000000000042</c:v>
                </c:pt>
                <c:pt idx="44">
                  <c:v>-2</c:v>
                </c:pt>
                <c:pt idx="45">
                  <c:v>-1.0999999999999925</c:v>
                </c:pt>
                <c:pt idx="46">
                  <c:v>-0.59999999999999432</c:v>
                </c:pt>
                <c:pt idx="47">
                  <c:v>0.59999999999999432</c:v>
                </c:pt>
                <c:pt idx="48" formatCode="General">
                  <c:v>2.5999999999999943</c:v>
                </c:pt>
                <c:pt idx="49" formatCode="General">
                  <c:v>4</c:v>
                </c:pt>
                <c:pt idx="50">
                  <c:v>3.7999999999999972</c:v>
                </c:pt>
                <c:pt idx="51">
                  <c:v>4</c:v>
                </c:pt>
                <c:pt idx="52" formatCode="General">
                  <c:v>2.7999999999999972</c:v>
                </c:pt>
                <c:pt idx="53" formatCode="General">
                  <c:v>1.5</c:v>
                </c:pt>
                <c:pt idx="54" formatCode="General">
                  <c:v>1.4</c:v>
                </c:pt>
                <c:pt idx="55" formatCode="General">
                  <c:v>2</c:v>
                </c:pt>
                <c:pt idx="56" formatCode="General">
                  <c:v>2.1</c:v>
                </c:pt>
                <c:pt idx="57" formatCode="General">
                  <c:v>1.4</c:v>
                </c:pt>
                <c:pt idx="58" formatCode="General">
                  <c:v>1.1000000000000001</c:v>
                </c:pt>
                <c:pt idx="59" formatCode="General">
                  <c:v>0.9</c:v>
                </c:pt>
              </c:numCache>
            </c:numRef>
          </c:val>
        </c:ser>
        <c:ser>
          <c:idx val="3"/>
          <c:order val="3"/>
          <c:tx>
            <c:strRef>
              <c:f>'Ceny 4'!$F$5</c:f>
              <c:strCache>
                <c:ptCount val="1"/>
                <c:pt idx="0">
                  <c:v>Electricity, gas, steam and air conditioning supply</c:v>
                </c:pt>
              </c:strCache>
            </c:strRef>
          </c:tx>
          <c:spPr>
            <a:ln w="19050">
              <a:solidFill>
                <a:srgbClr val="F8A124"/>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4'!$F$6:$F$65</c:f>
              <c:numCache>
                <c:formatCode>0.0</c:formatCode>
                <c:ptCount val="60"/>
                <c:pt idx="0">
                  <c:v>3.7000000000000042</c:v>
                </c:pt>
                <c:pt idx="1">
                  <c:v>3.7000000000000042</c:v>
                </c:pt>
                <c:pt idx="2">
                  <c:v>3.7000000000000042</c:v>
                </c:pt>
                <c:pt idx="3">
                  <c:v>3.5</c:v>
                </c:pt>
                <c:pt idx="4">
                  <c:v>3.5</c:v>
                </c:pt>
                <c:pt idx="5">
                  <c:v>3.5999999999999943</c:v>
                </c:pt>
                <c:pt idx="6">
                  <c:v>3.5999999999999943</c:v>
                </c:pt>
                <c:pt idx="7">
                  <c:v>3.5999999999999943</c:v>
                </c:pt>
                <c:pt idx="8">
                  <c:v>3.5999999999999943</c:v>
                </c:pt>
                <c:pt idx="9">
                  <c:v>3.7999999999999972</c:v>
                </c:pt>
                <c:pt idx="10">
                  <c:v>3.7999999999999972</c:v>
                </c:pt>
                <c:pt idx="11">
                  <c:v>3.5</c:v>
                </c:pt>
                <c:pt idx="12">
                  <c:v>-8.8000000000000025</c:v>
                </c:pt>
                <c:pt idx="13">
                  <c:v>-8.8000000000000025</c:v>
                </c:pt>
                <c:pt idx="14">
                  <c:v>-8.8000000000000025</c:v>
                </c:pt>
                <c:pt idx="15">
                  <c:v>-8.6000000000000014</c:v>
                </c:pt>
                <c:pt idx="16">
                  <c:v>-8.6000000000000014</c:v>
                </c:pt>
                <c:pt idx="17">
                  <c:v>-8.7000000000000011</c:v>
                </c:pt>
                <c:pt idx="18">
                  <c:v>-8.7000000000000011</c:v>
                </c:pt>
                <c:pt idx="19">
                  <c:v>-8.6000000000000014</c:v>
                </c:pt>
                <c:pt idx="20">
                  <c:v>-8.6000000000000014</c:v>
                </c:pt>
                <c:pt idx="21">
                  <c:v>-8.9000000000000057</c:v>
                </c:pt>
                <c:pt idx="22">
                  <c:v>-8.9000000000000057</c:v>
                </c:pt>
                <c:pt idx="23">
                  <c:v>-8.6000000000000014</c:v>
                </c:pt>
                <c:pt idx="24">
                  <c:v>-0.7999999999999976</c:v>
                </c:pt>
                <c:pt idx="25">
                  <c:v>-0.7999999999999976</c:v>
                </c:pt>
                <c:pt idx="26">
                  <c:v>-0.7999999999999976</c:v>
                </c:pt>
                <c:pt idx="27">
                  <c:v>-0.70000000000000284</c:v>
                </c:pt>
                <c:pt idx="28">
                  <c:v>-0.70000000000000284</c:v>
                </c:pt>
                <c:pt idx="29">
                  <c:v>-0.70000000000000284</c:v>
                </c:pt>
                <c:pt idx="30">
                  <c:v>-0.70000000000000284</c:v>
                </c:pt>
                <c:pt idx="31">
                  <c:v>-0.7999999999999976</c:v>
                </c:pt>
                <c:pt idx="32">
                  <c:v>-0.7999999999999976</c:v>
                </c:pt>
                <c:pt idx="33">
                  <c:v>-0.90000000000000568</c:v>
                </c:pt>
                <c:pt idx="34">
                  <c:v>-0.90000000000000568</c:v>
                </c:pt>
                <c:pt idx="35">
                  <c:v>-0.90000000000000568</c:v>
                </c:pt>
                <c:pt idx="36">
                  <c:v>-4</c:v>
                </c:pt>
                <c:pt idx="37">
                  <c:v>-4.0999999999999943</c:v>
                </c:pt>
                <c:pt idx="38">
                  <c:v>-4.0999999999999943</c:v>
                </c:pt>
                <c:pt idx="39">
                  <c:v>-4</c:v>
                </c:pt>
                <c:pt idx="40">
                  <c:v>-4</c:v>
                </c:pt>
                <c:pt idx="41">
                  <c:v>-4.0999999999999943</c:v>
                </c:pt>
                <c:pt idx="42">
                  <c:v>-4</c:v>
                </c:pt>
                <c:pt idx="43">
                  <c:v>-4</c:v>
                </c:pt>
                <c:pt idx="44">
                  <c:v>-4.0999999999999943</c:v>
                </c:pt>
                <c:pt idx="45">
                  <c:v>-4.0999999999999943</c:v>
                </c:pt>
                <c:pt idx="46">
                  <c:v>-4.0999999999999943</c:v>
                </c:pt>
                <c:pt idx="47">
                  <c:v>-4.0999999999999943</c:v>
                </c:pt>
                <c:pt idx="48" formatCode="General">
                  <c:v>-1.0999999999999925</c:v>
                </c:pt>
                <c:pt idx="49" formatCode="General">
                  <c:v>-1.2000000000000028</c:v>
                </c:pt>
                <c:pt idx="50">
                  <c:v>-1.2000000000000028</c:v>
                </c:pt>
                <c:pt idx="51">
                  <c:v>-1.4000000000000057</c:v>
                </c:pt>
                <c:pt idx="52" formatCode="General">
                  <c:v>-1.2999999999999949</c:v>
                </c:pt>
                <c:pt idx="53" formatCode="General">
                  <c:v>-1.0999999999999925</c:v>
                </c:pt>
                <c:pt idx="54" formatCode="General">
                  <c:v>-1.1000000000000001</c:v>
                </c:pt>
                <c:pt idx="55" formatCode="General">
                  <c:v>-1.3</c:v>
                </c:pt>
                <c:pt idx="56" formatCode="General">
                  <c:v>-1.1000000000000001</c:v>
                </c:pt>
                <c:pt idx="57" formatCode="General">
                  <c:v>-1.1000000000000001</c:v>
                </c:pt>
                <c:pt idx="58" formatCode="General">
                  <c:v>-1.1000000000000001</c:v>
                </c:pt>
                <c:pt idx="59" formatCode="General">
                  <c:v>-1.1000000000000001</c:v>
                </c:pt>
              </c:numCache>
            </c:numRef>
          </c:val>
        </c:ser>
        <c:ser>
          <c:idx val="4"/>
          <c:order val="4"/>
          <c:tx>
            <c:strRef>
              <c:f>'Ceny 4'!$G$5</c:f>
              <c:strCache>
                <c:ptCount val="1"/>
                <c:pt idx="0">
                  <c:v>Water supply, sewerage</c:v>
                </c:pt>
              </c:strCache>
            </c:strRef>
          </c:tx>
          <c:spPr>
            <a:ln w="19050">
              <a:solidFill>
                <a:schemeClr val="accent1"/>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4'!$G$6:$G$65</c:f>
              <c:numCache>
                <c:formatCode>General</c:formatCode>
                <c:ptCount val="60"/>
                <c:pt idx="0">
                  <c:v>5.9000000000000083</c:v>
                </c:pt>
                <c:pt idx="1">
                  <c:v>5.7999999999999972</c:v>
                </c:pt>
                <c:pt idx="2">
                  <c:v>5.7000000000000028</c:v>
                </c:pt>
                <c:pt idx="3">
                  <c:v>5.7000000000000028</c:v>
                </c:pt>
                <c:pt idx="4">
                  <c:v>5.7000000000000028</c:v>
                </c:pt>
                <c:pt idx="5">
                  <c:v>5.7000000000000028</c:v>
                </c:pt>
                <c:pt idx="6">
                  <c:v>5.7000000000000028</c:v>
                </c:pt>
                <c:pt idx="7">
                  <c:v>5.7000000000000028</c:v>
                </c:pt>
                <c:pt idx="8">
                  <c:v>5.7000000000000028</c:v>
                </c:pt>
                <c:pt idx="9">
                  <c:v>5.7000000000000028</c:v>
                </c:pt>
                <c:pt idx="10">
                  <c:v>5.7000000000000028</c:v>
                </c:pt>
                <c:pt idx="11">
                  <c:v>5.7000000000000028</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3.4000000000000057</c:v>
                </c:pt>
                <c:pt idx="25">
                  <c:v>3.4000000000000057</c:v>
                </c:pt>
                <c:pt idx="26">
                  <c:v>3.4000000000000057</c:v>
                </c:pt>
                <c:pt idx="27">
                  <c:v>3.4000000000000057</c:v>
                </c:pt>
                <c:pt idx="28">
                  <c:v>3.4000000000000057</c:v>
                </c:pt>
                <c:pt idx="29">
                  <c:v>3.4000000000000057</c:v>
                </c:pt>
                <c:pt idx="30">
                  <c:v>3.4000000000000057</c:v>
                </c:pt>
                <c:pt idx="31">
                  <c:v>3.4000000000000057</c:v>
                </c:pt>
                <c:pt idx="32">
                  <c:v>3.4000000000000057</c:v>
                </c:pt>
                <c:pt idx="33">
                  <c:v>3.4000000000000057</c:v>
                </c:pt>
                <c:pt idx="34">
                  <c:v>3.4000000000000057</c:v>
                </c:pt>
                <c:pt idx="35">
                  <c:v>3.4000000000000057</c:v>
                </c:pt>
                <c:pt idx="36">
                  <c:v>0.5</c:v>
                </c:pt>
                <c:pt idx="37">
                  <c:v>0.5</c:v>
                </c:pt>
                <c:pt idx="38">
                  <c:v>0.5</c:v>
                </c:pt>
                <c:pt idx="39">
                  <c:v>1.5999999999999925</c:v>
                </c:pt>
                <c:pt idx="40">
                  <c:v>1.5999999999999925</c:v>
                </c:pt>
                <c:pt idx="41">
                  <c:v>1.5999999999999925</c:v>
                </c:pt>
                <c:pt idx="42">
                  <c:v>1.5999999999999925</c:v>
                </c:pt>
                <c:pt idx="43">
                  <c:v>1.5999999999999925</c:v>
                </c:pt>
                <c:pt idx="44">
                  <c:v>1.5999999999999925</c:v>
                </c:pt>
                <c:pt idx="45">
                  <c:v>1.5999999999999925</c:v>
                </c:pt>
                <c:pt idx="46">
                  <c:v>1.5999999999999925</c:v>
                </c:pt>
                <c:pt idx="47">
                  <c:v>1.5999999999999925</c:v>
                </c:pt>
                <c:pt idx="48">
                  <c:v>2.0999999999999943</c:v>
                </c:pt>
                <c:pt idx="49">
                  <c:v>2.0999999999999943</c:v>
                </c:pt>
                <c:pt idx="50" formatCode="0.0">
                  <c:v>2.0999999999999943</c:v>
                </c:pt>
                <c:pt idx="51" formatCode="0.0">
                  <c:v>1</c:v>
                </c:pt>
                <c:pt idx="52">
                  <c:v>1</c:v>
                </c:pt>
                <c:pt idx="53">
                  <c:v>1</c:v>
                </c:pt>
                <c:pt idx="54">
                  <c:v>1</c:v>
                </c:pt>
                <c:pt idx="55">
                  <c:v>1</c:v>
                </c:pt>
                <c:pt idx="56">
                  <c:v>1</c:v>
                </c:pt>
                <c:pt idx="57">
                  <c:v>1</c:v>
                </c:pt>
                <c:pt idx="58">
                  <c:v>1</c:v>
                </c:pt>
                <c:pt idx="59">
                  <c:v>1</c:v>
                </c:pt>
              </c:numCache>
            </c:numRef>
          </c:val>
        </c:ser>
        <c:marker val="1"/>
        <c:axId val="154833664"/>
        <c:axId val="154835200"/>
      </c:lineChart>
      <c:catAx>
        <c:axId val="154833664"/>
        <c:scaling>
          <c:orientation val="minMax"/>
        </c:scaling>
        <c:axPos val="b"/>
        <c:tickLblPos val="low"/>
        <c:spPr>
          <a:ln>
            <a:solidFill>
              <a:schemeClr val="tx1"/>
            </a:solidFill>
          </a:ln>
        </c:spPr>
        <c:crossAx val="154835200"/>
        <c:crosses val="autoZero"/>
        <c:auto val="1"/>
        <c:lblAlgn val="ctr"/>
        <c:lblOffset val="100"/>
      </c:catAx>
      <c:valAx>
        <c:axId val="154835200"/>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54833664"/>
        <c:crosses val="autoZero"/>
        <c:crossBetween val="between"/>
      </c:valAx>
      <c:spPr>
        <a:ln>
          <a:solidFill>
            <a:schemeClr val="tx1"/>
          </a:solidFill>
        </a:ln>
      </c:spPr>
    </c:plotArea>
    <c:legend>
      <c:legendPos val="b"/>
      <c:layout>
        <c:manualLayout>
          <c:xMode val="edge"/>
          <c:yMode val="edge"/>
          <c:x val="5.0596282132642265E-2"/>
          <c:y val="0.82881812865497073"/>
          <c:w val="0.89560705842620769"/>
          <c:h val="0.1619421052631578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4942586963863574E-2"/>
          <c:y val="2.8593943487560825E-2"/>
          <c:w val="0.92629263762242564"/>
          <c:h val="0.75790048407069865"/>
        </c:manualLayout>
      </c:layout>
      <c:barChart>
        <c:barDir val="col"/>
        <c:grouping val="clustered"/>
        <c:ser>
          <c:idx val="3"/>
          <c:order val="3"/>
          <c:tx>
            <c:strRef>
              <c:f>'Ceny 3'!$H$5</c:f>
              <c:strCache>
                <c:ptCount val="1"/>
                <c:pt idx="0">
                  <c:v>Terms of trade</c:v>
                </c:pt>
              </c:strCache>
            </c:strRef>
          </c:tx>
          <c:spPr>
            <a:solidFill>
              <a:schemeClr val="bg1">
                <a:lumMod val="65000"/>
              </a:schemeClr>
            </a:solidFill>
          </c:spPr>
          <c:val>
            <c:numRef>
              <c:f>'Ceny 3'!$H$10:$H$29</c:f>
              <c:numCache>
                <c:formatCode>0.0</c:formatCode>
                <c:ptCount val="20"/>
                <c:pt idx="0">
                  <c:v>0.72086874091794939</c:v>
                </c:pt>
                <c:pt idx="1">
                  <c:v>0.66492115250875561</c:v>
                </c:pt>
                <c:pt idx="2">
                  <c:v>1.3267678006503587</c:v>
                </c:pt>
                <c:pt idx="3">
                  <c:v>1.22835812127258</c:v>
                </c:pt>
                <c:pt idx="4">
                  <c:v>1.7793365680396958</c:v>
                </c:pt>
                <c:pt idx="5">
                  <c:v>2.1121774956172437</c:v>
                </c:pt>
                <c:pt idx="6">
                  <c:v>1.6039707571559465</c:v>
                </c:pt>
                <c:pt idx="7">
                  <c:v>0.6576916486733948</c:v>
                </c:pt>
                <c:pt idx="8">
                  <c:v>0.66875144912617834</c:v>
                </c:pt>
                <c:pt idx="9">
                  <c:v>-5.2195141937815513E-2</c:v>
                </c:pt>
                <c:pt idx="10">
                  <c:v>0.25811822159073472</c:v>
                </c:pt>
                <c:pt idx="11">
                  <c:v>0.70048196058132817</c:v>
                </c:pt>
                <c:pt idx="12">
                  <c:v>1.5034457920506394</c:v>
                </c:pt>
                <c:pt idx="13">
                  <c:v>1.5316445359934219</c:v>
                </c:pt>
                <c:pt idx="14">
                  <c:v>1.1309975684205698</c:v>
                </c:pt>
                <c:pt idx="15">
                  <c:v>6.2910265216473304E-2</c:v>
                </c:pt>
                <c:pt idx="16">
                  <c:v>-1.9068512784357807</c:v>
                </c:pt>
                <c:pt idx="17">
                  <c:v>-1.672363500547462</c:v>
                </c:pt>
                <c:pt idx="18">
                  <c:v>-0.75881185826696662</c:v>
                </c:pt>
                <c:pt idx="19">
                  <c:v>0.30873577390254126</c:v>
                </c:pt>
              </c:numCache>
            </c:numRef>
          </c:val>
        </c:ser>
        <c:gapWidth val="95"/>
        <c:axId val="154857856"/>
        <c:axId val="154859392"/>
      </c:barChart>
      <c:lineChart>
        <c:grouping val="standard"/>
        <c:ser>
          <c:idx val="1"/>
          <c:order val="0"/>
          <c:tx>
            <c:strRef>
              <c:f>'Ceny 3'!$E$5</c:f>
              <c:strCache>
                <c:ptCount val="1"/>
                <c:pt idx="0">
                  <c:v>GDP</c:v>
                </c:pt>
              </c:strCache>
            </c:strRef>
          </c:tx>
          <c:spPr>
            <a:ln w="19050">
              <a:solidFill>
                <a:sysClr val="windowText" lastClr="000000"/>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3'!$E$10:$E$29</c:f>
              <c:numCache>
                <c:formatCode>#,##0.0</c:formatCode>
                <c:ptCount val="20"/>
                <c:pt idx="0">
                  <c:v>1.2999708970934849</c:v>
                </c:pt>
                <c:pt idx="1">
                  <c:v>1.1220533709485938</c:v>
                </c:pt>
                <c:pt idx="2">
                  <c:v>1.3013982471865531</c:v>
                </c:pt>
                <c:pt idx="3">
                  <c:v>1.9705982643273221</c:v>
                </c:pt>
                <c:pt idx="4">
                  <c:v>2.3138763904869237</c:v>
                </c:pt>
                <c:pt idx="5">
                  <c:v>2.7748292282439451</c:v>
                </c:pt>
                <c:pt idx="6">
                  <c:v>2.7588595129771818</c:v>
                </c:pt>
                <c:pt idx="7">
                  <c:v>2.0601986396608538</c:v>
                </c:pt>
                <c:pt idx="8">
                  <c:v>1.5369337674784158</c:v>
                </c:pt>
                <c:pt idx="9">
                  <c:v>1.344899624212232</c:v>
                </c:pt>
                <c:pt idx="10">
                  <c:v>1.0394166136579326</c:v>
                </c:pt>
                <c:pt idx="11">
                  <c:v>0.76946574896925257</c:v>
                </c:pt>
                <c:pt idx="12">
                  <c:v>1.4770885012742809</c:v>
                </c:pt>
                <c:pt idx="13">
                  <c:v>1.0859617317946528</c:v>
                </c:pt>
                <c:pt idx="14">
                  <c:v>1.2927847129702457</c:v>
                </c:pt>
                <c:pt idx="15">
                  <c:v>1.1135418002644413</c:v>
                </c:pt>
                <c:pt idx="16" formatCode="General">
                  <c:v>0.48367013542360837</c:v>
                </c:pt>
                <c:pt idx="17" formatCode="General">
                  <c:v>0.97004342679134969</c:v>
                </c:pt>
                <c:pt idx="18" formatCode="General">
                  <c:v>1.5582246842972718</c:v>
                </c:pt>
                <c:pt idx="19" formatCode="General">
                  <c:v>2.139000515057063</c:v>
                </c:pt>
              </c:numCache>
            </c:numRef>
          </c:val>
        </c:ser>
        <c:ser>
          <c:idx val="0"/>
          <c:order val="1"/>
          <c:tx>
            <c:strRef>
              <c:f>'Ceny 3'!$C$5</c:f>
              <c:strCache>
                <c:ptCount val="1"/>
                <c:pt idx="0">
                  <c:v>Final consumption expenditure</c:v>
                </c:pt>
              </c:strCache>
            </c:strRef>
          </c:tx>
          <c:spPr>
            <a:ln w="19050">
              <a:solidFill>
                <a:srgbClr val="0071BC"/>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3'!$C$10:$C$29</c:f>
              <c:numCache>
                <c:formatCode>0.0</c:formatCode>
                <c:ptCount val="20"/>
                <c:pt idx="0">
                  <c:v>0.70393081077897168</c:v>
                </c:pt>
                <c:pt idx="1">
                  <c:v>0.6460903683416036</c:v>
                </c:pt>
                <c:pt idx="2">
                  <c:v>0.5078022322107647</c:v>
                </c:pt>
                <c:pt idx="3">
                  <c:v>0.76412283599242414</c:v>
                </c:pt>
                <c:pt idx="4">
                  <c:v>0.58981800757618463</c:v>
                </c:pt>
                <c:pt idx="5">
                  <c:v>0.73002869006748583</c:v>
                </c:pt>
                <c:pt idx="6">
                  <c:v>0.9627234351177667</c:v>
                </c:pt>
                <c:pt idx="7">
                  <c:v>1.371359354161328</c:v>
                </c:pt>
                <c:pt idx="8">
                  <c:v>0.68976772600146319</c:v>
                </c:pt>
                <c:pt idx="9">
                  <c:v>0.98805285803847265</c:v>
                </c:pt>
                <c:pt idx="10">
                  <c:v>0.80963604805681655</c:v>
                </c:pt>
                <c:pt idx="11">
                  <c:v>0.11766427409598654</c:v>
                </c:pt>
                <c:pt idx="12">
                  <c:v>0.59228639059519139</c:v>
                </c:pt>
                <c:pt idx="13">
                  <c:v>0.57477319622762479</c:v>
                </c:pt>
                <c:pt idx="14">
                  <c:v>0.95921467327970422</c:v>
                </c:pt>
                <c:pt idx="15">
                  <c:v>1.4791806391940838</c:v>
                </c:pt>
                <c:pt idx="16" formatCode="General">
                  <c:v>2.4121030611889007</c:v>
                </c:pt>
                <c:pt idx="17" formatCode="General">
                  <c:v>2.6827679202096988</c:v>
                </c:pt>
                <c:pt idx="18" formatCode="General">
                  <c:v>2.7966116523018911</c:v>
                </c:pt>
                <c:pt idx="19" formatCode="General">
                  <c:v>3.1467146872494745</c:v>
                </c:pt>
              </c:numCache>
            </c:numRef>
          </c:val>
        </c:ser>
        <c:ser>
          <c:idx val="2"/>
          <c:order val="2"/>
          <c:tx>
            <c:strRef>
              <c:f>'Ceny 3'!$D$5</c:f>
              <c:strCache>
                <c:ptCount val="1"/>
                <c:pt idx="0">
                  <c:v>Gross capital formation</c:v>
                </c:pt>
              </c:strCache>
            </c:strRef>
          </c:tx>
          <c:spPr>
            <a:ln w="19050">
              <a:solidFill>
                <a:srgbClr val="BD1B21"/>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3'!$D$10:$D$29</c:f>
              <c:numCache>
                <c:formatCode>0.0</c:formatCode>
                <c:ptCount val="20"/>
                <c:pt idx="0">
                  <c:v>0.93237675467136649</c:v>
                </c:pt>
                <c:pt idx="1">
                  <c:v>0.55587160422214765</c:v>
                </c:pt>
                <c:pt idx="2">
                  <c:v>-0.14502990088750797</c:v>
                </c:pt>
                <c:pt idx="3">
                  <c:v>1.3523234836422091</c:v>
                </c:pt>
                <c:pt idx="4">
                  <c:v>1.1262607990310585</c:v>
                </c:pt>
                <c:pt idx="5">
                  <c:v>1.6967817745947558</c:v>
                </c:pt>
                <c:pt idx="6">
                  <c:v>2.2944262174508632</c:v>
                </c:pt>
                <c:pt idx="7">
                  <c:v>1.7668000014469527</c:v>
                </c:pt>
                <c:pt idx="8">
                  <c:v>2.1227689478053282</c:v>
                </c:pt>
                <c:pt idx="9">
                  <c:v>2.5283893947638467</c:v>
                </c:pt>
                <c:pt idx="10">
                  <c:v>1.5895921078529938</c:v>
                </c:pt>
                <c:pt idx="11">
                  <c:v>1.323034507587975</c:v>
                </c:pt>
                <c:pt idx="12">
                  <c:v>0.68131620837630158</c:v>
                </c:pt>
                <c:pt idx="13">
                  <c:v>-0.47030660907466976</c:v>
                </c:pt>
                <c:pt idx="14">
                  <c:v>-3.1665506301493451E-2</c:v>
                </c:pt>
                <c:pt idx="15">
                  <c:v>0.48648204884011648</c:v>
                </c:pt>
                <c:pt idx="16" formatCode="General">
                  <c:v>0.8714374422562372</c:v>
                </c:pt>
                <c:pt idx="17" formatCode="General">
                  <c:v>1.6736489831874906</c:v>
                </c:pt>
                <c:pt idx="18" formatCode="General">
                  <c:v>1.5725178271519711</c:v>
                </c:pt>
                <c:pt idx="19" formatCode="General">
                  <c:v>0.32999735391072732</c:v>
                </c:pt>
              </c:numCache>
            </c:numRef>
          </c:val>
        </c:ser>
        <c:marker val="1"/>
        <c:axId val="154857856"/>
        <c:axId val="154859392"/>
      </c:lineChart>
      <c:catAx>
        <c:axId val="154857856"/>
        <c:scaling>
          <c:orientation val="minMax"/>
        </c:scaling>
        <c:axPos val="b"/>
        <c:tickLblPos val="low"/>
        <c:spPr>
          <a:ln>
            <a:solidFill>
              <a:schemeClr val="tx1"/>
            </a:solidFill>
          </a:ln>
        </c:spPr>
        <c:txPr>
          <a:bodyPr rot="0" vert="horz"/>
          <a:lstStyle/>
          <a:p>
            <a:pPr>
              <a:defRPr/>
            </a:pPr>
            <a:endParaRPr lang="cs-CZ"/>
          </a:p>
        </c:txPr>
        <c:crossAx val="154859392"/>
        <c:crossesAt val="0"/>
        <c:auto val="1"/>
        <c:lblAlgn val="ctr"/>
        <c:lblOffset val="100"/>
      </c:catAx>
      <c:valAx>
        <c:axId val="154859392"/>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54857856"/>
        <c:crosses val="autoZero"/>
        <c:crossBetween val="between"/>
      </c:valAx>
      <c:spPr>
        <a:ln>
          <a:solidFill>
            <a:schemeClr val="tx1"/>
          </a:solidFill>
        </a:ln>
      </c:spPr>
    </c:plotArea>
    <c:legend>
      <c:legendPos val="b"/>
      <c:layout>
        <c:manualLayout>
          <c:xMode val="edge"/>
          <c:yMode val="edge"/>
          <c:x val="5.1257598784194246E-2"/>
          <c:y val="0.9105279747832935"/>
          <c:w val="0.92611385511651467"/>
          <c:h val="7.215158167285828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532E-2"/>
          <c:y val="1.6549886621315294E-2"/>
          <c:w val="0.92698007507126057"/>
          <c:h val="0.68478905645878285"/>
        </c:manualLayout>
      </c:layout>
      <c:barChart>
        <c:barDir val="col"/>
        <c:grouping val="clustered"/>
        <c:ser>
          <c:idx val="0"/>
          <c:order val="0"/>
          <c:tx>
            <c:strRef>
              <c:f>'Trh práce 1'!$C$7</c:f>
              <c:strCache>
                <c:ptCount val="1"/>
                <c:pt idx="0">
                  <c:v>Total employment </c:v>
                </c:pt>
              </c:strCache>
            </c:strRef>
          </c:tx>
          <c:spPr>
            <a:solidFill>
              <a:schemeClr val="bg1">
                <a:lumMod val="50000"/>
              </a:schemeClr>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1'!$C$8:$C$39</c:f>
              <c:numCache>
                <c:formatCode>#,##0.0</c:formatCode>
                <c:ptCount val="32"/>
                <c:pt idx="0" formatCode="0.0">
                  <c:v>-2.7493629357650775</c:v>
                </c:pt>
                <c:pt idx="1">
                  <c:v>-1.231355670101081</c:v>
                </c:pt>
                <c:pt idx="2">
                  <c:v>-0.18766026442571621</c:v>
                </c:pt>
                <c:pt idx="3">
                  <c:v>6.7316120287756645E-2</c:v>
                </c:pt>
                <c:pt idx="4" formatCode="0.0">
                  <c:v>0.10338579028356776</c:v>
                </c:pt>
                <c:pt idx="5">
                  <c:v>2.018958815014571E-3</c:v>
                </c:pt>
                <c:pt idx="6">
                  <c:v>-0.4435767389336579</c:v>
                </c:pt>
                <c:pt idx="7">
                  <c:v>-0.74967660526091662</c:v>
                </c:pt>
                <c:pt idx="8" formatCode="0.0">
                  <c:v>-6.4487376943205388E-2</c:v>
                </c:pt>
                <c:pt idx="9">
                  <c:v>0.15991018585724293</c:v>
                </c:pt>
                <c:pt idx="10">
                  <c:v>0.67126249823633088</c:v>
                </c:pt>
                <c:pt idx="11">
                  <c:v>0.91419179797142669</c:v>
                </c:pt>
                <c:pt idx="12" formatCode="0.0">
                  <c:v>0.4434233641801768</c:v>
                </c:pt>
                <c:pt idx="13">
                  <c:v>0.67770819458962794</c:v>
                </c:pt>
                <c:pt idx="14">
                  <c:v>0.1289519714435555</c:v>
                </c:pt>
                <c:pt idx="15">
                  <c:v>4.0322580645167298E-2</c:v>
                </c:pt>
                <c:pt idx="16" formatCode="0.0">
                  <c:v>0.576971469088989</c:v>
                </c:pt>
                <c:pt idx="17">
                  <c:v>8.0399106188068045E-2</c:v>
                </c:pt>
                <c:pt idx="18">
                  <c:v>0.61322218939174833</c:v>
                </c:pt>
                <c:pt idx="19">
                  <c:v>0.9379237303555793</c:v>
                </c:pt>
                <c:pt idx="20" formatCode="0.0">
                  <c:v>1.2656993874037694</c:v>
                </c:pt>
                <c:pt idx="21">
                  <c:v>1.7613382287180173</c:v>
                </c:pt>
                <c:pt idx="22">
                  <c:v>1.3482013235820041</c:v>
                </c:pt>
                <c:pt idx="23">
                  <c:v>1.3363413079349578</c:v>
                </c:pt>
                <c:pt idx="24" formatCode="0.0">
                  <c:v>1.25558572910262</c:v>
                </c:pt>
                <c:pt idx="25">
                  <c:v>1.1507983544329499</c:v>
                </c:pt>
                <c:pt idx="26">
                  <c:v>1.2387481612437357</c:v>
                </c:pt>
                <c:pt idx="27">
                  <c:v>1.4978787727267502</c:v>
                </c:pt>
                <c:pt idx="28" formatCode="0.0">
                  <c:v>1.4614799115755517</c:v>
                </c:pt>
                <c:pt idx="29">
                  <c:v>1.2931305511953326</c:v>
                </c:pt>
                <c:pt idx="30">
                  <c:v>2.0275621702766813</c:v>
                </c:pt>
                <c:pt idx="31">
                  <c:v>1.4810788094147682</c:v>
                </c:pt>
              </c:numCache>
            </c:numRef>
          </c:val>
        </c:ser>
        <c:ser>
          <c:idx val="1"/>
          <c:order val="1"/>
          <c:tx>
            <c:strRef>
              <c:f>'Trh práce 1'!$D$7</c:f>
              <c:strCache>
                <c:ptCount val="1"/>
                <c:pt idx="0">
                  <c:v>In that employees</c:v>
                </c:pt>
              </c:strCache>
            </c:strRef>
          </c:tx>
          <c:spPr>
            <a:solidFill>
              <a:srgbClr val="B4B4B4"/>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1'!$D$8:$D$39</c:f>
              <c:numCache>
                <c:formatCode>#,##0.0</c:formatCode>
                <c:ptCount val="32"/>
                <c:pt idx="0" formatCode="0.0">
                  <c:v>-3.7183457539311604</c:v>
                </c:pt>
                <c:pt idx="1">
                  <c:v>-2.2037535918506852</c:v>
                </c:pt>
                <c:pt idx="2">
                  <c:v>-0.95031718324349868</c:v>
                </c:pt>
                <c:pt idx="3">
                  <c:v>-0.89602372013739251</c:v>
                </c:pt>
                <c:pt idx="4" formatCode="0.0">
                  <c:v>-0.12541420529301206</c:v>
                </c:pt>
                <c:pt idx="5">
                  <c:v>-0.18074186061507191</c:v>
                </c:pt>
                <c:pt idx="6">
                  <c:v>-0.68532067485385562</c:v>
                </c:pt>
                <c:pt idx="7">
                  <c:v>-1.0055124180924497</c:v>
                </c:pt>
                <c:pt idx="8" formatCode="0.0">
                  <c:v>-0.3064912629919409</c:v>
                </c:pt>
                <c:pt idx="9">
                  <c:v>8.2306292576589668E-2</c:v>
                </c:pt>
                <c:pt idx="10">
                  <c:v>1.1363397269730211</c:v>
                </c:pt>
                <c:pt idx="11">
                  <c:v>1.4752985788288413</c:v>
                </c:pt>
                <c:pt idx="12" formatCode="0.0">
                  <c:v>1.3546733566221858</c:v>
                </c:pt>
                <c:pt idx="13">
                  <c:v>1.6154432368700355</c:v>
                </c:pt>
                <c:pt idx="14">
                  <c:v>0.3694905999272613</c:v>
                </c:pt>
                <c:pt idx="15">
                  <c:v>0.47903550287971086</c:v>
                </c:pt>
                <c:pt idx="16" formatCode="0.0">
                  <c:v>0.66378516215239425</c:v>
                </c:pt>
                <c:pt idx="17">
                  <c:v>0.18975134112584183</c:v>
                </c:pt>
                <c:pt idx="18">
                  <c:v>1.2672516726795198</c:v>
                </c:pt>
                <c:pt idx="19">
                  <c:v>1.4210854345550399</c:v>
                </c:pt>
                <c:pt idx="20" formatCode="0.0">
                  <c:v>1.790279667503242</c:v>
                </c:pt>
                <c:pt idx="21">
                  <c:v>2.2018522696376976</c:v>
                </c:pt>
                <c:pt idx="22">
                  <c:v>1.7829147341944764</c:v>
                </c:pt>
                <c:pt idx="23">
                  <c:v>2.023636901433207</c:v>
                </c:pt>
                <c:pt idx="24" formatCode="0.0">
                  <c:v>1.7634904453369262</c:v>
                </c:pt>
                <c:pt idx="25">
                  <c:v>1.2273587505034556</c:v>
                </c:pt>
                <c:pt idx="26">
                  <c:v>1.1016541871874341</c:v>
                </c:pt>
                <c:pt idx="27">
                  <c:v>0.89889101162970153</c:v>
                </c:pt>
                <c:pt idx="28" formatCode="0.0">
                  <c:v>0.87734573109716563</c:v>
                </c:pt>
                <c:pt idx="29">
                  <c:v>1.2188739489708951</c:v>
                </c:pt>
                <c:pt idx="30">
                  <c:v>2.048046778272524</c:v>
                </c:pt>
                <c:pt idx="31" formatCode="0.0">
                  <c:v>1.9000000000000001</c:v>
                </c:pt>
              </c:numCache>
            </c:numRef>
          </c:val>
        </c:ser>
        <c:gapWidth val="39"/>
        <c:axId val="154986368"/>
        <c:axId val="155062272"/>
      </c:barChart>
      <c:lineChart>
        <c:grouping val="standard"/>
        <c:ser>
          <c:idx val="2"/>
          <c:order val="2"/>
          <c:tx>
            <c:strRef>
              <c:f>'Trh práce 1'!$E$7</c:f>
              <c:strCache>
                <c:ptCount val="1"/>
                <c:pt idx="0">
                  <c:v>Manufacturing</c:v>
                </c:pt>
              </c:strCache>
            </c:strRef>
          </c:tx>
          <c:spPr>
            <a:ln w="19050">
              <a:solidFill>
                <a:srgbClr val="0071BC"/>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1'!$E$8:$E$39</c:f>
              <c:numCache>
                <c:formatCode>#,##0.0</c:formatCode>
                <c:ptCount val="32"/>
                <c:pt idx="0" formatCode="0.0">
                  <c:v>-7.1328240218293359</c:v>
                </c:pt>
                <c:pt idx="1">
                  <c:v>-3.3483416585653778</c:v>
                </c:pt>
                <c:pt idx="2">
                  <c:v>-1.2053324012494913</c:v>
                </c:pt>
                <c:pt idx="3">
                  <c:v>-0.57131663484786033</c:v>
                </c:pt>
                <c:pt idx="4" formatCode="0.0">
                  <c:v>3.9594013882738439</c:v>
                </c:pt>
                <c:pt idx="5">
                  <c:v>4.29177691707892</c:v>
                </c:pt>
                <c:pt idx="6">
                  <c:v>3.8641041434753753</c:v>
                </c:pt>
                <c:pt idx="7">
                  <c:v>2.3282676220815119</c:v>
                </c:pt>
                <c:pt idx="8" formatCode="0.0">
                  <c:v>0.60345793922903113</c:v>
                </c:pt>
                <c:pt idx="9">
                  <c:v>0.50872672006472897</c:v>
                </c:pt>
                <c:pt idx="10">
                  <c:v>1.2032645570921658</c:v>
                </c:pt>
                <c:pt idx="11">
                  <c:v>1.6438966600367309</c:v>
                </c:pt>
                <c:pt idx="12" formatCode="0.0">
                  <c:v>-0.17866048437355175</c:v>
                </c:pt>
                <c:pt idx="13">
                  <c:v>0.16028267064615417</c:v>
                </c:pt>
                <c:pt idx="14">
                  <c:v>-0.40170171733359439</c:v>
                </c:pt>
                <c:pt idx="15">
                  <c:v>-0.21424103300076097</c:v>
                </c:pt>
                <c:pt idx="16" formatCode="0.0">
                  <c:v>0.79613495033972015</c:v>
                </c:pt>
                <c:pt idx="17">
                  <c:v>0.76079016253729115</c:v>
                </c:pt>
                <c:pt idx="18">
                  <c:v>1.537859661648028</c:v>
                </c:pt>
                <c:pt idx="19">
                  <c:v>2.0804183493204675</c:v>
                </c:pt>
                <c:pt idx="20" formatCode="0.0">
                  <c:v>3.4953504286037127</c:v>
                </c:pt>
                <c:pt idx="21">
                  <c:v>3.6840014560195882</c:v>
                </c:pt>
                <c:pt idx="22">
                  <c:v>3.1112916815337428</c:v>
                </c:pt>
                <c:pt idx="23">
                  <c:v>3.7794080596979152</c:v>
                </c:pt>
                <c:pt idx="24" formatCode="0.0">
                  <c:v>2.431344478594383</c:v>
                </c:pt>
                <c:pt idx="25">
                  <c:v>1.5761795854152467</c:v>
                </c:pt>
                <c:pt idx="26">
                  <c:v>1.831630983970058</c:v>
                </c:pt>
                <c:pt idx="27">
                  <c:v>1.3319586258319731</c:v>
                </c:pt>
                <c:pt idx="28" formatCode="0.0">
                  <c:v>1.0374019421035999E-2</c:v>
                </c:pt>
                <c:pt idx="29">
                  <c:v>0.44522365156534249</c:v>
                </c:pt>
                <c:pt idx="30">
                  <c:v>0.98933067760368965</c:v>
                </c:pt>
                <c:pt idx="31">
                  <c:v>0.99466162609706998</c:v>
                </c:pt>
              </c:numCache>
            </c:numRef>
          </c:val>
        </c:ser>
        <c:ser>
          <c:idx val="3"/>
          <c:order val="3"/>
          <c:tx>
            <c:strRef>
              <c:f>'Trh práce 1'!$F$7</c:f>
              <c:strCache>
                <c:ptCount val="1"/>
                <c:pt idx="0">
                  <c:v>Construction</c:v>
                </c:pt>
              </c:strCache>
            </c:strRef>
          </c:tx>
          <c:spPr>
            <a:ln w="19050">
              <a:solidFill>
                <a:srgbClr val="BD1B21"/>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1'!$F$8:$F$39</c:f>
              <c:numCache>
                <c:formatCode>#,##0.0</c:formatCode>
                <c:ptCount val="32"/>
                <c:pt idx="0" formatCode="0.0">
                  <c:v>0.96973743053816108</c:v>
                </c:pt>
                <c:pt idx="1">
                  <c:v>1.5766212487064581</c:v>
                </c:pt>
                <c:pt idx="2">
                  <c:v>2.0505826231116777</c:v>
                </c:pt>
                <c:pt idx="3">
                  <c:v>2.097501734906305</c:v>
                </c:pt>
                <c:pt idx="4" formatCode="0.0">
                  <c:v>-5.0057748344370765</c:v>
                </c:pt>
                <c:pt idx="5">
                  <c:v>-4.9400088718526733</c:v>
                </c:pt>
                <c:pt idx="6">
                  <c:v>-5.3825592625853407</c:v>
                </c:pt>
                <c:pt idx="7">
                  <c:v>-5.2114309503984755</c:v>
                </c:pt>
                <c:pt idx="8" formatCode="0.0">
                  <c:v>-1.0125955373515865</c:v>
                </c:pt>
                <c:pt idx="9">
                  <c:v>-0.65129343258655703</c:v>
                </c:pt>
                <c:pt idx="10">
                  <c:v>-1.6486726674023942</c:v>
                </c:pt>
                <c:pt idx="11">
                  <c:v>-1.8238369370116339</c:v>
                </c:pt>
                <c:pt idx="12" formatCode="0.0">
                  <c:v>-2.4231770393157888</c:v>
                </c:pt>
                <c:pt idx="13">
                  <c:v>-3.690660529799243</c:v>
                </c:pt>
                <c:pt idx="14">
                  <c:v>-2.201849061585321</c:v>
                </c:pt>
                <c:pt idx="15">
                  <c:v>-1.0882912822572866</c:v>
                </c:pt>
                <c:pt idx="16" formatCode="0.0">
                  <c:v>-5.0648669747761375</c:v>
                </c:pt>
                <c:pt idx="17">
                  <c:v>-3.6538098049419152</c:v>
                </c:pt>
                <c:pt idx="18">
                  <c:v>-4.2712784278679123</c:v>
                </c:pt>
                <c:pt idx="19">
                  <c:v>-5.2428752740279192</c:v>
                </c:pt>
                <c:pt idx="20" formatCode="0.0">
                  <c:v>-0.1720052355766202</c:v>
                </c:pt>
                <c:pt idx="21">
                  <c:v>-9.2520605210694537E-2</c:v>
                </c:pt>
                <c:pt idx="22">
                  <c:v>-0.60778302632186865</c:v>
                </c:pt>
                <c:pt idx="23">
                  <c:v>-0.98361054964323058</c:v>
                </c:pt>
                <c:pt idx="24" formatCode="0.0">
                  <c:v>-0.86955038298722731</c:v>
                </c:pt>
                <c:pt idx="25">
                  <c:v>-1.2632757897594888</c:v>
                </c:pt>
                <c:pt idx="26">
                  <c:v>0.19494607796374908</c:v>
                </c:pt>
                <c:pt idx="27">
                  <c:v>0.47566227486591151</c:v>
                </c:pt>
                <c:pt idx="28" formatCode="0.0">
                  <c:v>0.87939049904241562</c:v>
                </c:pt>
                <c:pt idx="29">
                  <c:v>0.58337098073108895</c:v>
                </c:pt>
                <c:pt idx="30">
                  <c:v>1.6505219369769721</c:v>
                </c:pt>
                <c:pt idx="31">
                  <c:v>-6.5112294229237588E-2</c:v>
                </c:pt>
              </c:numCache>
            </c:numRef>
          </c:val>
        </c:ser>
        <c:ser>
          <c:idx val="4"/>
          <c:order val="4"/>
          <c:tx>
            <c:strRef>
              <c:f>'Trh práce 1'!$G$7</c:f>
              <c:strCache>
                <c:ptCount val="1"/>
                <c:pt idx="0">
                  <c:v>Trade, transport, accommodation and food service activities</c:v>
                </c:pt>
              </c:strCache>
            </c:strRef>
          </c:tx>
          <c:spPr>
            <a:ln w="19050">
              <a:solidFill>
                <a:srgbClr val="7DBB2D"/>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1'!$G$8:$G$39</c:f>
              <c:numCache>
                <c:formatCode>#,##0.0</c:formatCode>
                <c:ptCount val="32"/>
                <c:pt idx="0" formatCode="0.0">
                  <c:v>-1.4811264631436956</c:v>
                </c:pt>
                <c:pt idx="1">
                  <c:v>-0.55415302001367195</c:v>
                </c:pt>
                <c:pt idx="2">
                  <c:v>0.60230497012719353</c:v>
                </c:pt>
                <c:pt idx="3">
                  <c:v>1.1873384060302081</c:v>
                </c:pt>
                <c:pt idx="4" formatCode="0.0">
                  <c:v>-0.26525714239460285</c:v>
                </c:pt>
                <c:pt idx="5">
                  <c:v>-0.33716708681508606</c:v>
                </c:pt>
                <c:pt idx="6">
                  <c:v>-0.36196666950499495</c:v>
                </c:pt>
                <c:pt idx="7">
                  <c:v>-0.6159301049051038</c:v>
                </c:pt>
                <c:pt idx="8" formatCode="0.0">
                  <c:v>-0.54434279555370324</c:v>
                </c:pt>
                <c:pt idx="9">
                  <c:v>-0.40514396083042931</c:v>
                </c:pt>
                <c:pt idx="10">
                  <c:v>-0.37311748202134282</c:v>
                </c:pt>
                <c:pt idx="11">
                  <c:v>-0.76815794371515267</c:v>
                </c:pt>
                <c:pt idx="12" formatCode="0.0">
                  <c:v>0.77369328581768571</c:v>
                </c:pt>
                <c:pt idx="13">
                  <c:v>0.60429784295405453</c:v>
                </c:pt>
                <c:pt idx="14">
                  <c:v>7.7201205439365581E-2</c:v>
                </c:pt>
                <c:pt idx="15">
                  <c:v>0.17659710770475101</c:v>
                </c:pt>
                <c:pt idx="16" formatCode="0.0">
                  <c:v>-0.27532549141551527</c:v>
                </c:pt>
                <c:pt idx="17">
                  <c:v>-1.0247212280180378</c:v>
                </c:pt>
                <c:pt idx="18">
                  <c:v>-0.43357812735003215</c:v>
                </c:pt>
                <c:pt idx="19">
                  <c:v>0.64735384894699166</c:v>
                </c:pt>
                <c:pt idx="20" formatCode="0.0">
                  <c:v>0.50702313110330977</c:v>
                </c:pt>
                <c:pt idx="21">
                  <c:v>1.5961990830606112</c:v>
                </c:pt>
                <c:pt idx="22">
                  <c:v>0.93704012916178669</c:v>
                </c:pt>
                <c:pt idx="23">
                  <c:v>0.33427848272518218</c:v>
                </c:pt>
                <c:pt idx="24" formatCode="0.0">
                  <c:v>1.0009323399146552</c:v>
                </c:pt>
                <c:pt idx="25">
                  <c:v>1.7066855557750671</c:v>
                </c:pt>
                <c:pt idx="26">
                  <c:v>0.78520382793907162</c:v>
                </c:pt>
                <c:pt idx="27">
                  <c:v>1.1320860722512562</c:v>
                </c:pt>
                <c:pt idx="28" formatCode="0.0">
                  <c:v>2.2366384430481463</c:v>
                </c:pt>
                <c:pt idx="29">
                  <c:v>1.5235156303670294</c:v>
                </c:pt>
                <c:pt idx="30">
                  <c:v>3.2730570539692248</c:v>
                </c:pt>
                <c:pt idx="31">
                  <c:v>2.6959568583412352</c:v>
                </c:pt>
              </c:numCache>
            </c:numRef>
          </c:val>
        </c:ser>
        <c:ser>
          <c:idx val="5"/>
          <c:order val="5"/>
          <c:tx>
            <c:strRef>
              <c:f>'Trh práce 1'!$H$7</c:f>
              <c:strCache>
                <c:ptCount val="1"/>
                <c:pt idx="0">
                  <c:v>Public administration, defence, education, health and social work </c:v>
                </c:pt>
              </c:strCache>
            </c:strRef>
          </c:tx>
          <c:spPr>
            <a:ln w="19050">
              <a:solidFill>
                <a:srgbClr val="F8A124"/>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1'!$H$8:$H$39</c:f>
              <c:numCache>
                <c:formatCode>#,##0.0</c:formatCode>
                <c:ptCount val="32"/>
                <c:pt idx="0" formatCode="0.0">
                  <c:v>-1.855806077102784E-2</c:v>
                </c:pt>
                <c:pt idx="1">
                  <c:v>-0.22689757528192445</c:v>
                </c:pt>
                <c:pt idx="2">
                  <c:v>-0.29433275456824531</c:v>
                </c:pt>
                <c:pt idx="3">
                  <c:v>-0.22704563055179988</c:v>
                </c:pt>
                <c:pt idx="4" formatCode="0.0">
                  <c:v>-0.47110868534822753</c:v>
                </c:pt>
                <c:pt idx="5">
                  <c:v>-0.76334858695398178</c:v>
                </c:pt>
                <c:pt idx="6">
                  <c:v>-1.047428240582603</c:v>
                </c:pt>
                <c:pt idx="7">
                  <c:v>-0.76086919786541785</c:v>
                </c:pt>
                <c:pt idx="8" formatCode="0.0">
                  <c:v>-2.5354254663728688</c:v>
                </c:pt>
                <c:pt idx="9">
                  <c:v>-1.902141619073888</c:v>
                </c:pt>
                <c:pt idx="10">
                  <c:v>-0.31903720704937683</c:v>
                </c:pt>
                <c:pt idx="11">
                  <c:v>0.36291810220055304</c:v>
                </c:pt>
                <c:pt idx="12" formatCode="0.0">
                  <c:v>0.82471995854189195</c:v>
                </c:pt>
                <c:pt idx="13">
                  <c:v>2.1008576235233796</c:v>
                </c:pt>
                <c:pt idx="14">
                  <c:v>1.1395620003701339</c:v>
                </c:pt>
                <c:pt idx="15">
                  <c:v>0.93291347702553662</c:v>
                </c:pt>
                <c:pt idx="16" formatCode="0.0">
                  <c:v>1.5775454229154633</c:v>
                </c:pt>
                <c:pt idx="17">
                  <c:v>0.9707194652087886</c:v>
                </c:pt>
                <c:pt idx="18">
                  <c:v>2.0062549533348153</c:v>
                </c:pt>
                <c:pt idx="19">
                  <c:v>1.9094311712761822</c:v>
                </c:pt>
                <c:pt idx="20" formatCode="0.0">
                  <c:v>1.5186815850960897</c:v>
                </c:pt>
                <c:pt idx="21">
                  <c:v>1.3439686041484282</c:v>
                </c:pt>
                <c:pt idx="22">
                  <c:v>0.58259948981276355</c:v>
                </c:pt>
                <c:pt idx="23">
                  <c:v>0.49868099701011254</c:v>
                </c:pt>
                <c:pt idx="24" formatCode="0.0">
                  <c:v>0.63503922301082205</c:v>
                </c:pt>
                <c:pt idx="25">
                  <c:v>0.46250463543849207</c:v>
                </c:pt>
                <c:pt idx="26">
                  <c:v>0.92616906278036026</c:v>
                </c:pt>
                <c:pt idx="27">
                  <c:v>1.4567791547310804</c:v>
                </c:pt>
                <c:pt idx="28" formatCode="0.0">
                  <c:v>0.682846860733207</c:v>
                </c:pt>
                <c:pt idx="29">
                  <c:v>0.93708384646460274</c:v>
                </c:pt>
                <c:pt idx="30">
                  <c:v>1.5259446362655911</c:v>
                </c:pt>
                <c:pt idx="31">
                  <c:v>1.6708582817110493</c:v>
                </c:pt>
              </c:numCache>
            </c:numRef>
          </c:val>
        </c:ser>
        <c:ser>
          <c:idx val="6"/>
          <c:order val="6"/>
          <c:tx>
            <c:strRef>
              <c:f>'Trh práce 1'!$I$7</c:f>
              <c:strCache>
                <c:ptCount val="1"/>
                <c:pt idx="0">
                  <c:v>Professional, scientific, technical and administrative activities </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1'!$I$8:$I$39</c:f>
              <c:numCache>
                <c:formatCode>#,##0.0</c:formatCode>
                <c:ptCount val="32"/>
                <c:pt idx="0" formatCode="0.0">
                  <c:v>-1.7361900970579269</c:v>
                </c:pt>
                <c:pt idx="1">
                  <c:v>-0.71964829861366386</c:v>
                </c:pt>
                <c:pt idx="2">
                  <c:v>-0.11701441372717625</c:v>
                </c:pt>
                <c:pt idx="3">
                  <c:v>-0.63412618780617469</c:v>
                </c:pt>
                <c:pt idx="4" formatCode="0.0">
                  <c:v>-2.4230206250949493</c:v>
                </c:pt>
                <c:pt idx="5">
                  <c:v>-2.8585508924448937</c:v>
                </c:pt>
                <c:pt idx="6">
                  <c:v>-4.6837027416279096</c:v>
                </c:pt>
                <c:pt idx="7">
                  <c:v>-3.5802788858820236</c:v>
                </c:pt>
                <c:pt idx="8" formatCode="0.0">
                  <c:v>1.6068564480613787</c:v>
                </c:pt>
                <c:pt idx="9">
                  <c:v>1.6977786534009738</c:v>
                </c:pt>
                <c:pt idx="10">
                  <c:v>2.5449653408908119</c:v>
                </c:pt>
                <c:pt idx="11">
                  <c:v>2.9858065152037883</c:v>
                </c:pt>
                <c:pt idx="12" formatCode="0.0">
                  <c:v>0.66302965148379833</c:v>
                </c:pt>
                <c:pt idx="13">
                  <c:v>1.9421049317841721</c:v>
                </c:pt>
                <c:pt idx="14">
                  <c:v>2.6322897423901161</c:v>
                </c:pt>
                <c:pt idx="15">
                  <c:v>2.3513113220413566</c:v>
                </c:pt>
                <c:pt idx="16" formatCode="0.0">
                  <c:v>4.0126223515170238</c:v>
                </c:pt>
                <c:pt idx="17">
                  <c:v>2.825352634604497</c:v>
                </c:pt>
                <c:pt idx="18">
                  <c:v>1.4570943175436333</c:v>
                </c:pt>
                <c:pt idx="19">
                  <c:v>0.92527655436174427</c:v>
                </c:pt>
                <c:pt idx="20" formatCode="0.0">
                  <c:v>1.3229541252009369</c:v>
                </c:pt>
                <c:pt idx="21">
                  <c:v>1.2904626814640918</c:v>
                </c:pt>
                <c:pt idx="22">
                  <c:v>2.6152570557745487</c:v>
                </c:pt>
                <c:pt idx="23">
                  <c:v>4.1302041591579695</c:v>
                </c:pt>
                <c:pt idx="24" formatCode="0.0">
                  <c:v>3.3963743577633636</c:v>
                </c:pt>
                <c:pt idx="25">
                  <c:v>2.9950690380290839</c:v>
                </c:pt>
                <c:pt idx="26">
                  <c:v>3.0320539152180532</c:v>
                </c:pt>
                <c:pt idx="27">
                  <c:v>3.013660235834263</c:v>
                </c:pt>
                <c:pt idx="28" formatCode="0.0">
                  <c:v>5.6372163153985042</c:v>
                </c:pt>
                <c:pt idx="29">
                  <c:v>4.4779953320076373</c:v>
                </c:pt>
                <c:pt idx="30">
                  <c:v>3.6201533406352842</c:v>
                </c:pt>
                <c:pt idx="31">
                  <c:v>1.7309399029585393</c:v>
                </c:pt>
              </c:numCache>
            </c:numRef>
          </c:val>
        </c:ser>
        <c:marker val="1"/>
        <c:axId val="154986368"/>
        <c:axId val="155062272"/>
      </c:lineChart>
      <c:catAx>
        <c:axId val="154986368"/>
        <c:scaling>
          <c:orientation val="minMax"/>
        </c:scaling>
        <c:axPos val="b"/>
        <c:tickLblPos val="low"/>
        <c:spPr>
          <a:ln>
            <a:solidFill>
              <a:schemeClr val="tx1"/>
            </a:solidFill>
          </a:ln>
        </c:spPr>
        <c:crossAx val="155062272"/>
        <c:crosses val="autoZero"/>
        <c:auto val="1"/>
        <c:lblAlgn val="ctr"/>
        <c:lblOffset val="10"/>
      </c:catAx>
      <c:valAx>
        <c:axId val="155062272"/>
        <c:scaling>
          <c:orientation val="minMax"/>
          <c:max val="5"/>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54986368"/>
        <c:crosses val="autoZero"/>
        <c:crossBetween val="between"/>
        <c:majorUnit val="1"/>
      </c:valAx>
      <c:spPr>
        <a:ln>
          <a:solidFill>
            <a:schemeClr val="tx1"/>
          </a:solidFill>
        </a:ln>
      </c:spPr>
    </c:plotArea>
    <c:legend>
      <c:legendPos val="b"/>
      <c:layout>
        <c:manualLayout>
          <c:xMode val="edge"/>
          <c:yMode val="edge"/>
          <c:x val="5.2714458167939814E-2"/>
          <c:y val="0.78784033986771906"/>
          <c:w val="0.92505743233709214"/>
          <c:h val="0.2049444931615614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3364838092894683E-2"/>
          <c:y val="1.643251153889452E-2"/>
          <c:w val="0.89785037878787877"/>
          <c:h val="0.72882908163265303"/>
        </c:manualLayout>
      </c:layout>
      <c:barChart>
        <c:barDir val="col"/>
        <c:grouping val="clustered"/>
        <c:ser>
          <c:idx val="0"/>
          <c:order val="0"/>
          <c:tx>
            <c:strRef>
              <c:f>'Trh práce-2'!$A$32</c:f>
              <c:strCache>
                <c:ptCount val="1"/>
                <c:pt idx="0">
                  <c:v>Unemployment rate of males (right axis)</c:v>
                </c:pt>
              </c:strCache>
            </c:strRef>
          </c:tx>
          <c:spPr>
            <a:solidFill>
              <a:srgbClr val="BCBCBC"/>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práce-2'!$B$32:$AG$32</c:f>
              <c:numCache>
                <c:formatCode>#,##0.0</c:formatCode>
                <c:ptCount val="32"/>
                <c:pt idx="0">
                  <c:v>7.0897881060467505</c:v>
                </c:pt>
                <c:pt idx="1">
                  <c:v>6.4948830463203056</c:v>
                </c:pt>
                <c:pt idx="2">
                  <c:v>6.1954847565769118</c:v>
                </c:pt>
                <c:pt idx="3">
                  <c:v>6.0903971133860804</c:v>
                </c:pt>
                <c:pt idx="4">
                  <c:v>6.041331222528683</c:v>
                </c:pt>
                <c:pt idx="5">
                  <c:v>5.9797736823398679</c:v>
                </c:pt>
                <c:pt idx="6">
                  <c:v>5.7763516385054068</c:v>
                </c:pt>
                <c:pt idx="7">
                  <c:v>5.6844611004242012</c:v>
                </c:pt>
                <c:pt idx="8">
                  <c:v>5.9883995297741448</c:v>
                </c:pt>
                <c:pt idx="9">
                  <c:v>5.9715792201718871</c:v>
                </c:pt>
                <c:pt idx="10">
                  <c:v>6.0696872416346181</c:v>
                </c:pt>
                <c:pt idx="11">
                  <c:v>6.2558722127091864</c:v>
                </c:pt>
                <c:pt idx="12">
                  <c:v>6.246867014309438</c:v>
                </c:pt>
                <c:pt idx="13">
                  <c:v>5.8774201799185946</c:v>
                </c:pt>
                <c:pt idx="14">
                  <c:v>5.9702328204790414</c:v>
                </c:pt>
                <c:pt idx="15">
                  <c:v>5.7539033345695074</c:v>
                </c:pt>
                <c:pt idx="16">
                  <c:v>5.5314098675456309</c:v>
                </c:pt>
                <c:pt idx="17">
                  <c:v>5.1944592597644403</c:v>
                </c:pt>
                <c:pt idx="18">
                  <c:v>4.9552609605886273</c:v>
                </c:pt>
                <c:pt idx="19">
                  <c:v>5.0219461606500095</c:v>
                </c:pt>
                <c:pt idx="20">
                  <c:v>4.9802638859508779</c:v>
                </c:pt>
                <c:pt idx="21">
                  <c:v>4.3377301537829673</c:v>
                </c:pt>
                <c:pt idx="22">
                  <c:v>4.1064091035501047</c:v>
                </c:pt>
                <c:pt idx="23">
                  <c:v>3.7835162959394655</c:v>
                </c:pt>
                <c:pt idx="24">
                  <c:v>3.6028853211579648</c:v>
                </c:pt>
                <c:pt idx="25">
                  <c:v>3.5569765931747765</c:v>
                </c:pt>
                <c:pt idx="26">
                  <c:v>3.4175494614706357</c:v>
                </c:pt>
                <c:pt idx="27">
                  <c:v>3.1711261476998871</c:v>
                </c:pt>
                <c:pt idx="28">
                  <c:v>2.6541432499060198</c:v>
                </c:pt>
                <c:pt idx="29">
                  <c:v>2.4424632254730065</c:v>
                </c:pt>
                <c:pt idx="30">
                  <c:v>2.3092666517038567</c:v>
                </c:pt>
                <c:pt idx="31">
                  <c:v>2.0570351103222153</c:v>
                </c:pt>
              </c:numCache>
            </c:numRef>
          </c:val>
        </c:ser>
        <c:ser>
          <c:idx val="1"/>
          <c:order val="1"/>
          <c:tx>
            <c:strRef>
              <c:f>'Trh práce-2'!$A$33</c:f>
              <c:strCache>
                <c:ptCount val="1"/>
                <c:pt idx="0">
                  <c:v>Unemployment rate of females (right axis)</c:v>
                </c:pt>
              </c:strCache>
            </c:strRef>
          </c:tx>
          <c:spPr>
            <a:solidFill>
              <a:srgbClr val="DBDBDB"/>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práce-2'!$B$33:$AG$33</c:f>
              <c:numCache>
                <c:formatCode>#,##0.0</c:formatCode>
                <c:ptCount val="32"/>
                <c:pt idx="0">
                  <c:v>8.8070482028070973</c:v>
                </c:pt>
                <c:pt idx="1">
                  <c:v>8.5515005079088748</c:v>
                </c:pt>
                <c:pt idx="2">
                  <c:v>8.4779561429475887</c:v>
                </c:pt>
                <c:pt idx="3">
                  <c:v>8.3079468348922649</c:v>
                </c:pt>
                <c:pt idx="4">
                  <c:v>8.1997599950744782</c:v>
                </c:pt>
                <c:pt idx="5">
                  <c:v>8.1112451223312263</c:v>
                </c:pt>
                <c:pt idx="6">
                  <c:v>7.815207378050486</c:v>
                </c:pt>
                <c:pt idx="7">
                  <c:v>7.7322289409197333</c:v>
                </c:pt>
                <c:pt idx="8">
                  <c:v>8.0964981327617718</c:v>
                </c:pt>
                <c:pt idx="9">
                  <c:v>8.1792420680415532</c:v>
                </c:pt>
                <c:pt idx="10">
                  <c:v>8.2857121491612205</c:v>
                </c:pt>
                <c:pt idx="11">
                  <c:v>8.499260910915007</c:v>
                </c:pt>
                <c:pt idx="12">
                  <c:v>8.5100993111767327</c:v>
                </c:pt>
                <c:pt idx="13">
                  <c:v>8.4201009610948194</c:v>
                </c:pt>
                <c:pt idx="14">
                  <c:v>8.3715700152671104</c:v>
                </c:pt>
                <c:pt idx="15">
                  <c:v>8.1811283788845319</c:v>
                </c:pt>
                <c:pt idx="16">
                  <c:v>8.0110940581855861</c:v>
                </c:pt>
                <c:pt idx="17">
                  <c:v>7.707105471308795</c:v>
                </c:pt>
                <c:pt idx="18">
                  <c:v>7.3443982956592828</c:v>
                </c:pt>
                <c:pt idx="19">
                  <c:v>6.9497064701645508</c:v>
                </c:pt>
                <c:pt idx="20">
                  <c:v>6.8326094254126506</c:v>
                </c:pt>
                <c:pt idx="21">
                  <c:v>6.2564575741642772</c:v>
                </c:pt>
                <c:pt idx="22">
                  <c:v>5.9676720404272219</c:v>
                </c:pt>
                <c:pt idx="23">
                  <c:v>5.5995399968117043</c:v>
                </c:pt>
                <c:pt idx="24">
                  <c:v>5.1465821561752332</c:v>
                </c:pt>
                <c:pt idx="25">
                  <c:v>4.821736588665698</c:v>
                </c:pt>
                <c:pt idx="26">
                  <c:v>4.7352348719843995</c:v>
                </c:pt>
                <c:pt idx="27">
                  <c:v>4.3799747506870794</c:v>
                </c:pt>
                <c:pt idx="28">
                  <c:v>4.4178013166762016</c:v>
                </c:pt>
                <c:pt idx="29">
                  <c:v>3.8370291427455516</c:v>
                </c:pt>
                <c:pt idx="30">
                  <c:v>3.2958892787255842</c:v>
                </c:pt>
                <c:pt idx="31">
                  <c:v>2.9680398079305057</c:v>
                </c:pt>
              </c:numCache>
            </c:numRef>
          </c:val>
        </c:ser>
        <c:gapWidth val="68"/>
        <c:axId val="155095424"/>
        <c:axId val="155089536"/>
      </c:barChart>
      <c:lineChart>
        <c:grouping val="standard"/>
        <c:ser>
          <c:idx val="2"/>
          <c:order val="2"/>
          <c:tx>
            <c:strRef>
              <c:f>'Trh práce-2'!$A$34</c:f>
              <c:strCache>
                <c:ptCount val="1"/>
                <c:pt idx="0">
                  <c:v>Unemployed with primary education</c:v>
                </c:pt>
              </c:strCache>
            </c:strRef>
          </c:tx>
          <c:spPr>
            <a:ln w="19050">
              <a:solidFill>
                <a:srgbClr val="0071BC"/>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práce-2'!$B$34:$AG$34</c:f>
              <c:numCache>
                <c:formatCode>0</c:formatCode>
                <c:ptCount val="32"/>
                <c:pt idx="0">
                  <c:v>21.714768670214291</c:v>
                </c:pt>
                <c:pt idx="1">
                  <c:v>-1.21634331078873</c:v>
                </c:pt>
                <c:pt idx="2">
                  <c:v>-16.17582875054989</c:v>
                </c:pt>
                <c:pt idx="3">
                  <c:v>-17.326849096450193</c:v>
                </c:pt>
                <c:pt idx="4">
                  <c:v>-20.685159269353587</c:v>
                </c:pt>
                <c:pt idx="5">
                  <c:v>-13.109667018498905</c:v>
                </c:pt>
                <c:pt idx="6">
                  <c:v>-3.4347558981075395</c:v>
                </c:pt>
                <c:pt idx="7">
                  <c:v>-1.2914192636035153</c:v>
                </c:pt>
                <c:pt idx="8">
                  <c:v>15.116142329292568</c:v>
                </c:pt>
                <c:pt idx="9">
                  <c:v>20.56425220833216</c:v>
                </c:pt>
                <c:pt idx="10">
                  <c:v>17.300096375591373</c:v>
                </c:pt>
                <c:pt idx="11">
                  <c:v>21.054278842458292</c:v>
                </c:pt>
                <c:pt idx="12">
                  <c:v>1.5586037838760241</c:v>
                </c:pt>
                <c:pt idx="13">
                  <c:v>-14.506006075302299</c:v>
                </c:pt>
                <c:pt idx="14">
                  <c:v>-19.243419598176978</c:v>
                </c:pt>
                <c:pt idx="15">
                  <c:v>-25.150929504907847</c:v>
                </c:pt>
                <c:pt idx="16">
                  <c:v>-25.77535118359669</c:v>
                </c:pt>
                <c:pt idx="17">
                  <c:v>-22.260631131502951</c:v>
                </c:pt>
                <c:pt idx="18">
                  <c:v>-14.590196785136953</c:v>
                </c:pt>
                <c:pt idx="19">
                  <c:v>-9.444471544328108</c:v>
                </c:pt>
                <c:pt idx="20">
                  <c:v>-1.188370832677478</c:v>
                </c:pt>
                <c:pt idx="21">
                  <c:v>2.1795435785889632</c:v>
                </c:pt>
                <c:pt idx="22">
                  <c:v>-0.63856381013110364</c:v>
                </c:pt>
                <c:pt idx="23">
                  <c:v>4.3365931482174886</c:v>
                </c:pt>
                <c:pt idx="24">
                  <c:v>-7.7096667806764909</c:v>
                </c:pt>
                <c:pt idx="25">
                  <c:v>-3.4192888313452379</c:v>
                </c:pt>
                <c:pt idx="26">
                  <c:v>-5.2224150656790096</c:v>
                </c:pt>
                <c:pt idx="27">
                  <c:v>-15.506068308866634</c:v>
                </c:pt>
                <c:pt idx="28">
                  <c:v>-27.91869656211804</c:v>
                </c:pt>
                <c:pt idx="29">
                  <c:v>-33.500879210484243</c:v>
                </c:pt>
                <c:pt idx="30">
                  <c:v>-44.75740935216632</c:v>
                </c:pt>
                <c:pt idx="31">
                  <c:v>-45.405405405405396</c:v>
                </c:pt>
              </c:numCache>
            </c:numRef>
          </c:val>
        </c:ser>
        <c:ser>
          <c:idx val="3"/>
          <c:order val="3"/>
          <c:tx>
            <c:strRef>
              <c:f>'Trh práce-2'!$A$35</c:f>
              <c:strCache>
                <c:ptCount val="1"/>
                <c:pt idx="0">
                  <c:v>Unemployed with secondary education without A-level examination</c:v>
                </c:pt>
              </c:strCache>
            </c:strRef>
          </c:tx>
          <c:spPr>
            <a:ln w="19050">
              <a:solidFill>
                <a:srgbClr val="BD1B21"/>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práce-2'!$B$35:$AG$35</c:f>
              <c:numCache>
                <c:formatCode>0</c:formatCode>
                <c:ptCount val="32"/>
                <c:pt idx="0">
                  <c:v>49.784188022706395</c:v>
                </c:pt>
                <c:pt idx="1">
                  <c:v>13.867544627418562</c:v>
                </c:pt>
                <c:pt idx="2">
                  <c:v>-3.4814801600927581</c:v>
                </c:pt>
                <c:pt idx="3">
                  <c:v>-3.5322380372063265</c:v>
                </c:pt>
                <c:pt idx="4">
                  <c:v>-11.579352488945252</c:v>
                </c:pt>
                <c:pt idx="5">
                  <c:v>-8.4345228185388521</c:v>
                </c:pt>
                <c:pt idx="6">
                  <c:v>-7.4278516415523796</c:v>
                </c:pt>
                <c:pt idx="7">
                  <c:v>-11.39844334476407</c:v>
                </c:pt>
                <c:pt idx="8">
                  <c:v>-6.9967808393978146</c:v>
                </c:pt>
                <c:pt idx="9">
                  <c:v>-4.6316506832057804</c:v>
                </c:pt>
                <c:pt idx="10">
                  <c:v>1.5130013110978655</c:v>
                </c:pt>
                <c:pt idx="11">
                  <c:v>15.444727754266269</c:v>
                </c:pt>
                <c:pt idx="12">
                  <c:v>11.295553399301223</c:v>
                </c:pt>
                <c:pt idx="13">
                  <c:v>11.135950773644549</c:v>
                </c:pt>
                <c:pt idx="14">
                  <c:v>2.1227982768583051</c:v>
                </c:pt>
                <c:pt idx="15">
                  <c:v>-8.1974891991531127</c:v>
                </c:pt>
                <c:pt idx="16">
                  <c:v>-9.6245134843654565</c:v>
                </c:pt>
                <c:pt idx="17">
                  <c:v>-16.23192971985074</c:v>
                </c:pt>
                <c:pt idx="18">
                  <c:v>-19.827481877336293</c:v>
                </c:pt>
                <c:pt idx="19">
                  <c:v>-16.693209567708788</c:v>
                </c:pt>
                <c:pt idx="20">
                  <c:v>-16.454778753218964</c:v>
                </c:pt>
                <c:pt idx="21">
                  <c:v>-22.216756280012163</c:v>
                </c:pt>
                <c:pt idx="22">
                  <c:v>-16.999907523882399</c:v>
                </c:pt>
                <c:pt idx="23">
                  <c:v>-31.514681784052957</c:v>
                </c:pt>
                <c:pt idx="24">
                  <c:v>-32.064032560839479</c:v>
                </c:pt>
                <c:pt idx="25">
                  <c:v>-26.106419495499964</c:v>
                </c:pt>
                <c:pt idx="26">
                  <c:v>-25.857804572569627</c:v>
                </c:pt>
                <c:pt idx="27">
                  <c:v>-16.010888695992382</c:v>
                </c:pt>
                <c:pt idx="28">
                  <c:v>-18.906457523972289</c:v>
                </c:pt>
                <c:pt idx="29">
                  <c:v>-22.991543113790527</c:v>
                </c:pt>
                <c:pt idx="30">
                  <c:v>-24.844081230829687</c:v>
                </c:pt>
                <c:pt idx="31">
                  <c:v>-23.076923076923041</c:v>
                </c:pt>
              </c:numCache>
            </c:numRef>
          </c:val>
        </c:ser>
        <c:ser>
          <c:idx val="5"/>
          <c:order val="4"/>
          <c:tx>
            <c:strRef>
              <c:f>'Trh práce-2'!$A$37</c:f>
              <c:strCache>
                <c:ptCount val="1"/>
                <c:pt idx="0">
                  <c:v>Long term unemployed (duration more than 12 months)</c:v>
                </c:pt>
              </c:strCache>
            </c:strRef>
          </c:tx>
          <c:spPr>
            <a:ln w="19050">
              <a:solidFill>
                <a:srgbClr val="7DBB2D"/>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práce-2'!$B$37:$AG$37</c:f>
              <c:numCache>
                <c:formatCode>0</c:formatCode>
                <c:ptCount val="32"/>
                <c:pt idx="0">
                  <c:v>44.412607449856715</c:v>
                </c:pt>
                <c:pt idx="1">
                  <c:v>60</c:v>
                </c:pt>
                <c:pt idx="2">
                  <c:v>47.702205882352963</c:v>
                </c:pt>
                <c:pt idx="3">
                  <c:v>40.757042253521149</c:v>
                </c:pt>
                <c:pt idx="4">
                  <c:v>-1.4550264550264678</c:v>
                </c:pt>
                <c:pt idx="5">
                  <c:v>-11.639871382636644</c:v>
                </c:pt>
                <c:pt idx="6">
                  <c:v>-14.18792781580585</c:v>
                </c:pt>
                <c:pt idx="7">
                  <c:v>-10.318949343339597</c:v>
                </c:pt>
                <c:pt idx="8">
                  <c:v>6.3758389261745085</c:v>
                </c:pt>
                <c:pt idx="9">
                  <c:v>12.590975254730694</c:v>
                </c:pt>
                <c:pt idx="10">
                  <c:v>15.155910079767965</c:v>
                </c:pt>
                <c:pt idx="11">
                  <c:v>12.482566248256649</c:v>
                </c:pt>
                <c:pt idx="12">
                  <c:v>6.6876971608832889</c:v>
                </c:pt>
                <c:pt idx="13">
                  <c:v>2.2624434389140187</c:v>
                </c:pt>
                <c:pt idx="14">
                  <c:v>1.4483627204030121</c:v>
                </c:pt>
                <c:pt idx="15">
                  <c:v>-7.1915685058896681</c:v>
                </c:pt>
                <c:pt idx="16">
                  <c:v>-13.18746303962152</c:v>
                </c:pt>
                <c:pt idx="17">
                  <c:v>-13.211125158027803</c:v>
                </c:pt>
                <c:pt idx="18">
                  <c:v>-14.959652389820006</c:v>
                </c:pt>
                <c:pt idx="19">
                  <c:v>-5.8116232464929851</c:v>
                </c:pt>
                <c:pt idx="20">
                  <c:v>-1.8392370572207284</c:v>
                </c:pt>
                <c:pt idx="21">
                  <c:v>-11.070648215586319</c:v>
                </c:pt>
                <c:pt idx="22">
                  <c:v>-9.1240875912408779</c:v>
                </c:pt>
                <c:pt idx="23">
                  <c:v>-18.581560283687928</c:v>
                </c:pt>
                <c:pt idx="24">
                  <c:v>-26.578764746703669</c:v>
                </c:pt>
                <c:pt idx="25">
                  <c:v>-25.389025389025374</c:v>
                </c:pt>
                <c:pt idx="26">
                  <c:v>-33.092369477911646</c:v>
                </c:pt>
                <c:pt idx="27">
                  <c:v>-35.017421602787387</c:v>
                </c:pt>
                <c:pt idx="28">
                  <c:v>-35.727788279773165</c:v>
                </c:pt>
                <c:pt idx="29">
                  <c:v>-35.016465422612427</c:v>
                </c:pt>
                <c:pt idx="30">
                  <c:v>-41.288782816229158</c:v>
                </c:pt>
                <c:pt idx="31">
                  <c:v>-45.78313253012054</c:v>
                </c:pt>
              </c:numCache>
            </c:numRef>
          </c:val>
        </c:ser>
        <c:marker val="1"/>
        <c:axId val="155073920"/>
        <c:axId val="155088000"/>
      </c:lineChart>
      <c:catAx>
        <c:axId val="155073920"/>
        <c:scaling>
          <c:orientation val="minMax"/>
        </c:scaling>
        <c:axPos val="b"/>
        <c:tickLblPos val="low"/>
        <c:spPr>
          <a:ln>
            <a:solidFill>
              <a:schemeClr val="tx1"/>
            </a:solidFill>
          </a:ln>
        </c:spPr>
        <c:crossAx val="155088000"/>
        <c:crossesAt val="-50"/>
        <c:auto val="1"/>
        <c:lblAlgn val="ctr"/>
        <c:lblOffset val="0"/>
      </c:catAx>
      <c:valAx>
        <c:axId val="155088000"/>
        <c:scaling>
          <c:orientation val="minMax"/>
          <c:max val="60"/>
          <c:min val="-50"/>
        </c:scaling>
        <c:axPos val="l"/>
        <c:majorGridlines>
          <c:spPr>
            <a:ln w="6350">
              <a:solidFill>
                <a:schemeClr val="bg1">
                  <a:lumMod val="75000"/>
                </a:schemeClr>
              </a:solidFill>
            </a:ln>
          </c:spPr>
        </c:majorGridlines>
        <c:numFmt formatCode="0" sourceLinked="0"/>
        <c:tickLblPos val="nextTo"/>
        <c:spPr>
          <a:ln>
            <a:solidFill>
              <a:schemeClr val="tx1"/>
            </a:solidFill>
          </a:ln>
        </c:spPr>
        <c:crossAx val="155073920"/>
        <c:crosses val="autoZero"/>
        <c:crossBetween val="between"/>
        <c:majorUnit val="10"/>
      </c:valAx>
      <c:valAx>
        <c:axId val="155089536"/>
        <c:scaling>
          <c:orientation val="minMax"/>
          <c:max val="11"/>
          <c:min val="0"/>
        </c:scaling>
        <c:axPos val="r"/>
        <c:numFmt formatCode="#,##0" sourceLinked="0"/>
        <c:tickLblPos val="nextTo"/>
        <c:crossAx val="155095424"/>
        <c:crosses val="max"/>
        <c:crossBetween val="between"/>
        <c:majorUnit val="1"/>
      </c:valAx>
      <c:catAx>
        <c:axId val="155095424"/>
        <c:scaling>
          <c:orientation val="minMax"/>
        </c:scaling>
        <c:delete val="1"/>
        <c:axPos val="b"/>
        <c:tickLblPos val="none"/>
        <c:crossAx val="155089536"/>
        <c:crosses val="autoZero"/>
        <c:auto val="1"/>
        <c:lblAlgn val="ctr"/>
        <c:lblOffset val="100"/>
      </c:catAx>
      <c:spPr>
        <a:ln>
          <a:solidFill>
            <a:schemeClr val="tx1"/>
          </a:solidFill>
        </a:ln>
      </c:spPr>
    </c:plotArea>
    <c:legend>
      <c:legendPos val="b"/>
      <c:layout>
        <c:manualLayout>
          <c:xMode val="edge"/>
          <c:yMode val="edge"/>
          <c:x val="4.9958333333333438E-2"/>
          <c:y val="0.84119019274376461"/>
          <c:w val="0.8975965909090905"/>
          <c:h val="0.1553375850340137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2.4094443232317627E-2"/>
          <c:w val="0.94100987714831374"/>
          <c:h val="0.76395209750566895"/>
        </c:manualLayout>
      </c:layout>
      <c:barChart>
        <c:barDir val="col"/>
        <c:grouping val="clustered"/>
        <c:ser>
          <c:idx val="2"/>
          <c:order val="2"/>
          <c:tx>
            <c:strRef>
              <c:f>'Trh práce 3'!$E$8</c:f>
              <c:strCache>
                <c:ptCount val="1"/>
                <c:pt idx="0">
                  <c:v>Average wage (real)</c:v>
                </c:pt>
              </c:strCache>
            </c:strRef>
          </c:tx>
          <c:spPr>
            <a:solidFill>
              <a:srgbClr val="A6A6A6"/>
            </a:solidFill>
            <a:ln w="19050">
              <a:noFill/>
            </a:ln>
          </c:spP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3'!$E$9:$E$40</c:f>
              <c:numCache>
                <c:formatCode>#,##0.0</c:formatCode>
                <c:ptCount val="32"/>
                <c:pt idx="0">
                  <c:v>2.0999999999999943</c:v>
                </c:pt>
                <c:pt idx="1">
                  <c:v>1.9000000000000061</c:v>
                </c:pt>
                <c:pt idx="2">
                  <c:v>0.29999999999999766</c:v>
                </c:pt>
                <c:pt idx="3">
                  <c:v>-1.4000000000000057</c:v>
                </c:pt>
                <c:pt idx="4">
                  <c:v>1.099999999999993</c:v>
                </c:pt>
                <c:pt idx="5">
                  <c:v>0.7999999999999976</c:v>
                </c:pt>
                <c:pt idx="6">
                  <c:v>0.29999999999999766</c:v>
                </c:pt>
                <c:pt idx="7">
                  <c:v>0</c:v>
                </c:pt>
                <c:pt idx="8">
                  <c:v>-0.5</c:v>
                </c:pt>
                <c:pt idx="9">
                  <c:v>-1.2999999999999954</c:v>
                </c:pt>
                <c:pt idx="10">
                  <c:v>-1.7999999999999954</c:v>
                </c:pt>
                <c:pt idx="11">
                  <c:v>0.40000000000000568</c:v>
                </c:pt>
                <c:pt idx="12">
                  <c:v>-2.4000000000000057</c:v>
                </c:pt>
                <c:pt idx="13">
                  <c:v>-0.5</c:v>
                </c:pt>
                <c:pt idx="14">
                  <c:v>0</c:v>
                </c:pt>
                <c:pt idx="15">
                  <c:v>-3.0999999999999943</c:v>
                </c:pt>
                <c:pt idx="16">
                  <c:v>3.7000000000000042</c:v>
                </c:pt>
                <c:pt idx="17">
                  <c:v>2.5999999999999943</c:v>
                </c:pt>
                <c:pt idx="18">
                  <c:v>1.599999999999993</c:v>
                </c:pt>
                <c:pt idx="19">
                  <c:v>2.2999999999999972</c:v>
                </c:pt>
                <c:pt idx="20">
                  <c:v>2.2000000000000042</c:v>
                </c:pt>
                <c:pt idx="21">
                  <c:v>2.5999999999999943</c:v>
                </c:pt>
                <c:pt idx="22">
                  <c:v>3.0999999999999943</c:v>
                </c:pt>
                <c:pt idx="23">
                  <c:v>3.5999999999999943</c:v>
                </c:pt>
                <c:pt idx="24">
                  <c:v>3.2999999999999972</c:v>
                </c:pt>
                <c:pt idx="25">
                  <c:v>3.0999999999999943</c:v>
                </c:pt>
                <c:pt idx="26">
                  <c:v>3.5</c:v>
                </c:pt>
                <c:pt idx="27">
                  <c:v>2.2999999999999972</c:v>
                </c:pt>
                <c:pt idx="28">
                  <c:v>2.9000000000000057</c:v>
                </c:pt>
                <c:pt idx="29">
                  <c:v>5.2999999999999972</c:v>
                </c:pt>
                <c:pt idx="30">
                  <c:v>4.2000000000000028</c:v>
                </c:pt>
                <c:pt idx="31">
                  <c:v>5.2999999999999972</c:v>
                </c:pt>
              </c:numCache>
            </c:numRef>
          </c:val>
        </c:ser>
        <c:gapWidth val="78"/>
        <c:axId val="155117440"/>
        <c:axId val="155254784"/>
      </c:barChart>
      <c:lineChart>
        <c:grouping val="standard"/>
        <c:ser>
          <c:idx val="0"/>
          <c:order val="0"/>
          <c:tx>
            <c:strRef>
              <c:f>'Trh práce 3'!$C$8</c:f>
              <c:strCache>
                <c:ptCount val="1"/>
                <c:pt idx="0">
                  <c:v>Average wage (nominal)</c:v>
                </c:pt>
              </c:strCache>
            </c:strRef>
          </c:tx>
          <c:spPr>
            <a:ln w="19050">
              <a:solidFill>
                <a:srgbClr val="0071BC"/>
              </a:solidFill>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3'!$C$9:$C$40</c:f>
              <c:numCache>
                <c:formatCode>0.0</c:formatCode>
                <c:ptCount val="32"/>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3.7999999999999972</c:v>
                </c:pt>
                <c:pt idx="25">
                  <c:v>3.2999999999999972</c:v>
                </c:pt>
                <c:pt idx="26">
                  <c:v>4</c:v>
                </c:pt>
                <c:pt idx="27">
                  <c:v>3.7000000000000042</c:v>
                </c:pt>
                <c:pt idx="28">
                  <c:v>5.4000000000000083</c:v>
                </c:pt>
                <c:pt idx="29">
                  <c:v>7.5999999999999943</c:v>
                </c:pt>
                <c:pt idx="30">
                  <c:v>6.7999999999999972</c:v>
                </c:pt>
                <c:pt idx="31">
                  <c:v>8</c:v>
                </c:pt>
              </c:numCache>
            </c:numRef>
          </c:val>
        </c:ser>
        <c:ser>
          <c:idx val="1"/>
          <c:order val="1"/>
          <c:tx>
            <c:strRef>
              <c:f>'Trh práce 3'!$D$8</c:f>
              <c:strCache>
                <c:ptCount val="1"/>
                <c:pt idx="0">
                  <c:v>Median wage (nominal)</c:v>
                </c:pt>
              </c:strCache>
            </c:strRef>
          </c:tx>
          <c:spPr>
            <a:ln w="19050">
              <a:solidFill>
                <a:srgbClr val="BD1B21"/>
              </a:solidFill>
              <a:prstDash val="solid"/>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3'!$D$9:$D$40</c:f>
              <c:numCache>
                <c:formatCode>0.0</c:formatCode>
                <c:ptCount val="32"/>
                <c:pt idx="0">
                  <c:v>3.2000000000000042</c:v>
                </c:pt>
                <c:pt idx="1">
                  <c:v>2.5999999999999943</c:v>
                </c:pt>
                <c:pt idx="2">
                  <c:v>2.7999999999999972</c:v>
                </c:pt>
                <c:pt idx="3">
                  <c:v>1.7999999999999954</c:v>
                </c:pt>
                <c:pt idx="4">
                  <c:v>2.7999999999999972</c:v>
                </c:pt>
                <c:pt idx="5">
                  <c:v>2.2000000000000042</c:v>
                </c:pt>
                <c:pt idx="6">
                  <c:v>1.7000000000000028</c:v>
                </c:pt>
                <c:pt idx="7">
                  <c:v>2.2000000000000042</c:v>
                </c:pt>
                <c:pt idx="8">
                  <c:v>1.4000000000000057</c:v>
                </c:pt>
                <c:pt idx="9">
                  <c:v>1.2999999999999954</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5.7999999999999972</c:v>
                </c:pt>
                <c:pt idx="25">
                  <c:v>3.7999999999999972</c:v>
                </c:pt>
                <c:pt idx="26">
                  <c:v>4.5999999999999943</c:v>
                </c:pt>
                <c:pt idx="27">
                  <c:v>5.7000000000000028</c:v>
                </c:pt>
                <c:pt idx="28">
                  <c:v>5.2999999999999972</c:v>
                </c:pt>
                <c:pt idx="29">
                  <c:v>8.2000000000000011</c:v>
                </c:pt>
                <c:pt idx="30">
                  <c:v>7.2000000000000028</c:v>
                </c:pt>
                <c:pt idx="31">
                  <c:v>8.9000000000000057</c:v>
                </c:pt>
              </c:numCache>
            </c:numRef>
          </c:val>
        </c:ser>
        <c:ser>
          <c:idx val="3"/>
          <c:order val="3"/>
          <c:tx>
            <c:strRef>
              <c:f>'Trh práce 3'!$F$8</c:f>
              <c:strCache>
                <c:ptCount val="1"/>
                <c:pt idx="0">
                  <c:v>Labour productivity in national economy (real)*</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3'!$F$9:$F$40</c:f>
              <c:numCache>
                <c:formatCode>#,##0.0</c:formatCode>
                <c:ptCount val="32"/>
                <c:pt idx="0">
                  <c:v>3.5332846838865208</c:v>
                </c:pt>
                <c:pt idx="1">
                  <c:v>4.425122650740704</c:v>
                </c:pt>
                <c:pt idx="2">
                  <c:v>2.3152819998793297</c:v>
                </c:pt>
                <c:pt idx="3">
                  <c:v>2.9717863026053952</c:v>
                </c:pt>
                <c:pt idx="4">
                  <c:v>2.9527260280244576</c:v>
                </c:pt>
                <c:pt idx="5">
                  <c:v>2.0923191727528945</c:v>
                </c:pt>
                <c:pt idx="6">
                  <c:v>1.8080251400873806</c:v>
                </c:pt>
                <c:pt idx="7">
                  <c:v>1.5019620723850398</c:v>
                </c:pt>
                <c:pt idx="8">
                  <c:v>0.41537995919813397</c:v>
                </c:pt>
                <c:pt idx="9">
                  <c:v>-1.2819231607881099</c:v>
                </c:pt>
                <c:pt idx="10">
                  <c:v>-1.8249350322319771</c:v>
                </c:pt>
                <c:pt idx="11">
                  <c:v>-2.0588258996494337</c:v>
                </c:pt>
                <c:pt idx="12">
                  <c:v>-2.8802810421720335</c:v>
                </c:pt>
                <c:pt idx="13">
                  <c:v>-1.827948004663384</c:v>
                </c:pt>
                <c:pt idx="14">
                  <c:v>0.40461936993752118</c:v>
                </c:pt>
                <c:pt idx="15">
                  <c:v>0.95515229453815265</c:v>
                </c:pt>
                <c:pt idx="16">
                  <c:v>1.7448585072078089</c:v>
                </c:pt>
                <c:pt idx="17">
                  <c:v>2.7515963261383551</c:v>
                </c:pt>
                <c:pt idx="18">
                  <c:v>3.0294730201186417</c:v>
                </c:pt>
                <c:pt idx="19">
                  <c:v>1.0840279704352735</c:v>
                </c:pt>
                <c:pt idx="20">
                  <c:v>3.7518410336967896</c:v>
                </c:pt>
                <c:pt idx="21">
                  <c:v>4.1202609165826694</c:v>
                </c:pt>
                <c:pt idx="22">
                  <c:v>3.76028698995718</c:v>
                </c:pt>
                <c:pt idx="23">
                  <c:v>3.674501556302479</c:v>
                </c:pt>
                <c:pt idx="24">
                  <c:v>1.8399838919702205</c:v>
                </c:pt>
                <c:pt idx="25">
                  <c:v>2.8834334980329599</c:v>
                </c:pt>
                <c:pt idx="26">
                  <c:v>0.36633315668368027</c:v>
                </c:pt>
                <c:pt idx="27">
                  <c:v>0.17270104557236751</c:v>
                </c:pt>
                <c:pt idx="28">
                  <c:v>2.4404303443109847</c:v>
                </c:pt>
                <c:pt idx="29">
                  <c:v>1.9968691932011211</c:v>
                </c:pt>
                <c:pt idx="30">
                  <c:v>2.6892821072455035</c:v>
                </c:pt>
                <c:pt idx="31">
                  <c:v>3.565600356638015</c:v>
                </c:pt>
              </c:numCache>
            </c:numRef>
          </c:val>
        </c:ser>
        <c:marker val="1"/>
        <c:axId val="155117440"/>
        <c:axId val="155254784"/>
      </c:lineChart>
      <c:catAx>
        <c:axId val="155117440"/>
        <c:scaling>
          <c:orientation val="minMax"/>
        </c:scaling>
        <c:axPos val="b"/>
        <c:numFmt formatCode="General" sourceLinked="1"/>
        <c:tickLblPos val="low"/>
        <c:spPr>
          <a:ln>
            <a:solidFill>
              <a:schemeClr val="tx1"/>
            </a:solidFill>
          </a:ln>
        </c:spPr>
        <c:txPr>
          <a:bodyPr rot="0" vert="horz"/>
          <a:lstStyle/>
          <a:p>
            <a:pPr>
              <a:defRPr/>
            </a:pPr>
            <a:endParaRPr lang="cs-CZ"/>
          </a:p>
        </c:txPr>
        <c:crossAx val="155254784"/>
        <c:crosses val="autoZero"/>
        <c:auto val="1"/>
        <c:lblAlgn val="ctr"/>
        <c:lblOffset val="0"/>
        <c:tickMarkSkip val="4"/>
      </c:catAx>
      <c:valAx>
        <c:axId val="155254784"/>
        <c:scaling>
          <c:orientation val="minMax"/>
          <c:max val="9"/>
          <c:min val="-4"/>
        </c:scaling>
        <c:axPos val="l"/>
        <c:majorGridlines>
          <c:spPr>
            <a:ln>
              <a:solidFill>
                <a:schemeClr val="bg1">
                  <a:lumMod val="75000"/>
                </a:schemeClr>
              </a:solidFill>
            </a:ln>
          </c:spPr>
        </c:majorGridlines>
        <c:numFmt formatCode="0" sourceLinked="0"/>
        <c:tickLblPos val="nextTo"/>
        <c:spPr>
          <a:ln>
            <a:solidFill>
              <a:schemeClr val="tx1"/>
            </a:solidFill>
          </a:ln>
        </c:spPr>
        <c:crossAx val="155117440"/>
        <c:crosses val="autoZero"/>
        <c:crossBetween val="between"/>
        <c:majorUnit val="1"/>
      </c:valAx>
      <c:spPr>
        <a:ln>
          <a:solidFill>
            <a:schemeClr val="tx1"/>
          </a:solidFill>
        </a:ln>
      </c:spPr>
    </c:plotArea>
    <c:legend>
      <c:legendPos val="b"/>
      <c:layout>
        <c:manualLayout>
          <c:xMode val="edge"/>
          <c:yMode val="edge"/>
          <c:x val="3.9394590139042535E-2"/>
          <c:y val="0.87578711833682665"/>
          <c:w val="0.94307409214599258"/>
          <c:h val="0.1206132102192261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557159743329959E-2"/>
          <c:y val="2.1711264016309892E-2"/>
          <c:w val="0.93757303275920301"/>
          <c:h val="0.73130361364404606"/>
        </c:manualLayout>
      </c:layout>
      <c:barChart>
        <c:barDir val="col"/>
        <c:grouping val="clustered"/>
        <c:ser>
          <c:idx val="0"/>
          <c:order val="0"/>
          <c:tx>
            <c:strRef>
              <c:f>'Měnové podmínky 1'!$C$5</c:f>
              <c:strCache>
                <c:ptCount val="1"/>
                <c:pt idx="0">
                  <c:v>2W repo rate</c:v>
                </c:pt>
              </c:strCache>
            </c:strRef>
          </c:tx>
          <c:spPr>
            <a:solidFill>
              <a:schemeClr val="bg1">
                <a:lumMod val="65000"/>
              </a:schemeClr>
            </a:solidFill>
          </c:spP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1'!$C$18:$C$77</c:f>
              <c:numCache>
                <c:formatCode>0.00</c:formatCode>
                <c:ptCount val="60"/>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pt idx="21">
                  <c:v>0.05</c:v>
                </c:pt>
                <c:pt idx="22">
                  <c:v>0.05</c:v>
                </c:pt>
                <c:pt idx="23">
                  <c:v>0.05</c:v>
                </c:pt>
                <c:pt idx="24">
                  <c:v>0.05</c:v>
                </c:pt>
                <c:pt idx="25">
                  <c:v>0.05</c:v>
                </c:pt>
                <c:pt idx="26">
                  <c:v>0.05</c:v>
                </c:pt>
                <c:pt idx="27">
                  <c:v>0.05</c:v>
                </c:pt>
                <c:pt idx="28">
                  <c:v>0.05</c:v>
                </c:pt>
                <c:pt idx="29">
                  <c:v>0.05</c:v>
                </c:pt>
                <c:pt idx="30">
                  <c:v>0.05</c:v>
                </c:pt>
                <c:pt idx="31">
                  <c:v>0.05</c:v>
                </c:pt>
                <c:pt idx="32">
                  <c:v>0.05</c:v>
                </c:pt>
                <c:pt idx="33">
                  <c:v>0.05</c:v>
                </c:pt>
                <c:pt idx="34">
                  <c:v>0.05</c:v>
                </c:pt>
                <c:pt idx="35">
                  <c:v>0.05</c:v>
                </c:pt>
                <c:pt idx="36">
                  <c:v>0.05</c:v>
                </c:pt>
                <c:pt idx="37">
                  <c:v>0.05</c:v>
                </c:pt>
                <c:pt idx="38">
                  <c:v>0.05</c:v>
                </c:pt>
                <c:pt idx="39">
                  <c:v>0.05</c:v>
                </c:pt>
                <c:pt idx="40">
                  <c:v>0.05</c:v>
                </c:pt>
                <c:pt idx="41">
                  <c:v>0.05</c:v>
                </c:pt>
                <c:pt idx="42">
                  <c:v>0.05</c:v>
                </c:pt>
                <c:pt idx="43">
                  <c:v>0.05</c:v>
                </c:pt>
                <c:pt idx="44">
                  <c:v>0.05</c:v>
                </c:pt>
                <c:pt idx="45">
                  <c:v>0.05</c:v>
                </c:pt>
                <c:pt idx="46">
                  <c:v>0.05</c:v>
                </c:pt>
                <c:pt idx="47">
                  <c:v>0.05</c:v>
                </c:pt>
                <c:pt idx="48" formatCode="General">
                  <c:v>0.05</c:v>
                </c:pt>
                <c:pt idx="49" formatCode="General">
                  <c:v>0.05</c:v>
                </c:pt>
                <c:pt idx="50" formatCode="General">
                  <c:v>0.05</c:v>
                </c:pt>
                <c:pt idx="51" formatCode="General">
                  <c:v>0.05</c:v>
                </c:pt>
                <c:pt idx="52" formatCode="General">
                  <c:v>0.05</c:v>
                </c:pt>
                <c:pt idx="53" formatCode="General">
                  <c:v>0.05</c:v>
                </c:pt>
                <c:pt idx="54" formatCode="General">
                  <c:v>0.05</c:v>
                </c:pt>
                <c:pt idx="55" formatCode="General">
                  <c:v>0.25</c:v>
                </c:pt>
                <c:pt idx="56" formatCode="General">
                  <c:v>0.25</c:v>
                </c:pt>
                <c:pt idx="57" formatCode="General">
                  <c:v>0.25</c:v>
                </c:pt>
                <c:pt idx="58" formatCode="General">
                  <c:v>0.5</c:v>
                </c:pt>
                <c:pt idx="59" formatCode="General">
                  <c:v>0.5</c:v>
                </c:pt>
              </c:numCache>
            </c:numRef>
          </c:val>
        </c:ser>
        <c:gapWidth val="31"/>
        <c:axId val="155299200"/>
        <c:axId val="155305088"/>
      </c:barChart>
      <c:lineChart>
        <c:grouping val="standard"/>
        <c:ser>
          <c:idx val="3"/>
          <c:order val="1"/>
          <c:tx>
            <c:strRef>
              <c:f>'Měnové podmínky 1'!$F$5</c:f>
              <c:strCache>
                <c:ptCount val="1"/>
                <c:pt idx="0">
                  <c:v>Average yield of government bonds (2Y)</c:v>
                </c:pt>
              </c:strCache>
            </c:strRef>
          </c:tx>
          <c:spPr>
            <a:ln w="19050">
              <a:solidFill>
                <a:srgbClr val="7DBB2D"/>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1'!$F$18:$F$77</c:f>
              <c:numCache>
                <c:formatCode>0.00</c:formatCode>
                <c:ptCount val="60"/>
                <c:pt idx="0">
                  <c:v>0.30000000000000032</c:v>
                </c:pt>
                <c:pt idx="1">
                  <c:v>0.36000000000000032</c:v>
                </c:pt>
                <c:pt idx="2">
                  <c:v>0.31000000000000039</c:v>
                </c:pt>
                <c:pt idx="3">
                  <c:v>0.30000000000000032</c:v>
                </c:pt>
                <c:pt idx="4">
                  <c:v>0.29000000000000031</c:v>
                </c:pt>
                <c:pt idx="5">
                  <c:v>0.43000000000000038</c:v>
                </c:pt>
                <c:pt idx="6">
                  <c:v>0.41000000000000031</c:v>
                </c:pt>
                <c:pt idx="7">
                  <c:v>0.4</c:v>
                </c:pt>
                <c:pt idx="8">
                  <c:v>0.37000000000000038</c:v>
                </c:pt>
                <c:pt idx="9">
                  <c:v>0.33000000000000052</c:v>
                </c:pt>
                <c:pt idx="10">
                  <c:v>0.2</c:v>
                </c:pt>
                <c:pt idx="11">
                  <c:v>0.19</c:v>
                </c:pt>
                <c:pt idx="12">
                  <c:v>0.23</c:v>
                </c:pt>
                <c:pt idx="13">
                  <c:v>0.28000000000000008</c:v>
                </c:pt>
                <c:pt idx="14">
                  <c:v>0.26</c:v>
                </c:pt>
                <c:pt idx="15">
                  <c:v>0.23</c:v>
                </c:pt>
                <c:pt idx="16">
                  <c:v>0.21000000000000019</c:v>
                </c:pt>
                <c:pt idx="17">
                  <c:v>0.24000000000000019</c:v>
                </c:pt>
                <c:pt idx="18">
                  <c:v>0.23</c:v>
                </c:pt>
                <c:pt idx="19">
                  <c:v>0.18000000000000019</c:v>
                </c:pt>
                <c:pt idx="20">
                  <c:v>0.14000000000000001</c:v>
                </c:pt>
                <c:pt idx="21">
                  <c:v>0.1</c:v>
                </c:pt>
                <c:pt idx="22">
                  <c:v>0.12000000000000002</c:v>
                </c:pt>
                <c:pt idx="23">
                  <c:v>0.13</c:v>
                </c:pt>
                <c:pt idx="24">
                  <c:v>9.0000000000000024E-2</c:v>
                </c:pt>
                <c:pt idx="25">
                  <c:v>6.0000000000000032E-2</c:v>
                </c:pt>
                <c:pt idx="26">
                  <c:v>4.0000000000000022E-2</c:v>
                </c:pt>
                <c:pt idx="27">
                  <c:v>-3.0000000000000002E-2</c:v>
                </c:pt>
                <c:pt idx="28">
                  <c:v>4.0000000000000022E-2</c:v>
                </c:pt>
                <c:pt idx="29">
                  <c:v>0.11</c:v>
                </c:pt>
                <c:pt idx="30">
                  <c:v>2.0000000000000011E-2</c:v>
                </c:pt>
                <c:pt idx="31">
                  <c:v>-7.0000000000000021E-2</c:v>
                </c:pt>
                <c:pt idx="32">
                  <c:v>-0.30000000000000032</c:v>
                </c:pt>
                <c:pt idx="33">
                  <c:v>-0.28000000000000008</c:v>
                </c:pt>
                <c:pt idx="34">
                  <c:v>-0.33000000000000052</c:v>
                </c:pt>
                <c:pt idx="35">
                  <c:v>-0.38000000000000045</c:v>
                </c:pt>
                <c:pt idx="36" formatCode="General">
                  <c:v>-0.21000000000000019</c:v>
                </c:pt>
                <c:pt idx="37" formatCode="General">
                  <c:v>-0.18000000000000019</c:v>
                </c:pt>
                <c:pt idx="38" formatCode="General">
                  <c:v>-0.17</c:v>
                </c:pt>
                <c:pt idx="39" formatCode="General">
                  <c:v>-8.0000000000000043E-2</c:v>
                </c:pt>
                <c:pt idx="40" formatCode="General">
                  <c:v>-4.0000000000000022E-2</c:v>
                </c:pt>
                <c:pt idx="41" formatCode="General">
                  <c:v>-0.05</c:v>
                </c:pt>
                <c:pt idx="42" formatCode="General">
                  <c:v>-0.13</c:v>
                </c:pt>
                <c:pt idx="43" formatCode="General">
                  <c:v>-0.22</c:v>
                </c:pt>
                <c:pt idx="44" formatCode="General">
                  <c:v>-0.5</c:v>
                </c:pt>
                <c:pt idx="45" formatCode="General">
                  <c:v>-0.74000000000000077</c:v>
                </c:pt>
                <c:pt idx="46" formatCode="General">
                  <c:v>-0.73000000000000065</c:v>
                </c:pt>
                <c:pt idx="47" formatCode="General">
                  <c:v>-0.81</c:v>
                </c:pt>
                <c:pt idx="48" formatCode="General">
                  <c:v>-0.88</c:v>
                </c:pt>
                <c:pt idx="49" formatCode="General">
                  <c:v>-0.53</c:v>
                </c:pt>
                <c:pt idx="50" formatCode="General">
                  <c:v>-0.44</c:v>
                </c:pt>
                <c:pt idx="51" formatCode="General">
                  <c:v>-0.23</c:v>
                </c:pt>
                <c:pt idx="52" formatCode="General">
                  <c:v>-0.24000000000000019</c:v>
                </c:pt>
                <c:pt idx="53" formatCode="General">
                  <c:v>-0.25</c:v>
                </c:pt>
                <c:pt idx="54" formatCode="General">
                  <c:v>-0.29000000000000031</c:v>
                </c:pt>
                <c:pt idx="55" formatCode="General">
                  <c:v>-0.33000000000000052</c:v>
                </c:pt>
                <c:pt idx="56" formatCode="General">
                  <c:v>-0.29000000000000031</c:v>
                </c:pt>
                <c:pt idx="57" formatCode="General">
                  <c:v>0.12000000000000002</c:v>
                </c:pt>
                <c:pt idx="58" formatCode="General">
                  <c:v>0.31000000000000039</c:v>
                </c:pt>
                <c:pt idx="59" formatCode="General">
                  <c:v>0.19</c:v>
                </c:pt>
              </c:numCache>
            </c:numRef>
          </c:val>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1'!$D$18:$D$77</c:f>
              <c:numCache>
                <c:formatCode>0.00</c:formatCode>
                <c:ptCount val="60"/>
                <c:pt idx="0">
                  <c:v>0.5</c:v>
                </c:pt>
                <c:pt idx="1">
                  <c:v>0.5</c:v>
                </c:pt>
                <c:pt idx="2">
                  <c:v>0.49000000000000032</c:v>
                </c:pt>
                <c:pt idx="3">
                  <c:v>0.47000000000000008</c:v>
                </c:pt>
                <c:pt idx="4">
                  <c:v>0.46</c:v>
                </c:pt>
                <c:pt idx="5">
                  <c:v>0.46</c:v>
                </c:pt>
                <c:pt idx="6">
                  <c:v>0.46</c:v>
                </c:pt>
                <c:pt idx="7">
                  <c:v>0.46</c:v>
                </c:pt>
                <c:pt idx="8">
                  <c:v>0.45</c:v>
                </c:pt>
                <c:pt idx="9">
                  <c:v>0.45</c:v>
                </c:pt>
                <c:pt idx="10">
                  <c:v>0.4</c:v>
                </c:pt>
                <c:pt idx="11">
                  <c:v>0.38000000000000045</c:v>
                </c:pt>
                <c:pt idx="12">
                  <c:v>0.37000000000000038</c:v>
                </c:pt>
                <c:pt idx="13">
                  <c:v>0.37000000000000038</c:v>
                </c:pt>
                <c:pt idx="14">
                  <c:v>0.37000000000000038</c:v>
                </c:pt>
                <c:pt idx="15">
                  <c:v>0.37000000000000038</c:v>
                </c:pt>
                <c:pt idx="16">
                  <c:v>0.37000000000000038</c:v>
                </c:pt>
                <c:pt idx="17">
                  <c:v>0.35000000000000031</c:v>
                </c:pt>
                <c:pt idx="18">
                  <c:v>0.35000000000000031</c:v>
                </c:pt>
                <c:pt idx="19">
                  <c:v>0.35000000000000031</c:v>
                </c:pt>
                <c:pt idx="20">
                  <c:v>0.35000000000000031</c:v>
                </c:pt>
                <c:pt idx="21">
                  <c:v>0.35000000000000031</c:v>
                </c:pt>
                <c:pt idx="22">
                  <c:v>0.34</c:v>
                </c:pt>
                <c:pt idx="23">
                  <c:v>0.34</c:v>
                </c:pt>
                <c:pt idx="24">
                  <c:v>0.33000000000000052</c:v>
                </c:pt>
                <c:pt idx="25">
                  <c:v>0.33000000000000052</c:v>
                </c:pt>
                <c:pt idx="26">
                  <c:v>0.32000000000000045</c:v>
                </c:pt>
                <c:pt idx="27">
                  <c:v>0.31000000000000039</c:v>
                </c:pt>
                <c:pt idx="28">
                  <c:v>0.31000000000000039</c:v>
                </c:pt>
                <c:pt idx="29">
                  <c:v>0.31000000000000039</c:v>
                </c:pt>
                <c:pt idx="30">
                  <c:v>0.31000000000000039</c:v>
                </c:pt>
                <c:pt idx="31">
                  <c:v>0.31000000000000039</c:v>
                </c:pt>
                <c:pt idx="32">
                  <c:v>0.30000000000000032</c:v>
                </c:pt>
                <c:pt idx="33">
                  <c:v>0.29000000000000031</c:v>
                </c:pt>
                <c:pt idx="34">
                  <c:v>0.29000000000000031</c:v>
                </c:pt>
                <c:pt idx="35">
                  <c:v>0.29000000000000031</c:v>
                </c:pt>
                <c:pt idx="36">
                  <c:v>0.29000000000000031</c:v>
                </c:pt>
                <c:pt idx="37">
                  <c:v>0.28000000000000008</c:v>
                </c:pt>
                <c:pt idx="38">
                  <c:v>0.29000000000000031</c:v>
                </c:pt>
                <c:pt idx="39">
                  <c:v>0.29000000000000031</c:v>
                </c:pt>
                <c:pt idx="40">
                  <c:v>0.29000000000000031</c:v>
                </c:pt>
                <c:pt idx="41">
                  <c:v>0.29000000000000031</c:v>
                </c:pt>
                <c:pt idx="42">
                  <c:v>0.29000000000000031</c:v>
                </c:pt>
                <c:pt idx="43">
                  <c:v>0.29000000000000031</c:v>
                </c:pt>
                <c:pt idx="44">
                  <c:v>0.29000000000000031</c:v>
                </c:pt>
                <c:pt idx="45">
                  <c:v>0.29000000000000031</c:v>
                </c:pt>
                <c:pt idx="46">
                  <c:v>0.29000000000000031</c:v>
                </c:pt>
                <c:pt idx="47">
                  <c:v>0.29000000000000031</c:v>
                </c:pt>
                <c:pt idx="48" formatCode="General">
                  <c:v>0.28000000000000008</c:v>
                </c:pt>
                <c:pt idx="49" formatCode="General">
                  <c:v>0.28000000000000008</c:v>
                </c:pt>
                <c:pt idx="50" formatCode="General">
                  <c:v>0.28000000000000008</c:v>
                </c:pt>
                <c:pt idx="51" formatCode="General">
                  <c:v>0.29000000000000031</c:v>
                </c:pt>
                <c:pt idx="52" formatCode="General">
                  <c:v>0.30000000000000032</c:v>
                </c:pt>
                <c:pt idx="53" formatCode="General">
                  <c:v>0.30000000000000032</c:v>
                </c:pt>
                <c:pt idx="54" formatCode="General">
                  <c:v>0.30000000000000032</c:v>
                </c:pt>
                <c:pt idx="55" formatCode="General">
                  <c:v>0.43000000000000038</c:v>
                </c:pt>
                <c:pt idx="56" formatCode="General">
                  <c:v>0.46</c:v>
                </c:pt>
                <c:pt idx="57" formatCode="General">
                  <c:v>0.51</c:v>
                </c:pt>
                <c:pt idx="58" formatCode="General">
                  <c:v>0.71000000000000063</c:v>
                </c:pt>
                <c:pt idx="59" formatCode="General">
                  <c:v>0.75000000000000089</c:v>
                </c:pt>
              </c:numCache>
            </c:numRef>
          </c:val>
        </c:ser>
        <c:ser>
          <c:idx val="4"/>
          <c:order val="3"/>
          <c:tx>
            <c:strRef>
              <c:f>'Měnové podmínky 1'!$G$5</c:f>
              <c:strCache>
                <c:ptCount val="1"/>
                <c:pt idx="0">
                  <c:v>Average yield of government bonds (5Y)</c:v>
                </c:pt>
              </c:strCache>
            </c:strRef>
          </c:tx>
          <c:spPr>
            <a:ln w="19050">
              <a:solidFill>
                <a:srgbClr val="F8A124"/>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1'!$G$18:$G$77</c:f>
              <c:numCache>
                <c:formatCode>0.00</c:formatCode>
                <c:ptCount val="60"/>
                <c:pt idx="0">
                  <c:v>0.98</c:v>
                </c:pt>
                <c:pt idx="1">
                  <c:v>0.99</c:v>
                </c:pt>
                <c:pt idx="2">
                  <c:v>1.08</c:v>
                </c:pt>
                <c:pt idx="3">
                  <c:v>0.98</c:v>
                </c:pt>
                <c:pt idx="4">
                  <c:v>0.9</c:v>
                </c:pt>
                <c:pt idx="5">
                  <c:v>1.23</c:v>
                </c:pt>
                <c:pt idx="6">
                  <c:v>1.3900000000000001</c:v>
                </c:pt>
                <c:pt idx="7">
                  <c:v>1.3900000000000001</c:v>
                </c:pt>
                <c:pt idx="8">
                  <c:v>1.23</c:v>
                </c:pt>
                <c:pt idx="9">
                  <c:v>1.25</c:v>
                </c:pt>
                <c:pt idx="10">
                  <c:v>1.03</c:v>
                </c:pt>
                <c:pt idx="11">
                  <c:v>0.97000000000000064</c:v>
                </c:pt>
                <c:pt idx="12">
                  <c:v>1.0900000000000001</c:v>
                </c:pt>
                <c:pt idx="13">
                  <c:v>1.2</c:v>
                </c:pt>
                <c:pt idx="14">
                  <c:v>1.1399999999999983</c:v>
                </c:pt>
                <c:pt idx="15">
                  <c:v>0.99</c:v>
                </c:pt>
                <c:pt idx="16">
                  <c:v>0.8</c:v>
                </c:pt>
                <c:pt idx="17">
                  <c:v>0.68</c:v>
                </c:pt>
                <c:pt idx="18">
                  <c:v>0.65000000000000102</c:v>
                </c:pt>
                <c:pt idx="19">
                  <c:v>0.62000000000000077</c:v>
                </c:pt>
                <c:pt idx="20">
                  <c:v>0.51</c:v>
                </c:pt>
                <c:pt idx="21">
                  <c:v>0.37000000000000038</c:v>
                </c:pt>
                <c:pt idx="22">
                  <c:v>0.24000000000000019</c:v>
                </c:pt>
                <c:pt idx="23">
                  <c:v>0.22</c:v>
                </c:pt>
                <c:pt idx="24">
                  <c:v>0.13</c:v>
                </c:pt>
                <c:pt idx="25">
                  <c:v>0.17</c:v>
                </c:pt>
                <c:pt idx="26">
                  <c:v>0.14000000000000001</c:v>
                </c:pt>
                <c:pt idx="27">
                  <c:v>0.05</c:v>
                </c:pt>
                <c:pt idx="28">
                  <c:v>0.22</c:v>
                </c:pt>
                <c:pt idx="29">
                  <c:v>0.43000000000000038</c:v>
                </c:pt>
                <c:pt idx="30">
                  <c:v>0.35000000000000031</c:v>
                </c:pt>
                <c:pt idx="31">
                  <c:v>0.2</c:v>
                </c:pt>
                <c:pt idx="32">
                  <c:v>6.0000000000000032E-2</c:v>
                </c:pt>
                <c:pt idx="33">
                  <c:v>-0.05</c:v>
                </c:pt>
                <c:pt idx="34">
                  <c:v>-0.05</c:v>
                </c:pt>
                <c:pt idx="35">
                  <c:v>-0.11</c:v>
                </c:pt>
                <c:pt idx="36" formatCode="General">
                  <c:v>4.0000000000000022E-2</c:v>
                </c:pt>
                <c:pt idx="37" formatCode="General">
                  <c:v>-8.0000000000000043E-2</c:v>
                </c:pt>
                <c:pt idx="38" formatCode="General">
                  <c:v>-0.1</c:v>
                </c:pt>
                <c:pt idx="39" formatCode="General">
                  <c:v>4.0000000000000022E-2</c:v>
                </c:pt>
                <c:pt idx="40" formatCode="General">
                  <c:v>7.0000000000000021E-2</c:v>
                </c:pt>
                <c:pt idx="41" formatCode="General">
                  <c:v>0.05</c:v>
                </c:pt>
                <c:pt idx="42" formatCode="General">
                  <c:v>-2.0000000000000011E-2</c:v>
                </c:pt>
                <c:pt idx="43" formatCode="General">
                  <c:v>-9.0000000000000024E-2</c:v>
                </c:pt>
                <c:pt idx="44" formatCode="General">
                  <c:v>-0.19</c:v>
                </c:pt>
                <c:pt idx="45" formatCode="General">
                  <c:v>-0.17</c:v>
                </c:pt>
                <c:pt idx="46" formatCode="General">
                  <c:v>-0.17</c:v>
                </c:pt>
                <c:pt idx="47" formatCode="General">
                  <c:v>-0.21000000000000019</c:v>
                </c:pt>
                <c:pt idx="48" formatCode="General">
                  <c:v>-0.22</c:v>
                </c:pt>
                <c:pt idx="49" formatCode="General">
                  <c:v>9.0000000000000024E-2</c:v>
                </c:pt>
                <c:pt idx="50" formatCode="General">
                  <c:v>0.1</c:v>
                </c:pt>
                <c:pt idx="51" formatCode="General">
                  <c:v>0.16</c:v>
                </c:pt>
                <c:pt idx="52" formatCode="General">
                  <c:v>4.0000000000000022E-2</c:v>
                </c:pt>
                <c:pt idx="53" formatCode="General">
                  <c:v>-3.0000000000000002E-2</c:v>
                </c:pt>
                <c:pt idx="54" formatCode="General">
                  <c:v>0.14000000000000001</c:v>
                </c:pt>
                <c:pt idx="55" formatCode="General">
                  <c:v>9.0000000000000024E-2</c:v>
                </c:pt>
                <c:pt idx="56" formatCode="General">
                  <c:v>0.1</c:v>
                </c:pt>
                <c:pt idx="57" formatCode="General">
                  <c:v>0.63000000000000089</c:v>
                </c:pt>
                <c:pt idx="58" formatCode="General">
                  <c:v>0.87000000000000077</c:v>
                </c:pt>
                <c:pt idx="59" formatCode="General">
                  <c:v>0.68</c:v>
                </c:pt>
              </c:numCache>
            </c:numRef>
          </c:val>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1'!$E$18:$E$77</c:f>
              <c:numCache>
                <c:formatCode>0.00</c:formatCode>
                <c:ptCount val="60"/>
                <c:pt idx="0">
                  <c:v>0.86000000000000065</c:v>
                </c:pt>
                <c:pt idx="1">
                  <c:v>0.83000000000000063</c:v>
                </c:pt>
                <c:pt idx="2">
                  <c:v>0.78</c:v>
                </c:pt>
                <c:pt idx="3">
                  <c:v>0.7600000000000009</c:v>
                </c:pt>
                <c:pt idx="4">
                  <c:v>0.7600000000000009</c:v>
                </c:pt>
                <c:pt idx="5">
                  <c:v>0.7600000000000009</c:v>
                </c:pt>
                <c:pt idx="6">
                  <c:v>0.75000000000000089</c:v>
                </c:pt>
                <c:pt idx="7">
                  <c:v>0.75000000000000089</c:v>
                </c:pt>
                <c:pt idx="8">
                  <c:v>0.74000000000000077</c:v>
                </c:pt>
                <c:pt idx="9">
                  <c:v>0.73000000000000065</c:v>
                </c:pt>
                <c:pt idx="10">
                  <c:v>0.65000000000000102</c:v>
                </c:pt>
                <c:pt idx="11">
                  <c:v>0.61000000000000065</c:v>
                </c:pt>
                <c:pt idx="12">
                  <c:v>0.58000000000000007</c:v>
                </c:pt>
                <c:pt idx="13">
                  <c:v>0.55000000000000004</c:v>
                </c:pt>
                <c:pt idx="14">
                  <c:v>0.55000000000000004</c:v>
                </c:pt>
                <c:pt idx="15">
                  <c:v>0.55000000000000004</c:v>
                </c:pt>
                <c:pt idx="16">
                  <c:v>0.54</c:v>
                </c:pt>
                <c:pt idx="17">
                  <c:v>0.53</c:v>
                </c:pt>
                <c:pt idx="18">
                  <c:v>0.52</c:v>
                </c:pt>
                <c:pt idx="19">
                  <c:v>0.52</c:v>
                </c:pt>
                <c:pt idx="20">
                  <c:v>0.52</c:v>
                </c:pt>
                <c:pt idx="21">
                  <c:v>0.52</c:v>
                </c:pt>
                <c:pt idx="22">
                  <c:v>0.51</c:v>
                </c:pt>
                <c:pt idx="23">
                  <c:v>0.51</c:v>
                </c:pt>
                <c:pt idx="24">
                  <c:v>0.51</c:v>
                </c:pt>
                <c:pt idx="25">
                  <c:v>0.51</c:v>
                </c:pt>
                <c:pt idx="26">
                  <c:v>0.49000000000000032</c:v>
                </c:pt>
                <c:pt idx="27">
                  <c:v>0.48000000000000032</c:v>
                </c:pt>
                <c:pt idx="28">
                  <c:v>0.48000000000000032</c:v>
                </c:pt>
                <c:pt idx="29">
                  <c:v>0.48000000000000032</c:v>
                </c:pt>
                <c:pt idx="30">
                  <c:v>0.48000000000000032</c:v>
                </c:pt>
                <c:pt idx="31">
                  <c:v>0.48000000000000032</c:v>
                </c:pt>
                <c:pt idx="32">
                  <c:v>0.47000000000000008</c:v>
                </c:pt>
                <c:pt idx="33">
                  <c:v>0.46</c:v>
                </c:pt>
                <c:pt idx="34">
                  <c:v>0.46</c:v>
                </c:pt>
                <c:pt idx="35">
                  <c:v>0.46</c:v>
                </c:pt>
                <c:pt idx="36">
                  <c:v>0.45</c:v>
                </c:pt>
                <c:pt idx="37">
                  <c:v>0.45</c:v>
                </c:pt>
                <c:pt idx="38">
                  <c:v>0.45</c:v>
                </c:pt>
                <c:pt idx="39">
                  <c:v>0.45</c:v>
                </c:pt>
                <c:pt idx="40">
                  <c:v>0.45</c:v>
                </c:pt>
                <c:pt idx="41">
                  <c:v>0.45</c:v>
                </c:pt>
                <c:pt idx="42">
                  <c:v>0.45</c:v>
                </c:pt>
                <c:pt idx="43">
                  <c:v>0.45</c:v>
                </c:pt>
                <c:pt idx="44">
                  <c:v>0.45</c:v>
                </c:pt>
                <c:pt idx="45">
                  <c:v>0.45</c:v>
                </c:pt>
                <c:pt idx="46">
                  <c:v>0.45</c:v>
                </c:pt>
                <c:pt idx="47">
                  <c:v>0.45</c:v>
                </c:pt>
                <c:pt idx="48" formatCode="General">
                  <c:v>0.44</c:v>
                </c:pt>
                <c:pt idx="49" formatCode="General">
                  <c:v>0.44</c:v>
                </c:pt>
                <c:pt idx="50" formatCode="General">
                  <c:v>0.44</c:v>
                </c:pt>
                <c:pt idx="51" formatCode="General">
                  <c:v>0.45</c:v>
                </c:pt>
                <c:pt idx="52" formatCode="General">
                  <c:v>0.46</c:v>
                </c:pt>
                <c:pt idx="53" formatCode="General">
                  <c:v>0.46</c:v>
                </c:pt>
                <c:pt idx="54" formatCode="General">
                  <c:v>0.47000000000000008</c:v>
                </c:pt>
                <c:pt idx="55" formatCode="General">
                  <c:v>0.60000000000000064</c:v>
                </c:pt>
                <c:pt idx="56" formatCode="General">
                  <c:v>0.6400000000000009</c:v>
                </c:pt>
                <c:pt idx="57" formatCode="General">
                  <c:v>0.69000000000000061</c:v>
                </c:pt>
                <c:pt idx="58" formatCode="General">
                  <c:v>0.91</c:v>
                </c:pt>
                <c:pt idx="59" formatCode="General">
                  <c:v>0.96000000000000063</c:v>
                </c:pt>
              </c:numCache>
            </c:numRef>
          </c:val>
        </c:ser>
        <c:ser>
          <c:idx val="5"/>
          <c:order val="5"/>
          <c:tx>
            <c:strRef>
              <c:f>'Měnové podmínky 1'!$H$5</c:f>
              <c:strCache>
                <c:ptCount val="1"/>
                <c:pt idx="0">
                  <c:v>Average yield of government bonds (10Y)</c:v>
                </c:pt>
              </c:strCache>
            </c:strRef>
          </c:tx>
          <c:spPr>
            <a:ln w="19050">
              <a:solidFill>
                <a:srgbClr val="48AEE7"/>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1'!$H$18:$H$77</c:f>
              <c:numCache>
                <c:formatCode>0.00</c:formatCode>
                <c:ptCount val="60"/>
                <c:pt idx="0">
                  <c:v>1.9600000000000015</c:v>
                </c:pt>
                <c:pt idx="1">
                  <c:v>2.0099999999999998</c:v>
                </c:pt>
                <c:pt idx="2">
                  <c:v>1.9800000000000015</c:v>
                </c:pt>
                <c:pt idx="3">
                  <c:v>1.82</c:v>
                </c:pt>
                <c:pt idx="4">
                  <c:v>1.6700000000000015</c:v>
                </c:pt>
                <c:pt idx="5">
                  <c:v>2.14</c:v>
                </c:pt>
                <c:pt idx="6">
                  <c:v>2.23</c:v>
                </c:pt>
                <c:pt idx="7">
                  <c:v>2.4</c:v>
                </c:pt>
                <c:pt idx="8">
                  <c:v>2.42</c:v>
                </c:pt>
                <c:pt idx="9">
                  <c:v>2.3299999999999987</c:v>
                </c:pt>
                <c:pt idx="10">
                  <c:v>2.1800000000000002</c:v>
                </c:pt>
                <c:pt idx="11">
                  <c:v>2.2000000000000002</c:v>
                </c:pt>
                <c:pt idx="12">
                  <c:v>2.4299999999999997</c:v>
                </c:pt>
                <c:pt idx="13">
                  <c:v>2.2799999999999998</c:v>
                </c:pt>
                <c:pt idx="14">
                  <c:v>2.2000000000000002</c:v>
                </c:pt>
                <c:pt idx="15">
                  <c:v>2</c:v>
                </c:pt>
                <c:pt idx="16">
                  <c:v>1.73</c:v>
                </c:pt>
                <c:pt idx="17">
                  <c:v>1.55</c:v>
                </c:pt>
                <c:pt idx="18">
                  <c:v>1.49</c:v>
                </c:pt>
                <c:pt idx="19">
                  <c:v>1.3800000000000001</c:v>
                </c:pt>
                <c:pt idx="20">
                  <c:v>1.21</c:v>
                </c:pt>
                <c:pt idx="21">
                  <c:v>1.1000000000000001</c:v>
                </c:pt>
                <c:pt idx="22">
                  <c:v>0.87000000000000077</c:v>
                </c:pt>
                <c:pt idx="23">
                  <c:v>0.67000000000000104</c:v>
                </c:pt>
                <c:pt idx="24">
                  <c:v>0.35000000000000031</c:v>
                </c:pt>
                <c:pt idx="25">
                  <c:v>0.4</c:v>
                </c:pt>
                <c:pt idx="26">
                  <c:v>0.35000000000000031</c:v>
                </c:pt>
                <c:pt idx="27">
                  <c:v>0.26</c:v>
                </c:pt>
                <c:pt idx="28">
                  <c:v>0.60000000000000064</c:v>
                </c:pt>
                <c:pt idx="29">
                  <c:v>1.01</c:v>
                </c:pt>
                <c:pt idx="30">
                  <c:v>0.97000000000000064</c:v>
                </c:pt>
                <c:pt idx="31">
                  <c:v>0.74000000000000077</c:v>
                </c:pt>
                <c:pt idx="32">
                  <c:v>0.68</c:v>
                </c:pt>
                <c:pt idx="33">
                  <c:v>0.56000000000000005</c:v>
                </c:pt>
                <c:pt idx="34">
                  <c:v>0.49000000000000032</c:v>
                </c:pt>
                <c:pt idx="35">
                  <c:v>0.49000000000000032</c:v>
                </c:pt>
                <c:pt idx="36" formatCode="General">
                  <c:v>0.62000000000000077</c:v>
                </c:pt>
                <c:pt idx="37" formatCode="General">
                  <c:v>0.46</c:v>
                </c:pt>
                <c:pt idx="38" formatCode="General">
                  <c:v>0.35000000000000031</c:v>
                </c:pt>
                <c:pt idx="39" formatCode="General">
                  <c:v>0.43000000000000038</c:v>
                </c:pt>
                <c:pt idx="40" formatCode="General">
                  <c:v>0.46</c:v>
                </c:pt>
                <c:pt idx="41" formatCode="General">
                  <c:v>0.45</c:v>
                </c:pt>
                <c:pt idx="42" formatCode="General">
                  <c:v>0.37000000000000038</c:v>
                </c:pt>
                <c:pt idx="43" formatCode="General">
                  <c:v>0.29000000000000031</c:v>
                </c:pt>
                <c:pt idx="44" formatCode="General">
                  <c:v>0.25</c:v>
                </c:pt>
                <c:pt idx="45" formatCode="General">
                  <c:v>0.37000000000000038</c:v>
                </c:pt>
                <c:pt idx="46" formatCode="General">
                  <c:v>0.55000000000000004</c:v>
                </c:pt>
                <c:pt idx="47" formatCode="General">
                  <c:v>0.53</c:v>
                </c:pt>
                <c:pt idx="48" formatCode="General">
                  <c:v>0.47000000000000008</c:v>
                </c:pt>
                <c:pt idx="49" formatCode="General">
                  <c:v>0.63000000000000089</c:v>
                </c:pt>
                <c:pt idx="50" formatCode="General">
                  <c:v>0.87000000000000077</c:v>
                </c:pt>
                <c:pt idx="51" formatCode="General">
                  <c:v>0.96000000000000063</c:v>
                </c:pt>
                <c:pt idx="52" formatCode="General">
                  <c:v>0.74000000000000077</c:v>
                </c:pt>
                <c:pt idx="53" formatCode="General">
                  <c:v>0.77000000000000091</c:v>
                </c:pt>
                <c:pt idx="54" formatCode="General">
                  <c:v>0.9</c:v>
                </c:pt>
                <c:pt idx="55" formatCode="General">
                  <c:v>0.83000000000000063</c:v>
                </c:pt>
                <c:pt idx="56" formatCode="General">
                  <c:v>0.97000000000000064</c:v>
                </c:pt>
                <c:pt idx="57" formatCode="General">
                  <c:v>1.45</c:v>
                </c:pt>
                <c:pt idx="58" formatCode="General">
                  <c:v>1.6800000000000015</c:v>
                </c:pt>
                <c:pt idx="59" formatCode="General">
                  <c:v>1.5</c:v>
                </c:pt>
              </c:numCache>
            </c:numRef>
          </c:val>
        </c:ser>
        <c:marker val="1"/>
        <c:axId val="155299200"/>
        <c:axId val="155305088"/>
      </c:lineChart>
      <c:catAx>
        <c:axId val="155299200"/>
        <c:scaling>
          <c:orientation val="minMax"/>
        </c:scaling>
        <c:axPos val="b"/>
        <c:tickLblPos val="low"/>
        <c:spPr>
          <a:ln>
            <a:solidFill>
              <a:schemeClr val="tx1"/>
            </a:solidFill>
          </a:ln>
        </c:spPr>
        <c:crossAx val="155305088"/>
        <c:crosses val="autoZero"/>
        <c:auto val="1"/>
        <c:lblAlgn val="ctr"/>
        <c:lblOffset val="100"/>
      </c:catAx>
      <c:valAx>
        <c:axId val="155305088"/>
        <c:scaling>
          <c:orientation val="minMax"/>
          <c:min val="-1"/>
        </c:scaling>
        <c:axPos val="l"/>
        <c:majorGridlines>
          <c:spPr>
            <a:ln w="6350">
              <a:solidFill>
                <a:schemeClr val="bg1">
                  <a:lumMod val="75000"/>
                </a:schemeClr>
              </a:solidFill>
            </a:ln>
          </c:spPr>
        </c:majorGridlines>
        <c:numFmt formatCode="0" sourceLinked="0"/>
        <c:tickLblPos val="nextTo"/>
        <c:spPr>
          <a:ln>
            <a:solidFill>
              <a:schemeClr val="tx1"/>
            </a:solidFill>
          </a:ln>
        </c:spPr>
        <c:crossAx val="155299200"/>
        <c:crosses val="autoZero"/>
        <c:crossBetween val="between"/>
        <c:majorUnit val="1"/>
      </c:valAx>
      <c:spPr>
        <a:ln>
          <a:solidFill>
            <a:schemeClr val="tx1"/>
          </a:solidFill>
        </a:ln>
      </c:spPr>
    </c:plotArea>
    <c:legend>
      <c:legendPos val="b"/>
      <c:layout>
        <c:manualLayout>
          <c:xMode val="edge"/>
          <c:yMode val="edge"/>
          <c:x val="4.2139690982776534E-2"/>
          <c:y val="0.87558269120103249"/>
          <c:w val="0.93886651469098281"/>
          <c:h val="0.1101570592445996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5577477727787412E-2"/>
          <c:y val="1.7107238390107405E-2"/>
          <c:w val="0.90191712370542143"/>
          <c:h val="0.79011658109502503"/>
        </c:manualLayout>
      </c:layout>
      <c:barChart>
        <c:barDir val="col"/>
        <c:grouping val="clustered"/>
        <c:ser>
          <c:idx val="2"/>
          <c:order val="4"/>
          <c:tx>
            <c:strRef>
              <c:f>'Státní rozpočet 1'!$A$40</c:f>
              <c:strCache>
                <c:ptCount val="1"/>
                <c:pt idx="0">
                  <c:v>State budget balance</c:v>
                </c:pt>
              </c:strCache>
            </c:strRef>
          </c:tx>
          <c:spPr>
            <a:solidFill>
              <a:sysClr val="window" lastClr="FFFFFF">
                <a:lumMod val="75000"/>
              </a:sysClr>
            </a:solidFill>
            <a:ln>
              <a:noFill/>
            </a:ln>
          </c:spP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1'!$B$40:$N$40</c:f>
              <c:numCache>
                <c:formatCode>#,##0.0</c:formatCode>
                <c:ptCount val="13"/>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-6.1499999999999995</c:v>
                </c:pt>
              </c:numCache>
            </c:numRef>
          </c:val>
        </c:ser>
        <c:gapWidth val="43"/>
        <c:axId val="155489792"/>
        <c:axId val="155488256"/>
      </c:barChart>
      <c:lineChart>
        <c:grouping val="standard"/>
        <c:ser>
          <c:idx val="0"/>
          <c:order val="0"/>
          <c:tx>
            <c:strRef>
              <c:f>'Státní rozpočet 1'!$A$36</c:f>
              <c:strCache>
                <c:ptCount val="1"/>
                <c:pt idx="0">
                  <c:v>Value added tax</c:v>
                </c:pt>
              </c:strCache>
            </c:strRef>
          </c:tx>
          <c:spPr>
            <a:ln w="19050">
              <a:solidFill>
                <a:srgbClr val="BD1B25"/>
              </a:solidFill>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1'!$B$36:$N$36</c:f>
              <c:numCache>
                <c:formatCode>0.0</c:formatCode>
                <c:ptCount val="13"/>
                <c:pt idx="0">
                  <c:v>13.1556086437181</c:v>
                </c:pt>
                <c:pt idx="1">
                  <c:v>4.4959454920589224</c:v>
                </c:pt>
                <c:pt idx="2">
                  <c:v>8.540729176232901</c:v>
                </c:pt>
                <c:pt idx="3">
                  <c:v>7.9575260174295552</c:v>
                </c:pt>
                <c:pt idx="4">
                  <c:v>-0.61914651828048795</c:v>
                </c:pt>
                <c:pt idx="5">
                  <c:v>6.2852411182524461</c:v>
                </c:pt>
                <c:pt idx="6">
                  <c:v>2.1665739194954341</c:v>
                </c:pt>
                <c:pt idx="7">
                  <c:v>1.0312647518065459</c:v>
                </c:pt>
                <c:pt idx="8">
                  <c:v>10.865111598317949</c:v>
                </c:pt>
                <c:pt idx="9">
                  <c:v>4.6748362834727404</c:v>
                </c:pt>
                <c:pt idx="10">
                  <c:v>2.7750247770069363</c:v>
                </c:pt>
                <c:pt idx="11">
                  <c:v>5.3881388621022355</c:v>
                </c:pt>
                <c:pt idx="12">
                  <c:v>9.138739563079028</c:v>
                </c:pt>
              </c:numCache>
            </c:numRef>
          </c:val>
        </c:ser>
        <c:ser>
          <c:idx val="1"/>
          <c:order val="1"/>
          <c:tx>
            <c:strRef>
              <c:f>'Státní rozpočet 1'!$A$37</c:f>
              <c:strCache>
                <c:ptCount val="1"/>
                <c:pt idx="0">
                  <c:v>Consumption tax</c:v>
                </c:pt>
              </c:strCache>
            </c:strRef>
          </c:tx>
          <c:spPr>
            <a:ln w="19050">
              <a:solidFill>
                <a:srgbClr val="7DBB2D"/>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1'!$B$37:$N$37</c:f>
              <c:numCache>
                <c:formatCode>0.0</c:formatCode>
                <c:ptCount val="13"/>
                <c:pt idx="0">
                  <c:v>15.148989372785994</c:v>
                </c:pt>
                <c:pt idx="1">
                  <c:v>8.1704668838219359</c:v>
                </c:pt>
                <c:pt idx="2">
                  <c:v>16.227519866164759</c:v>
                </c:pt>
                <c:pt idx="3">
                  <c:v>-4.2605253688377003</c:v>
                </c:pt>
                <c:pt idx="4">
                  <c:v>-1.473351875516798</c:v>
                </c:pt>
                <c:pt idx="5">
                  <c:v>5.4932478828107261</c:v>
                </c:pt>
                <c:pt idx="6">
                  <c:v>6.0099804729876354</c:v>
                </c:pt>
                <c:pt idx="7">
                  <c:v>0.13644426251875083</c:v>
                </c:pt>
                <c:pt idx="8">
                  <c:v>-2.2891402098378548</c:v>
                </c:pt>
                <c:pt idx="9">
                  <c:v>-1.4712034583739912</c:v>
                </c:pt>
                <c:pt idx="10">
                  <c:v>6.5034321704055005</c:v>
                </c:pt>
                <c:pt idx="11">
                  <c:v>5.1362126245847035</c:v>
                </c:pt>
                <c:pt idx="12">
                  <c:v>2.9071604626177252</c:v>
                </c:pt>
              </c:numCache>
            </c:numRef>
          </c:val>
        </c:ser>
        <c:ser>
          <c:idx val="3"/>
          <c:order val="2"/>
          <c:tx>
            <c:strRef>
              <c:f>'Státní rozpočet 1'!$A$38</c:f>
              <c:strCache>
                <c:ptCount val="1"/>
                <c:pt idx="0">
                  <c:v>Income taxes of natural persons (from employment)</c:v>
                </c:pt>
              </c:strCache>
            </c:strRef>
          </c:tx>
          <c:spPr>
            <a:ln w="19050">
              <a:solidFill>
                <a:srgbClr val="0071BC"/>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1'!$B$38:$N$38</c:f>
              <c:numCache>
                <c:formatCode>0.0</c:formatCode>
                <c:ptCount val="13"/>
                <c:pt idx="0">
                  <c:v>7.8339666764104088</c:v>
                </c:pt>
                <c:pt idx="1">
                  <c:v>0.86744375169422483</c:v>
                </c:pt>
                <c:pt idx="2">
                  <c:v>13.222252082773448</c:v>
                </c:pt>
                <c:pt idx="3">
                  <c:v>-8.8693725769443947</c:v>
                </c:pt>
                <c:pt idx="4">
                  <c:v>-3.5943740232679331</c:v>
                </c:pt>
                <c:pt idx="5">
                  <c:v>0.72046109510085898</c:v>
                </c:pt>
                <c:pt idx="6">
                  <c:v>6.7328326180257498</c:v>
                </c:pt>
                <c:pt idx="7">
                  <c:v>0.35184719778837348</c:v>
                </c:pt>
                <c:pt idx="8">
                  <c:v>5.2925953752399808</c:v>
                </c:pt>
                <c:pt idx="9">
                  <c:v>3.7580274320145861</c:v>
                </c:pt>
                <c:pt idx="10">
                  <c:v>4.0116145793535454</c:v>
                </c:pt>
                <c:pt idx="11">
                  <c:v>9.7487511019688391</c:v>
                </c:pt>
                <c:pt idx="12">
                  <c:v>13.287368632438593</c:v>
                </c:pt>
              </c:numCache>
            </c:numRef>
          </c:val>
        </c:ser>
        <c:ser>
          <c:idx val="4"/>
          <c:order val="3"/>
          <c:tx>
            <c:strRef>
              <c:f>'Státní rozpočet 1'!$A$39</c:f>
              <c:strCache>
                <c:ptCount val="1"/>
                <c:pt idx="0">
                  <c:v>Income taxes of legal persons</c:v>
                </c:pt>
              </c:strCache>
            </c:strRef>
          </c:tx>
          <c:spPr>
            <a:ln w="19050">
              <a:noFill/>
            </a:ln>
          </c:spPr>
          <c:marker>
            <c:symbol val="diamond"/>
            <c:size val="6"/>
            <c:spPr>
              <a:solidFill>
                <a:srgbClr val="984807"/>
              </a:solidFill>
              <a:ln>
                <a:noFill/>
              </a:ln>
            </c:spPr>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1'!$B$39:$N$39</c:f>
              <c:numCache>
                <c:formatCode>0.0</c:formatCode>
                <c:ptCount val="13"/>
                <c:pt idx="0">
                  <c:v>26.963584434130638</c:v>
                </c:pt>
                <c:pt idx="1">
                  <c:v>-4.7873462214411289</c:v>
                </c:pt>
                <c:pt idx="2">
                  <c:v>20.193443591258116</c:v>
                </c:pt>
                <c:pt idx="3">
                  <c:v>12.113766201855157</c:v>
                </c:pt>
                <c:pt idx="4">
                  <c:v>-34.469344145526264</c:v>
                </c:pt>
                <c:pt idx="5">
                  <c:v>3.5618729096990034</c:v>
                </c:pt>
                <c:pt idx="6">
                  <c:v>-4.6423381236880354</c:v>
                </c:pt>
                <c:pt idx="7">
                  <c:v>8.3735500804335032</c:v>
                </c:pt>
                <c:pt idx="8">
                  <c:v>-5.6874999999999973</c:v>
                </c:pt>
                <c:pt idx="9">
                  <c:v>9.6752816434725109</c:v>
                </c:pt>
                <c:pt idx="10">
                  <c:v>11.412386706948629</c:v>
                </c:pt>
                <c:pt idx="11">
                  <c:v>11.667005626737165</c:v>
                </c:pt>
                <c:pt idx="12">
                  <c:v>3.6000485672656595</c:v>
                </c:pt>
              </c:numCache>
            </c:numRef>
          </c:val>
        </c:ser>
        <c:marker val="1"/>
        <c:axId val="155484544"/>
        <c:axId val="155486464"/>
      </c:lineChart>
      <c:catAx>
        <c:axId val="155484544"/>
        <c:scaling>
          <c:orientation val="minMax"/>
        </c:scaling>
        <c:axPos val="b"/>
        <c:numFmt formatCode="General" sourceLinked="1"/>
        <c:tickLblPos val="low"/>
        <c:spPr>
          <a:ln>
            <a:solidFill>
              <a:schemeClr val="tx1"/>
            </a:solidFill>
          </a:ln>
        </c:spPr>
        <c:crossAx val="155486464"/>
        <c:crosses val="autoZero"/>
        <c:auto val="1"/>
        <c:lblAlgn val="ctr"/>
        <c:lblOffset val="0"/>
      </c:catAx>
      <c:valAx>
        <c:axId val="155486464"/>
        <c:scaling>
          <c:orientation val="minMax"/>
          <c:max val="30"/>
          <c:min val="-40"/>
        </c:scaling>
        <c:axPos val="l"/>
        <c:majorGridlines>
          <c:spPr>
            <a:ln w="6350">
              <a:solidFill>
                <a:schemeClr val="bg1">
                  <a:lumMod val="75000"/>
                </a:schemeClr>
              </a:solidFill>
            </a:ln>
          </c:spPr>
        </c:majorGridlines>
        <c:numFmt formatCode="0" sourceLinked="0"/>
        <c:tickLblPos val="nextTo"/>
        <c:spPr>
          <a:ln>
            <a:solidFill>
              <a:schemeClr val="tx1"/>
            </a:solidFill>
          </a:ln>
        </c:spPr>
        <c:crossAx val="155484544"/>
        <c:crosses val="autoZero"/>
        <c:crossBetween val="between"/>
        <c:majorUnit val="5"/>
      </c:valAx>
      <c:valAx>
        <c:axId val="155488256"/>
        <c:scaling>
          <c:orientation val="minMax"/>
          <c:max val="150"/>
          <c:min val="-200"/>
        </c:scaling>
        <c:axPos val="r"/>
        <c:numFmt formatCode="#,##0" sourceLinked="0"/>
        <c:tickLblPos val="nextTo"/>
        <c:crossAx val="155489792"/>
        <c:crosses val="max"/>
        <c:crossBetween val="between"/>
        <c:majorUnit val="25"/>
      </c:valAx>
      <c:catAx>
        <c:axId val="155489792"/>
        <c:scaling>
          <c:orientation val="minMax"/>
        </c:scaling>
        <c:delete val="1"/>
        <c:axPos val="b"/>
        <c:tickLblPos val="none"/>
        <c:crossAx val="155488256"/>
        <c:crosses val="autoZero"/>
        <c:auto val="1"/>
        <c:lblAlgn val="ctr"/>
        <c:lblOffset val="100"/>
      </c:catAx>
      <c:spPr>
        <a:ln>
          <a:solidFill>
            <a:schemeClr val="tx1"/>
          </a:solidFill>
        </a:ln>
      </c:spPr>
    </c:plotArea>
    <c:legend>
      <c:legendPos val="b"/>
      <c:layout>
        <c:manualLayout>
          <c:xMode val="edge"/>
          <c:yMode val="edge"/>
          <c:x val="5.1878156565656246E-2"/>
          <c:y val="0.84765929769780302"/>
          <c:w val="0.88108922558922553"/>
          <c:h val="0.1451411404139819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484E-2"/>
          <c:w val="0.87770649039241067"/>
          <c:h val="0.76009512552065761"/>
        </c:manualLayout>
      </c:layout>
      <c:barChart>
        <c:barDir val="col"/>
        <c:grouping val="clustered"/>
        <c:ser>
          <c:idx val="0"/>
          <c:order val="0"/>
          <c:tx>
            <c:strRef>
              <c:f>'souhrnná výkonnost 2'!$C$5</c:f>
              <c:strCache>
                <c:ptCount val="1"/>
                <c:pt idx="0">
                  <c:v>GDP (right axis)</c:v>
                </c:pt>
              </c:strCache>
            </c:strRef>
          </c:tx>
          <c:spPr>
            <a:solidFill>
              <a:schemeClr val="bg1">
                <a:lumMod val="65000"/>
              </a:schemeClr>
            </a:solidFill>
            <a:ln>
              <a:noFill/>
            </a:ln>
          </c:spPr>
          <c:val>
            <c:numRef>
              <c:f>'souhrnná výkonnost 2'!$C$18:$C$77</c:f>
              <c:numCache>
                <c:formatCode>0.0</c:formatCode>
                <c:ptCount val="60"/>
                <c:pt idx="0">
                  <c:v>-1.8</c:v>
                </c:pt>
                <c:pt idx="1">
                  <c:v>-1.8</c:v>
                </c:pt>
                <c:pt idx="2">
                  <c:v>-1.8</c:v>
                </c:pt>
                <c:pt idx="3">
                  <c:v>-1.1000000000000001</c:v>
                </c:pt>
                <c:pt idx="4">
                  <c:v>-1.1000000000000001</c:v>
                </c:pt>
                <c:pt idx="5">
                  <c:v>-1.1000000000000001</c:v>
                </c:pt>
                <c:pt idx="6">
                  <c:v>-0.4</c:v>
                </c:pt>
                <c:pt idx="7">
                  <c:v>-0.4</c:v>
                </c:pt>
                <c:pt idx="8">
                  <c:v>-0.4</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5.2</c:v>
                </c:pt>
                <c:pt idx="25">
                  <c:v>5.2</c:v>
                </c:pt>
                <c:pt idx="26">
                  <c:v>5.2</c:v>
                </c:pt>
                <c:pt idx="27">
                  <c:v>5.8</c:v>
                </c:pt>
                <c:pt idx="28">
                  <c:v>5.8</c:v>
                </c:pt>
                <c:pt idx="29">
                  <c:v>5.8</c:v>
                </c:pt>
                <c:pt idx="30">
                  <c:v>5.7</c:v>
                </c:pt>
                <c:pt idx="31">
                  <c:v>5.7</c:v>
                </c:pt>
                <c:pt idx="32">
                  <c:v>5.7</c:v>
                </c:pt>
                <c:pt idx="33">
                  <c:v>4.9000000000000004</c:v>
                </c:pt>
                <c:pt idx="34">
                  <c:v>4.9000000000000004</c:v>
                </c:pt>
                <c:pt idx="35">
                  <c:v>4.9000000000000004</c:v>
                </c:pt>
                <c:pt idx="36">
                  <c:v>3.5</c:v>
                </c:pt>
                <c:pt idx="37">
                  <c:v>3.5</c:v>
                </c:pt>
                <c:pt idx="38">
                  <c:v>3.5</c:v>
                </c:pt>
                <c:pt idx="39">
                  <c:v>2.8</c:v>
                </c:pt>
                <c:pt idx="40">
                  <c:v>2.8</c:v>
                </c:pt>
                <c:pt idx="41" formatCode="General">
                  <c:v>2.8</c:v>
                </c:pt>
                <c:pt idx="42" formatCode="General">
                  <c:v>1.8</c:v>
                </c:pt>
                <c:pt idx="43" formatCode="General">
                  <c:v>1.8</c:v>
                </c:pt>
                <c:pt idx="44" formatCode="General">
                  <c:v>1.8</c:v>
                </c:pt>
                <c:pt idx="45" formatCode="General">
                  <c:v>1.8</c:v>
                </c:pt>
                <c:pt idx="46" formatCode="General">
                  <c:v>1.8</c:v>
                </c:pt>
                <c:pt idx="47" formatCode="General">
                  <c:v>1.8</c:v>
                </c:pt>
                <c:pt idx="48" formatCode="General">
                  <c:v>3</c:v>
                </c:pt>
                <c:pt idx="49" formatCode="General">
                  <c:v>3</c:v>
                </c:pt>
                <c:pt idx="50" formatCode="General">
                  <c:v>3</c:v>
                </c:pt>
                <c:pt idx="51" formatCode="General">
                  <c:v>4.5999999999999996</c:v>
                </c:pt>
                <c:pt idx="52" formatCode="General">
                  <c:v>4.5999999999999996</c:v>
                </c:pt>
                <c:pt idx="53" formatCode="General">
                  <c:v>4.5999999999999996</c:v>
                </c:pt>
                <c:pt idx="54" formatCode="General">
                  <c:v>5.0999999999999996</c:v>
                </c:pt>
                <c:pt idx="55" formatCode="General">
                  <c:v>5.0999999999999996</c:v>
                </c:pt>
                <c:pt idx="56" formatCode="General">
                  <c:v>5.0999999999999996</c:v>
                </c:pt>
                <c:pt idx="57" formatCode="General">
                  <c:v>5.2</c:v>
                </c:pt>
                <c:pt idx="58" formatCode="General">
                  <c:v>5.2</c:v>
                </c:pt>
                <c:pt idx="59" formatCode="General">
                  <c:v>5.2</c:v>
                </c:pt>
              </c:numCache>
            </c:numRef>
          </c:val>
        </c:ser>
        <c:gapWidth val="30"/>
        <c:axId val="135545216"/>
        <c:axId val="135537408"/>
      </c:barChart>
      <c:lineChart>
        <c:grouping val="standard"/>
        <c:ser>
          <c:idx val="3"/>
          <c:order val="1"/>
          <c:tx>
            <c:strRef>
              <c:f>'souhrnná výkonnost 2'!$D$5</c:f>
              <c:strCache>
                <c:ptCount val="1"/>
                <c:pt idx="0">
                  <c:v>Entrepreneur confidence</c:v>
                </c:pt>
              </c:strCache>
            </c:strRef>
          </c:tx>
          <c:spPr>
            <a:ln w="19050">
              <a:solidFill>
                <a:srgbClr val="0071BC"/>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2'!$D$18:$D$77</c:f>
              <c:numCache>
                <c:formatCode>###,###,##0.0</c:formatCode>
                <c:ptCount val="60"/>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numCache>
            </c:numRef>
          </c:val>
        </c:ser>
        <c:ser>
          <c:idx val="2"/>
          <c:order val="2"/>
          <c:tx>
            <c:strRef>
              <c:f>'souhrnná výkonnost 2'!$E$5</c:f>
              <c:strCache>
                <c:ptCount val="1"/>
                <c:pt idx="0">
                  <c:v>Consumer confidence</c:v>
                </c:pt>
              </c:strCache>
            </c:strRef>
          </c:tx>
          <c:spPr>
            <a:ln w="19050">
              <a:solidFill>
                <a:srgbClr val="BD1B2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2'!$E$18:$E$77</c:f>
              <c:numCache>
                <c:formatCode>###,###,##0.0</c:formatCode>
                <c:ptCount val="60"/>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numCache>
            </c:numRef>
          </c:val>
        </c:ser>
        <c:ser>
          <c:idx val="1"/>
          <c:order val="3"/>
          <c:tx>
            <c:strRef>
              <c:f>'souhrnná výkonnost 2'!$F$5</c:f>
              <c:strCache>
                <c:ptCount val="1"/>
                <c:pt idx="0">
                  <c:v>Total indicator</c:v>
                </c:pt>
              </c:strCache>
            </c:strRef>
          </c:tx>
          <c:spPr>
            <a:ln w="19050">
              <a:solidFill>
                <a:schemeClr val="tx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2'!$F$18:$F$77</c:f>
              <c:numCache>
                <c:formatCode>###,###,##0.0</c:formatCode>
                <c:ptCount val="60"/>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numCache>
            </c:numRef>
          </c:val>
        </c:ser>
        <c:marker val="1"/>
        <c:axId val="125878656"/>
        <c:axId val="135524352"/>
      </c:lineChart>
      <c:catAx>
        <c:axId val="125878656"/>
        <c:scaling>
          <c:orientation val="minMax"/>
        </c:scaling>
        <c:axPos val="b"/>
        <c:tickLblPos val="low"/>
        <c:spPr>
          <a:ln>
            <a:solidFill>
              <a:schemeClr val="tx1"/>
            </a:solidFill>
          </a:ln>
        </c:spPr>
        <c:crossAx val="135524352"/>
        <c:crossesAt val="100"/>
        <c:auto val="1"/>
        <c:lblAlgn val="ctr"/>
        <c:lblOffset val="100"/>
      </c:catAx>
      <c:valAx>
        <c:axId val="135524352"/>
        <c:scaling>
          <c:orientation val="minMax"/>
          <c:max val="130"/>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25878656"/>
        <c:crosses val="autoZero"/>
        <c:crossBetween val="between"/>
        <c:majorUnit val="5"/>
      </c:valAx>
      <c:valAx>
        <c:axId val="135537408"/>
        <c:scaling>
          <c:orientation val="minMax"/>
          <c:max val="6"/>
          <c:min val="-6"/>
        </c:scaling>
        <c:axPos val="r"/>
        <c:numFmt formatCode="0" sourceLinked="0"/>
        <c:tickLblPos val="nextTo"/>
        <c:spPr>
          <a:ln>
            <a:solidFill>
              <a:schemeClr val="tx1"/>
            </a:solidFill>
          </a:ln>
        </c:spPr>
        <c:crossAx val="135545216"/>
        <c:crosses val="max"/>
        <c:crossBetween val="between"/>
        <c:majorUnit val="1"/>
      </c:valAx>
      <c:catAx>
        <c:axId val="135545216"/>
        <c:scaling>
          <c:orientation val="minMax"/>
        </c:scaling>
        <c:delete val="1"/>
        <c:axPos val="b"/>
        <c:tickLblPos val="none"/>
        <c:crossAx val="135537408"/>
        <c:crossesAt val="0"/>
        <c:auto val="1"/>
        <c:lblAlgn val="ctr"/>
        <c:lblOffset val="100"/>
      </c:catAx>
      <c:spPr>
        <a:ln>
          <a:solidFill>
            <a:schemeClr val="tx1"/>
          </a:solidFill>
        </a:ln>
      </c:spPr>
    </c:plotArea>
    <c:legend>
      <c:legendPos val="b"/>
      <c:layout>
        <c:manualLayout>
          <c:xMode val="edge"/>
          <c:yMode val="edge"/>
          <c:x val="6.2295583422442583E-2"/>
          <c:y val="0.90228835978835431"/>
          <c:w val="0.88075331324325201"/>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5885856591416561E-2"/>
          <c:y val="2.1967687074830006E-2"/>
          <c:w val="0.92164178636877681"/>
          <c:h val="0.79758786848072549"/>
        </c:manualLayout>
      </c:layout>
      <c:barChart>
        <c:barDir val="col"/>
        <c:grouping val="stacked"/>
        <c:ser>
          <c:idx val="0"/>
          <c:order val="0"/>
          <c:tx>
            <c:strRef>
              <c:f>'Státní rozpočet 2'!$A$39</c:f>
              <c:strCache>
                <c:ptCount val="1"/>
                <c:pt idx="0">
                  <c:v>Structural funds</c:v>
                </c:pt>
              </c:strCache>
            </c:strRef>
          </c:tx>
          <c:spPr>
            <a:solidFill>
              <a:srgbClr val="BD1B25"/>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2'!$B$39:$N$39</c:f>
              <c:numCache>
                <c:formatCode>#,##0.0</c:formatCode>
                <c:ptCount val="13"/>
                <c:pt idx="0">
                  <c:v>4.4123665769599967</c:v>
                </c:pt>
                <c:pt idx="1">
                  <c:v>7.1633856882119966</c:v>
                </c:pt>
                <c:pt idx="2">
                  <c:v>21.116304846792957</c:v>
                </c:pt>
                <c:pt idx="3">
                  <c:v>27.054443506608962</c:v>
                </c:pt>
                <c:pt idx="4">
                  <c:v>32.764587240562051</c:v>
                </c:pt>
                <c:pt idx="5">
                  <c:v>40.619410000000002</c:v>
                </c:pt>
                <c:pt idx="6">
                  <c:v>42.454847750173798</c:v>
                </c:pt>
                <c:pt idx="7">
                  <c:v>44.317030145591225</c:v>
                </c:pt>
                <c:pt idx="8">
                  <c:v>56.533247644358177</c:v>
                </c:pt>
                <c:pt idx="9">
                  <c:v>57.303112398046913</c:v>
                </c:pt>
                <c:pt idx="10">
                  <c:v>109.92965235829206</c:v>
                </c:pt>
                <c:pt idx="11">
                  <c:v>48.210545255019021</c:v>
                </c:pt>
                <c:pt idx="12">
                  <c:v>32.965705627111213</c:v>
                </c:pt>
              </c:numCache>
            </c:numRef>
          </c:val>
        </c:ser>
        <c:ser>
          <c:idx val="1"/>
          <c:order val="1"/>
          <c:tx>
            <c:strRef>
              <c:f>'Státní rozpočet 2'!$A$40</c:f>
              <c:strCache>
                <c:ptCount val="1"/>
                <c:pt idx="0">
                  <c:v>Cohesion funds</c:v>
                </c:pt>
              </c:strCache>
            </c:strRef>
          </c:tx>
          <c:spPr>
            <a:solidFill>
              <a:srgbClr val="F8A124"/>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2'!$B$40:$N$40</c:f>
              <c:numCache>
                <c:formatCode>#,##0.0</c:formatCode>
                <c:ptCount val="13"/>
                <c:pt idx="0">
                  <c:v>2.3760864943999973</c:v>
                </c:pt>
                <c:pt idx="1">
                  <c:v>6.1369082624399969</c:v>
                </c:pt>
                <c:pt idx="2">
                  <c:v>6.4491126000000003</c:v>
                </c:pt>
                <c:pt idx="3">
                  <c:v>14.851307279303706</c:v>
                </c:pt>
                <c:pt idx="4">
                  <c:v>19.14270091404704</c:v>
                </c:pt>
                <c:pt idx="5">
                  <c:v>14.83794</c:v>
                </c:pt>
                <c:pt idx="6">
                  <c:v>1.0006079238812811</c:v>
                </c:pt>
                <c:pt idx="7">
                  <c:v>36.973114268359282</c:v>
                </c:pt>
                <c:pt idx="8">
                  <c:v>35.920021817604578</c:v>
                </c:pt>
                <c:pt idx="9">
                  <c:v>24.830230876574625</c:v>
                </c:pt>
                <c:pt idx="10">
                  <c:v>47.478337172235072</c:v>
                </c:pt>
                <c:pt idx="11">
                  <c:v>39.746769959371996</c:v>
                </c:pt>
                <c:pt idx="12">
                  <c:v>31.124818884783199</c:v>
                </c:pt>
              </c:numCache>
            </c:numRef>
          </c:val>
        </c:ser>
        <c:ser>
          <c:idx val="2"/>
          <c:order val="2"/>
          <c:tx>
            <c:strRef>
              <c:f>'Státní rozpočet 2'!$A$41</c:f>
              <c:strCache>
                <c:ptCount val="1"/>
                <c:pt idx="0">
                  <c:v>Direct payments in agriculture*</c:v>
                </c:pt>
              </c:strCache>
            </c:strRef>
          </c:tx>
          <c:spPr>
            <a:solidFill>
              <a:srgbClr val="47AEE7"/>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2'!$B$41:$N$41</c:f>
              <c:numCache>
                <c:formatCode>#,##0.0</c:formatCode>
                <c:ptCount val="13"/>
                <c:pt idx="0">
                  <c:v>8.4001158167300005</c:v>
                </c:pt>
                <c:pt idx="1">
                  <c:v>9.2691018341200024</c:v>
                </c:pt>
                <c:pt idx="2">
                  <c:v>9.1230810208661186</c:v>
                </c:pt>
                <c:pt idx="3">
                  <c:v>9.2205451040404185</c:v>
                </c:pt>
                <c:pt idx="4">
                  <c:v>13.469158734599551</c:v>
                </c:pt>
                <c:pt idx="5">
                  <c:v>15.109960000000001</c:v>
                </c:pt>
                <c:pt idx="6">
                  <c:v>16.503768791381287</c:v>
                </c:pt>
                <c:pt idx="7">
                  <c:v>19.068706411758626</c:v>
                </c:pt>
                <c:pt idx="8">
                  <c:v>21.656415013433474</c:v>
                </c:pt>
                <c:pt idx="9">
                  <c:v>24.611693796169373</c:v>
                </c:pt>
                <c:pt idx="10">
                  <c:v>24.459875117348755</c:v>
                </c:pt>
                <c:pt idx="11">
                  <c:v>23.029869848496585</c:v>
                </c:pt>
                <c:pt idx="12">
                  <c:v>22.535048320524787</c:v>
                </c:pt>
              </c:numCache>
            </c:numRef>
          </c:val>
        </c:ser>
        <c:ser>
          <c:idx val="3"/>
          <c:order val="3"/>
          <c:tx>
            <c:strRef>
              <c:f>'Státní rozpočet 2'!$A$42</c:f>
              <c:strCache>
                <c:ptCount val="1"/>
                <c:pt idx="0">
                  <c:v>Rural development and fishing</c:v>
                </c:pt>
              </c:strCache>
            </c:strRef>
          </c:tx>
          <c:spPr>
            <a:solidFill>
              <a:srgbClr val="0071BC"/>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2'!$B$42:$N$42</c:f>
              <c:numCache>
                <c:formatCode>#,##0.0</c:formatCode>
                <c:ptCount val="13"/>
                <c:pt idx="0">
                  <c:v>4.3391509744000007</c:v>
                </c:pt>
                <c:pt idx="1">
                  <c:v>4.9818796020600029</c:v>
                </c:pt>
                <c:pt idx="2">
                  <c:v>8.5034302857945008</c:v>
                </c:pt>
                <c:pt idx="3">
                  <c:v>5.350608087654364</c:v>
                </c:pt>
                <c:pt idx="4">
                  <c:v>9.697797676865255</c:v>
                </c:pt>
                <c:pt idx="5">
                  <c:v>11.243359999999999</c:v>
                </c:pt>
                <c:pt idx="6">
                  <c:v>9.961439756176544</c:v>
                </c:pt>
                <c:pt idx="7">
                  <c:v>10.65403796237409</c:v>
                </c:pt>
                <c:pt idx="8">
                  <c:v>9.590358393787854</c:v>
                </c:pt>
                <c:pt idx="9">
                  <c:v>7.7010185247794691</c:v>
                </c:pt>
                <c:pt idx="10">
                  <c:v>6.5632254156874108</c:v>
                </c:pt>
                <c:pt idx="11">
                  <c:v>9.3056681374391967</c:v>
                </c:pt>
                <c:pt idx="12">
                  <c:v>6.8198793311826993</c:v>
                </c:pt>
              </c:numCache>
            </c:numRef>
          </c:val>
        </c:ser>
        <c:ser>
          <c:idx val="4"/>
          <c:order val="4"/>
          <c:tx>
            <c:strRef>
              <c:f>'Státní rozpočet 2'!$A$43</c:f>
              <c:strCache>
                <c:ptCount val="1"/>
                <c:pt idx="0">
                  <c:v>Other income</c:v>
                </c:pt>
              </c:strCache>
            </c:strRef>
          </c:tx>
          <c:spPr>
            <a:solidFill>
              <a:srgbClr val="BFBFBF"/>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2'!$B$43:$N$43</c:f>
              <c:numCache>
                <c:formatCode>#,##0.0</c:formatCode>
                <c:ptCount val="13"/>
                <c:pt idx="0">
                  <c:v>13.154089376000005</c:v>
                </c:pt>
                <c:pt idx="1">
                  <c:v>9.7590691246000016</c:v>
                </c:pt>
                <c:pt idx="2">
                  <c:v>2.122935653916</c:v>
                </c:pt>
                <c:pt idx="3">
                  <c:v>2.7450628739981391</c:v>
                </c:pt>
                <c:pt idx="4">
                  <c:v>3.0715704455996997</c:v>
                </c:pt>
                <c:pt idx="5">
                  <c:v>3.2068081292307973</c:v>
                </c:pt>
                <c:pt idx="6">
                  <c:v>2.5927529258200779</c:v>
                </c:pt>
                <c:pt idx="7">
                  <c:v>1.9634601788174999</c:v>
                </c:pt>
                <c:pt idx="8">
                  <c:v>2.7149471946952439</c:v>
                </c:pt>
                <c:pt idx="9">
                  <c:v>5.3475363946925221</c:v>
                </c:pt>
                <c:pt idx="10">
                  <c:v>3.4961593460097227</c:v>
                </c:pt>
                <c:pt idx="11">
                  <c:v>4.5246595533158764</c:v>
                </c:pt>
                <c:pt idx="12">
                  <c:v>4.4069946376209455</c:v>
                </c:pt>
              </c:numCache>
            </c:numRef>
          </c:val>
        </c:ser>
        <c:gapWidth val="39"/>
        <c:overlap val="100"/>
        <c:axId val="155509888"/>
        <c:axId val="155511424"/>
      </c:barChart>
      <c:lineChart>
        <c:grouping val="standard"/>
        <c:ser>
          <c:idx val="5"/>
          <c:order val="5"/>
          <c:tx>
            <c:strRef>
              <c:f>'Státní rozpočet 2'!$A$44</c:f>
              <c:strCache>
                <c:ptCount val="1"/>
                <c:pt idx="0">
                  <c:v>Net position towards EU budget</c:v>
                </c:pt>
              </c:strCache>
            </c:strRef>
          </c:tx>
          <c:spPr>
            <a:ln w="19050">
              <a:solidFill>
                <a:schemeClr val="tx1">
                  <a:lumMod val="95000"/>
                  <a:lumOff val="5000"/>
                </a:schemeClr>
              </a:solidFill>
            </a:ln>
          </c:spPr>
          <c:marker>
            <c:symbol val="none"/>
          </c:marke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2'!$B$44:$N$44</c:f>
              <c:numCache>
                <c:formatCode>#,##0.0</c:formatCode>
                <c:ptCount val="13"/>
                <c:pt idx="0">
                  <c:v>1.9779110718699995</c:v>
                </c:pt>
                <c:pt idx="1">
                  <c:v>6.908048532141998</c:v>
                </c:pt>
                <c:pt idx="2">
                  <c:v>15.192764407369573</c:v>
                </c:pt>
                <c:pt idx="3">
                  <c:v>23.773366851605584</c:v>
                </c:pt>
                <c:pt idx="4">
                  <c:v>42.317715011673577</c:v>
                </c:pt>
                <c:pt idx="5">
                  <c:v>47.917408129230765</c:v>
                </c:pt>
                <c:pt idx="6">
                  <c:v>30.770247147433022</c:v>
                </c:pt>
                <c:pt idx="7">
                  <c:v>73.129787229670697</c:v>
                </c:pt>
                <c:pt idx="8">
                  <c:v>84.753656527119333</c:v>
                </c:pt>
                <c:pt idx="9">
                  <c:v>75.317574780102944</c:v>
                </c:pt>
                <c:pt idx="10">
                  <c:v>150.02804750760328</c:v>
                </c:pt>
                <c:pt idx="11">
                  <c:v>80.627095328612668</c:v>
                </c:pt>
                <c:pt idx="12">
                  <c:v>55.443297501582819</c:v>
                </c:pt>
              </c:numCache>
            </c:numRef>
          </c:val>
        </c:ser>
        <c:marker val="1"/>
        <c:axId val="155509888"/>
        <c:axId val="155511424"/>
      </c:lineChart>
      <c:catAx>
        <c:axId val="155509888"/>
        <c:scaling>
          <c:orientation val="minMax"/>
        </c:scaling>
        <c:axPos val="b"/>
        <c:numFmt formatCode="General" sourceLinked="1"/>
        <c:tickLblPos val="nextTo"/>
        <c:txPr>
          <a:bodyPr/>
          <a:lstStyle/>
          <a:p>
            <a:pPr>
              <a:defRPr sz="800">
                <a:latin typeface="Arial" pitchFamily="34" charset="0"/>
                <a:cs typeface="Arial" pitchFamily="34" charset="0"/>
              </a:defRPr>
            </a:pPr>
            <a:endParaRPr lang="cs-CZ"/>
          </a:p>
        </c:txPr>
        <c:crossAx val="155511424"/>
        <c:crosses val="autoZero"/>
        <c:auto val="1"/>
        <c:lblAlgn val="ctr"/>
        <c:lblOffset val="20"/>
      </c:catAx>
      <c:valAx>
        <c:axId val="155511424"/>
        <c:scaling>
          <c:orientation val="minMax"/>
          <c:max val="200"/>
          <c:min val="0"/>
        </c:scaling>
        <c:axPos val="l"/>
        <c:majorGridlines>
          <c:spPr>
            <a:ln w="6350">
              <a:solidFill>
                <a:srgbClr val="BFBFBF"/>
              </a:solidFill>
            </a:ln>
          </c:spPr>
        </c:majorGridlines>
        <c:numFmt formatCode="#,##0" sourceLinked="0"/>
        <c:tickLblPos val="nextTo"/>
        <c:txPr>
          <a:bodyPr/>
          <a:lstStyle/>
          <a:p>
            <a:pPr>
              <a:defRPr sz="800">
                <a:latin typeface="Arial" pitchFamily="34" charset="0"/>
                <a:cs typeface="Arial" pitchFamily="34" charset="0"/>
              </a:defRPr>
            </a:pPr>
            <a:endParaRPr lang="cs-CZ"/>
          </a:p>
        </c:txPr>
        <c:crossAx val="155509888"/>
        <c:crosses val="autoZero"/>
        <c:crossBetween val="between"/>
        <c:majorUnit val="10"/>
      </c:valAx>
      <c:spPr>
        <a:ln>
          <a:solidFill>
            <a:schemeClr val="tx1">
              <a:lumMod val="95000"/>
              <a:lumOff val="5000"/>
            </a:schemeClr>
          </a:solidFill>
        </a:ln>
      </c:spPr>
    </c:plotArea>
    <c:legend>
      <c:legendPos val="r"/>
      <c:layout>
        <c:manualLayout>
          <c:xMode val="edge"/>
          <c:yMode val="edge"/>
          <c:x val="6.3517658206840313E-2"/>
          <c:y val="0.86898582766440835"/>
          <c:w val="0.92018571517242886"/>
          <c:h val="0.12237414965986392"/>
        </c:manualLayout>
      </c:layout>
      <c:spPr>
        <a:ln>
          <a:solidFill>
            <a:schemeClr val="tx1">
              <a:lumMod val="95000"/>
              <a:lumOff val="5000"/>
            </a:scheme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1857900718404552E-2"/>
          <c:y val="1.544165056508486E-2"/>
          <c:w val="0.86053409090909083"/>
          <c:h val="0.788921201814059"/>
        </c:manualLayout>
      </c:layout>
      <c:barChart>
        <c:barDir val="col"/>
        <c:grouping val="clustered"/>
        <c:ser>
          <c:idx val="4"/>
          <c:order val="4"/>
          <c:tx>
            <c:strRef>
              <c:f>'Státní rozpočet 4'!$F$22</c:f>
              <c:strCache>
                <c:ptCount val="1"/>
                <c:pt idx="0">
                  <c:v>Balance of incomes and expenditures (right axis)</c:v>
                </c:pt>
              </c:strCache>
            </c:strRef>
          </c:tx>
          <c:spPr>
            <a:solidFill>
              <a:srgbClr val="BFBFBF"/>
            </a:solidFill>
            <a:ln>
              <a:noFill/>
            </a:ln>
          </c:spP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4'!$F$23:$F$35</c:f>
              <c:numCache>
                <c:formatCode>0.0</c:formatCode>
                <c:ptCount val="13"/>
                <c:pt idx="0">
                  <c:v>10.889999999999995</c:v>
                </c:pt>
                <c:pt idx="1">
                  <c:v>3.9490000000000132</c:v>
                </c:pt>
                <c:pt idx="2">
                  <c:v>15.005000000000001</c:v>
                </c:pt>
                <c:pt idx="3">
                  <c:v>7.4180000000000064</c:v>
                </c:pt>
                <c:pt idx="4">
                  <c:v>-29.578000000000028</c:v>
                </c:pt>
                <c:pt idx="5">
                  <c:v>-28.44300000000003</c:v>
                </c:pt>
                <c:pt idx="6">
                  <c:v>-40.189000000000021</c:v>
                </c:pt>
                <c:pt idx="7">
                  <c:v>-50.061</c:v>
                </c:pt>
                <c:pt idx="8">
                  <c:v>-50.313000000000045</c:v>
                </c:pt>
                <c:pt idx="9">
                  <c:v>-43.919999999999959</c:v>
                </c:pt>
                <c:pt idx="10">
                  <c:v>-33.78000000000003</c:v>
                </c:pt>
                <c:pt idx="11">
                  <c:v>-15.840000000000032</c:v>
                </c:pt>
                <c:pt idx="12">
                  <c:v>6.9999999999993234E-2</c:v>
                </c:pt>
              </c:numCache>
            </c:numRef>
          </c:val>
        </c:ser>
        <c:gapWidth val="43"/>
        <c:axId val="157056000"/>
        <c:axId val="157054464"/>
      </c:barChart>
      <c:lineChart>
        <c:grouping val="standard"/>
        <c:ser>
          <c:idx val="2"/>
          <c:order val="0"/>
          <c:tx>
            <c:strRef>
              <c:f>'Státní rozpočet 4'!$D$22</c:f>
              <c:strCache>
                <c:ptCount val="1"/>
                <c:pt idx="0">
                  <c:v>Incomes on pensions</c:v>
                </c:pt>
              </c:strCache>
            </c:strRef>
          </c:tx>
          <c:spPr>
            <a:ln w="22225">
              <a:solidFill>
                <a:srgbClr val="0071BC"/>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4'!$D$23:$D$35</c:f>
              <c:numCache>
                <c:formatCode>0.0</c:formatCode>
                <c:ptCount val="13"/>
                <c:pt idx="0">
                  <c:v>6.18755910043991</c:v>
                </c:pt>
                <c:pt idx="1">
                  <c:v>7.1937432244076414</c:v>
                </c:pt>
                <c:pt idx="2">
                  <c:v>10.1134147222423</c:v>
                </c:pt>
                <c:pt idx="3">
                  <c:v>4.9498130289312883</c:v>
                </c:pt>
                <c:pt idx="4">
                  <c:v>-3.0442256602594142</c:v>
                </c:pt>
                <c:pt idx="5">
                  <c:v>2.4370587666419552</c:v>
                </c:pt>
                <c:pt idx="6">
                  <c:v>3.1815464014853632</c:v>
                </c:pt>
                <c:pt idx="7">
                  <c:v>1.2474075881420106</c:v>
                </c:pt>
                <c:pt idx="8">
                  <c:v>0.14760369912943369</c:v>
                </c:pt>
                <c:pt idx="9">
                  <c:v>2.8454550923419504</c:v>
                </c:pt>
                <c:pt idx="10">
                  <c:v>5.70893776321945</c:v>
                </c:pt>
                <c:pt idx="11">
                  <c:v>6.0009960159362379</c:v>
                </c:pt>
                <c:pt idx="12">
                  <c:v>8.1721608853391814</c:v>
                </c:pt>
              </c:numCache>
            </c:numRef>
          </c:val>
        </c:ser>
        <c:ser>
          <c:idx val="3"/>
          <c:order val="1"/>
          <c:tx>
            <c:strRef>
              <c:f>'Státní rozpočet 4'!$E$22</c:f>
              <c:strCache>
                <c:ptCount val="1"/>
                <c:pt idx="0">
                  <c:v>Expenditures on pensions</c:v>
                </c:pt>
              </c:strCache>
            </c:strRef>
          </c:tx>
          <c:spPr>
            <a:ln w="22225">
              <a:solidFill>
                <a:srgbClr val="BD1B21"/>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4'!$E$23:$E$35</c:f>
              <c:numCache>
                <c:formatCode>0.0</c:formatCode>
                <c:ptCount val="13"/>
                <c:pt idx="0">
                  <c:v>7.1430118191228047</c:v>
                </c:pt>
                <c:pt idx="1">
                  <c:v>10.316100084886223</c:v>
                </c:pt>
                <c:pt idx="2">
                  <c:v>6.2086174613702099</c:v>
                </c:pt>
                <c:pt idx="3">
                  <c:v>7.8235669558917209</c:v>
                </c:pt>
                <c:pt idx="4">
                  <c:v>8.7210269668386022</c:v>
                </c:pt>
                <c:pt idx="5">
                  <c:v>1.8908849047052747</c:v>
                </c:pt>
                <c:pt idx="6">
                  <c:v>6.3128767550611826</c:v>
                </c:pt>
                <c:pt idx="7">
                  <c:v>3.7933104934129189</c:v>
                </c:pt>
                <c:pt idx="8">
                  <c:v>0.19422507597550967</c:v>
                </c:pt>
                <c:pt idx="9">
                  <c:v>0.80125818696718909</c:v>
                </c:pt>
                <c:pt idx="10">
                  <c:v>2.4310595065312128</c:v>
                </c:pt>
                <c:pt idx="11">
                  <c:v>0.9488386215272584</c:v>
                </c:pt>
                <c:pt idx="12">
                  <c:v>3.8599393438103111</c:v>
                </c:pt>
              </c:numCache>
            </c:numRef>
          </c:val>
        </c:ser>
        <c:ser>
          <c:idx val="0"/>
          <c:order val="2"/>
          <c:tx>
            <c:strRef>
              <c:f>'Státní rozpočet 4'!$B$22</c:f>
              <c:strCache>
                <c:ptCount val="1"/>
                <c:pt idx="0">
                  <c:v>Total number of pension recipients</c:v>
                </c:pt>
              </c:strCache>
            </c:strRef>
          </c:tx>
          <c:spPr>
            <a:ln w="19050">
              <a:solidFill>
                <a:srgbClr val="7DBB2D"/>
              </a:solidFill>
              <a:prstDash val="solid"/>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4'!$B$23:$B$35</c:f>
              <c:numCache>
                <c:formatCode>0.0</c:formatCode>
                <c:ptCount val="13"/>
                <c:pt idx="0">
                  <c:v>0.73942609261963843</c:v>
                </c:pt>
                <c:pt idx="1">
                  <c:v>1.462477789119518</c:v>
                </c:pt>
                <c:pt idx="2">
                  <c:v>1.3181761274379653</c:v>
                </c:pt>
                <c:pt idx="3">
                  <c:v>1.281645331041446</c:v>
                </c:pt>
                <c:pt idx="4">
                  <c:v>1.320982378066035</c:v>
                </c:pt>
                <c:pt idx="5">
                  <c:v>1.0286013680520079</c:v>
                </c:pt>
                <c:pt idx="6">
                  <c:v>1.9123526609444923</c:v>
                </c:pt>
                <c:pt idx="7">
                  <c:v>-0.24183746350509253</c:v>
                </c:pt>
                <c:pt idx="8">
                  <c:v>-0.28610745917036695</c:v>
                </c:pt>
                <c:pt idx="9">
                  <c:v>0.18699332646569658</c:v>
                </c:pt>
                <c:pt idx="10">
                  <c:v>0.37555881531155</c:v>
                </c:pt>
                <c:pt idx="11">
                  <c:v>0.64426940872033367</c:v>
                </c:pt>
                <c:pt idx="12">
                  <c:v>0.12207563849430868</c:v>
                </c:pt>
              </c:numCache>
            </c:numRef>
          </c:val>
        </c:ser>
        <c:ser>
          <c:idx val="1"/>
          <c:order val="3"/>
          <c:tx>
            <c:strRef>
              <c:f>'Státní rozpočet 4'!$C$22</c:f>
              <c:strCache>
                <c:ptCount val="1"/>
                <c:pt idx="0">
                  <c:v>In that old age pensions at early retirement*</c:v>
                </c:pt>
              </c:strCache>
            </c:strRef>
          </c:tx>
          <c:spPr>
            <a:ln w="19050">
              <a:noFill/>
            </a:ln>
          </c:spPr>
          <c:marker>
            <c:symbol val="diamond"/>
            <c:size val="6"/>
            <c:spPr>
              <a:solidFill>
                <a:srgbClr val="7DBB2D"/>
              </a:solidFill>
              <a:ln>
                <a:noFill/>
              </a:ln>
            </c:spPr>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4'!$C$23:$C$35</c:f>
              <c:numCache>
                <c:formatCode>0.0</c:formatCode>
                <c:ptCount val="13"/>
                <c:pt idx="0">
                  <c:v>3.68435403828326</c:v>
                </c:pt>
                <c:pt idx="1">
                  <c:v>8.371991907121247</c:v>
                </c:pt>
                <c:pt idx="2">
                  <c:v>8.0300260463009465</c:v>
                </c:pt>
                <c:pt idx="3">
                  <c:v>7.4636923712797794</c:v>
                </c:pt>
                <c:pt idx="4">
                  <c:v>10.14595753101284</c:v>
                </c:pt>
                <c:pt idx="5">
                  <c:v>8.3976245360026578</c:v>
                </c:pt>
                <c:pt idx="6">
                  <c:v>17.132319471515761</c:v>
                </c:pt>
                <c:pt idx="7">
                  <c:v>4.403643762617353</c:v>
                </c:pt>
                <c:pt idx="8">
                  <c:v>3.7164573972200117</c:v>
                </c:pt>
                <c:pt idx="9">
                  <c:v>4.1538144420968965</c:v>
                </c:pt>
                <c:pt idx="10">
                  <c:v>3.5486971794898921</c:v>
                </c:pt>
                <c:pt idx="11">
                  <c:v>2.9849370914098614</c:v>
                </c:pt>
                <c:pt idx="12">
                  <c:v>2.568181328614203</c:v>
                </c:pt>
              </c:numCache>
            </c:numRef>
          </c:val>
        </c:ser>
        <c:marker val="1"/>
        <c:axId val="155637632"/>
        <c:axId val="157052928"/>
      </c:lineChart>
      <c:catAx>
        <c:axId val="155637632"/>
        <c:scaling>
          <c:orientation val="minMax"/>
        </c:scaling>
        <c:axPos val="b"/>
        <c:numFmt formatCode="General" sourceLinked="1"/>
        <c:tickLblPos val="low"/>
        <c:spPr>
          <a:ln>
            <a:solidFill>
              <a:sysClr val="window" lastClr="FFFFFF">
                <a:lumMod val="50000"/>
              </a:sysClr>
            </a:solidFill>
          </a:ln>
        </c:spPr>
        <c:crossAx val="157052928"/>
        <c:crossesAt val="0"/>
        <c:auto val="1"/>
        <c:lblAlgn val="ctr"/>
        <c:lblOffset val="0"/>
      </c:catAx>
      <c:valAx>
        <c:axId val="157052928"/>
        <c:scaling>
          <c:orientation val="minMax"/>
          <c:max val="18"/>
          <c:min val="-18"/>
        </c:scaling>
        <c:axPos val="l"/>
        <c:majorGridlines>
          <c:spPr>
            <a:ln w="6350">
              <a:solidFill>
                <a:schemeClr val="bg1">
                  <a:lumMod val="75000"/>
                </a:schemeClr>
              </a:solidFill>
            </a:ln>
          </c:spPr>
        </c:majorGridlines>
        <c:numFmt formatCode="0" sourceLinked="0"/>
        <c:tickLblPos val="nextTo"/>
        <c:spPr>
          <a:ln>
            <a:solidFill>
              <a:schemeClr val="tx1"/>
            </a:solidFill>
          </a:ln>
        </c:spPr>
        <c:crossAx val="155637632"/>
        <c:crosses val="autoZero"/>
        <c:crossBetween val="between"/>
        <c:majorUnit val="3"/>
      </c:valAx>
      <c:valAx>
        <c:axId val="157054464"/>
        <c:scaling>
          <c:orientation val="minMax"/>
          <c:max val="60"/>
          <c:min val="-60"/>
        </c:scaling>
        <c:axPos val="r"/>
        <c:numFmt formatCode="0" sourceLinked="0"/>
        <c:tickLblPos val="nextTo"/>
        <c:spPr>
          <a:ln>
            <a:solidFill>
              <a:schemeClr val="tx1"/>
            </a:solidFill>
          </a:ln>
        </c:spPr>
        <c:crossAx val="157056000"/>
        <c:crosses val="max"/>
        <c:crossBetween val="between"/>
        <c:majorUnit val="10"/>
      </c:valAx>
      <c:catAx>
        <c:axId val="157056000"/>
        <c:scaling>
          <c:orientation val="minMax"/>
        </c:scaling>
        <c:delete val="1"/>
        <c:axPos val="b"/>
        <c:numFmt formatCode="General" sourceLinked="1"/>
        <c:tickLblPos val="none"/>
        <c:crossAx val="157054464"/>
        <c:crosses val="autoZero"/>
        <c:auto val="1"/>
        <c:lblAlgn val="ctr"/>
        <c:lblOffset val="100"/>
      </c:catAx>
      <c:spPr>
        <a:ln>
          <a:solidFill>
            <a:schemeClr val="tx1"/>
          </a:solidFill>
        </a:ln>
      </c:spPr>
    </c:plotArea>
    <c:legend>
      <c:legendPos val="b"/>
      <c:layout>
        <c:manualLayout>
          <c:xMode val="edge"/>
          <c:yMode val="edge"/>
          <c:x val="6.0377514358176287E-2"/>
          <c:y val="0.84715221088435377"/>
          <c:w val="0.85780583250584119"/>
          <c:h val="0.1423951247165532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3654503640965086E-2"/>
          <c:y val="1.7112323287741892E-2"/>
          <c:w val="0.88571919735113291"/>
          <c:h val="0.76067747074773961"/>
        </c:manualLayout>
      </c:layout>
      <c:barChart>
        <c:barDir val="col"/>
        <c:grouping val="clustered"/>
        <c:ser>
          <c:idx val="0"/>
          <c:order val="0"/>
          <c:tx>
            <c:strRef>
              <c:f>'Státní rozpočet 3'!$B$31</c:f>
              <c:strCache>
                <c:ptCount val="1"/>
                <c:pt idx="0">
                  <c:v>Current expenditures (right axis)</c:v>
                </c:pt>
              </c:strCache>
            </c:strRef>
          </c:tx>
          <c:spPr>
            <a:solidFill>
              <a:schemeClr val="bg1">
                <a:lumMod val="75000"/>
              </a:schemeClr>
            </a:solidFill>
            <a:ln>
              <a:noFill/>
            </a:ln>
          </c:spP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3'!$B$32:$B$44</c:f>
              <c:numCache>
                <c:formatCode>0.0</c:formatCode>
                <c:ptCount val="13"/>
                <c:pt idx="0">
                  <c:v>840.85999999999967</c:v>
                </c:pt>
                <c:pt idx="1">
                  <c:v>912.08</c:v>
                </c:pt>
                <c:pt idx="2">
                  <c:v>973.84999999999968</c:v>
                </c:pt>
                <c:pt idx="3">
                  <c:v>975.85999999999967</c:v>
                </c:pt>
                <c:pt idx="4">
                  <c:v>1032.78</c:v>
                </c:pt>
                <c:pt idx="5">
                  <c:v>1021.89</c:v>
                </c:pt>
                <c:pt idx="6">
                  <c:v>1031.83</c:v>
                </c:pt>
                <c:pt idx="7">
                  <c:v>1038.76</c:v>
                </c:pt>
                <c:pt idx="8">
                  <c:v>1070.8129999999999</c:v>
                </c:pt>
                <c:pt idx="9">
                  <c:v>1100.1019999999999</c:v>
                </c:pt>
                <c:pt idx="10">
                  <c:v>1121.6599999999999</c:v>
                </c:pt>
                <c:pt idx="11">
                  <c:v>1135.57</c:v>
                </c:pt>
                <c:pt idx="12">
                  <c:v>1198.1499999999999</c:v>
                </c:pt>
              </c:numCache>
            </c:numRef>
          </c:val>
        </c:ser>
        <c:gapWidth val="70"/>
        <c:axId val="157338240"/>
        <c:axId val="157336704"/>
      </c:barChart>
      <c:lineChart>
        <c:grouping val="standard"/>
        <c:ser>
          <c:idx val="1"/>
          <c:order val="1"/>
          <c:tx>
            <c:strRef>
              <c:f>'Státní rozpočet 3'!$C$31</c:f>
              <c:strCache>
                <c:ptCount val="1"/>
                <c:pt idx="0">
                  <c:v>Wages of public sector employees</c:v>
                </c:pt>
              </c:strCache>
            </c:strRef>
          </c:tx>
          <c:spPr>
            <a:ln w="19050">
              <a:solidFill>
                <a:srgbClr val="98480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3'!$C$32:$C$44</c:f>
              <c:numCache>
                <c:formatCode>0.0</c:formatCode>
                <c:ptCount val="13"/>
                <c:pt idx="0">
                  <c:v>88.07</c:v>
                </c:pt>
                <c:pt idx="1">
                  <c:v>89.990000000000023</c:v>
                </c:pt>
                <c:pt idx="2">
                  <c:v>95.76</c:v>
                </c:pt>
                <c:pt idx="3">
                  <c:v>97.33</c:v>
                </c:pt>
                <c:pt idx="4">
                  <c:v>100.19</c:v>
                </c:pt>
                <c:pt idx="5">
                  <c:v>97.669999999999987</c:v>
                </c:pt>
                <c:pt idx="6">
                  <c:v>89.6</c:v>
                </c:pt>
                <c:pt idx="7">
                  <c:v>90.45</c:v>
                </c:pt>
                <c:pt idx="8">
                  <c:v>92.374999999999986</c:v>
                </c:pt>
                <c:pt idx="9">
                  <c:v>96.582999999999998</c:v>
                </c:pt>
                <c:pt idx="10">
                  <c:v>104.19</c:v>
                </c:pt>
                <c:pt idx="11">
                  <c:v>109.86</c:v>
                </c:pt>
                <c:pt idx="12">
                  <c:v>119.92</c:v>
                </c:pt>
              </c:numCache>
            </c:numRef>
          </c:val>
        </c:ser>
        <c:ser>
          <c:idx val="6"/>
          <c:order val="2"/>
          <c:tx>
            <c:strRef>
              <c:f>'Státní rozpočet 3'!$H$31</c:f>
              <c:strCache>
                <c:ptCount val="1"/>
                <c:pt idx="0">
                  <c:v>Non-investment purchases*</c:v>
                </c:pt>
              </c:strCache>
            </c:strRef>
          </c:tx>
          <c:spPr>
            <a:ln w="19050">
              <a:solidFill>
                <a:srgbClr val="F8A124"/>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3'!$H$32:$H$44</c:f>
              <c:numCache>
                <c:formatCode>0.0</c:formatCode>
                <c:ptCount val="13"/>
                <c:pt idx="0">
                  <c:v>73.387999999999991</c:v>
                </c:pt>
                <c:pt idx="1">
                  <c:v>82.167000000000002</c:v>
                </c:pt>
                <c:pt idx="2">
                  <c:v>68.822999999999979</c:v>
                </c:pt>
                <c:pt idx="3">
                  <c:v>74.822999999999979</c:v>
                </c:pt>
                <c:pt idx="4">
                  <c:v>72.738</c:v>
                </c:pt>
                <c:pt idx="5">
                  <c:v>69.86</c:v>
                </c:pt>
                <c:pt idx="6">
                  <c:v>67.708000000000013</c:v>
                </c:pt>
                <c:pt idx="7">
                  <c:v>55.810999999999993</c:v>
                </c:pt>
                <c:pt idx="8">
                  <c:v>56.384999999999998</c:v>
                </c:pt>
                <c:pt idx="9">
                  <c:v>56.800999999999995</c:v>
                </c:pt>
                <c:pt idx="10">
                  <c:v>63.75</c:v>
                </c:pt>
                <c:pt idx="11">
                  <c:v>59.14</c:v>
                </c:pt>
                <c:pt idx="12">
                  <c:v>63.68</c:v>
                </c:pt>
              </c:numCache>
            </c:numRef>
          </c:val>
        </c:ser>
        <c:ser>
          <c:idx val="7"/>
          <c:order val="3"/>
          <c:tx>
            <c:strRef>
              <c:f>'Státní rozpočet 3'!$I$31</c:f>
              <c:strCache>
                <c:ptCount val="1"/>
                <c:pt idx="0">
                  <c:v>State debt (net expenditures)</c:v>
                </c:pt>
              </c:strCache>
            </c:strRef>
          </c:tx>
          <c:spPr>
            <a:ln w="19050">
              <a:solidFill>
                <a:srgbClr val="BD1B21"/>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3'!$I$32:$I$44</c:f>
              <c:numCache>
                <c:formatCode>0.0</c:formatCode>
                <c:ptCount val="13"/>
                <c:pt idx="0">
                  <c:v>25.43</c:v>
                </c:pt>
                <c:pt idx="1">
                  <c:v>31.61000000000001</c:v>
                </c:pt>
                <c:pt idx="2">
                  <c:v>34.130000000000003</c:v>
                </c:pt>
                <c:pt idx="3">
                  <c:v>37.64</c:v>
                </c:pt>
                <c:pt idx="4">
                  <c:v>44.46</c:v>
                </c:pt>
                <c:pt idx="5">
                  <c:v>35.839999999999996</c:v>
                </c:pt>
                <c:pt idx="6">
                  <c:v>45.120000000000012</c:v>
                </c:pt>
                <c:pt idx="7">
                  <c:v>41.400000000000006</c:v>
                </c:pt>
                <c:pt idx="8">
                  <c:v>50.89</c:v>
                </c:pt>
                <c:pt idx="9">
                  <c:v>48.49</c:v>
                </c:pt>
                <c:pt idx="10">
                  <c:v>45.28</c:v>
                </c:pt>
                <c:pt idx="11">
                  <c:v>40.65</c:v>
                </c:pt>
                <c:pt idx="12">
                  <c:v>39.77000000000001</c:v>
                </c:pt>
              </c:numCache>
            </c:numRef>
          </c:val>
        </c:ser>
        <c:ser>
          <c:idx val="2"/>
          <c:order val="4"/>
          <c:tx>
            <c:strRef>
              <c:f>'Státní rozpočet 3'!$D$31</c:f>
              <c:strCache>
                <c:ptCount val="1"/>
                <c:pt idx="0">
                  <c:v>Unemployment benefits</c:v>
                </c:pt>
              </c:strCache>
            </c:strRef>
          </c:tx>
          <c:spPr>
            <a:ln w="19050">
              <a:solidFill>
                <a:srgbClr val="0071BC"/>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3'!$D$32:$D$44</c:f>
              <c:numCache>
                <c:formatCode>0.0</c:formatCode>
                <c:ptCount val="13"/>
                <c:pt idx="0">
                  <c:v>7.1099999999999985</c:v>
                </c:pt>
                <c:pt idx="1">
                  <c:v>7.3599999999999985</c:v>
                </c:pt>
                <c:pt idx="2">
                  <c:v>7.24</c:v>
                </c:pt>
                <c:pt idx="3">
                  <c:v>7.1099999999999985</c:v>
                </c:pt>
                <c:pt idx="4">
                  <c:v>15.078000000000001</c:v>
                </c:pt>
                <c:pt idx="5">
                  <c:v>13.355000000000006</c:v>
                </c:pt>
                <c:pt idx="6">
                  <c:v>10.349</c:v>
                </c:pt>
                <c:pt idx="7">
                  <c:v>8.76</c:v>
                </c:pt>
                <c:pt idx="8">
                  <c:v>9.65</c:v>
                </c:pt>
                <c:pt idx="9">
                  <c:v>9.2620000000000005</c:v>
                </c:pt>
                <c:pt idx="10">
                  <c:v>8.2760000000000016</c:v>
                </c:pt>
                <c:pt idx="11">
                  <c:v>8.2200000000000006</c:v>
                </c:pt>
                <c:pt idx="12">
                  <c:v>7.8199999999999985</c:v>
                </c:pt>
              </c:numCache>
            </c:numRef>
          </c:val>
        </c:ser>
        <c:ser>
          <c:idx val="3"/>
          <c:order val="5"/>
          <c:tx>
            <c:strRef>
              <c:f>'Státní rozpočet 3'!$E$31</c:f>
              <c:strCache>
                <c:ptCount val="1"/>
                <c:pt idx="0">
                  <c:v>State social support benefits**</c:v>
                </c:pt>
              </c:strCache>
            </c:strRef>
          </c:tx>
          <c:spPr>
            <a:ln w="19050">
              <a:solidFill>
                <a:srgbClr val="7030A0"/>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3'!$E$32:$E$44</c:f>
              <c:numCache>
                <c:formatCode>General</c:formatCode>
                <c:ptCount val="13"/>
                <c:pt idx="0">
                  <c:v>33.14</c:v>
                </c:pt>
                <c:pt idx="1">
                  <c:v>34.349999999999994</c:v>
                </c:pt>
                <c:pt idx="2">
                  <c:v>49.47</c:v>
                </c:pt>
                <c:pt idx="3">
                  <c:v>41.97</c:v>
                </c:pt>
                <c:pt idx="4">
                  <c:v>41.168000000000013</c:v>
                </c:pt>
                <c:pt idx="5">
                  <c:v>40.880999999999993</c:v>
                </c:pt>
                <c:pt idx="6">
                  <c:v>36.094000000000001</c:v>
                </c:pt>
                <c:pt idx="7">
                  <c:v>35.553999999999995</c:v>
                </c:pt>
                <c:pt idx="8">
                  <c:v>37.423000000000002</c:v>
                </c:pt>
                <c:pt idx="9">
                  <c:v>37.544000000000004</c:v>
                </c:pt>
                <c:pt idx="10">
                  <c:v>37.65</c:v>
                </c:pt>
                <c:pt idx="11">
                  <c:v>37.78</c:v>
                </c:pt>
                <c:pt idx="12">
                  <c:v>37.290000000000013</c:v>
                </c:pt>
              </c:numCache>
            </c:numRef>
          </c:val>
        </c:ser>
        <c:ser>
          <c:idx val="4"/>
          <c:order val="6"/>
          <c:tx>
            <c:strRef>
              <c:f>'Státní rozpočet 3'!$F$31</c:f>
              <c:strCache>
                <c:ptCount val="1"/>
                <c:pt idx="0">
                  <c:v>Sickness benefits</c:v>
                </c:pt>
              </c:strCache>
            </c:strRef>
          </c:tx>
          <c:spPr>
            <a:ln w="19050">
              <a:solidFill>
                <a:srgbClr val="7DBB2D"/>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3'!$F$32:$F$44</c:f>
              <c:numCache>
                <c:formatCode>0.00</c:formatCode>
                <c:ptCount val="13"/>
                <c:pt idx="0">
                  <c:v>31.66</c:v>
                </c:pt>
                <c:pt idx="1">
                  <c:v>32.773000000000003</c:v>
                </c:pt>
                <c:pt idx="2">
                  <c:v>34.671000000000006</c:v>
                </c:pt>
                <c:pt idx="3">
                  <c:v>31.881999999999991</c:v>
                </c:pt>
                <c:pt idx="4">
                  <c:v>26.233000000000001</c:v>
                </c:pt>
                <c:pt idx="5">
                  <c:v>22.995999999999984</c:v>
                </c:pt>
                <c:pt idx="6">
                  <c:v>21.734000000000005</c:v>
                </c:pt>
                <c:pt idx="7">
                  <c:v>19.602</c:v>
                </c:pt>
                <c:pt idx="8">
                  <c:v>20.350000000000001</c:v>
                </c:pt>
                <c:pt idx="9">
                  <c:v>22.282999999999983</c:v>
                </c:pt>
                <c:pt idx="10">
                  <c:v>24.310000000000009</c:v>
                </c:pt>
                <c:pt idx="11">
                  <c:v>26.5</c:v>
                </c:pt>
                <c:pt idx="12">
                  <c:v>28.57</c:v>
                </c:pt>
              </c:numCache>
            </c:numRef>
          </c:val>
        </c:ser>
        <c:ser>
          <c:idx val="5"/>
          <c:order val="7"/>
          <c:tx>
            <c:strRef>
              <c:f>'Státní rozpočet 3'!$G$31</c:f>
              <c:strCache>
                <c:ptCount val="1"/>
                <c:pt idx="0">
                  <c:v>Social care benefits***</c:v>
                </c:pt>
              </c:strCache>
            </c:strRef>
          </c:tx>
          <c:spPr>
            <a:ln w="19050">
              <a:solidFill>
                <a:srgbClr val="48AEE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3'!$G$32:$G$44</c:f>
              <c:numCache>
                <c:formatCode>General</c:formatCode>
                <c:ptCount val="13"/>
                <c:pt idx="2" formatCode="0.00">
                  <c:v>20.811000000000011</c:v>
                </c:pt>
                <c:pt idx="3" formatCode="0.00">
                  <c:v>23.542000000000002</c:v>
                </c:pt>
                <c:pt idx="4" formatCode="0.00">
                  <c:v>24.256</c:v>
                </c:pt>
                <c:pt idx="5" formatCode="0.00">
                  <c:v>25.292000000000002</c:v>
                </c:pt>
                <c:pt idx="6" formatCode="0.00">
                  <c:v>24.966999999999985</c:v>
                </c:pt>
                <c:pt idx="7" formatCode="0.00">
                  <c:v>27.695499999999988</c:v>
                </c:pt>
                <c:pt idx="8" formatCode="0.00">
                  <c:v>31.978999999999989</c:v>
                </c:pt>
                <c:pt idx="9" formatCode="0.00">
                  <c:v>33.622000000000021</c:v>
                </c:pt>
                <c:pt idx="10" formatCode="0.00">
                  <c:v>33.621000000000002</c:v>
                </c:pt>
                <c:pt idx="11" formatCode="0.00">
                  <c:v>34.295000000000023</c:v>
                </c:pt>
                <c:pt idx="12" formatCode="0.00">
                  <c:v>34.439</c:v>
                </c:pt>
              </c:numCache>
            </c:numRef>
          </c:val>
        </c:ser>
        <c:ser>
          <c:idx val="8"/>
          <c:order val="8"/>
          <c:tx>
            <c:strRef>
              <c:f>'Státní rozpočet 3'!$J$31</c:f>
              <c:strCache>
                <c:ptCount val="1"/>
                <c:pt idx="0">
                  <c:v>Capital expenditures</c:v>
                </c:pt>
              </c:strCache>
            </c:strRef>
          </c:tx>
          <c:spPr>
            <a:ln w="19050">
              <a:solidFill>
                <a:schemeClr val="tx1">
                  <a:lumMod val="95000"/>
                  <a:lumOff val="5000"/>
                </a:schemeClr>
              </a:solidFill>
              <a:prstDash val="sysDash"/>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3'!$J$32:$J$44</c:f>
              <c:numCache>
                <c:formatCode>0.0</c:formatCode>
                <c:ptCount val="13"/>
                <c:pt idx="0">
                  <c:v>81.990000000000023</c:v>
                </c:pt>
                <c:pt idx="1">
                  <c:v>108.54</c:v>
                </c:pt>
                <c:pt idx="2">
                  <c:v>118.42</c:v>
                </c:pt>
                <c:pt idx="3">
                  <c:v>108.08</c:v>
                </c:pt>
                <c:pt idx="4">
                  <c:v>134.22999999999999</c:v>
                </c:pt>
                <c:pt idx="5">
                  <c:v>134.91</c:v>
                </c:pt>
                <c:pt idx="6">
                  <c:v>123.69</c:v>
                </c:pt>
                <c:pt idx="7">
                  <c:v>113.61999999999999</c:v>
                </c:pt>
                <c:pt idx="8">
                  <c:v>102.315</c:v>
                </c:pt>
                <c:pt idx="9">
                  <c:v>111.50700000000002</c:v>
                </c:pt>
                <c:pt idx="10">
                  <c:v>175.66</c:v>
                </c:pt>
                <c:pt idx="11">
                  <c:v>84.27</c:v>
                </c:pt>
                <c:pt idx="12">
                  <c:v>81.64</c:v>
                </c:pt>
              </c:numCache>
            </c:numRef>
          </c:val>
        </c:ser>
        <c:marker val="1"/>
        <c:axId val="157316992"/>
        <c:axId val="157318528"/>
      </c:lineChart>
      <c:catAx>
        <c:axId val="157316992"/>
        <c:scaling>
          <c:orientation val="minMax"/>
        </c:scaling>
        <c:axPos val="b"/>
        <c:numFmt formatCode="General" sourceLinked="1"/>
        <c:tickLblPos val="low"/>
        <c:spPr>
          <a:ln>
            <a:solidFill>
              <a:schemeClr val="bg1">
                <a:lumMod val="50000"/>
              </a:schemeClr>
            </a:solidFill>
          </a:ln>
        </c:spPr>
        <c:crossAx val="157318528"/>
        <c:crosses val="autoZero"/>
        <c:auto val="1"/>
        <c:lblAlgn val="ctr"/>
        <c:lblOffset val="20"/>
      </c:catAx>
      <c:valAx>
        <c:axId val="157318528"/>
        <c:scaling>
          <c:orientation val="minMax"/>
          <c:max val="180"/>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57316992"/>
        <c:crosses val="autoZero"/>
        <c:crossBetween val="between"/>
        <c:majorUnit val="10"/>
      </c:valAx>
      <c:valAx>
        <c:axId val="157336704"/>
        <c:scaling>
          <c:orientation val="minMax"/>
          <c:max val="1300"/>
          <c:min val="0"/>
        </c:scaling>
        <c:axPos val="r"/>
        <c:numFmt formatCode="0" sourceLinked="0"/>
        <c:tickLblPos val="nextTo"/>
        <c:spPr>
          <a:ln>
            <a:solidFill>
              <a:schemeClr val="tx1"/>
            </a:solidFill>
          </a:ln>
        </c:spPr>
        <c:crossAx val="157338240"/>
        <c:crosses val="max"/>
        <c:crossBetween val="between"/>
        <c:majorUnit val="100"/>
      </c:valAx>
      <c:catAx>
        <c:axId val="157338240"/>
        <c:scaling>
          <c:orientation val="minMax"/>
        </c:scaling>
        <c:delete val="1"/>
        <c:axPos val="b"/>
        <c:numFmt formatCode="General" sourceLinked="1"/>
        <c:tickLblPos val="none"/>
        <c:crossAx val="157336704"/>
        <c:crosses val="autoZero"/>
        <c:auto val="1"/>
        <c:lblAlgn val="ctr"/>
        <c:lblOffset val="100"/>
      </c:catAx>
      <c:spPr>
        <a:ln>
          <a:solidFill>
            <a:schemeClr val="tx1"/>
          </a:solidFill>
        </a:ln>
      </c:spPr>
    </c:plotArea>
    <c:legend>
      <c:legendPos val="b"/>
      <c:layout>
        <c:manualLayout>
          <c:xMode val="edge"/>
          <c:yMode val="edge"/>
          <c:x val="5.5741128971108313E-2"/>
          <c:y val="0.82679736838094697"/>
          <c:w val="0.87022442515825205"/>
          <c:h val="0.1642642943643168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Final consumption expenditure of households (inc. non-profit inst.)</c:v>
                </c:pt>
              </c:strCache>
            </c:strRef>
          </c:tx>
          <c:spPr>
            <a:solidFill>
              <a:srgbClr val="0071BC"/>
            </a:solidFill>
            <a:ln>
              <a:noFill/>
            </a:ln>
          </c:spPr>
          <c:val>
            <c:numRef>
              <c:f>'souhrnná výkonnost 3'!$D$10:$D$29</c:f>
              <c:numCache>
                <c:formatCode>#,##0.0</c:formatCode>
                <c:ptCount val="20"/>
                <c:pt idx="0">
                  <c:v>0.40597446298276779</c:v>
                </c:pt>
                <c:pt idx="1">
                  <c:v>0.39628462481417653</c:v>
                </c:pt>
                <c:pt idx="2">
                  <c:v>0.10072438430113144</c:v>
                </c:pt>
                <c:pt idx="3">
                  <c:v>-0.14406158457489268</c:v>
                </c:pt>
                <c:pt idx="4">
                  <c:v>-0.34191248336467617</c:v>
                </c:pt>
                <c:pt idx="5">
                  <c:v>9.7003151816959683E-3</c:v>
                </c:pt>
                <c:pt idx="6">
                  <c:v>0.6425253696896851</c:v>
                </c:pt>
                <c:pt idx="7">
                  <c:v>1.1251665920999601</c:v>
                </c:pt>
                <c:pt idx="8">
                  <c:v>0.95996723394403682</c:v>
                </c:pt>
                <c:pt idx="9">
                  <c:v>0.88418646707186299</c:v>
                </c:pt>
                <c:pt idx="10">
                  <c:v>0.95576447741813531</c:v>
                </c:pt>
                <c:pt idx="11">
                  <c:v>1.1866830908443908</c:v>
                </c:pt>
                <c:pt idx="12">
                  <c:v>1.122020889517066</c:v>
                </c:pt>
                <c:pt idx="13">
                  <c:v>1.2236602908141563</c:v>
                </c:pt>
                <c:pt idx="14">
                  <c:v>1.3569551772034671</c:v>
                </c:pt>
                <c:pt idx="15">
                  <c:v>1.1073481536560261</c:v>
                </c:pt>
                <c:pt idx="16">
                  <c:v>1.2033359007134954</c:v>
                </c:pt>
                <c:pt idx="17">
                  <c:v>1.5212657302113635</c:v>
                </c:pt>
                <c:pt idx="18">
                  <c:v>1.4525415814090294</c:v>
                </c:pt>
                <c:pt idx="19">
                  <c:v>1.3464774597454923</c:v>
                </c:pt>
              </c:numCache>
            </c:numRef>
          </c:val>
        </c:ser>
        <c:ser>
          <c:idx val="4"/>
          <c:order val="2"/>
          <c:tx>
            <c:strRef>
              <c:f>'souhrnná výkonnost 3'!$E$5</c:f>
              <c:strCache>
                <c:ptCount val="1"/>
                <c:pt idx="0">
                  <c:v>Final consumption expenditure of government institutions</c:v>
                </c:pt>
              </c:strCache>
            </c:strRef>
          </c:tx>
          <c:spPr>
            <a:solidFill>
              <a:srgbClr val="A6CDE8"/>
            </a:solidFill>
            <a:ln>
              <a:noFill/>
            </a:ln>
          </c:spPr>
          <c:val>
            <c:numRef>
              <c:f>'souhrnná výkonnost 3'!$E$10:$E$29</c:f>
              <c:numCache>
                <c:formatCode>#,##0.0</c:formatCode>
                <c:ptCount val="20"/>
                <c:pt idx="0">
                  <c:v>0.29182349651824102</c:v>
                </c:pt>
                <c:pt idx="1">
                  <c:v>0.39883827436684943</c:v>
                </c:pt>
                <c:pt idx="2">
                  <c:v>0.61835595894915063</c:v>
                </c:pt>
                <c:pt idx="3">
                  <c:v>0.49997414143888341</c:v>
                </c:pt>
                <c:pt idx="4">
                  <c:v>0.24721971722961228</c:v>
                </c:pt>
                <c:pt idx="5">
                  <c:v>0.35050457281023073</c:v>
                </c:pt>
                <c:pt idx="6">
                  <c:v>8.4527068204702488E-2</c:v>
                </c:pt>
                <c:pt idx="7">
                  <c:v>0.28017686102842704</c:v>
                </c:pt>
                <c:pt idx="8">
                  <c:v>0.38356988684026694</c:v>
                </c:pt>
                <c:pt idx="9">
                  <c:v>0.38665907102931563</c:v>
                </c:pt>
                <c:pt idx="10">
                  <c:v>0.60627256929248252</c:v>
                </c:pt>
                <c:pt idx="11">
                  <c:v>0.5639728704360647</c:v>
                </c:pt>
                <c:pt idx="12">
                  <c:v>0.33602278185610379</c:v>
                </c:pt>
                <c:pt idx="13">
                  <c:v>0.41149254163913818</c:v>
                </c:pt>
                <c:pt idx="14">
                  <c:v>0.34012918105702811</c:v>
                </c:pt>
                <c:pt idx="15">
                  <c:v>0.38626077717024176</c:v>
                </c:pt>
                <c:pt idx="16">
                  <c:v>0.47213665517492381</c:v>
                </c:pt>
                <c:pt idx="17">
                  <c:v>0.29799537695934825</c:v>
                </c:pt>
                <c:pt idx="18">
                  <c:v>0.22245730570723382</c:v>
                </c:pt>
                <c:pt idx="19">
                  <c:v>0.18902058446901696</c:v>
                </c:pt>
              </c:numCache>
            </c:numRef>
          </c:val>
        </c:ser>
        <c:ser>
          <c:idx val="3"/>
          <c:order val="3"/>
          <c:tx>
            <c:strRef>
              <c:f>'souhrnná výkonnost 3'!$J$5</c:f>
              <c:strCache>
                <c:ptCount val="1"/>
                <c:pt idx="0">
                  <c:v>Gross capital formation</c:v>
                </c:pt>
              </c:strCache>
            </c:strRef>
          </c:tx>
          <c:spPr>
            <a:solidFill>
              <a:srgbClr val="BD1B21"/>
            </a:solidFill>
            <a:ln>
              <a:noFill/>
            </a:ln>
          </c:spPr>
          <c:val>
            <c:numRef>
              <c:f>'souhrnná výkonnost 3'!$J$10:$J$29</c:f>
              <c:numCache>
                <c:formatCode>#,##0.0</c:formatCode>
                <c:ptCount val="20"/>
                <c:pt idx="0">
                  <c:v>-1.3565537417116746</c:v>
                </c:pt>
                <c:pt idx="1">
                  <c:v>-2.8563879245256727</c:v>
                </c:pt>
                <c:pt idx="2">
                  <c:v>-8.4138539479111193E-2</c:v>
                </c:pt>
                <c:pt idx="3">
                  <c:v>0.37621790098269442</c:v>
                </c:pt>
                <c:pt idx="4">
                  <c:v>-6.421771790176492E-2</c:v>
                </c:pt>
                <c:pt idx="5">
                  <c:v>1.7432034404711898</c:v>
                </c:pt>
                <c:pt idx="6">
                  <c:v>1.1897955210010238</c:v>
                </c:pt>
                <c:pt idx="7">
                  <c:v>0.47141627966226618</c:v>
                </c:pt>
                <c:pt idx="8">
                  <c:v>2.995551102866798</c:v>
                </c:pt>
                <c:pt idx="9">
                  <c:v>3.9932674109015083</c:v>
                </c:pt>
                <c:pt idx="10">
                  <c:v>2.7507831059265149</c:v>
                </c:pt>
                <c:pt idx="11">
                  <c:v>1.0081209599196153</c:v>
                </c:pt>
                <c:pt idx="12">
                  <c:v>1.0273007963049334</c:v>
                </c:pt>
                <c:pt idx="13">
                  <c:v>-0.96946155529155886</c:v>
                </c:pt>
                <c:pt idx="14">
                  <c:v>-0.51354041218169977</c:v>
                </c:pt>
                <c:pt idx="15">
                  <c:v>-0.21949598559678915</c:v>
                </c:pt>
                <c:pt idx="16">
                  <c:v>-0.84198786360534394</c:v>
                </c:pt>
                <c:pt idx="17">
                  <c:v>0.63212927736085689</c:v>
                </c:pt>
                <c:pt idx="18">
                  <c:v>1.7212844693219043</c:v>
                </c:pt>
                <c:pt idx="19">
                  <c:v>2.4825034735268727</c:v>
                </c:pt>
              </c:numCache>
            </c:numRef>
          </c:val>
        </c:ser>
        <c:ser>
          <c:idx val="1"/>
          <c:order val="4"/>
          <c:tx>
            <c:strRef>
              <c:f>'souhrnná výkonnost 3'!$H$5</c:f>
              <c:strCache>
                <c:ptCount val="1"/>
                <c:pt idx="0">
                  <c:v>Foreign trade balance</c:v>
                </c:pt>
              </c:strCache>
            </c:strRef>
          </c:tx>
          <c:spPr>
            <a:solidFill>
              <a:srgbClr val="7DBB2D"/>
            </a:solidFill>
            <a:ln>
              <a:noFill/>
            </a:ln>
          </c:spPr>
          <c:val>
            <c:numRef>
              <c:f>'souhrnná výkonnost 3'!$H$10:$H$29</c:f>
              <c:numCache>
                <c:formatCode>#,##0.0</c:formatCode>
                <c:ptCount val="20"/>
                <c:pt idx="0">
                  <c:v>-1.1212539863066808</c:v>
                </c:pt>
                <c:pt idx="1">
                  <c:v>0.92540979141000812</c:v>
                </c:pt>
                <c:pt idx="2">
                  <c:v>-1.0354498395259251</c:v>
                </c:pt>
                <c:pt idx="3">
                  <c:v>0.55721289260918017</c:v>
                </c:pt>
                <c:pt idx="4">
                  <c:v>1.8104123228453386</c:v>
                </c:pt>
                <c:pt idx="5">
                  <c:v>0.25472480422095301</c:v>
                </c:pt>
                <c:pt idx="6">
                  <c:v>1.4702269856408019</c:v>
                </c:pt>
                <c:pt idx="7">
                  <c:v>1.4755441754070078</c:v>
                </c:pt>
                <c:pt idx="8">
                  <c:v>0.87270670480565737</c:v>
                </c:pt>
                <c:pt idx="9">
                  <c:v>0.56954370937031307</c:v>
                </c:pt>
                <c:pt idx="10">
                  <c:v>1.4131260319789174</c:v>
                </c:pt>
                <c:pt idx="11">
                  <c:v>2.1455063702622859</c:v>
                </c:pt>
                <c:pt idx="12">
                  <c:v>1.0557410423051237</c:v>
                </c:pt>
                <c:pt idx="13">
                  <c:v>2.1496812176393978</c:v>
                </c:pt>
                <c:pt idx="14">
                  <c:v>0.65095065525561613</c:v>
                </c:pt>
                <c:pt idx="15">
                  <c:v>0.49407696770870069</c:v>
                </c:pt>
                <c:pt idx="16">
                  <c:v>2.1199424655121817</c:v>
                </c:pt>
                <c:pt idx="17">
                  <c:v>2.1610214378480004</c:v>
                </c:pt>
                <c:pt idx="18">
                  <c:v>1.6890565350750191</c:v>
                </c:pt>
                <c:pt idx="19">
                  <c:v>1.1657793622517323</c:v>
                </c:pt>
              </c:numCache>
            </c:numRef>
          </c:val>
        </c:ser>
        <c:gapWidth val="40"/>
        <c:overlap val="100"/>
        <c:axId val="154159744"/>
        <c:axId val="154166784"/>
      </c:barChart>
      <c:lineChart>
        <c:grouping val="standard"/>
        <c:ser>
          <c:idx val="0"/>
          <c:order val="0"/>
          <c:tx>
            <c:strRef>
              <c:f>'souhrnná výkonnost 3'!$C$5</c:f>
              <c:strCache>
                <c:ptCount val="1"/>
                <c:pt idx="0">
                  <c:v>GDP</c:v>
                </c:pt>
              </c:strCache>
            </c:strRef>
          </c:tx>
          <c:spPr>
            <a:ln>
              <a:solidFill>
                <a:prstClr val="black"/>
              </a:solidFill>
            </a:ln>
          </c:spPr>
          <c:marker>
            <c:symbol val="none"/>
          </c:marker>
          <c:cat>
            <c:multiLvlStrRef>
              <c:f>'souhrnná výkonnost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3'!$C$10:$C$29</c:f>
              <c:numCache>
                <c:formatCode>#,##0.0</c:formatCode>
                <c:ptCount val="20"/>
                <c:pt idx="0">
                  <c:v>-1.7511683134985219</c:v>
                </c:pt>
                <c:pt idx="1">
                  <c:v>-1.1225511599608577</c:v>
                </c:pt>
                <c:pt idx="2">
                  <c:v>-0.3518733567189688</c:v>
                </c:pt>
                <c:pt idx="3">
                  <c:v>1.3064560933108733</c:v>
                </c:pt>
                <c:pt idx="4">
                  <c:v>1.6429317745401153</c:v>
                </c:pt>
                <c:pt idx="5">
                  <c:v>2.3799514502212578</c:v>
                </c:pt>
                <c:pt idx="6">
                  <c:v>3.4229941989101591</c:v>
                </c:pt>
                <c:pt idx="7">
                  <c:v>3.3996850847558306</c:v>
                </c:pt>
                <c:pt idx="8">
                  <c:v>5.1924491451289025</c:v>
                </c:pt>
                <c:pt idx="9">
                  <c:v>5.7975987955825836</c:v>
                </c:pt>
                <c:pt idx="10">
                  <c:v>5.6880052521313935</c:v>
                </c:pt>
                <c:pt idx="11">
                  <c:v>4.880725514351437</c:v>
                </c:pt>
                <c:pt idx="12">
                  <c:v>3.5408169174491047</c:v>
                </c:pt>
                <c:pt idx="13">
                  <c:v>2.8477395147454398</c:v>
                </c:pt>
                <c:pt idx="14">
                  <c:v>1.843939906776336</c:v>
                </c:pt>
                <c:pt idx="15">
                  <c:v>1.765441823480645</c:v>
                </c:pt>
                <c:pt idx="16">
                  <c:v>2.9941522181081437</c:v>
                </c:pt>
                <c:pt idx="17">
                  <c:v>4.6377181743372642</c:v>
                </c:pt>
                <c:pt idx="18">
                  <c:v>5.1185945537624216</c:v>
                </c:pt>
                <c:pt idx="19">
                  <c:v>5.2033349062953755</c:v>
                </c:pt>
              </c:numCache>
            </c:numRef>
          </c:val>
        </c:ser>
        <c:marker val="1"/>
        <c:axId val="154159744"/>
        <c:axId val="154166784"/>
      </c:lineChart>
      <c:catAx>
        <c:axId val="154159744"/>
        <c:scaling>
          <c:orientation val="minMax"/>
        </c:scaling>
        <c:axPos val="b"/>
        <c:tickLblPos val="low"/>
        <c:spPr>
          <a:ln>
            <a:solidFill>
              <a:schemeClr val="tx1"/>
            </a:solidFill>
          </a:ln>
        </c:spPr>
        <c:txPr>
          <a:bodyPr rot="0" vert="horz"/>
          <a:lstStyle/>
          <a:p>
            <a:pPr>
              <a:defRPr/>
            </a:pPr>
            <a:endParaRPr lang="cs-CZ"/>
          </a:p>
        </c:txPr>
        <c:crossAx val="154166784"/>
        <c:crosses val="autoZero"/>
        <c:auto val="1"/>
        <c:lblAlgn val="ctr"/>
        <c:lblOffset val="100"/>
      </c:catAx>
      <c:valAx>
        <c:axId val="154166784"/>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5415974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40403534680884E-2"/>
          <c:y val="3.7154479717354444E-2"/>
          <c:w val="0.93674937195830443"/>
          <c:h val="0.63445260610154264"/>
        </c:manualLayout>
      </c:layout>
      <c:barChart>
        <c:barDir val="col"/>
        <c:grouping val="stacked"/>
        <c:ser>
          <c:idx val="4"/>
          <c:order val="0"/>
          <c:tx>
            <c:strRef>
              <c:f>'souhrnná výkonnost 4'!$C$5</c:f>
              <c:strCache>
                <c:ptCount val="1"/>
                <c:pt idx="0">
                  <c:v>Agriculture, forestry and fishing</c:v>
                </c:pt>
              </c:strCache>
            </c:strRef>
          </c:tx>
          <c:spPr>
            <a:solidFill>
              <a:srgbClr val="0071BC"/>
            </a:solidFill>
            <a:ln>
              <a:noFill/>
            </a:ln>
          </c:spPr>
          <c:val>
            <c:numRef>
              <c:f>'souhrnná výkonnost 4'!$C$10:$C$29</c:f>
              <c:numCache>
                <c:formatCode>#,##0.0</c:formatCode>
                <c:ptCount val="20"/>
                <c:pt idx="0">
                  <c:v>-4.4699648816173963E-2</c:v>
                </c:pt>
                <c:pt idx="1">
                  <c:v>-0.11466415714156006</c:v>
                </c:pt>
                <c:pt idx="2">
                  <c:v>-8.9941431175314654E-2</c:v>
                </c:pt>
                <c:pt idx="3">
                  <c:v>-6.1245633202245478E-3</c:v>
                </c:pt>
                <c:pt idx="4">
                  <c:v>9.4408798336974964E-2</c:v>
                </c:pt>
                <c:pt idx="5">
                  <c:v>0.23066751983404632</c:v>
                </c:pt>
                <c:pt idx="6">
                  <c:v>0.28225200568902681</c:v>
                </c:pt>
                <c:pt idx="7">
                  <c:v>0.25875789622783918</c:v>
                </c:pt>
                <c:pt idx="8">
                  <c:v>0.23202547241325647</c:v>
                </c:pt>
                <c:pt idx="9">
                  <c:v>0.1519285796170429</c:v>
                </c:pt>
                <c:pt idx="10">
                  <c:v>0.12094967534777865</c:v>
                </c:pt>
                <c:pt idx="11">
                  <c:v>0.10040143726492615</c:v>
                </c:pt>
                <c:pt idx="12">
                  <c:v>0.13957559104473763</c:v>
                </c:pt>
                <c:pt idx="13">
                  <c:v>0.21132726920557363</c:v>
                </c:pt>
                <c:pt idx="14">
                  <c:v>0.25387931030712041</c:v>
                </c:pt>
                <c:pt idx="15">
                  <c:v>0.31886734542080386</c:v>
                </c:pt>
                <c:pt idx="16">
                  <c:v>0.22546241575801171</c:v>
                </c:pt>
                <c:pt idx="17">
                  <c:v>0.15088911683333633</c:v>
                </c:pt>
                <c:pt idx="18">
                  <c:v>7.3981110548603179E-2</c:v>
                </c:pt>
                <c:pt idx="19">
                  <c:v>1.4293298094048838E-2</c:v>
                </c:pt>
              </c:numCache>
            </c:numRef>
          </c:val>
        </c:ser>
        <c:ser>
          <c:idx val="3"/>
          <c:order val="1"/>
          <c:tx>
            <c:strRef>
              <c:f>'souhrnná výkonnost 4'!$D$5</c:f>
              <c:strCache>
                <c:ptCount val="1"/>
                <c:pt idx="0">
                  <c:v>Manufacturing (CZ-NACE C)</c:v>
                </c:pt>
              </c:strCache>
            </c:strRef>
          </c:tx>
          <c:spPr>
            <a:solidFill>
              <a:srgbClr val="A6CDE8"/>
            </a:solidFill>
            <a:ln>
              <a:noFill/>
            </a:ln>
          </c:spPr>
          <c:val>
            <c:numRef>
              <c:f>'souhrnná výkonnost 4'!$D$10:$D$29</c:f>
              <c:numCache>
                <c:formatCode>#,##0.0</c:formatCode>
                <c:ptCount val="20"/>
                <c:pt idx="0">
                  <c:v>-0.80190174195229758</c:v>
                </c:pt>
                <c:pt idx="1">
                  <c:v>-0.63316913532183261</c:v>
                </c:pt>
                <c:pt idx="2">
                  <c:v>-0.65799971762020226</c:v>
                </c:pt>
                <c:pt idx="3">
                  <c:v>-0.58767125058761094</c:v>
                </c:pt>
                <c:pt idx="4">
                  <c:v>0.42669631687426263</c:v>
                </c:pt>
                <c:pt idx="5">
                  <c:v>1.178814359711716</c:v>
                </c:pt>
                <c:pt idx="6">
                  <c:v>1.9647162979641084</c:v>
                </c:pt>
                <c:pt idx="7">
                  <c:v>2.5539363152168306</c:v>
                </c:pt>
                <c:pt idx="8">
                  <c:v>2.1478703755568072</c:v>
                </c:pt>
                <c:pt idx="9">
                  <c:v>1.6166800300274804</c:v>
                </c:pt>
                <c:pt idx="10">
                  <c:v>1.4270095405518384</c:v>
                </c:pt>
                <c:pt idx="11">
                  <c:v>0.65863363852355927</c:v>
                </c:pt>
                <c:pt idx="12">
                  <c:v>1.1730324306135258</c:v>
                </c:pt>
                <c:pt idx="13">
                  <c:v>1.8409531560333301</c:v>
                </c:pt>
                <c:pt idx="14">
                  <c:v>1.8950378832938781</c:v>
                </c:pt>
                <c:pt idx="15">
                  <c:v>2.249694991538397</c:v>
                </c:pt>
                <c:pt idx="16">
                  <c:v>1.8803316141150999</c:v>
                </c:pt>
                <c:pt idx="17">
                  <c:v>2.1182989480673529</c:v>
                </c:pt>
                <c:pt idx="18">
                  <c:v>2.1573007701652602</c:v>
                </c:pt>
                <c:pt idx="19">
                  <c:v>2.0433612402886694</c:v>
                </c:pt>
              </c:numCache>
            </c:numRef>
          </c:val>
        </c:ser>
        <c:ser>
          <c:idx val="2"/>
          <c:order val="2"/>
          <c:tx>
            <c:strRef>
              <c:f>'souhrnná výkonnost 4'!$E$5</c:f>
              <c:strCache>
                <c:ptCount val="1"/>
                <c:pt idx="0">
                  <c:v>Other industrial branches (CZ-NACE B,D,E)</c:v>
                </c:pt>
              </c:strCache>
            </c:strRef>
          </c:tx>
          <c:spPr>
            <a:solidFill>
              <a:srgbClr val="BD1B21"/>
            </a:solidFill>
            <a:ln>
              <a:noFill/>
            </a:ln>
          </c:spPr>
          <c:val>
            <c:numRef>
              <c:f>'souhrnná výkonnost 4'!$E$10:$E$29</c:f>
              <c:numCache>
                <c:formatCode>0.0</c:formatCode>
                <c:ptCount val="20"/>
                <c:pt idx="0">
                  <c:v>-0.99676396653493249</c:v>
                </c:pt>
                <c:pt idx="1">
                  <c:v>-0.99862189727617912</c:v>
                </c:pt>
                <c:pt idx="2">
                  <c:v>-0.64102712488527125</c:v>
                </c:pt>
                <c:pt idx="3">
                  <c:v>-0.2376831237571034</c:v>
                </c:pt>
                <c:pt idx="4">
                  <c:v>0.34101321981670818</c:v>
                </c:pt>
                <c:pt idx="5">
                  <c:v>0.10905314809036515</c:v>
                </c:pt>
                <c:pt idx="6">
                  <c:v>-0.12299518913780627</c:v>
                </c:pt>
                <c:pt idx="7">
                  <c:v>-0.11606163720933306</c:v>
                </c:pt>
                <c:pt idx="8">
                  <c:v>-0.13641374514700336</c:v>
                </c:pt>
                <c:pt idx="9">
                  <c:v>2.6994603690324401E-2</c:v>
                </c:pt>
                <c:pt idx="10">
                  <c:v>-2.4696121131873472E-2</c:v>
                </c:pt>
                <c:pt idx="11">
                  <c:v>-8.1123422474820683E-2</c:v>
                </c:pt>
                <c:pt idx="12">
                  <c:v>-0.25523928298471665</c:v>
                </c:pt>
                <c:pt idx="13">
                  <c:v>-0.25608606894098351</c:v>
                </c:pt>
                <c:pt idx="14">
                  <c:v>-0.25707511147730044</c:v>
                </c:pt>
                <c:pt idx="15">
                  <c:v>-0.26726875277732276</c:v>
                </c:pt>
                <c:pt idx="16">
                  <c:v>0.10746003681127694</c:v>
                </c:pt>
                <c:pt idx="17">
                  <c:v>-3.0739318352514269E-2</c:v>
                </c:pt>
                <c:pt idx="18" formatCode="General">
                  <c:v>0.32232468270919795</c:v>
                </c:pt>
                <c:pt idx="19" formatCode="General">
                  <c:v>0.39745451648189795</c:v>
                </c:pt>
              </c:numCache>
            </c:numRef>
          </c:val>
        </c:ser>
        <c:ser>
          <c:idx val="1"/>
          <c:order val="3"/>
          <c:tx>
            <c:strRef>
              <c:f>'souhrnná výkonnost 4'!$F$5</c:f>
              <c:strCache>
                <c:ptCount val="1"/>
                <c:pt idx="0">
                  <c:v>Construction</c:v>
                </c:pt>
              </c:strCache>
            </c:strRef>
          </c:tx>
          <c:spPr>
            <a:solidFill>
              <a:srgbClr val="E8AFB2"/>
            </a:solidFill>
            <a:ln>
              <a:noFill/>
            </a:ln>
          </c:spPr>
          <c:val>
            <c:numRef>
              <c:f>'souhrnná výkonnost 4'!$F$10:$F$29</c:f>
              <c:numCache>
                <c:formatCode>#,##0.0</c:formatCode>
                <c:ptCount val="20"/>
                <c:pt idx="0">
                  <c:v>-9.7833498488409248E-2</c:v>
                </c:pt>
                <c:pt idx="1">
                  <c:v>7.0101451917918153E-2</c:v>
                </c:pt>
                <c:pt idx="2">
                  <c:v>0.14066955556231145</c:v>
                </c:pt>
                <c:pt idx="3">
                  <c:v>0.16590826997768471</c:v>
                </c:pt>
                <c:pt idx="4">
                  <c:v>0.20380087901239571</c:v>
                </c:pt>
                <c:pt idx="5">
                  <c:v>7.707944200185142E-2</c:v>
                </c:pt>
                <c:pt idx="6">
                  <c:v>3.6125144783951582E-2</c:v>
                </c:pt>
                <c:pt idx="7">
                  <c:v>0.13861192388176091</c:v>
                </c:pt>
                <c:pt idx="8">
                  <c:v>0.1004407238403428</c:v>
                </c:pt>
                <c:pt idx="9">
                  <c:v>0.26610784775566931</c:v>
                </c:pt>
                <c:pt idx="10">
                  <c:v>0.35569158305836607</c:v>
                </c:pt>
                <c:pt idx="11">
                  <c:v>0.16508861905557687</c:v>
                </c:pt>
                <c:pt idx="12">
                  <c:v>6.0176601627870301E-2</c:v>
                </c:pt>
                <c:pt idx="13">
                  <c:v>-0.13874288331323106</c:v>
                </c:pt>
                <c:pt idx="14">
                  <c:v>-0.25240045091449731</c:v>
                </c:pt>
                <c:pt idx="15">
                  <c:v>-0.22682214751648944</c:v>
                </c:pt>
                <c:pt idx="16">
                  <c:v>-7.1054531040185123E-2</c:v>
                </c:pt>
                <c:pt idx="17">
                  <c:v>0.14652667240025907</c:v>
                </c:pt>
                <c:pt idx="18">
                  <c:v>0.11119905360655896</c:v>
                </c:pt>
                <c:pt idx="19">
                  <c:v>0.11216122907512519</c:v>
                </c:pt>
              </c:numCache>
            </c:numRef>
          </c:val>
        </c:ser>
        <c:ser>
          <c:idx val="0"/>
          <c:order val="4"/>
          <c:tx>
            <c:strRef>
              <c:f>'souhrnná výkonnost 4'!$G$5</c:f>
              <c:strCache>
                <c:ptCount val="1"/>
                <c:pt idx="0">
                  <c:v>Services (CZ-NACE G až U)</c:v>
                </c:pt>
              </c:strCache>
            </c:strRef>
          </c:tx>
          <c:spPr>
            <a:solidFill>
              <a:srgbClr val="7DBB2D"/>
            </a:solidFill>
            <a:ln>
              <a:noFill/>
            </a:ln>
          </c:spPr>
          <c:val>
            <c:numRef>
              <c:f>'souhrnná výkonnost 4'!$G$10:$G$29</c:f>
              <c:numCache>
                <c:formatCode>0.0</c:formatCode>
                <c:ptCount val="20"/>
                <c:pt idx="0">
                  <c:v>0.37644839519994527</c:v>
                </c:pt>
                <c:pt idx="1">
                  <c:v>0.81261671036245109</c:v>
                </c:pt>
                <c:pt idx="2">
                  <c:v>1.0166947027297952</c:v>
                </c:pt>
                <c:pt idx="3">
                  <c:v>1.3689952261875691</c:v>
                </c:pt>
                <c:pt idx="4">
                  <c:v>1.2580269123349055</c:v>
                </c:pt>
                <c:pt idx="5">
                  <c:v>1.3856652786986978</c:v>
                </c:pt>
                <c:pt idx="6">
                  <c:v>1.6254915583254315</c:v>
                </c:pt>
                <c:pt idx="7">
                  <c:v>1.6641765372351613</c:v>
                </c:pt>
                <c:pt idx="8">
                  <c:v>2.2624440762395142</c:v>
                </c:pt>
                <c:pt idx="9">
                  <c:v>2.9696553573602107</c:v>
                </c:pt>
                <c:pt idx="10">
                  <c:v>3.3867849325780148</c:v>
                </c:pt>
                <c:pt idx="11">
                  <c:v>3.5053477898363856</c:v>
                </c:pt>
                <c:pt idx="12">
                  <c:v>2.2395224984374349</c:v>
                </c:pt>
                <c:pt idx="13">
                  <c:v>1.1310584414837408</c:v>
                </c:pt>
                <c:pt idx="14">
                  <c:v>0.12888406553309981</c:v>
                </c:pt>
                <c:pt idx="15">
                  <c:v>-0.27609394109782032</c:v>
                </c:pt>
                <c:pt idx="16">
                  <c:v>0.80118882358588006</c:v>
                </c:pt>
                <c:pt idx="17">
                  <c:v>2.1714731564025342</c:v>
                </c:pt>
                <c:pt idx="18" formatCode="General">
                  <c:v>2.577516904958391</c:v>
                </c:pt>
                <c:pt idx="19" formatCode="General">
                  <c:v>2.8454982134076379</c:v>
                </c:pt>
              </c:numCache>
            </c:numRef>
          </c:val>
        </c:ser>
        <c:gapWidth val="70"/>
        <c:overlap val="100"/>
        <c:axId val="168141568"/>
        <c:axId val="168150144"/>
      </c:barChart>
      <c:lineChart>
        <c:grouping val="standard"/>
        <c:ser>
          <c:idx val="5"/>
          <c:order val="5"/>
          <c:tx>
            <c:strRef>
              <c:f>'souhrnná výkonnost 4'!$H$5</c:f>
              <c:strCache>
                <c:ptCount val="1"/>
                <c:pt idx="0">
                  <c:v>Total gross value added</c:v>
                </c:pt>
              </c:strCache>
            </c:strRef>
          </c:tx>
          <c:spPr>
            <a:ln w="19050">
              <a:solidFill>
                <a:prstClr val="black"/>
              </a:solidFill>
            </a:ln>
          </c:spPr>
          <c:marker>
            <c:symbol val="none"/>
          </c:marker>
          <c:cat>
            <c:multiLvlStrRef>
              <c:f>'souhrnná výkonnost 4'!$A$10:$B$29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4'!$H$10:$H$29</c:f>
              <c:numCache>
                <c:formatCode>#,##0.0</c:formatCode>
                <c:ptCount val="20"/>
                <c:pt idx="0">
                  <c:v>-1.5564064599066569</c:v>
                </c:pt>
                <c:pt idx="1">
                  <c:v>-0.85476160118254663</c:v>
                </c:pt>
                <c:pt idx="2">
                  <c:v>-0.23921578851919512</c:v>
                </c:pt>
                <c:pt idx="3">
                  <c:v>0.69357314385266389</c:v>
                </c:pt>
                <c:pt idx="4">
                  <c:v>2.3418618184973092</c:v>
                </c:pt>
                <c:pt idx="5">
                  <c:v>2.9853700509145398</c:v>
                </c:pt>
                <c:pt idx="6">
                  <c:v>3.7747323841488187</c:v>
                </c:pt>
                <c:pt idx="7">
                  <c:v>4.4884230044466573</c:v>
                </c:pt>
                <c:pt idx="8">
                  <c:v>4.6030533672095215</c:v>
                </c:pt>
                <c:pt idx="9">
                  <c:v>5.0290309680465732</c:v>
                </c:pt>
                <c:pt idx="10">
                  <c:v>5.2622941596795165</c:v>
                </c:pt>
                <c:pt idx="11">
                  <c:v>4.357242052869359</c:v>
                </c:pt>
                <c:pt idx="12">
                  <c:v>3.3617514038440395</c:v>
                </c:pt>
                <c:pt idx="13">
                  <c:v>2.7921029280771741</c:v>
                </c:pt>
                <c:pt idx="14">
                  <c:v>1.7671103559341104</c:v>
                </c:pt>
                <c:pt idx="15">
                  <c:v>1.7915027023020438</c:v>
                </c:pt>
                <c:pt idx="16">
                  <c:v>2.9850934562979412</c:v>
                </c:pt>
                <c:pt idx="17">
                  <c:v>4.5669487030454166</c:v>
                </c:pt>
                <c:pt idx="18">
                  <c:v>5.2300017321239318</c:v>
                </c:pt>
                <c:pt idx="19">
                  <c:v>5.373455082647852</c:v>
                </c:pt>
              </c:numCache>
            </c:numRef>
          </c:val>
        </c:ser>
        <c:marker val="1"/>
        <c:axId val="168141568"/>
        <c:axId val="168150144"/>
      </c:lineChart>
      <c:catAx>
        <c:axId val="168141568"/>
        <c:scaling>
          <c:orientation val="minMax"/>
        </c:scaling>
        <c:axPos val="b"/>
        <c:tickLblPos val="low"/>
        <c:spPr>
          <a:ln>
            <a:solidFill>
              <a:schemeClr val="tx1"/>
            </a:solidFill>
          </a:ln>
        </c:spPr>
        <c:txPr>
          <a:bodyPr rot="0" vert="horz"/>
          <a:lstStyle/>
          <a:p>
            <a:pPr>
              <a:defRPr/>
            </a:pPr>
            <a:endParaRPr lang="cs-CZ"/>
          </a:p>
        </c:txPr>
        <c:crossAx val="168150144"/>
        <c:crosses val="autoZero"/>
        <c:auto val="1"/>
        <c:lblAlgn val="ctr"/>
        <c:lblOffset val="100"/>
      </c:catAx>
      <c:valAx>
        <c:axId val="168150144"/>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68141568"/>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501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2040029038385493E-2"/>
          <c:y val="1.951317561635256E-2"/>
          <c:w val="0.92433548575002977"/>
          <c:h val="0.75083417764269211"/>
        </c:manualLayout>
      </c:layout>
      <c:barChart>
        <c:barDir val="col"/>
        <c:grouping val="clustered"/>
        <c:ser>
          <c:idx val="0"/>
          <c:order val="0"/>
          <c:tx>
            <c:strRef>
              <c:f>'výkonnost odvětví 1'!$B$30</c:f>
              <c:strCache>
                <c:ptCount val="1"/>
                <c:pt idx="0">
                  <c:v>Industry total (B+C+D)</c:v>
                </c:pt>
              </c:strCache>
            </c:strRef>
          </c:tx>
          <c:spPr>
            <a:solidFill>
              <a:schemeClr val="bg1">
                <a:lumMod val="65000"/>
              </a:schemeClr>
            </a:solidFill>
            <a:ln w="12700">
              <a:noFill/>
              <a:prstDash val="solid"/>
            </a:ln>
          </c:spP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1'!$C$30:$AH$30</c:f>
              <c:numCache>
                <c:formatCode>#,##0.0</c:formatCode>
                <c:ptCount val="32"/>
                <c:pt idx="0">
                  <c:v>4.7</c:v>
                </c:pt>
                <c:pt idx="1">
                  <c:v>7.9</c:v>
                </c:pt>
                <c:pt idx="2">
                  <c:v>10.4</c:v>
                </c:pt>
                <c:pt idx="3">
                  <c:v>9.5</c:v>
                </c:pt>
                <c:pt idx="4">
                  <c:v>10</c:v>
                </c:pt>
                <c:pt idx="5">
                  <c:v>8.2000000000000011</c:v>
                </c:pt>
                <c:pt idx="6">
                  <c:v>2.2999999999999998</c:v>
                </c:pt>
                <c:pt idx="7">
                  <c:v>3.4</c:v>
                </c:pt>
                <c:pt idx="8">
                  <c:v>1.4</c:v>
                </c:pt>
                <c:pt idx="9">
                  <c:v>0.9</c:v>
                </c:pt>
                <c:pt idx="10">
                  <c:v>0.1</c:v>
                </c:pt>
                <c:pt idx="11">
                  <c:v>-5.2</c:v>
                </c:pt>
                <c:pt idx="12">
                  <c:v>-3.7</c:v>
                </c:pt>
                <c:pt idx="13">
                  <c:v>-2.8</c:v>
                </c:pt>
                <c:pt idx="14">
                  <c:v>0.8</c:v>
                </c:pt>
                <c:pt idx="15">
                  <c:v>6</c:v>
                </c:pt>
                <c:pt idx="16">
                  <c:v>6.9</c:v>
                </c:pt>
                <c:pt idx="17">
                  <c:v>6.1</c:v>
                </c:pt>
                <c:pt idx="18">
                  <c:v>2.8</c:v>
                </c:pt>
                <c:pt idx="19">
                  <c:v>4.0999999999999996</c:v>
                </c:pt>
                <c:pt idx="20">
                  <c:v>4.9000000000000004</c:v>
                </c:pt>
                <c:pt idx="21">
                  <c:v>5.2</c:v>
                </c:pt>
                <c:pt idx="22">
                  <c:v>6</c:v>
                </c:pt>
                <c:pt idx="23">
                  <c:v>2.2999999999999998</c:v>
                </c:pt>
                <c:pt idx="24">
                  <c:v>4.0999999999999996</c:v>
                </c:pt>
                <c:pt idx="25">
                  <c:v>2.2000000000000002</c:v>
                </c:pt>
                <c:pt idx="26">
                  <c:v>1.8</c:v>
                </c:pt>
                <c:pt idx="27">
                  <c:v>3.5</c:v>
                </c:pt>
                <c:pt idx="28">
                  <c:v>4.7</c:v>
                </c:pt>
                <c:pt idx="29">
                  <c:v>8.7000000000000011</c:v>
                </c:pt>
                <c:pt idx="30">
                  <c:v>6.7</c:v>
                </c:pt>
                <c:pt idx="31">
                  <c:v>7.6</c:v>
                </c:pt>
              </c:numCache>
            </c:numRef>
          </c:val>
        </c:ser>
        <c:gapWidth val="30"/>
        <c:axId val="125906304"/>
        <c:axId val="125986304"/>
      </c:barChart>
      <c:lineChart>
        <c:grouping val="standard"/>
        <c:ser>
          <c:idx val="3"/>
          <c:order val="1"/>
          <c:tx>
            <c:strRef>
              <c:f>'výkonnost odvětví 1'!$B$31</c:f>
              <c:strCache>
                <c:ptCount val="1"/>
                <c:pt idx="0">
                  <c:v>Food products and beverages</c:v>
                </c:pt>
              </c:strCache>
            </c:strRef>
          </c:tx>
          <c:spPr>
            <a:ln w="19050">
              <a:solidFill>
                <a:srgbClr val="7DBB2D"/>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1'!$C$31:$AH$31</c:f>
              <c:numCache>
                <c:formatCode>#,##0.0</c:formatCode>
                <c:ptCount val="32"/>
                <c:pt idx="0">
                  <c:v>-1.3</c:v>
                </c:pt>
                <c:pt idx="1">
                  <c:v>-4.5</c:v>
                </c:pt>
                <c:pt idx="2">
                  <c:v>-2.9</c:v>
                </c:pt>
                <c:pt idx="3">
                  <c:v>-4</c:v>
                </c:pt>
                <c:pt idx="4">
                  <c:v>-0.30000000000000032</c:v>
                </c:pt>
                <c:pt idx="5">
                  <c:v>-0.4</c:v>
                </c:pt>
                <c:pt idx="6">
                  <c:v>-4</c:v>
                </c:pt>
                <c:pt idx="7">
                  <c:v>-1.8</c:v>
                </c:pt>
                <c:pt idx="8">
                  <c:v>-4.3</c:v>
                </c:pt>
                <c:pt idx="9">
                  <c:v>-1</c:v>
                </c:pt>
                <c:pt idx="10">
                  <c:v>0.1</c:v>
                </c:pt>
                <c:pt idx="11">
                  <c:v>-1.9000000000000001</c:v>
                </c:pt>
                <c:pt idx="12">
                  <c:v>1.2</c:v>
                </c:pt>
                <c:pt idx="13">
                  <c:v>-1.4</c:v>
                </c:pt>
                <c:pt idx="14">
                  <c:v>-1.1000000000000001</c:v>
                </c:pt>
                <c:pt idx="15">
                  <c:v>0.9</c:v>
                </c:pt>
                <c:pt idx="16">
                  <c:v>2.2999999999999998</c:v>
                </c:pt>
                <c:pt idx="17">
                  <c:v>4.4000000000000004</c:v>
                </c:pt>
                <c:pt idx="18">
                  <c:v>0.60000000000000064</c:v>
                </c:pt>
                <c:pt idx="19">
                  <c:v>5.7</c:v>
                </c:pt>
                <c:pt idx="20">
                  <c:v>4.5</c:v>
                </c:pt>
                <c:pt idx="21">
                  <c:v>1.3</c:v>
                </c:pt>
                <c:pt idx="22">
                  <c:v>8.3000000000000007</c:v>
                </c:pt>
                <c:pt idx="23">
                  <c:v>3.9</c:v>
                </c:pt>
                <c:pt idx="24">
                  <c:v>-0.5</c:v>
                </c:pt>
                <c:pt idx="25">
                  <c:v>0.5</c:v>
                </c:pt>
                <c:pt idx="26">
                  <c:v>0.60000000000000064</c:v>
                </c:pt>
                <c:pt idx="27">
                  <c:v>-1.7</c:v>
                </c:pt>
                <c:pt idx="28">
                  <c:v>3</c:v>
                </c:pt>
                <c:pt idx="29">
                  <c:v>5.2</c:v>
                </c:pt>
                <c:pt idx="30">
                  <c:v>-0.70000000000000062</c:v>
                </c:pt>
                <c:pt idx="31">
                  <c:v>2.2000000000000002</c:v>
                </c:pt>
              </c:numCache>
            </c:numRef>
          </c:val>
        </c:ser>
        <c:ser>
          <c:idx val="1"/>
          <c:order val="2"/>
          <c:tx>
            <c:strRef>
              <c:f>'výkonnost odvětví 1'!$B$32</c:f>
              <c:strCache>
                <c:ptCount val="1"/>
                <c:pt idx="0">
                  <c:v>Chemical industry</c:v>
                </c:pt>
              </c:strCache>
            </c:strRef>
          </c:tx>
          <c:spPr>
            <a:ln w="19050">
              <a:solidFill>
                <a:srgbClr val="F8A124"/>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1'!$C$32:$AH$32</c:f>
              <c:numCache>
                <c:formatCode>#,##0.0</c:formatCode>
                <c:ptCount val="32"/>
                <c:pt idx="0">
                  <c:v>0.1</c:v>
                </c:pt>
                <c:pt idx="1">
                  <c:v>-1.3</c:v>
                </c:pt>
                <c:pt idx="2">
                  <c:v>13.8</c:v>
                </c:pt>
                <c:pt idx="3">
                  <c:v>12</c:v>
                </c:pt>
                <c:pt idx="4">
                  <c:v>2.7</c:v>
                </c:pt>
                <c:pt idx="5">
                  <c:v>-4.7</c:v>
                </c:pt>
                <c:pt idx="6">
                  <c:v>-8.7000000000000011</c:v>
                </c:pt>
                <c:pt idx="7">
                  <c:v>-7.8</c:v>
                </c:pt>
                <c:pt idx="8">
                  <c:v>3.2</c:v>
                </c:pt>
                <c:pt idx="9">
                  <c:v>0.4</c:v>
                </c:pt>
                <c:pt idx="10">
                  <c:v>10.1</c:v>
                </c:pt>
                <c:pt idx="11">
                  <c:v>7</c:v>
                </c:pt>
                <c:pt idx="12">
                  <c:v>-5.3</c:v>
                </c:pt>
                <c:pt idx="13">
                  <c:v>-0.60000000000000064</c:v>
                </c:pt>
                <c:pt idx="14">
                  <c:v>-10</c:v>
                </c:pt>
                <c:pt idx="15">
                  <c:v>3.8</c:v>
                </c:pt>
                <c:pt idx="16">
                  <c:v>8.8000000000000007</c:v>
                </c:pt>
                <c:pt idx="17">
                  <c:v>9.7000000000000011</c:v>
                </c:pt>
                <c:pt idx="18">
                  <c:v>16.100000000000001</c:v>
                </c:pt>
                <c:pt idx="19">
                  <c:v>4.2</c:v>
                </c:pt>
                <c:pt idx="20">
                  <c:v>2.8</c:v>
                </c:pt>
                <c:pt idx="21">
                  <c:v>3.4</c:v>
                </c:pt>
                <c:pt idx="22">
                  <c:v>-7.8</c:v>
                </c:pt>
                <c:pt idx="23">
                  <c:v>-16.3</c:v>
                </c:pt>
                <c:pt idx="24">
                  <c:v>-13.3</c:v>
                </c:pt>
                <c:pt idx="25">
                  <c:v>-16.899999999999999</c:v>
                </c:pt>
                <c:pt idx="26">
                  <c:v>-5.8</c:v>
                </c:pt>
                <c:pt idx="27">
                  <c:v>11.1</c:v>
                </c:pt>
                <c:pt idx="28">
                  <c:v>16.5</c:v>
                </c:pt>
                <c:pt idx="29">
                  <c:v>24.4</c:v>
                </c:pt>
                <c:pt idx="30">
                  <c:v>19.2</c:v>
                </c:pt>
                <c:pt idx="31">
                  <c:v>17.5</c:v>
                </c:pt>
              </c:numCache>
            </c:numRef>
          </c:val>
        </c:ser>
        <c:ser>
          <c:idx val="7"/>
          <c:order val="3"/>
          <c:tx>
            <c:strRef>
              <c:f>'výkonnost odvětví 1'!$B$33</c:f>
              <c:strCache>
                <c:ptCount val="1"/>
                <c:pt idx="0">
                  <c:v>PC, electronics, optical appliances</c:v>
                </c:pt>
              </c:strCache>
            </c:strRef>
          </c:tx>
          <c:spPr>
            <a:ln w="19050">
              <a:solidFill>
                <a:srgbClr val="48AEE7"/>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1'!$C$33:$AH$33</c:f>
              <c:numCache>
                <c:formatCode>#,##0.0</c:formatCode>
                <c:ptCount val="32"/>
                <c:pt idx="0">
                  <c:v>13.6</c:v>
                </c:pt>
                <c:pt idx="1">
                  <c:v>36.9</c:v>
                </c:pt>
                <c:pt idx="2">
                  <c:v>39.200000000000003</c:v>
                </c:pt>
                <c:pt idx="3">
                  <c:v>27.3</c:v>
                </c:pt>
                <c:pt idx="4">
                  <c:v>12.5</c:v>
                </c:pt>
                <c:pt idx="5">
                  <c:v>6</c:v>
                </c:pt>
                <c:pt idx="6">
                  <c:v>-6</c:v>
                </c:pt>
                <c:pt idx="7">
                  <c:v>-18.399999999999999</c:v>
                </c:pt>
                <c:pt idx="8">
                  <c:v>-18.899999999999999</c:v>
                </c:pt>
                <c:pt idx="9">
                  <c:v>-22.7</c:v>
                </c:pt>
                <c:pt idx="10">
                  <c:v>-19.100000000000001</c:v>
                </c:pt>
                <c:pt idx="11">
                  <c:v>-13.7</c:v>
                </c:pt>
                <c:pt idx="12">
                  <c:v>10.8</c:v>
                </c:pt>
                <c:pt idx="13">
                  <c:v>13.4</c:v>
                </c:pt>
                <c:pt idx="14">
                  <c:v>17.399999999999999</c:v>
                </c:pt>
                <c:pt idx="15">
                  <c:v>22.3</c:v>
                </c:pt>
                <c:pt idx="16">
                  <c:v>17.8</c:v>
                </c:pt>
                <c:pt idx="17">
                  <c:v>20</c:v>
                </c:pt>
                <c:pt idx="18">
                  <c:v>13.1</c:v>
                </c:pt>
                <c:pt idx="19">
                  <c:v>22.4</c:v>
                </c:pt>
                <c:pt idx="20">
                  <c:v>4.9000000000000004</c:v>
                </c:pt>
                <c:pt idx="21">
                  <c:v>0.70000000000000062</c:v>
                </c:pt>
                <c:pt idx="22">
                  <c:v>2.1</c:v>
                </c:pt>
                <c:pt idx="23">
                  <c:v>-3.3</c:v>
                </c:pt>
                <c:pt idx="24">
                  <c:v>-0.1</c:v>
                </c:pt>
                <c:pt idx="25">
                  <c:v>2.6</c:v>
                </c:pt>
                <c:pt idx="26">
                  <c:v>2.6</c:v>
                </c:pt>
                <c:pt idx="27">
                  <c:v>7.5</c:v>
                </c:pt>
                <c:pt idx="28">
                  <c:v>7</c:v>
                </c:pt>
                <c:pt idx="29">
                  <c:v>19.3</c:v>
                </c:pt>
                <c:pt idx="30">
                  <c:v>11.7</c:v>
                </c:pt>
                <c:pt idx="31">
                  <c:v>11</c:v>
                </c:pt>
              </c:numCache>
            </c:numRef>
          </c:val>
        </c:ser>
        <c:ser>
          <c:idx val="2"/>
          <c:order val="4"/>
          <c:tx>
            <c:strRef>
              <c:f>'výkonnost odvětví 1'!$B$34</c:f>
              <c:strCache>
                <c:ptCount val="1"/>
                <c:pt idx="0">
                  <c:v>Motor vehicles</c:v>
                </c:pt>
              </c:strCache>
            </c:strRef>
          </c:tx>
          <c:spPr>
            <a:ln w="19050">
              <a:solidFill>
                <a:srgbClr val="BD1B21"/>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1'!$C$34:$AH$34</c:f>
              <c:numCache>
                <c:formatCode>#,##0.0</c:formatCode>
                <c:ptCount val="32"/>
                <c:pt idx="0">
                  <c:v>36.800000000000004</c:v>
                </c:pt>
                <c:pt idx="1">
                  <c:v>18.399999999999999</c:v>
                </c:pt>
                <c:pt idx="2">
                  <c:v>13.3</c:v>
                </c:pt>
                <c:pt idx="3">
                  <c:v>21.5</c:v>
                </c:pt>
                <c:pt idx="4">
                  <c:v>26.9</c:v>
                </c:pt>
                <c:pt idx="5">
                  <c:v>22</c:v>
                </c:pt>
                <c:pt idx="6">
                  <c:v>20.8</c:v>
                </c:pt>
                <c:pt idx="7">
                  <c:v>15.9</c:v>
                </c:pt>
                <c:pt idx="8">
                  <c:v>9.7000000000000011</c:v>
                </c:pt>
                <c:pt idx="9">
                  <c:v>4</c:v>
                </c:pt>
                <c:pt idx="10">
                  <c:v>-3.2</c:v>
                </c:pt>
                <c:pt idx="11">
                  <c:v>-6.7</c:v>
                </c:pt>
                <c:pt idx="12">
                  <c:v>-14.2</c:v>
                </c:pt>
                <c:pt idx="13">
                  <c:v>-7.7</c:v>
                </c:pt>
                <c:pt idx="14">
                  <c:v>4.5</c:v>
                </c:pt>
                <c:pt idx="15">
                  <c:v>8.1</c:v>
                </c:pt>
                <c:pt idx="16">
                  <c:v>19.5</c:v>
                </c:pt>
                <c:pt idx="17">
                  <c:v>14.8</c:v>
                </c:pt>
                <c:pt idx="18">
                  <c:v>10.8</c:v>
                </c:pt>
                <c:pt idx="19">
                  <c:v>8.8000000000000007</c:v>
                </c:pt>
                <c:pt idx="20">
                  <c:v>7.6</c:v>
                </c:pt>
                <c:pt idx="21">
                  <c:v>12.2</c:v>
                </c:pt>
                <c:pt idx="22">
                  <c:v>13.8</c:v>
                </c:pt>
                <c:pt idx="23">
                  <c:v>16.3</c:v>
                </c:pt>
                <c:pt idx="24">
                  <c:v>17.7</c:v>
                </c:pt>
                <c:pt idx="25">
                  <c:v>14.3</c:v>
                </c:pt>
                <c:pt idx="26">
                  <c:v>6.3</c:v>
                </c:pt>
                <c:pt idx="27">
                  <c:v>7</c:v>
                </c:pt>
                <c:pt idx="28">
                  <c:v>9.8000000000000007</c:v>
                </c:pt>
                <c:pt idx="29">
                  <c:v>10.4</c:v>
                </c:pt>
                <c:pt idx="30">
                  <c:v>9.4</c:v>
                </c:pt>
                <c:pt idx="31">
                  <c:v>9.3000000000000007</c:v>
                </c:pt>
              </c:numCache>
            </c:numRef>
          </c:val>
        </c:ser>
        <c:ser>
          <c:idx val="5"/>
          <c:order val="5"/>
          <c:tx>
            <c:strRef>
              <c:f>'výkonnost odvětví 1'!$B$35</c:f>
              <c:strCache>
                <c:ptCount val="1"/>
                <c:pt idx="0">
                  <c:v>Energy industry</c:v>
                </c:pt>
              </c:strCache>
            </c:strRef>
          </c:tx>
          <c:spPr>
            <a:ln w="19050">
              <a:noFill/>
            </a:ln>
          </c:spPr>
          <c:marker>
            <c:symbol val="diamond"/>
            <c:size val="5"/>
            <c:spPr>
              <a:solidFill>
                <a:schemeClr val="tx1">
                  <a:lumMod val="95000"/>
                  <a:lumOff val="5000"/>
                </a:schemeClr>
              </a:solidFill>
              <a:ln>
                <a:noFill/>
              </a:ln>
            </c:spPr>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1'!$C$35:$AH$35</c:f>
              <c:numCache>
                <c:formatCode>#,##0.0</c:formatCode>
                <c:ptCount val="32"/>
                <c:pt idx="0">
                  <c:v>3.3</c:v>
                </c:pt>
                <c:pt idx="1">
                  <c:v>5</c:v>
                </c:pt>
                <c:pt idx="2">
                  <c:v>8.3000000000000007</c:v>
                </c:pt>
                <c:pt idx="3">
                  <c:v>2.6</c:v>
                </c:pt>
                <c:pt idx="4">
                  <c:v>-3.9</c:v>
                </c:pt>
                <c:pt idx="5">
                  <c:v>0.4</c:v>
                </c:pt>
                <c:pt idx="6">
                  <c:v>-5</c:v>
                </c:pt>
                <c:pt idx="7">
                  <c:v>2.4</c:v>
                </c:pt>
                <c:pt idx="8">
                  <c:v>1.8</c:v>
                </c:pt>
                <c:pt idx="9">
                  <c:v>4.4000000000000004</c:v>
                </c:pt>
                <c:pt idx="10">
                  <c:v>1</c:v>
                </c:pt>
                <c:pt idx="11">
                  <c:v>-7.8</c:v>
                </c:pt>
                <c:pt idx="12">
                  <c:v>-3.4</c:v>
                </c:pt>
                <c:pt idx="13">
                  <c:v>-4.0999999999999996</c:v>
                </c:pt>
                <c:pt idx="14">
                  <c:v>-3.1</c:v>
                </c:pt>
                <c:pt idx="15">
                  <c:v>4.0999999999999996</c:v>
                </c:pt>
                <c:pt idx="16">
                  <c:v>-3.7</c:v>
                </c:pt>
                <c:pt idx="17">
                  <c:v>-2.2999999999999998</c:v>
                </c:pt>
                <c:pt idx="18">
                  <c:v>-1.5</c:v>
                </c:pt>
                <c:pt idx="19">
                  <c:v>-4.0999999999999996</c:v>
                </c:pt>
                <c:pt idx="20">
                  <c:v>2.6</c:v>
                </c:pt>
                <c:pt idx="21">
                  <c:v>-1.5</c:v>
                </c:pt>
                <c:pt idx="22">
                  <c:v>-4.5999999999999996</c:v>
                </c:pt>
                <c:pt idx="23">
                  <c:v>-7.9</c:v>
                </c:pt>
                <c:pt idx="24">
                  <c:v>-4.2</c:v>
                </c:pt>
                <c:pt idx="25">
                  <c:v>3.6</c:v>
                </c:pt>
                <c:pt idx="26">
                  <c:v>-2.2000000000000002</c:v>
                </c:pt>
                <c:pt idx="27">
                  <c:v>7.2</c:v>
                </c:pt>
                <c:pt idx="28">
                  <c:v>5.0999999999999996</c:v>
                </c:pt>
                <c:pt idx="29">
                  <c:v>-0.60000000000000064</c:v>
                </c:pt>
                <c:pt idx="30">
                  <c:v>8.8000000000000007</c:v>
                </c:pt>
                <c:pt idx="31">
                  <c:v>5.7</c:v>
                </c:pt>
              </c:numCache>
            </c:numRef>
          </c:val>
        </c:ser>
        <c:marker val="1"/>
        <c:axId val="125906304"/>
        <c:axId val="125986304"/>
      </c:lineChart>
      <c:catAx>
        <c:axId val="125906304"/>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25986304"/>
        <c:crossesAt val="0"/>
        <c:lblAlgn val="ctr"/>
        <c:lblOffset val="0"/>
        <c:tickLblSkip val="1"/>
        <c:tickMarkSkip val="4"/>
      </c:catAx>
      <c:valAx>
        <c:axId val="125986304"/>
        <c:scaling>
          <c:orientation val="minMax"/>
          <c:max val="40"/>
          <c:min val="-2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25906304"/>
        <c:crosses val="autoZero"/>
        <c:crossBetween val="between"/>
        <c:majorUnit val="5"/>
      </c:valAx>
      <c:spPr>
        <a:noFill/>
        <a:ln w="9525">
          <a:solidFill>
            <a:schemeClr val="tx1"/>
          </a:solidFill>
        </a:ln>
      </c:spPr>
    </c:plotArea>
    <c:legend>
      <c:legendPos val="b"/>
      <c:layout>
        <c:manualLayout>
          <c:xMode val="edge"/>
          <c:yMode val="edge"/>
          <c:x val="6.0825137685827264E-2"/>
          <c:y val="0.87213891703253565"/>
          <c:w val="0.9258012889558157"/>
          <c:h val="0.120712597095575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9008475080329126E-2"/>
          <c:w val="0.92988062751698064"/>
          <c:h val="0.73477372509287464"/>
        </c:manualLayout>
      </c:layout>
      <c:barChart>
        <c:barDir val="col"/>
        <c:grouping val="clustered"/>
        <c:ser>
          <c:idx val="0"/>
          <c:order val="0"/>
          <c:tx>
            <c:strRef>
              <c:f>'výkonnost odvětví 2'!$B$31</c:f>
              <c:strCache>
                <c:ptCount val="1"/>
                <c:pt idx="0">
                  <c:v>Total industry orders</c:v>
                </c:pt>
              </c:strCache>
            </c:strRef>
          </c:tx>
          <c:spPr>
            <a:solidFill>
              <a:schemeClr val="bg1">
                <a:lumMod val="65000"/>
              </a:schemeClr>
            </a:solidFill>
            <a:ln w="12700">
              <a:noFill/>
              <a:prstDash val="solid"/>
            </a:ln>
          </c:spP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2'!$C$31:$AH$31</c:f>
              <c:numCache>
                <c:formatCode>#,##0__</c:formatCode>
                <c:ptCount val="32"/>
                <c:pt idx="0">
                  <c:v>12.055391895765808</c:v>
                </c:pt>
                <c:pt idx="1">
                  <c:v>18.791783051344343</c:v>
                </c:pt>
                <c:pt idx="2">
                  <c:v>17.444097402471726</c:v>
                </c:pt>
                <c:pt idx="3">
                  <c:v>13.26089792662915</c:v>
                </c:pt>
                <c:pt idx="4" formatCode="#,##0.0__">
                  <c:v>12.043107093421796</c:v>
                </c:pt>
                <c:pt idx="5" formatCode="#,##0.0__">
                  <c:v>5.3292904020963094</c:v>
                </c:pt>
                <c:pt idx="6" formatCode="#,##0.0__">
                  <c:v>-1.5038236293274403</c:v>
                </c:pt>
                <c:pt idx="7" formatCode="#,##0.0__">
                  <c:v>0.49985199872995251</c:v>
                </c:pt>
                <c:pt idx="8" formatCode="#,##0.0__">
                  <c:v>7.8919882289544265</c:v>
                </c:pt>
                <c:pt idx="9" formatCode="#,##0.0__">
                  <c:v>0.24363263911027391</c:v>
                </c:pt>
                <c:pt idx="10" formatCode="#,##0.0__">
                  <c:v>2.6780600325356119</c:v>
                </c:pt>
                <c:pt idx="11" formatCode="#,##0.0__">
                  <c:v>-2.2927798243121345</c:v>
                </c:pt>
                <c:pt idx="12" formatCode="#,##0.0__">
                  <c:v>-6.7566875441004868</c:v>
                </c:pt>
                <c:pt idx="13" formatCode="#,##0.0__">
                  <c:v>-0.77743908810788365</c:v>
                </c:pt>
                <c:pt idx="14" formatCode="#,##0.0__">
                  <c:v>12.110592029586016</c:v>
                </c:pt>
                <c:pt idx="15" formatCode="#,##0.0__">
                  <c:v>12.611542535334834</c:v>
                </c:pt>
                <c:pt idx="16" formatCode="#,##0.0__">
                  <c:v>18.45457625725863</c:v>
                </c:pt>
                <c:pt idx="17" formatCode="#,##0.0__">
                  <c:v>13.812603337719338</c:v>
                </c:pt>
                <c:pt idx="18" formatCode="#,##0.0__">
                  <c:v>11.164927309703883</c:v>
                </c:pt>
                <c:pt idx="19" formatCode="#,##0.0__">
                  <c:v>7.3250322249586759</c:v>
                </c:pt>
                <c:pt idx="20" formatCode="#,##0.0__">
                  <c:v>8.5397251010390267</c:v>
                </c:pt>
                <c:pt idx="21" formatCode="#,##0.0__">
                  <c:v>6.4894834031568358</c:v>
                </c:pt>
                <c:pt idx="22" formatCode="#,##0.0__">
                  <c:v>4.1045761314248068</c:v>
                </c:pt>
                <c:pt idx="23" formatCode="#,##0.0__">
                  <c:v>6.0151063810169205</c:v>
                </c:pt>
                <c:pt idx="24" formatCode="#,##0.0__">
                  <c:v>1.3550678522953064</c:v>
                </c:pt>
                <c:pt idx="25" formatCode="#,##0.0__">
                  <c:v>10.856046878525468</c:v>
                </c:pt>
                <c:pt idx="26" formatCode="#,##0.0__">
                  <c:v>1.6431282237439291</c:v>
                </c:pt>
                <c:pt idx="27" formatCode="#,##0.0__">
                  <c:v>6.7220844736941086</c:v>
                </c:pt>
                <c:pt idx="28" formatCode="#,##0.0__">
                  <c:v>10.796220308501121</c:v>
                </c:pt>
                <c:pt idx="29" formatCode="#,##0.0__">
                  <c:v>4.4943696379203164</c:v>
                </c:pt>
                <c:pt idx="30" formatCode="#,##0.0__">
                  <c:v>6.8721659235657109</c:v>
                </c:pt>
                <c:pt idx="31" formatCode="#,##0.0__">
                  <c:v>7.1495707500021304</c:v>
                </c:pt>
              </c:numCache>
            </c:numRef>
          </c:val>
        </c:ser>
        <c:gapWidth val="34"/>
        <c:overlap val="28"/>
        <c:axId val="130532480"/>
        <c:axId val="130534400"/>
      </c:barChart>
      <c:lineChart>
        <c:grouping val="standard"/>
        <c:ser>
          <c:idx val="2"/>
          <c:order val="1"/>
          <c:tx>
            <c:strRef>
              <c:f>'výkonnost odvětví 2'!$B$32</c:f>
              <c:strCache>
                <c:ptCount val="1"/>
                <c:pt idx="0">
                  <c:v>Domestic industry orders</c:v>
                </c:pt>
              </c:strCache>
            </c:strRef>
          </c:tx>
          <c:spPr>
            <a:ln w="19050">
              <a:solidFill>
                <a:srgbClr val="0071BC"/>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2'!$C$32:$AH$32</c:f>
              <c:numCache>
                <c:formatCode>#,##0__</c:formatCode>
                <c:ptCount val="32"/>
                <c:pt idx="0">
                  <c:v>9.3690304814095526</c:v>
                </c:pt>
                <c:pt idx="1">
                  <c:v>20.682184629381226</c:v>
                </c:pt>
                <c:pt idx="2">
                  <c:v>16.573478365504201</c:v>
                </c:pt>
                <c:pt idx="3">
                  <c:v>7.6006914518984274</c:v>
                </c:pt>
                <c:pt idx="4" formatCode="#,##0.0__">
                  <c:v>2.8145814762462464</c:v>
                </c:pt>
                <c:pt idx="5" formatCode="#,##0.0__">
                  <c:v>-0.651603618042502</c:v>
                </c:pt>
                <c:pt idx="6" formatCode="#,##0.0__">
                  <c:v>-11.671782921579478</c:v>
                </c:pt>
                <c:pt idx="7" formatCode="#,##0.0__">
                  <c:v>-10.696553890943122</c:v>
                </c:pt>
                <c:pt idx="8" formatCode="#,##0.0__">
                  <c:v>2.6214056871317126</c:v>
                </c:pt>
                <c:pt idx="9" formatCode="#,##0.0__">
                  <c:v>-9.2467743432498679</c:v>
                </c:pt>
                <c:pt idx="10" formatCode="#,##0.0__">
                  <c:v>-2.8571545096936277</c:v>
                </c:pt>
                <c:pt idx="11" formatCode="#,##0.0__">
                  <c:v>-4.0487324448534139</c:v>
                </c:pt>
                <c:pt idx="12" formatCode="#,##0.0__">
                  <c:v>-7.112663177047466</c:v>
                </c:pt>
                <c:pt idx="13" formatCode="#,##0.0__">
                  <c:v>-0.59561460542927591</c:v>
                </c:pt>
                <c:pt idx="14" formatCode="#,##0.0__">
                  <c:v>9.3847374388735147</c:v>
                </c:pt>
                <c:pt idx="15" formatCode="#,##0.0__">
                  <c:v>7.0782158358476011</c:v>
                </c:pt>
                <c:pt idx="16" formatCode="#,##0.0__">
                  <c:v>14.183839645941402</c:v>
                </c:pt>
                <c:pt idx="17" formatCode="#,##0.0__">
                  <c:v>7.7929541685002057</c:v>
                </c:pt>
                <c:pt idx="18" formatCode="#,##0.0__">
                  <c:v>16.845115352064926</c:v>
                </c:pt>
                <c:pt idx="19" formatCode="#,##0.0__">
                  <c:v>9.6787104542652713</c:v>
                </c:pt>
                <c:pt idx="20" formatCode="#,##0.0__">
                  <c:v>4.3419613010107314</c:v>
                </c:pt>
                <c:pt idx="21" formatCode="#,##0.0__">
                  <c:v>10.024449168168022</c:v>
                </c:pt>
                <c:pt idx="22" formatCode="#,##0.0__">
                  <c:v>-4.7604240586837046</c:v>
                </c:pt>
                <c:pt idx="23" formatCode="#,##0.0__">
                  <c:v>0.56107209694786753</c:v>
                </c:pt>
                <c:pt idx="24" formatCode="#,##0.0__">
                  <c:v>0.20304376106223312</c:v>
                </c:pt>
                <c:pt idx="25" formatCode="#,##0.0__">
                  <c:v>4.9376200007964304</c:v>
                </c:pt>
                <c:pt idx="26" formatCode="#,##0.0__">
                  <c:v>-0.65834656713856565</c:v>
                </c:pt>
                <c:pt idx="27" formatCode="#,##0.0__">
                  <c:v>2.8730898893807049</c:v>
                </c:pt>
                <c:pt idx="28" formatCode="#,##0.0__">
                  <c:v>13.155899673321022</c:v>
                </c:pt>
                <c:pt idx="29" formatCode="#,##0.0__">
                  <c:v>8.5400143228763579</c:v>
                </c:pt>
                <c:pt idx="30" formatCode="#,##0.0__">
                  <c:v>10.396668475893662</c:v>
                </c:pt>
                <c:pt idx="31" formatCode="#,##0.0__">
                  <c:v>12.144384502936768</c:v>
                </c:pt>
              </c:numCache>
            </c:numRef>
          </c:val>
        </c:ser>
        <c:ser>
          <c:idx val="5"/>
          <c:order val="2"/>
          <c:tx>
            <c:strRef>
              <c:f>'výkonnost odvětví 2'!$B$33</c:f>
              <c:strCache>
                <c:ptCount val="1"/>
                <c:pt idx="0">
                  <c:v>Foreign industry orders</c:v>
                </c:pt>
              </c:strCache>
            </c:strRef>
          </c:tx>
          <c:spPr>
            <a:ln w="19050">
              <a:solidFill>
                <a:srgbClr val="BD1B21"/>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2'!$C$33:$AH$33</c:f>
              <c:numCache>
                <c:formatCode>#,##0__</c:formatCode>
                <c:ptCount val="32"/>
                <c:pt idx="0">
                  <c:v>13.96798941382943</c:v>
                </c:pt>
                <c:pt idx="1">
                  <c:v>17.501947519030608</c:v>
                </c:pt>
                <c:pt idx="2">
                  <c:v>18.066387266026329</c:v>
                </c:pt>
                <c:pt idx="3">
                  <c:v>17.763796211422481</c:v>
                </c:pt>
                <c:pt idx="4" formatCode="#,##0.0__">
                  <c:v>18.34836623218202</c:v>
                </c:pt>
                <c:pt idx="5" formatCode="#,##0.0__">
                  <c:v>9.5205491734487566</c:v>
                </c:pt>
                <c:pt idx="6" formatCode="#,##0.0__">
                  <c:v>5.6720014781022305</c:v>
                </c:pt>
                <c:pt idx="7" formatCode="#,##0.0__">
                  <c:v>8.638303197539857</c:v>
                </c:pt>
                <c:pt idx="8" formatCode="#,##0.0__">
                  <c:v>11.020383939537369</c:v>
                </c:pt>
                <c:pt idx="9" formatCode="#,##0.0__">
                  <c:v>6.2765650038583436</c:v>
                </c:pt>
                <c:pt idx="10" formatCode="#,##0.0__">
                  <c:v>5.9432769293397172</c:v>
                </c:pt>
                <c:pt idx="11" formatCode="#,##0.0__">
                  <c:v>-1.2435728368122061</c:v>
                </c:pt>
                <c:pt idx="12" formatCode="#,##0.0__">
                  <c:v>-6.5613801859878365</c:v>
                </c:pt>
                <c:pt idx="13" formatCode="#,##0.0__">
                  <c:v>-0.8761398590468884</c:v>
                </c:pt>
                <c:pt idx="14" formatCode="#,##0.0__">
                  <c:v>13.585000036266127</c:v>
                </c:pt>
                <c:pt idx="15" formatCode="#,##0.0__">
                  <c:v>15.823871636824705</c:v>
                </c:pt>
                <c:pt idx="16" formatCode="#,##0.0__">
                  <c:v>20.558652721652518</c:v>
                </c:pt>
                <c:pt idx="17" formatCode="#,##0.0__">
                  <c:v>16.687921882537509</c:v>
                </c:pt>
                <c:pt idx="18" formatCode="#,##0.0__">
                  <c:v>8.5531225813094967</c:v>
                </c:pt>
                <c:pt idx="19" formatCode="#,##0.0__">
                  <c:v>6.3161284689543784</c:v>
                </c:pt>
                <c:pt idx="20" formatCode="#,##0.0__">
                  <c:v>10.348522192193441</c:v>
                </c:pt>
                <c:pt idx="21" formatCode="#,##0.0__">
                  <c:v>5.0066840085656965</c:v>
                </c:pt>
                <c:pt idx="22" formatCode="#,##0.0__">
                  <c:v>8.2506299270615511</c:v>
                </c:pt>
                <c:pt idx="23" formatCode="#,##0.0__">
                  <c:v>8.5340301032502452</c:v>
                </c:pt>
                <c:pt idx="24" formatCode="#,##0.0__">
                  <c:v>1.8244492596639788</c:v>
                </c:pt>
                <c:pt idx="25" formatCode="#,##0.0__">
                  <c:v>13.457258781079091</c:v>
                </c:pt>
                <c:pt idx="26" formatCode="#,##0.0__">
                  <c:v>2.5901270212493452</c:v>
                </c:pt>
                <c:pt idx="27" formatCode="#,##0.0__">
                  <c:v>8.3691406681191598</c:v>
                </c:pt>
                <c:pt idx="28" formatCode="#,##0.0__">
                  <c:v>9.8501004383929143</c:v>
                </c:pt>
                <c:pt idx="29" formatCode="#,##0.0__">
                  <c:v>2.8497854565056429</c:v>
                </c:pt>
                <c:pt idx="30" formatCode="#,##0.0__">
                  <c:v>5.467843433834978</c:v>
                </c:pt>
                <c:pt idx="31" formatCode="#,##0.0__">
                  <c:v>5.1205963333871685</c:v>
                </c:pt>
              </c:numCache>
            </c:numRef>
          </c:val>
        </c:ser>
        <c:ser>
          <c:idx val="3"/>
          <c:order val="3"/>
          <c:tx>
            <c:strRef>
              <c:f>'výkonnost odvětví 2'!$B$34</c:f>
              <c:strCache>
                <c:ptCount val="1"/>
                <c:pt idx="0">
                  <c:v>Total orders (motor vehicles)</c:v>
                </c:pt>
              </c:strCache>
            </c:strRef>
          </c:tx>
          <c:spPr>
            <a:ln w="19050">
              <a:solidFill>
                <a:srgbClr val="7DBB2D"/>
              </a:solidFill>
              <a:prstDash val="sysDash"/>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2'!$C$34:$AH$34</c:f>
              <c:numCache>
                <c:formatCode>#,##0__</c:formatCode>
                <c:ptCount val="32"/>
                <c:pt idx="0">
                  <c:v>22.397283511257044</c:v>
                </c:pt>
                <c:pt idx="1">
                  <c:v>13.973190879284953</c:v>
                </c:pt>
                <c:pt idx="2">
                  <c:v>7.1944739378557783</c:v>
                </c:pt>
                <c:pt idx="3">
                  <c:v>11.191670681843235</c:v>
                </c:pt>
                <c:pt idx="4" formatCode="#,##0.0__">
                  <c:v>11.429400379513879</c:v>
                </c:pt>
                <c:pt idx="5" formatCode="#,##0.0__">
                  <c:v>9.2048286805520956</c:v>
                </c:pt>
                <c:pt idx="6" formatCode="#,##0.0__">
                  <c:v>4.4139955552265207</c:v>
                </c:pt>
                <c:pt idx="7" formatCode="#,##0.0__">
                  <c:v>5.3718735076924125</c:v>
                </c:pt>
                <c:pt idx="8" formatCode="#,##0.0__">
                  <c:v>19.54636851917148</c:v>
                </c:pt>
                <c:pt idx="9" formatCode="#,##0.0__">
                  <c:v>4.6887564118292016</c:v>
                </c:pt>
                <c:pt idx="10" formatCode="#,##0.0__">
                  <c:v>1.3322326875189248</c:v>
                </c:pt>
                <c:pt idx="11" formatCode="#,##0.0__">
                  <c:v>-2.0219087809167182</c:v>
                </c:pt>
                <c:pt idx="12" formatCode="#,##0.0__">
                  <c:v>-15.42372622798851</c:v>
                </c:pt>
                <c:pt idx="13" formatCode="#,##0.0__">
                  <c:v>-3.0233686336023182</c:v>
                </c:pt>
                <c:pt idx="14" formatCode="#,##0.0__">
                  <c:v>24.654149056071926</c:v>
                </c:pt>
                <c:pt idx="15" formatCode="#,##0.0__">
                  <c:v>18.470996489023367</c:v>
                </c:pt>
                <c:pt idx="16" formatCode="#,##0.0__">
                  <c:v>33.791068906341536</c:v>
                </c:pt>
                <c:pt idx="17" formatCode="#,##0.0__">
                  <c:v>22.392943648551356</c:v>
                </c:pt>
                <c:pt idx="18" formatCode="#,##0.0__">
                  <c:v>16.969041222835102</c:v>
                </c:pt>
                <c:pt idx="19" formatCode="#,##0.0__">
                  <c:v>12.211301534151115</c:v>
                </c:pt>
                <c:pt idx="20" formatCode="#,##0.0__">
                  <c:v>15.316352438277944</c:v>
                </c:pt>
                <c:pt idx="21" formatCode="#,##0.0__">
                  <c:v>5.5843434565174555</c:v>
                </c:pt>
                <c:pt idx="22" formatCode="#,##0.0__">
                  <c:v>13.898535777390734</c:v>
                </c:pt>
                <c:pt idx="23" formatCode="#,##0.0__">
                  <c:v>18.975191723154538</c:v>
                </c:pt>
                <c:pt idx="24" formatCode="#,##0.0__">
                  <c:v>11.460497347422461</c:v>
                </c:pt>
                <c:pt idx="25" formatCode="#,##0.0__">
                  <c:v>33.085131031292185</c:v>
                </c:pt>
                <c:pt idx="26" formatCode="#,##0.0__">
                  <c:v>5.912380139380474</c:v>
                </c:pt>
                <c:pt idx="27" formatCode="#,##0.0__">
                  <c:v>12.001000805244416</c:v>
                </c:pt>
                <c:pt idx="28" formatCode="#,##0.0__">
                  <c:v>7.9823395684182898</c:v>
                </c:pt>
                <c:pt idx="29" formatCode="#,##0.0__">
                  <c:v>-1.8020707588304248</c:v>
                </c:pt>
                <c:pt idx="30" formatCode="#,##0.0__">
                  <c:v>3.7931567072466277</c:v>
                </c:pt>
                <c:pt idx="31" formatCode="#,##0.0__">
                  <c:v>0.31765189807586625</c:v>
                </c:pt>
              </c:numCache>
            </c:numRef>
          </c:val>
        </c:ser>
        <c:marker val="1"/>
        <c:axId val="130532480"/>
        <c:axId val="130534400"/>
      </c:lineChart>
      <c:lineChart>
        <c:grouping val="standard"/>
        <c:ser>
          <c:idx val="4"/>
          <c:order val="4"/>
          <c:tx>
            <c:strRef>
              <c:f>'výkonnost odvětví 2'!$B$35</c:f>
              <c:strCache>
                <c:ptCount val="1"/>
                <c:pt idx="0">
                  <c:v>Balance of confidence indicator in industry</c:v>
                </c:pt>
              </c:strCache>
            </c:strRef>
          </c:tx>
          <c:spPr>
            <a:ln w="19050">
              <a:noFill/>
            </a:ln>
          </c:spPr>
          <c:marker>
            <c:symbol val="dash"/>
            <c:size val="9"/>
            <c:spPr>
              <a:solidFill>
                <a:srgbClr val="984807"/>
              </a:solidFill>
              <a:ln>
                <a:noFill/>
              </a:ln>
            </c:spPr>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2'!$C$35:$AH$35</c:f>
              <c:numCache>
                <c:formatCode>0.0</c:formatCode>
                <c:ptCount val="32"/>
                <c:pt idx="0">
                  <c:v>-5.4444444444444464</c:v>
                </c:pt>
                <c:pt idx="1">
                  <c:v>2.4333333333333331</c:v>
                </c:pt>
                <c:pt idx="2">
                  <c:v>5.5666666666666664</c:v>
                </c:pt>
                <c:pt idx="3">
                  <c:v>10</c:v>
                </c:pt>
                <c:pt idx="4">
                  <c:v>12.200000000000001</c:v>
                </c:pt>
                <c:pt idx="5">
                  <c:v>5.8999999999999995</c:v>
                </c:pt>
                <c:pt idx="6">
                  <c:v>2.4333333333333331</c:v>
                </c:pt>
                <c:pt idx="7">
                  <c:v>1.8</c:v>
                </c:pt>
                <c:pt idx="8">
                  <c:v>1.5666666666666667</c:v>
                </c:pt>
                <c:pt idx="9">
                  <c:v>-2.5666666666666669</c:v>
                </c:pt>
                <c:pt idx="10">
                  <c:v>-8.9</c:v>
                </c:pt>
                <c:pt idx="11">
                  <c:v>-10.200000000000001</c:v>
                </c:pt>
                <c:pt idx="12">
                  <c:v>-8.9</c:v>
                </c:pt>
                <c:pt idx="13">
                  <c:v>-10</c:v>
                </c:pt>
                <c:pt idx="14">
                  <c:v>-6.2333333333333432</c:v>
                </c:pt>
                <c:pt idx="15">
                  <c:v>1.7000000000000002</c:v>
                </c:pt>
                <c:pt idx="16">
                  <c:v>2.3333333333333335</c:v>
                </c:pt>
                <c:pt idx="17">
                  <c:v>3.6333333333333342</c:v>
                </c:pt>
                <c:pt idx="18">
                  <c:v>2.5333333333333332</c:v>
                </c:pt>
                <c:pt idx="19">
                  <c:v>2.6666666666666665</c:v>
                </c:pt>
                <c:pt idx="20">
                  <c:v>3</c:v>
                </c:pt>
                <c:pt idx="21">
                  <c:v>3.7666666666666671</c:v>
                </c:pt>
                <c:pt idx="22">
                  <c:v>3.7666666666666671</c:v>
                </c:pt>
                <c:pt idx="23">
                  <c:v>0.76666666666666661</c:v>
                </c:pt>
                <c:pt idx="24">
                  <c:v>3.5666666666666664</c:v>
                </c:pt>
                <c:pt idx="25">
                  <c:v>1.9000000000000001</c:v>
                </c:pt>
                <c:pt idx="26">
                  <c:v>3.7666666666666671</c:v>
                </c:pt>
                <c:pt idx="27">
                  <c:v>5.333333333333341</c:v>
                </c:pt>
                <c:pt idx="28">
                  <c:v>3.3333333333333335</c:v>
                </c:pt>
                <c:pt idx="29">
                  <c:v>0.8333333333333337</c:v>
                </c:pt>
                <c:pt idx="30">
                  <c:v>3.8666666666666667</c:v>
                </c:pt>
                <c:pt idx="31">
                  <c:v>5.8</c:v>
                </c:pt>
              </c:numCache>
            </c:numRef>
          </c:val>
        </c:ser>
        <c:marker val="1"/>
        <c:axId val="131371776"/>
        <c:axId val="131373312"/>
      </c:lineChart>
      <c:catAx>
        <c:axId val="13053248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0534400"/>
        <c:crossesAt val="0"/>
        <c:lblAlgn val="ctr"/>
        <c:lblOffset val="0"/>
        <c:tickLblSkip val="1"/>
        <c:tickMarkSkip val="4"/>
      </c:catAx>
      <c:valAx>
        <c:axId val="130534400"/>
        <c:scaling>
          <c:orientation val="minMax"/>
          <c:max val="3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0532480"/>
        <c:crosses val="autoZero"/>
        <c:crossBetween val="between"/>
        <c:majorUnit val="5"/>
      </c:valAx>
      <c:catAx>
        <c:axId val="131371776"/>
        <c:scaling>
          <c:orientation val="minMax"/>
        </c:scaling>
        <c:delete val="1"/>
        <c:axPos val="b"/>
        <c:numFmt formatCode="General" sourceLinked="1"/>
        <c:tickLblPos val="none"/>
        <c:crossAx val="131373312"/>
        <c:crosses val="autoZero"/>
        <c:auto val="1"/>
        <c:lblAlgn val="ctr"/>
        <c:lblOffset val="100"/>
      </c:catAx>
      <c:valAx>
        <c:axId val="131373312"/>
        <c:scaling>
          <c:orientation val="minMax"/>
          <c:max val="40"/>
          <c:min val="-30"/>
        </c:scaling>
        <c:delete val="1"/>
        <c:axPos val="r"/>
        <c:numFmt formatCode="0" sourceLinked="0"/>
        <c:majorTickMark val="in"/>
        <c:tickLblPos val="none"/>
        <c:crossAx val="131371776"/>
        <c:crosses val="max"/>
        <c:crossBetween val="between"/>
        <c:majorUnit val="10"/>
      </c:valAx>
      <c:spPr>
        <a:solidFill>
          <a:srgbClr val="FFFFFF"/>
        </a:solidFill>
        <a:ln w="9525">
          <a:solidFill>
            <a:schemeClr val="tx1"/>
          </a:solidFill>
        </a:ln>
      </c:spPr>
    </c:plotArea>
    <c:legend>
      <c:legendPos val="b"/>
      <c:layout>
        <c:manualLayout>
          <c:xMode val="edge"/>
          <c:yMode val="edge"/>
          <c:x val="5.2455734960497123E-2"/>
          <c:y val="0.8432185072610604"/>
          <c:w val="0.93069499440685077"/>
          <c:h val="0.1497706292919058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6155778692800765E-2"/>
          <c:y val="1.6563187842952787E-2"/>
          <c:w val="0.92847707700101312"/>
          <c:h val="0.7424859718789365"/>
        </c:manualLayout>
      </c:layout>
      <c:barChart>
        <c:barDir val="col"/>
        <c:grouping val="clustered"/>
        <c:ser>
          <c:idx val="0"/>
          <c:order val="0"/>
          <c:tx>
            <c:strRef>
              <c:f>'výkonnost odvětví 3'!$C$10</c:f>
              <c:strCache>
                <c:ptCount val="1"/>
                <c:pt idx="0">
                  <c:v>Construction production index (CPI)*</c:v>
                </c:pt>
              </c:strCache>
            </c:strRef>
          </c:tx>
          <c:spPr>
            <a:solidFill>
              <a:schemeClr val="bg1">
                <a:lumMod val="65000"/>
              </a:schemeClr>
            </a:solidFill>
            <a:ln w="12700">
              <a:noFill/>
              <a:prstDash val="solid"/>
            </a:ln>
          </c:spP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3'!$C$11:$C$42</c:f>
              <c:numCache>
                <c:formatCode>0.0</c:formatCode>
                <c:ptCount val="32"/>
                <c:pt idx="0">
                  <c:v>-23.120057013701128</c:v>
                </c:pt>
                <c:pt idx="1">
                  <c:v>-9.2766748828576624</c:v>
                </c:pt>
                <c:pt idx="2">
                  <c:v>-2.4888564673362477</c:v>
                </c:pt>
                <c:pt idx="3">
                  <c:v>-2.4862725914601347</c:v>
                </c:pt>
                <c:pt idx="4">
                  <c:v>5.4340778294487473</c:v>
                </c:pt>
                <c:pt idx="5">
                  <c:v>-5.1748712012492826</c:v>
                </c:pt>
                <c:pt idx="6">
                  <c:v>-9.0626115502138447</c:v>
                </c:pt>
                <c:pt idx="7">
                  <c:v>-0.48958026109285535</c:v>
                </c:pt>
                <c:pt idx="8">
                  <c:v>-9.803925358443264</c:v>
                </c:pt>
                <c:pt idx="9">
                  <c:v>-4.8949878342740973</c:v>
                </c:pt>
                <c:pt idx="10">
                  <c:v>-5.6301862364878641</c:v>
                </c:pt>
                <c:pt idx="11">
                  <c:v>-9.5592571582062789</c:v>
                </c:pt>
                <c:pt idx="12">
                  <c:v>-10.557390500959514</c:v>
                </c:pt>
                <c:pt idx="13">
                  <c:v>-11.621960728760948</c:v>
                </c:pt>
                <c:pt idx="14">
                  <c:v>-4.9875986813230124</c:v>
                </c:pt>
                <c:pt idx="15">
                  <c:v>-2.5771236924786791</c:v>
                </c:pt>
                <c:pt idx="16">
                  <c:v>13.055882416024396</c:v>
                </c:pt>
                <c:pt idx="17">
                  <c:v>5.5522563313626314</c:v>
                </c:pt>
                <c:pt idx="18">
                  <c:v>2.4239532465729416</c:v>
                </c:pt>
                <c:pt idx="19">
                  <c:v>1.1675822183680111</c:v>
                </c:pt>
                <c:pt idx="20">
                  <c:v>9.1898098937331447</c:v>
                </c:pt>
                <c:pt idx="21">
                  <c:v>11.978202281299883</c:v>
                </c:pt>
                <c:pt idx="22">
                  <c:v>7.8876200193737294</c:v>
                </c:pt>
                <c:pt idx="23">
                  <c:v>0.9205709578468485</c:v>
                </c:pt>
                <c:pt idx="24">
                  <c:v>-6.2603694688651705</c:v>
                </c:pt>
                <c:pt idx="25">
                  <c:v>-10.294428232222614</c:v>
                </c:pt>
                <c:pt idx="26">
                  <c:v>-5.8903976249557957</c:v>
                </c:pt>
                <c:pt idx="27">
                  <c:v>-1.6623714276334169</c:v>
                </c:pt>
                <c:pt idx="28">
                  <c:v>-0.85778865143837024</c:v>
                </c:pt>
                <c:pt idx="29">
                  <c:v>9.0654811780721367</c:v>
                </c:pt>
                <c:pt idx="30">
                  <c:v>2.06689820465358</c:v>
                </c:pt>
                <c:pt idx="31">
                  <c:v>2.9174000105613382</c:v>
                </c:pt>
              </c:numCache>
            </c:numRef>
          </c:val>
        </c:ser>
        <c:gapWidth val="31"/>
        <c:axId val="131502848"/>
        <c:axId val="131504768"/>
      </c:barChart>
      <c:lineChart>
        <c:grouping val="standard"/>
        <c:ser>
          <c:idx val="1"/>
          <c:order val="1"/>
          <c:tx>
            <c:strRef>
              <c:f>'výkonnost odvětví 3'!$D$10</c:f>
              <c:strCache>
                <c:ptCount val="1"/>
                <c:pt idx="0">
                  <c:v>CPI in the building construction*</c:v>
                </c:pt>
              </c:strCache>
            </c:strRef>
          </c:tx>
          <c:spPr>
            <a:ln w="19050">
              <a:solidFill>
                <a:srgbClr val="0071BC"/>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3'!$D$11:$D$42</c:f>
              <c:numCache>
                <c:formatCode>0.0</c:formatCode>
                <c:ptCount val="32"/>
                <c:pt idx="0">
                  <c:v>-27.38404916065743</c:v>
                </c:pt>
                <c:pt idx="1">
                  <c:v>-10.195992697308439</c:v>
                </c:pt>
                <c:pt idx="2">
                  <c:v>-0.64343623113745707</c:v>
                </c:pt>
                <c:pt idx="3">
                  <c:v>0.29978055449471697</c:v>
                </c:pt>
                <c:pt idx="4">
                  <c:v>8.6526478667478841</c:v>
                </c:pt>
                <c:pt idx="5">
                  <c:v>-1.7614370247424347</c:v>
                </c:pt>
                <c:pt idx="6">
                  <c:v>-6.4083918595574065</c:v>
                </c:pt>
                <c:pt idx="7">
                  <c:v>2.1035102297167789</c:v>
                </c:pt>
                <c:pt idx="8">
                  <c:v>-7.1548131307015774</c:v>
                </c:pt>
                <c:pt idx="9">
                  <c:v>-2.3712353376447859</c:v>
                </c:pt>
                <c:pt idx="10">
                  <c:v>-5.1617070035522516</c:v>
                </c:pt>
                <c:pt idx="11">
                  <c:v>-9.6630462840948006</c:v>
                </c:pt>
                <c:pt idx="12">
                  <c:v>-9.8130296116849376</c:v>
                </c:pt>
                <c:pt idx="13">
                  <c:v>-11.080802607385948</c:v>
                </c:pt>
                <c:pt idx="14">
                  <c:v>-1.5213831370150928</c:v>
                </c:pt>
                <c:pt idx="15">
                  <c:v>-2.8931169864251558</c:v>
                </c:pt>
                <c:pt idx="16">
                  <c:v>16.319420069804831</c:v>
                </c:pt>
                <c:pt idx="17">
                  <c:v>5.2637982676477799</c:v>
                </c:pt>
                <c:pt idx="18">
                  <c:v>-0.6257649877188961</c:v>
                </c:pt>
                <c:pt idx="19">
                  <c:v>-0.54116675262584124</c:v>
                </c:pt>
                <c:pt idx="20">
                  <c:v>7.7304014967667598</c:v>
                </c:pt>
                <c:pt idx="21">
                  <c:v>7.3259613448281442</c:v>
                </c:pt>
                <c:pt idx="22">
                  <c:v>1.1826668967685101</c:v>
                </c:pt>
                <c:pt idx="23">
                  <c:v>-2.6365096586846732</c:v>
                </c:pt>
                <c:pt idx="24">
                  <c:v>-6.4726786227348878</c:v>
                </c:pt>
                <c:pt idx="25">
                  <c:v>-7.5106169785110755</c:v>
                </c:pt>
                <c:pt idx="26">
                  <c:v>1.2256141641178857</c:v>
                </c:pt>
                <c:pt idx="27">
                  <c:v>6.1460266155788634</c:v>
                </c:pt>
                <c:pt idx="28">
                  <c:v>3.055376135392788</c:v>
                </c:pt>
                <c:pt idx="29">
                  <c:v>14.538604789084518</c:v>
                </c:pt>
                <c:pt idx="30">
                  <c:v>4.9878854079947805</c:v>
                </c:pt>
                <c:pt idx="31">
                  <c:v>3.8242463339978161</c:v>
                </c:pt>
              </c:numCache>
            </c:numRef>
          </c:val>
        </c:ser>
        <c:ser>
          <c:idx val="2"/>
          <c:order val="2"/>
          <c:tx>
            <c:strRef>
              <c:f>'výkonnost odvětví 3'!$E$10</c:f>
              <c:strCache>
                <c:ptCount val="1"/>
                <c:pt idx="0">
                  <c:v>CPI in the civil engineering construction*</c:v>
                </c:pt>
              </c:strCache>
            </c:strRef>
          </c:tx>
          <c:spPr>
            <a:ln w="19050">
              <a:solidFill>
                <a:srgbClr val="BD1B21"/>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3'!$E$11:$E$42</c:f>
              <c:numCache>
                <c:formatCode>0.0</c:formatCode>
                <c:ptCount val="32"/>
                <c:pt idx="0">
                  <c:v>-9.3609474123944096</c:v>
                </c:pt>
                <c:pt idx="1">
                  <c:v>-7.4365082947044598</c:v>
                </c:pt>
                <c:pt idx="2">
                  <c:v>-5.9953599408458302</c:v>
                </c:pt>
                <c:pt idx="3">
                  <c:v>-7.8142777205149088</c:v>
                </c:pt>
                <c:pt idx="4">
                  <c:v>-2.8865015654222645</c:v>
                </c:pt>
                <c:pt idx="5">
                  <c:v>-11.803733312358361</c:v>
                </c:pt>
                <c:pt idx="6">
                  <c:v>-14.393052464894637</c:v>
                </c:pt>
                <c:pt idx="7">
                  <c:v>-5.8850496166696189</c:v>
                </c:pt>
                <c:pt idx="8">
                  <c:v>-17.466093486468566</c:v>
                </c:pt>
                <c:pt idx="9">
                  <c:v>-10.354150226448574</c:v>
                </c:pt>
                <c:pt idx="10">
                  <c:v>-6.658781473186167</c:v>
                </c:pt>
                <c:pt idx="11">
                  <c:v>-9.3249716276757084</c:v>
                </c:pt>
                <c:pt idx="12">
                  <c:v>-12.979322019417509</c:v>
                </c:pt>
                <c:pt idx="13">
                  <c:v>-12.896787097441939</c:v>
                </c:pt>
                <c:pt idx="14">
                  <c:v>-12.720099822530548</c:v>
                </c:pt>
                <c:pt idx="15">
                  <c:v>-1.8664843938729092</c:v>
                </c:pt>
                <c:pt idx="16">
                  <c:v>2.0509272811968486</c:v>
                </c:pt>
                <c:pt idx="17">
                  <c:v>6.2459550633356287</c:v>
                </c:pt>
                <c:pt idx="18">
                  <c:v>10.100251547211048</c:v>
                </c:pt>
                <c:pt idx="19">
                  <c:v>4.9701965176452854</c:v>
                </c:pt>
                <c:pt idx="20">
                  <c:v>14.799149860959844</c:v>
                </c:pt>
                <c:pt idx="21">
                  <c:v>23.062726256252517</c:v>
                </c:pt>
                <c:pt idx="22">
                  <c:v>23.120196233560495</c:v>
                </c:pt>
                <c:pt idx="23">
                  <c:v>8.4208093742625323</c:v>
                </c:pt>
                <c:pt idx="24">
                  <c:v>-5.494590830303224</c:v>
                </c:pt>
                <c:pt idx="25">
                  <c:v>-16.079022329328087</c:v>
                </c:pt>
                <c:pt idx="26">
                  <c:v>-19.176301189811003</c:v>
                </c:pt>
                <c:pt idx="27">
                  <c:v>-16.447557487670625</c:v>
                </c:pt>
                <c:pt idx="28">
                  <c:v>-14.826118900558113</c:v>
                </c:pt>
                <c:pt idx="29">
                  <c:v>-3.4685193424940084</c:v>
                </c:pt>
                <c:pt idx="30">
                  <c:v>-4.7633390586119155</c:v>
                </c:pt>
                <c:pt idx="31">
                  <c:v>0.73596068359900446</c:v>
                </c:pt>
              </c:numCache>
            </c:numRef>
          </c:val>
        </c:ser>
        <c:ser>
          <c:idx val="3"/>
          <c:order val="3"/>
          <c:tx>
            <c:strRef>
              <c:f>'výkonnost odvětví 3'!$F$10</c:f>
              <c:strCache>
                <c:ptCount val="1"/>
                <c:pt idx="0">
                  <c:v>Total new orders in construction</c:v>
                </c:pt>
              </c:strCache>
            </c:strRef>
          </c:tx>
          <c:spPr>
            <a:ln w="19050">
              <a:solidFill>
                <a:srgbClr val="7DBB2D"/>
              </a:solidFill>
              <a:prstDash val="sysDash"/>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3'!$F$11:$F$42</c:f>
              <c:numCache>
                <c:formatCode>0.0</c:formatCode>
                <c:ptCount val="32"/>
                <c:pt idx="0">
                  <c:v>0.82757088505651666</c:v>
                </c:pt>
                <c:pt idx="1">
                  <c:v>8.7687755178484537</c:v>
                </c:pt>
                <c:pt idx="2">
                  <c:v>30.89471189070375</c:v>
                </c:pt>
                <c:pt idx="3">
                  <c:v>-13.415413805192939</c:v>
                </c:pt>
                <c:pt idx="4">
                  <c:v>37.795405718063193</c:v>
                </c:pt>
                <c:pt idx="5">
                  <c:v>-23.565672566981156</c:v>
                </c:pt>
                <c:pt idx="6">
                  <c:v>-23.360716461156017</c:v>
                </c:pt>
                <c:pt idx="7">
                  <c:v>-9.1653963414634205</c:v>
                </c:pt>
                <c:pt idx="8">
                  <c:v>-46.32205964659795</c:v>
                </c:pt>
                <c:pt idx="9">
                  <c:v>-13.714800630772698</c:v>
                </c:pt>
                <c:pt idx="10">
                  <c:v>-7.6729748888363716</c:v>
                </c:pt>
                <c:pt idx="11">
                  <c:v>7.5624082232011753</c:v>
                </c:pt>
                <c:pt idx="12">
                  <c:v>-17.695687793252429</c:v>
                </c:pt>
                <c:pt idx="13">
                  <c:v>-1.584773641063137</c:v>
                </c:pt>
                <c:pt idx="14">
                  <c:v>-1.3308205951467045</c:v>
                </c:pt>
                <c:pt idx="15">
                  <c:v>16.153096050706978</c:v>
                </c:pt>
                <c:pt idx="16">
                  <c:v>67.509727626459025</c:v>
                </c:pt>
                <c:pt idx="17">
                  <c:v>18.978644382544068</c:v>
                </c:pt>
                <c:pt idx="18">
                  <c:v>34.050931384107542</c:v>
                </c:pt>
                <c:pt idx="19">
                  <c:v>-1</c:v>
                </c:pt>
                <c:pt idx="20">
                  <c:v>-3.1547956675580053</c:v>
                </c:pt>
                <c:pt idx="21">
                  <c:v>9.7504961091663347</c:v>
                </c:pt>
                <c:pt idx="22">
                  <c:v>-1.0976060227612561</c:v>
                </c:pt>
                <c:pt idx="23">
                  <c:v>-2.3987783410040464</c:v>
                </c:pt>
                <c:pt idx="24">
                  <c:v>-6.6406358945753805</c:v>
                </c:pt>
                <c:pt idx="25">
                  <c:v>-0.49977652269311085</c:v>
                </c:pt>
                <c:pt idx="26">
                  <c:v>-7.0322087253454839</c:v>
                </c:pt>
                <c:pt idx="27">
                  <c:v>10.122126124559955</c:v>
                </c:pt>
                <c:pt idx="28">
                  <c:v>16.177217458847462</c:v>
                </c:pt>
                <c:pt idx="29">
                  <c:v>9.5350878984013185</c:v>
                </c:pt>
                <c:pt idx="30">
                  <c:v>-1.2817324431350698</c:v>
                </c:pt>
                <c:pt idx="31">
                  <c:v>15.620806693503823</c:v>
                </c:pt>
              </c:numCache>
            </c:numRef>
          </c:val>
        </c:ser>
        <c:ser>
          <c:idx val="4"/>
          <c:order val="4"/>
          <c:tx>
            <c:strRef>
              <c:f>'výkonnost odvětví 3'!$G$10</c:f>
              <c:strCache>
                <c:ptCount val="1"/>
                <c:pt idx="0">
                  <c:v>Balance of confidence indicator in construction</c:v>
                </c:pt>
              </c:strCache>
            </c:strRef>
          </c:tx>
          <c:spPr>
            <a:ln w="19050">
              <a:noFill/>
              <a:prstDash val="solid"/>
            </a:ln>
          </c:spPr>
          <c:marker>
            <c:symbol val="dash"/>
            <c:size val="9"/>
            <c:spPr>
              <a:solidFill>
                <a:srgbClr val="984807"/>
              </a:solidFill>
              <a:ln>
                <a:noFill/>
              </a:ln>
            </c:spPr>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3'!$G$11:$G$42</c:f>
              <c:numCache>
                <c:formatCode>0.0</c:formatCode>
                <c:ptCount val="32"/>
                <c:pt idx="0">
                  <c:v>-32.166666666666565</c:v>
                </c:pt>
                <c:pt idx="1">
                  <c:v>-32.5</c:v>
                </c:pt>
                <c:pt idx="2">
                  <c:v>-37</c:v>
                </c:pt>
                <c:pt idx="3">
                  <c:v>-42.5</c:v>
                </c:pt>
                <c:pt idx="4">
                  <c:v>-40</c:v>
                </c:pt>
                <c:pt idx="5">
                  <c:v>-40.333333333333336</c:v>
                </c:pt>
                <c:pt idx="6">
                  <c:v>-39.166666666666565</c:v>
                </c:pt>
                <c:pt idx="7">
                  <c:v>-39.333333333333336</c:v>
                </c:pt>
                <c:pt idx="8">
                  <c:v>-46</c:v>
                </c:pt>
                <c:pt idx="9">
                  <c:v>-45.333333333333336</c:v>
                </c:pt>
                <c:pt idx="10">
                  <c:v>-43.5</c:v>
                </c:pt>
                <c:pt idx="11">
                  <c:v>-44.666666666666565</c:v>
                </c:pt>
                <c:pt idx="12">
                  <c:v>-46</c:v>
                </c:pt>
                <c:pt idx="13">
                  <c:v>-53.333333333333336</c:v>
                </c:pt>
                <c:pt idx="14">
                  <c:v>-49.5</c:v>
                </c:pt>
                <c:pt idx="15">
                  <c:v>-50.833333333333336</c:v>
                </c:pt>
                <c:pt idx="16">
                  <c:v>-45.166666666666565</c:v>
                </c:pt>
                <c:pt idx="17">
                  <c:v>-38.333333333333336</c:v>
                </c:pt>
                <c:pt idx="18">
                  <c:v>-32</c:v>
                </c:pt>
                <c:pt idx="19">
                  <c:v>-25.166666666666668</c:v>
                </c:pt>
                <c:pt idx="20">
                  <c:v>-20.833333333333282</c:v>
                </c:pt>
                <c:pt idx="21">
                  <c:v>-16.333333333333282</c:v>
                </c:pt>
                <c:pt idx="22">
                  <c:v>-18.666666666666668</c:v>
                </c:pt>
                <c:pt idx="23">
                  <c:v>-15.66666666666668</c:v>
                </c:pt>
                <c:pt idx="24">
                  <c:v>-17.166666666666668</c:v>
                </c:pt>
                <c:pt idx="25">
                  <c:v>-24</c:v>
                </c:pt>
                <c:pt idx="26">
                  <c:v>-26.666666666666668</c:v>
                </c:pt>
                <c:pt idx="27">
                  <c:v>-25.833333333333282</c:v>
                </c:pt>
                <c:pt idx="28">
                  <c:v>-24.5</c:v>
                </c:pt>
                <c:pt idx="29">
                  <c:v>-22.666666666666668</c:v>
                </c:pt>
                <c:pt idx="30">
                  <c:v>-19.833333333333282</c:v>
                </c:pt>
                <c:pt idx="31">
                  <c:v>-15.16666666666668</c:v>
                </c:pt>
              </c:numCache>
            </c:numRef>
          </c:val>
        </c:ser>
        <c:marker val="1"/>
        <c:axId val="131502848"/>
        <c:axId val="131504768"/>
      </c:lineChart>
      <c:catAx>
        <c:axId val="13150284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1504768"/>
        <c:crossesAt val="0"/>
        <c:lblAlgn val="ctr"/>
        <c:lblOffset val="0"/>
        <c:tickLblSkip val="1"/>
        <c:tickMarkSkip val="4"/>
      </c:catAx>
      <c:valAx>
        <c:axId val="131504768"/>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1502848"/>
        <c:crosses val="autoZero"/>
        <c:crossBetween val="between"/>
        <c:majorUnit val="10"/>
      </c:valAx>
      <c:spPr>
        <a:solidFill>
          <a:srgbClr val="FFFFFF"/>
        </a:solidFill>
        <a:ln w="9525">
          <a:solidFill>
            <a:schemeClr val="tx1"/>
          </a:solidFill>
        </a:ln>
      </c:spPr>
    </c:plotArea>
    <c:legend>
      <c:legendPos val="b"/>
      <c:layout>
        <c:manualLayout>
          <c:xMode val="edge"/>
          <c:yMode val="edge"/>
          <c:x val="5.4756708056613451E-2"/>
          <c:y val="0.8414048694701306"/>
          <c:w val="0.92878036619250925"/>
          <c:h val="0.15044599701823214"/>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337294494629933E-2"/>
          <c:y val="1.7176305711648222E-2"/>
          <c:w val="0.91372590696101663"/>
          <c:h val="0.69983885078665409"/>
        </c:manualLayout>
      </c:layout>
      <c:barChart>
        <c:barDir val="col"/>
        <c:grouping val="clustered"/>
        <c:ser>
          <c:idx val="0"/>
          <c:order val="0"/>
          <c:tx>
            <c:strRef>
              <c:f>'výkonnost odvětví 4'!$C$10</c:f>
              <c:strCache>
                <c:ptCount val="1"/>
                <c:pt idx="0">
                  <c:v>Total services*</c:v>
                </c:pt>
              </c:strCache>
            </c:strRef>
          </c:tx>
          <c:spPr>
            <a:solidFill>
              <a:schemeClr val="bg1">
                <a:lumMod val="65000"/>
              </a:schemeClr>
            </a:solidFill>
            <a:ln w="12700">
              <a:noFill/>
              <a:prstDash val="solid"/>
            </a:ln>
          </c:spP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4'!$C$11:$C$42</c:f>
              <c:numCache>
                <c:formatCode>#,##0.0</c:formatCode>
                <c:ptCount val="32"/>
                <c:pt idx="0">
                  <c:v>-4.5096006623606337</c:v>
                </c:pt>
                <c:pt idx="1">
                  <c:v>-0.3407933727576733</c:v>
                </c:pt>
                <c:pt idx="2">
                  <c:v>0.74609925365058682</c:v>
                </c:pt>
                <c:pt idx="3">
                  <c:v>-2.5213834317328718</c:v>
                </c:pt>
                <c:pt idx="4">
                  <c:v>0.27784654942253439</c:v>
                </c:pt>
                <c:pt idx="5">
                  <c:v>-0.70815472300641602</c:v>
                </c:pt>
                <c:pt idx="6">
                  <c:v>-4.5201442135076348</c:v>
                </c:pt>
                <c:pt idx="7">
                  <c:v>-2.2589143432139767</c:v>
                </c:pt>
                <c:pt idx="8">
                  <c:v>0.41378236940359181</c:v>
                </c:pt>
                <c:pt idx="9">
                  <c:v>-1.1743332862113647</c:v>
                </c:pt>
                <c:pt idx="10">
                  <c:v>1.1300274392948226</c:v>
                </c:pt>
                <c:pt idx="11">
                  <c:v>-1.379575945904236</c:v>
                </c:pt>
                <c:pt idx="12">
                  <c:v>-0.16973409749459753</c:v>
                </c:pt>
                <c:pt idx="13">
                  <c:v>-0.88264073450076863</c:v>
                </c:pt>
                <c:pt idx="14">
                  <c:v>-1.4107904536963218</c:v>
                </c:pt>
                <c:pt idx="15">
                  <c:v>1.6419922984547792</c:v>
                </c:pt>
                <c:pt idx="16">
                  <c:v>-0.76539331504619745</c:v>
                </c:pt>
                <c:pt idx="17">
                  <c:v>1.6194658531601918</c:v>
                </c:pt>
                <c:pt idx="18">
                  <c:v>2.4392246258479142</c:v>
                </c:pt>
                <c:pt idx="19">
                  <c:v>0.45185880131751405</c:v>
                </c:pt>
                <c:pt idx="20">
                  <c:v>3.3495040705582237</c:v>
                </c:pt>
                <c:pt idx="21">
                  <c:v>2.6978910345402625</c:v>
                </c:pt>
                <c:pt idx="22">
                  <c:v>3.4292872838003632</c:v>
                </c:pt>
                <c:pt idx="23">
                  <c:v>2.1644881087331798</c:v>
                </c:pt>
                <c:pt idx="24">
                  <c:v>1.1293189132450581</c:v>
                </c:pt>
                <c:pt idx="25">
                  <c:v>-1.0923188796519434</c:v>
                </c:pt>
                <c:pt idx="26">
                  <c:v>1.5336791273072659</c:v>
                </c:pt>
                <c:pt idx="27">
                  <c:v>1.6116134073725306</c:v>
                </c:pt>
                <c:pt idx="28">
                  <c:v>5.6873734454673723</c:v>
                </c:pt>
                <c:pt idx="29">
                  <c:v>5.6775030081736304</c:v>
                </c:pt>
                <c:pt idx="30">
                  <c:v>3.4237422050211141</c:v>
                </c:pt>
                <c:pt idx="31">
                  <c:v>2.3921783779407937</c:v>
                </c:pt>
              </c:numCache>
            </c:numRef>
          </c:val>
        </c:ser>
        <c:gapWidth val="31"/>
        <c:axId val="151779200"/>
        <c:axId val="151867392"/>
      </c:barChart>
      <c:lineChart>
        <c:grouping val="standard"/>
        <c:ser>
          <c:idx val="1"/>
          <c:order val="1"/>
          <c:tx>
            <c:strRef>
              <c:f>'výkonnost odvětví 4'!$D$10</c:f>
              <c:strCache>
                <c:ptCount val="1"/>
                <c:pt idx="0">
                  <c:v>Transportation and storage</c:v>
                </c:pt>
              </c:strCache>
            </c:strRef>
          </c:tx>
          <c:spPr>
            <a:ln w="19050">
              <a:solidFill>
                <a:schemeClr val="tx1">
                  <a:lumMod val="95000"/>
                  <a:lumOff val="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4'!$D$11:$D$42</c:f>
              <c:numCache>
                <c:formatCode>#,##0.0</c:formatCode>
                <c:ptCount val="32"/>
                <c:pt idx="0">
                  <c:v>1.1931031452931506</c:v>
                </c:pt>
                <c:pt idx="1">
                  <c:v>6.1417709032681964</c:v>
                </c:pt>
                <c:pt idx="2">
                  <c:v>3.8418205280418221</c:v>
                </c:pt>
                <c:pt idx="3">
                  <c:v>1.93418107478543</c:v>
                </c:pt>
                <c:pt idx="4">
                  <c:v>3.9822259217620513</c:v>
                </c:pt>
                <c:pt idx="5">
                  <c:v>0.66835824123350673</c:v>
                </c:pt>
                <c:pt idx="6">
                  <c:v>-0.96964643016703256</c:v>
                </c:pt>
                <c:pt idx="7">
                  <c:v>1.5453219752766778</c:v>
                </c:pt>
                <c:pt idx="8">
                  <c:v>0.83205725972403854</c:v>
                </c:pt>
                <c:pt idx="9">
                  <c:v>1.8395272136614538</c:v>
                </c:pt>
                <c:pt idx="10">
                  <c:v>3.5080948551137832</c:v>
                </c:pt>
                <c:pt idx="11">
                  <c:v>-1.8161977525328439</c:v>
                </c:pt>
                <c:pt idx="12">
                  <c:v>3.4369574098321167</c:v>
                </c:pt>
                <c:pt idx="13">
                  <c:v>2.7612524909773555</c:v>
                </c:pt>
                <c:pt idx="14">
                  <c:v>2.1918868778682827</c:v>
                </c:pt>
                <c:pt idx="15">
                  <c:v>10.127849073544894</c:v>
                </c:pt>
                <c:pt idx="16">
                  <c:v>3.4570939496305186</c:v>
                </c:pt>
                <c:pt idx="17">
                  <c:v>2.3688974798375284</c:v>
                </c:pt>
                <c:pt idx="18">
                  <c:v>3.6329187567511552</c:v>
                </c:pt>
                <c:pt idx="19">
                  <c:v>4.4470637499444021E-2</c:v>
                </c:pt>
                <c:pt idx="20">
                  <c:v>0.62168572663049027</c:v>
                </c:pt>
                <c:pt idx="21">
                  <c:v>-0.15576948433512483</c:v>
                </c:pt>
                <c:pt idx="22">
                  <c:v>0.63903867236922574</c:v>
                </c:pt>
                <c:pt idx="23">
                  <c:v>0.19185042976501165</c:v>
                </c:pt>
                <c:pt idx="24">
                  <c:v>0.43661654208769157</c:v>
                </c:pt>
                <c:pt idx="25">
                  <c:v>0.84199186688548089</c:v>
                </c:pt>
                <c:pt idx="26">
                  <c:v>0.46254876698559183</c:v>
                </c:pt>
                <c:pt idx="27">
                  <c:v>2.93247083057673</c:v>
                </c:pt>
                <c:pt idx="28">
                  <c:v>5.9953528358142734</c:v>
                </c:pt>
                <c:pt idx="29">
                  <c:v>3.5228567067738368</c:v>
                </c:pt>
                <c:pt idx="30">
                  <c:v>3.6384150797589987</c:v>
                </c:pt>
                <c:pt idx="31">
                  <c:v>2.3419061629460032</c:v>
                </c:pt>
              </c:numCache>
            </c:numRef>
          </c:val>
        </c:ser>
        <c:ser>
          <c:idx val="2"/>
          <c:order val="2"/>
          <c:tx>
            <c:strRef>
              <c:f>'výkonnost odvětví 4'!$E$10</c:f>
              <c:strCache>
                <c:ptCount val="1"/>
                <c:pt idx="0">
                  <c:v>Accommodation, food service and restaurants</c:v>
                </c:pt>
              </c:strCache>
            </c:strRef>
          </c:tx>
          <c:spPr>
            <a:ln w="19050">
              <a:solidFill>
                <a:schemeClr val="accent6">
                  <a:lumMod val="7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4'!$E$11:$E$42</c:f>
              <c:numCache>
                <c:formatCode>#,##0.0</c:formatCode>
                <c:ptCount val="32"/>
                <c:pt idx="0">
                  <c:v>-5.6982042872953764</c:v>
                </c:pt>
                <c:pt idx="1">
                  <c:v>-6.4712099927930238</c:v>
                </c:pt>
                <c:pt idx="2">
                  <c:v>-2.3542896792580823</c:v>
                </c:pt>
                <c:pt idx="3">
                  <c:v>-4.3847499177807236</c:v>
                </c:pt>
                <c:pt idx="4">
                  <c:v>-0.46265416127074915</c:v>
                </c:pt>
                <c:pt idx="5">
                  <c:v>2.8715285291729344</c:v>
                </c:pt>
                <c:pt idx="6">
                  <c:v>-2.0592789510926637</c:v>
                </c:pt>
                <c:pt idx="7">
                  <c:v>-1.7188428059753562</c:v>
                </c:pt>
                <c:pt idx="8">
                  <c:v>-2.0781598790357378</c:v>
                </c:pt>
                <c:pt idx="9">
                  <c:v>-2.6956182684811552</c:v>
                </c:pt>
                <c:pt idx="10">
                  <c:v>-1.7724597664581421</c:v>
                </c:pt>
                <c:pt idx="11">
                  <c:v>-3.5559447300754954</c:v>
                </c:pt>
                <c:pt idx="12">
                  <c:v>0.90426709036874797</c:v>
                </c:pt>
                <c:pt idx="13">
                  <c:v>0.22967464431653167</c:v>
                </c:pt>
                <c:pt idx="14">
                  <c:v>1.6316433695049852</c:v>
                </c:pt>
                <c:pt idx="15">
                  <c:v>0.77668708206628956</c:v>
                </c:pt>
                <c:pt idx="16">
                  <c:v>-0.87016218392601186</c:v>
                </c:pt>
                <c:pt idx="17">
                  <c:v>-0.30143062396048548</c:v>
                </c:pt>
                <c:pt idx="18">
                  <c:v>-1.0510472095787706</c:v>
                </c:pt>
                <c:pt idx="19">
                  <c:v>7.5929290959894074</c:v>
                </c:pt>
                <c:pt idx="20">
                  <c:v>2.8159396102953593</c:v>
                </c:pt>
                <c:pt idx="21">
                  <c:v>7.717438334667122</c:v>
                </c:pt>
                <c:pt idx="22">
                  <c:v>7.7500565284452643</c:v>
                </c:pt>
                <c:pt idx="23">
                  <c:v>4.9077723190360985</c:v>
                </c:pt>
                <c:pt idx="24">
                  <c:v>5.5021909192252476</c:v>
                </c:pt>
                <c:pt idx="25">
                  <c:v>1.921052217732381</c:v>
                </c:pt>
                <c:pt idx="26">
                  <c:v>6.9401686800438203</c:v>
                </c:pt>
                <c:pt idx="27">
                  <c:v>7.6944792139289495</c:v>
                </c:pt>
                <c:pt idx="28">
                  <c:v>11.826210972157085</c:v>
                </c:pt>
                <c:pt idx="29">
                  <c:v>14.901389159900674</c:v>
                </c:pt>
                <c:pt idx="30">
                  <c:v>6.6262866787685146</c:v>
                </c:pt>
                <c:pt idx="31">
                  <c:v>4.9349917595877155</c:v>
                </c:pt>
              </c:numCache>
            </c:numRef>
          </c:val>
        </c:ser>
        <c:ser>
          <c:idx val="3"/>
          <c:order val="3"/>
          <c:tx>
            <c:strRef>
              <c:f>'výkonnost odvětví 4'!$F$10</c:f>
              <c:strCache>
                <c:ptCount val="1"/>
                <c:pt idx="0">
                  <c:v>Professional, scientific and technical activities</c:v>
                </c:pt>
              </c:strCache>
            </c:strRef>
          </c:tx>
          <c:spPr>
            <a:ln w="19050">
              <a:solidFill>
                <a:srgbClr val="48AEE7"/>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4'!$F$11:$F$42</c:f>
              <c:numCache>
                <c:formatCode>#,##0.0</c:formatCode>
                <c:ptCount val="32"/>
                <c:pt idx="0">
                  <c:v>-12.290814732473081</c:v>
                </c:pt>
                <c:pt idx="1">
                  <c:v>-4.2329174774519558</c:v>
                </c:pt>
                <c:pt idx="2">
                  <c:v>-1.2101265952728806</c:v>
                </c:pt>
                <c:pt idx="3">
                  <c:v>-7.4280319670195567</c:v>
                </c:pt>
                <c:pt idx="4">
                  <c:v>-5.3317943806041361</c:v>
                </c:pt>
                <c:pt idx="5">
                  <c:v>-4.4158534503724525</c:v>
                </c:pt>
                <c:pt idx="6">
                  <c:v>-16.037761612617981</c:v>
                </c:pt>
                <c:pt idx="7">
                  <c:v>-8.5920427388460769</c:v>
                </c:pt>
                <c:pt idx="8">
                  <c:v>1.7790041034699569</c:v>
                </c:pt>
                <c:pt idx="9">
                  <c:v>-5.9996553604536924</c:v>
                </c:pt>
                <c:pt idx="10">
                  <c:v>-0.73110405317373872</c:v>
                </c:pt>
                <c:pt idx="11">
                  <c:v>0.13717329113313781</c:v>
                </c:pt>
                <c:pt idx="12">
                  <c:v>-4.5819504834105738</c:v>
                </c:pt>
                <c:pt idx="13">
                  <c:v>-7.3606822388459721</c:v>
                </c:pt>
                <c:pt idx="14">
                  <c:v>-9.2460383944530999</c:v>
                </c:pt>
                <c:pt idx="15">
                  <c:v>-5.113870169368127</c:v>
                </c:pt>
                <c:pt idx="16">
                  <c:v>-6.5380037011295462</c:v>
                </c:pt>
                <c:pt idx="17">
                  <c:v>0.33860224698662517</c:v>
                </c:pt>
                <c:pt idx="18">
                  <c:v>4.1005475624141354</c:v>
                </c:pt>
                <c:pt idx="19">
                  <c:v>-5.3838954481346724</c:v>
                </c:pt>
                <c:pt idx="20">
                  <c:v>4.9781654515617104</c:v>
                </c:pt>
                <c:pt idx="21">
                  <c:v>3.5951121139233604</c:v>
                </c:pt>
                <c:pt idx="22">
                  <c:v>5.7483809511489108</c:v>
                </c:pt>
                <c:pt idx="23">
                  <c:v>-0.31685681601646876</c:v>
                </c:pt>
                <c:pt idx="24">
                  <c:v>-1.5053066841219038</c:v>
                </c:pt>
                <c:pt idx="25">
                  <c:v>-7.135921480650893</c:v>
                </c:pt>
                <c:pt idx="26">
                  <c:v>0.18542988497220886</c:v>
                </c:pt>
                <c:pt idx="27">
                  <c:v>-1.4930451088308281</c:v>
                </c:pt>
                <c:pt idx="28">
                  <c:v>4.1219039624636622</c:v>
                </c:pt>
                <c:pt idx="29">
                  <c:v>3.242081499973207</c:v>
                </c:pt>
                <c:pt idx="30">
                  <c:v>1.352149311621206</c:v>
                </c:pt>
                <c:pt idx="31">
                  <c:v>1.8736864219952614</c:v>
                </c:pt>
              </c:numCache>
            </c:numRef>
          </c:val>
        </c:ser>
        <c:ser>
          <c:idx val="4"/>
          <c:order val="4"/>
          <c:tx>
            <c:strRef>
              <c:f>'výkonnost odvětví 4'!$G$10</c:f>
              <c:strCache>
                <c:ptCount val="1"/>
                <c:pt idx="0">
                  <c:v>Administrative and support service activities</c:v>
                </c:pt>
              </c:strCache>
            </c:strRef>
          </c:tx>
          <c:spPr>
            <a:ln w="19050">
              <a:solidFill>
                <a:srgbClr val="7DBB2D"/>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4'!$G$11:$G$42</c:f>
              <c:numCache>
                <c:formatCode>#,##0.0</c:formatCode>
                <c:ptCount val="32"/>
                <c:pt idx="0">
                  <c:v>-1.6544875737618874</c:v>
                </c:pt>
                <c:pt idx="1">
                  <c:v>-2.3534412457178746</c:v>
                </c:pt>
                <c:pt idx="2">
                  <c:v>1.0654284656697257</c:v>
                </c:pt>
                <c:pt idx="3">
                  <c:v>1.8051246036166744</c:v>
                </c:pt>
                <c:pt idx="4">
                  <c:v>4.5747765081088261</c:v>
                </c:pt>
                <c:pt idx="5">
                  <c:v>5.6147164173834385</c:v>
                </c:pt>
                <c:pt idx="6">
                  <c:v>5.0768403047078223</c:v>
                </c:pt>
                <c:pt idx="7">
                  <c:v>3.1212636054366953</c:v>
                </c:pt>
                <c:pt idx="8">
                  <c:v>4.945077216307638</c:v>
                </c:pt>
                <c:pt idx="9">
                  <c:v>2.4070453802546723</c:v>
                </c:pt>
                <c:pt idx="10">
                  <c:v>4.1591498172451873</c:v>
                </c:pt>
                <c:pt idx="11">
                  <c:v>-1.7715231328513994</c:v>
                </c:pt>
                <c:pt idx="12">
                  <c:v>-0.46025646665529507</c:v>
                </c:pt>
                <c:pt idx="13">
                  <c:v>0.99331558069717119</c:v>
                </c:pt>
                <c:pt idx="14">
                  <c:v>0.74616588702987596</c:v>
                </c:pt>
                <c:pt idx="15">
                  <c:v>3.5105053359900587</c:v>
                </c:pt>
                <c:pt idx="16">
                  <c:v>-1.3893557020296328</c:v>
                </c:pt>
                <c:pt idx="17">
                  <c:v>4.847160926162644</c:v>
                </c:pt>
                <c:pt idx="18">
                  <c:v>3.2819050323606982</c:v>
                </c:pt>
                <c:pt idx="19">
                  <c:v>4.6729340943630859</c:v>
                </c:pt>
                <c:pt idx="20">
                  <c:v>4.552287478448755</c:v>
                </c:pt>
                <c:pt idx="21">
                  <c:v>4.9218167638030925</c:v>
                </c:pt>
                <c:pt idx="22">
                  <c:v>3.6318539238633565</c:v>
                </c:pt>
                <c:pt idx="23">
                  <c:v>4.4568122255123939</c:v>
                </c:pt>
                <c:pt idx="24">
                  <c:v>4.1495977172566541</c:v>
                </c:pt>
                <c:pt idx="25">
                  <c:v>1.3820291151999118</c:v>
                </c:pt>
                <c:pt idx="26">
                  <c:v>2.4526753314027125</c:v>
                </c:pt>
                <c:pt idx="27">
                  <c:v>4.5702816404105988</c:v>
                </c:pt>
                <c:pt idx="28">
                  <c:v>9.9795978193994568</c:v>
                </c:pt>
                <c:pt idx="29">
                  <c:v>9.5826790396278483</c:v>
                </c:pt>
                <c:pt idx="30">
                  <c:v>5.6083581636031345</c:v>
                </c:pt>
                <c:pt idx="31">
                  <c:v>2.4237629624133792</c:v>
                </c:pt>
              </c:numCache>
            </c:numRef>
          </c:val>
        </c:ser>
        <c:ser>
          <c:idx val="5"/>
          <c:order val="5"/>
          <c:tx>
            <c:strRef>
              <c:f>'výkonnost odvětví 4'!$H$10</c:f>
              <c:strCache>
                <c:ptCount val="1"/>
                <c:pt idx="0">
                  <c:v>Information and communication</c:v>
                </c:pt>
              </c:strCache>
            </c:strRef>
          </c:tx>
          <c:spPr>
            <a:ln>
              <a:noFill/>
            </a:ln>
          </c:spPr>
          <c:marker>
            <c:symbol val="diamond"/>
            <c:size val="5"/>
            <c:spPr>
              <a:solidFill>
                <a:srgbClr val="984807"/>
              </a:solidFill>
            </c:spPr>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4'!$H$11:$H$42</c:f>
              <c:numCache>
                <c:formatCode>#,##0.0</c:formatCode>
                <c:ptCount val="32"/>
                <c:pt idx="0">
                  <c:v>-1.7579837505306115</c:v>
                </c:pt>
                <c:pt idx="1">
                  <c:v>-0.11642123818683114</c:v>
                </c:pt>
                <c:pt idx="2">
                  <c:v>1.8880874350386583</c:v>
                </c:pt>
                <c:pt idx="3">
                  <c:v>-1.0473915045593418</c:v>
                </c:pt>
                <c:pt idx="4">
                  <c:v>-1.9079404026669525E-2</c:v>
                </c:pt>
                <c:pt idx="5">
                  <c:v>-1.157826031810288</c:v>
                </c:pt>
                <c:pt idx="6">
                  <c:v>-2.7986335027271196</c:v>
                </c:pt>
                <c:pt idx="7">
                  <c:v>-0.55634396031879874</c:v>
                </c:pt>
                <c:pt idx="8">
                  <c:v>0.6534696625467985</c:v>
                </c:pt>
                <c:pt idx="9">
                  <c:v>1.0463496228837264E-2</c:v>
                </c:pt>
                <c:pt idx="10">
                  <c:v>1.5353993933410364</c:v>
                </c:pt>
                <c:pt idx="11">
                  <c:v>-0.56386472541095067</c:v>
                </c:pt>
                <c:pt idx="12">
                  <c:v>-1.888503761226106</c:v>
                </c:pt>
                <c:pt idx="13">
                  <c:v>0.34209026986297936</c:v>
                </c:pt>
                <c:pt idx="14">
                  <c:v>-2.1041958696599052</c:v>
                </c:pt>
                <c:pt idx="15">
                  <c:v>0.45818403560684867</c:v>
                </c:pt>
                <c:pt idx="16">
                  <c:v>9.7799519869965934E-2</c:v>
                </c:pt>
                <c:pt idx="17">
                  <c:v>0.77027947344869774</c:v>
                </c:pt>
                <c:pt idx="18">
                  <c:v>2.1848791405802785</c:v>
                </c:pt>
                <c:pt idx="19">
                  <c:v>2.9373599515681827</c:v>
                </c:pt>
                <c:pt idx="20">
                  <c:v>6.9384777058039306</c:v>
                </c:pt>
                <c:pt idx="21">
                  <c:v>4.3336634039012409</c:v>
                </c:pt>
                <c:pt idx="22">
                  <c:v>4.4560552194438401</c:v>
                </c:pt>
                <c:pt idx="23">
                  <c:v>6.8435433093621691</c:v>
                </c:pt>
                <c:pt idx="24">
                  <c:v>2.05051473823662</c:v>
                </c:pt>
                <c:pt idx="25">
                  <c:v>0.40901106071846982</c:v>
                </c:pt>
                <c:pt idx="26">
                  <c:v>1.8178506894557529</c:v>
                </c:pt>
                <c:pt idx="27">
                  <c:v>0.91779626143366499</c:v>
                </c:pt>
                <c:pt idx="28">
                  <c:v>3.3647118220049808</c:v>
                </c:pt>
                <c:pt idx="29">
                  <c:v>5.7164336375577847</c:v>
                </c:pt>
                <c:pt idx="30">
                  <c:v>4.2537575179759353</c:v>
                </c:pt>
                <c:pt idx="31">
                  <c:v>2.5333768879854692</c:v>
                </c:pt>
              </c:numCache>
            </c:numRef>
          </c:val>
        </c:ser>
        <c:marker val="1"/>
        <c:axId val="151779200"/>
        <c:axId val="151867392"/>
      </c:lineChart>
      <c:catAx>
        <c:axId val="15177920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1867392"/>
        <c:crosses val="autoZero"/>
        <c:lblAlgn val="ctr"/>
        <c:lblOffset val="0"/>
        <c:tickLblSkip val="1"/>
        <c:tickMarkSkip val="4"/>
      </c:catAx>
      <c:valAx>
        <c:axId val="151867392"/>
        <c:scaling>
          <c:orientation val="minMax"/>
          <c:max val="15"/>
          <c:min val="-14"/>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1779200"/>
        <c:crosses val="autoZero"/>
        <c:crossBetween val="between"/>
        <c:majorUnit val="2"/>
      </c:valAx>
      <c:spPr>
        <a:solidFill>
          <a:srgbClr val="FFFFFF"/>
        </a:solidFill>
        <a:ln w="9525">
          <a:solidFill>
            <a:schemeClr val="tx1"/>
          </a:solidFill>
        </a:ln>
      </c:spPr>
    </c:plotArea>
    <c:legend>
      <c:legendPos val="b"/>
      <c:layout>
        <c:manualLayout>
          <c:xMode val="edge"/>
          <c:yMode val="edge"/>
          <c:x val="5.0503730461652213E-2"/>
          <c:y val="0.81000690135185249"/>
          <c:w val="0.91497470579305717"/>
          <c:h val="0.18309527689835745"/>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9865404755441118E-2"/>
          <c:y val="3.3960026067356604E-2"/>
          <c:w val="0.90126857480580858"/>
          <c:h val="0.78310705842620731"/>
        </c:manualLayout>
      </c:layout>
      <c:barChart>
        <c:barDir val="col"/>
        <c:grouping val="stacked"/>
        <c:ser>
          <c:idx val="3"/>
          <c:order val="1"/>
          <c:tx>
            <c:strRef>
              <c:f>'Vnější vztahy 1'!$E$5</c:f>
              <c:strCache>
                <c:ptCount val="1"/>
                <c:pt idx="0">
                  <c:v>Balance of goods</c:v>
                </c:pt>
              </c:strCache>
            </c:strRef>
          </c:tx>
          <c:spPr>
            <a:solidFill>
              <a:srgbClr val="BD1B21"/>
            </a:solidFill>
            <a:ln>
              <a:noFill/>
            </a:ln>
          </c:spPr>
          <c:val>
            <c:numRef>
              <c:f>'Vnější vztahy 1'!$E$6:$E$15</c:f>
              <c:numCache>
                <c:formatCode>0.0</c:formatCode>
                <c:ptCount val="10"/>
                <c:pt idx="0">
                  <c:v>-4.4290999999999983</c:v>
                </c:pt>
                <c:pt idx="1">
                  <c:v>64.959600000000023</c:v>
                </c:pt>
                <c:pt idx="2">
                  <c:v>40.389599999999994</c:v>
                </c:pt>
                <c:pt idx="3">
                  <c:v>75.477600000000024</c:v>
                </c:pt>
                <c:pt idx="4">
                  <c:v>123.7979000000001</c:v>
                </c:pt>
                <c:pt idx="5">
                  <c:v>166.97310000000002</c:v>
                </c:pt>
                <c:pt idx="6">
                  <c:v>219.95090000000022</c:v>
                </c:pt>
                <c:pt idx="7">
                  <c:v>188.03190000000001</c:v>
                </c:pt>
                <c:pt idx="8">
                  <c:v>245.69</c:v>
                </c:pt>
                <c:pt idx="9" formatCode="General">
                  <c:v>240.94940000000003</c:v>
                </c:pt>
              </c:numCache>
            </c:numRef>
          </c:val>
        </c:ser>
        <c:ser>
          <c:idx val="4"/>
          <c:order val="2"/>
          <c:tx>
            <c:strRef>
              <c:f>'Vnější vztahy 1'!$F$5</c:f>
              <c:strCache>
                <c:ptCount val="1"/>
                <c:pt idx="0">
                  <c:v>Balance of services</c:v>
                </c:pt>
              </c:strCache>
            </c:strRef>
          </c:tx>
          <c:spPr>
            <a:solidFill>
              <a:srgbClr val="E8AFB2"/>
            </a:solidFill>
            <a:ln>
              <a:noFill/>
            </a:ln>
          </c:spPr>
          <c:val>
            <c:numRef>
              <c:f>'Vnější vztahy 1'!$F$6:$F$15</c:f>
              <c:numCache>
                <c:formatCode>0.0</c:formatCode>
                <c:ptCount val="10"/>
                <c:pt idx="0">
                  <c:v>89.274299999999997</c:v>
                </c:pt>
                <c:pt idx="1">
                  <c:v>81.917000000000115</c:v>
                </c:pt>
                <c:pt idx="2">
                  <c:v>78.475799999999978</c:v>
                </c:pt>
                <c:pt idx="3">
                  <c:v>81.281700000000001</c:v>
                </c:pt>
                <c:pt idx="4">
                  <c:v>77.626200000000011</c:v>
                </c:pt>
                <c:pt idx="5">
                  <c:v>70.35929999999999</c:v>
                </c:pt>
                <c:pt idx="6">
                  <c:v>55.650800000000004</c:v>
                </c:pt>
                <c:pt idx="7">
                  <c:v>78.0381</c:v>
                </c:pt>
                <c:pt idx="8">
                  <c:v>107.60920000000002</c:v>
                </c:pt>
                <c:pt idx="9" formatCode="General">
                  <c:v>121.9937</c:v>
                </c:pt>
              </c:numCache>
            </c:numRef>
          </c:val>
        </c:ser>
        <c:ser>
          <c:idx val="2"/>
          <c:order val="3"/>
          <c:tx>
            <c:strRef>
              <c:f>'Vnější vztahy 1'!$D$5</c:f>
              <c:strCache>
                <c:ptCount val="1"/>
                <c:pt idx="0">
                  <c:v>Primary income balance</c:v>
                </c:pt>
              </c:strCache>
            </c:strRef>
          </c:tx>
          <c:spPr>
            <a:solidFill>
              <a:srgbClr val="A6CDE8"/>
            </a:solidFill>
            <a:ln>
              <a:noFill/>
            </a:ln>
          </c:spPr>
          <c:val>
            <c:numRef>
              <c:f>'Vnější vztahy 1'!$D$6:$D$15</c:f>
              <c:numCache>
                <c:formatCode>0.0</c:formatCode>
                <c:ptCount val="10"/>
                <c:pt idx="0">
                  <c:v>-147.68770000000001</c:v>
                </c:pt>
                <c:pt idx="1">
                  <c:v>-216.65909999999997</c:v>
                </c:pt>
                <c:pt idx="2">
                  <c:v>-249.9298</c:v>
                </c:pt>
                <c:pt idx="3">
                  <c:v>-223.34540000000001</c:v>
                </c:pt>
                <c:pt idx="4">
                  <c:v>-237.52780000000001</c:v>
                </c:pt>
                <c:pt idx="5">
                  <c:v>-249.01870000000002</c:v>
                </c:pt>
                <c:pt idx="6">
                  <c:v>-260.78889999999956</c:v>
                </c:pt>
                <c:pt idx="7">
                  <c:v>-254.8381000000002</c:v>
                </c:pt>
                <c:pt idx="8">
                  <c:v>-251.7878</c:v>
                </c:pt>
                <c:pt idx="9" formatCode="General">
                  <c:v>-260.83799999999962</c:v>
                </c:pt>
              </c:numCache>
            </c:numRef>
          </c:val>
        </c:ser>
        <c:ser>
          <c:idx val="1"/>
          <c:order val="4"/>
          <c:tx>
            <c:strRef>
              <c:f>'Vnější vztahy 1'!$C$5</c:f>
              <c:strCache>
                <c:ptCount val="1"/>
                <c:pt idx="0">
                  <c:v>Secondary income balnce</c:v>
                </c:pt>
              </c:strCache>
            </c:strRef>
          </c:tx>
          <c:spPr>
            <a:solidFill>
              <a:srgbClr val="0071BC"/>
            </a:solidFill>
            <a:ln>
              <a:noFill/>
            </a:ln>
          </c:spPr>
          <c:val>
            <c:numRef>
              <c:f>'Vnější vztahy 1'!$C$6:$C$15</c:f>
              <c:numCache>
                <c:formatCode>0.0</c:formatCode>
                <c:ptCount val="10"/>
                <c:pt idx="0">
                  <c:v>-12.4122</c:v>
                </c:pt>
                <c:pt idx="1">
                  <c:v>-19.420499999999969</c:v>
                </c:pt>
                <c:pt idx="2">
                  <c:v>-10.712</c:v>
                </c:pt>
                <c:pt idx="3">
                  <c:v>-18.214599999999987</c:v>
                </c:pt>
                <c:pt idx="4">
                  <c:v>-27.209300000000002</c:v>
                </c:pt>
                <c:pt idx="5">
                  <c:v>-10.098199999999999</c:v>
                </c:pt>
                <c:pt idx="6">
                  <c:v>-6.9301000000000004</c:v>
                </c:pt>
                <c:pt idx="7">
                  <c:v>5.1300000000001122E-2</c:v>
                </c:pt>
                <c:pt idx="8">
                  <c:v>-27.292000000000002</c:v>
                </c:pt>
                <c:pt idx="9" formatCode="General">
                  <c:v>-44.957499999999996</c:v>
                </c:pt>
              </c:numCache>
            </c:numRef>
          </c:val>
        </c:ser>
        <c:gapWidth val="60"/>
        <c:overlap val="100"/>
        <c:axId val="153647744"/>
        <c:axId val="153678208"/>
      </c:barChart>
      <c:lineChart>
        <c:grouping val="standard"/>
        <c:ser>
          <c:idx val="0"/>
          <c:order val="0"/>
          <c:tx>
            <c:strRef>
              <c:f>'Vnější vztahy 1'!$B$5</c:f>
              <c:strCache>
                <c:ptCount val="1"/>
                <c:pt idx="0">
                  <c:v>Current account</c:v>
                </c:pt>
              </c:strCache>
            </c:strRef>
          </c:tx>
          <c:spPr>
            <a:ln>
              <a:solidFill>
                <a:schemeClr val="tx1"/>
              </a:solidFill>
            </a:ln>
          </c:spPr>
          <c:marker>
            <c:symbol val="none"/>
          </c:marker>
          <c:cat>
            <c:strRef>
              <c:f>'Vnější vztahy 1'!$A$6:$A$15</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'Vnější vztahy 1'!$B$6:$B$15</c:f>
              <c:numCache>
                <c:formatCode>0.0</c:formatCode>
                <c:ptCount val="10"/>
                <c:pt idx="0">
                  <c:v>-75.2547</c:v>
                </c:pt>
                <c:pt idx="1">
                  <c:v>-89.203000000000003</c:v>
                </c:pt>
                <c:pt idx="2">
                  <c:v>-141.77669999999998</c:v>
                </c:pt>
                <c:pt idx="3">
                  <c:v>-84.800900000000013</c:v>
                </c:pt>
                <c:pt idx="4">
                  <c:v>-63.312999999999995</c:v>
                </c:pt>
                <c:pt idx="5">
                  <c:v>-21.784299999999966</c:v>
                </c:pt>
                <c:pt idx="6">
                  <c:v>7.8828000000000005</c:v>
                </c:pt>
                <c:pt idx="7">
                  <c:v>11.283000000000001</c:v>
                </c:pt>
                <c:pt idx="8">
                  <c:v>74.219300000000004</c:v>
                </c:pt>
                <c:pt idx="9" formatCode="General">
                  <c:v>54.157000000000004</c:v>
                </c:pt>
              </c:numCache>
            </c:numRef>
          </c:val>
        </c:ser>
        <c:marker val="1"/>
        <c:axId val="153647744"/>
        <c:axId val="153678208"/>
      </c:lineChart>
      <c:catAx>
        <c:axId val="153647744"/>
        <c:scaling>
          <c:orientation val="minMax"/>
        </c:scaling>
        <c:axPos val="b"/>
        <c:tickLblPos val="low"/>
        <c:spPr>
          <a:ln>
            <a:solidFill>
              <a:schemeClr val="tx1"/>
            </a:solidFill>
          </a:ln>
        </c:spPr>
        <c:txPr>
          <a:bodyPr rot="0" vert="horz"/>
          <a:lstStyle/>
          <a:p>
            <a:pPr>
              <a:defRPr/>
            </a:pPr>
            <a:endParaRPr lang="cs-CZ"/>
          </a:p>
        </c:txPr>
        <c:crossAx val="153678208"/>
        <c:crosses val="autoZero"/>
        <c:auto val="1"/>
        <c:lblAlgn val="ctr"/>
        <c:lblOffset val="100"/>
      </c:catAx>
      <c:valAx>
        <c:axId val="153678208"/>
        <c:scaling>
          <c:orientation val="minMax"/>
          <c:max val="400"/>
          <c:min val="-350"/>
        </c:scaling>
        <c:axPos val="l"/>
        <c:majorGridlines>
          <c:spPr>
            <a:ln w="6350">
              <a:solidFill>
                <a:schemeClr val="bg1">
                  <a:lumMod val="75000"/>
                </a:schemeClr>
              </a:solidFill>
            </a:ln>
          </c:spPr>
        </c:majorGridlines>
        <c:numFmt formatCode="0" sourceLinked="0"/>
        <c:tickLblPos val="nextTo"/>
        <c:spPr>
          <a:ln>
            <a:solidFill>
              <a:schemeClr val="tx1"/>
            </a:solidFill>
          </a:ln>
        </c:spPr>
        <c:crossAx val="153647744"/>
        <c:crosses val="autoZero"/>
        <c:crossBetween val="between"/>
        <c:majorUnit val="50"/>
      </c:valAx>
      <c:spPr>
        <a:ln>
          <a:solidFill>
            <a:schemeClr val="tx1"/>
          </a:solidFill>
        </a:ln>
      </c:spPr>
    </c:plotArea>
    <c:legend>
      <c:legendPos val="b"/>
      <c:layout>
        <c:manualLayout>
          <c:xMode val="edge"/>
          <c:yMode val="edge"/>
          <c:x val="6.5159268884492888E-2"/>
          <c:y val="0.88053282633520458"/>
          <c:w val="0.89859169199594657"/>
          <c:h val="0.10077544407177014"/>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0.58947</cdr:x>
      <cdr:y>0.01868</cdr:y>
    </cdr:from>
    <cdr:to>
      <cdr:x>0.6376</cdr:x>
      <cdr:y>0.05626</cdr:y>
    </cdr:to>
    <cdr:sp macro="" textlink="">
      <cdr:nvSpPr>
        <cdr:cNvPr id="2" name="Přímá spojovací šipka 1"/>
        <cdr:cNvSpPr/>
      </cdr:nvSpPr>
      <cdr:spPr>
        <a:xfrm xmlns:a="http://schemas.openxmlformats.org/drawingml/2006/main" flipH="1" flipV="1">
          <a:off x="2799499" y="66271"/>
          <a:ext cx="228579" cy="133342"/>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0.64912</cdr:x>
      <cdr:y>0.04249</cdr:y>
    </cdr:from>
    <cdr:to>
      <cdr:x>0.72324</cdr:x>
      <cdr:y>0.09724</cdr:y>
    </cdr:to>
    <cdr:sp macro="" textlink="">
      <cdr:nvSpPr>
        <cdr:cNvPr id="3" name="TextovéPole 2"/>
        <cdr:cNvSpPr txBox="1"/>
      </cdr:nvSpPr>
      <cdr:spPr>
        <a:xfrm xmlns:a="http://schemas.openxmlformats.org/drawingml/2006/main">
          <a:off x="3082788" y="150770"/>
          <a:ext cx="352011" cy="1942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drawings/drawing2.xml><?xml version="1.0" encoding="utf-8"?>
<c:userShapes xmlns:c="http://schemas.openxmlformats.org/drawingml/2006/chart">
  <cdr:relSizeAnchor xmlns:cdr="http://schemas.openxmlformats.org/drawingml/2006/chartDrawing">
    <cdr:from>
      <cdr:x>0.25338</cdr:x>
      <cdr:y>0.68012</cdr:y>
    </cdr:from>
    <cdr:to>
      <cdr:x>0.29928</cdr:x>
      <cdr:y>0.69404</cdr:y>
    </cdr:to>
    <cdr:sp macro="" textlink="">
      <cdr:nvSpPr>
        <cdr:cNvPr id="2" name="Přímá spojovací šipka 1"/>
        <cdr:cNvSpPr/>
      </cdr:nvSpPr>
      <cdr:spPr>
        <a:xfrm xmlns:a="http://schemas.openxmlformats.org/drawingml/2006/main" flipH="1">
          <a:off x="1201624" y="2311967"/>
          <a:ext cx="217675" cy="47319"/>
        </a:xfrm>
        <a:prstGeom xmlns:a="http://schemas.openxmlformats.org/drawingml/2006/main" prst="straightConnector1">
          <a:avLst/>
        </a:prstGeom>
        <a:noFill xmlns:a="http://schemas.openxmlformats.org/drawingml/2006/main"/>
        <a:ln xmlns:a="http://schemas.openxmlformats.org/drawingml/2006/main" w="6350" cap="flat" cmpd="sng" algn="ctr">
          <a:solidFill>
            <a:srgbClr val="00B0F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0.29766</cdr:x>
      <cdr:y>0.63701</cdr:y>
    </cdr:from>
    <cdr:to>
      <cdr:x>0.35644</cdr:x>
      <cdr:y>0.69197</cdr:y>
    </cdr:to>
    <cdr:sp macro="" textlink="">
      <cdr:nvSpPr>
        <cdr:cNvPr id="3" name="TextovéPole 2"/>
        <cdr:cNvSpPr txBox="1"/>
      </cdr:nvSpPr>
      <cdr:spPr>
        <a:xfrm xmlns:a="http://schemas.openxmlformats.org/drawingml/2006/main">
          <a:off x="1411617" y="2165424"/>
          <a:ext cx="278757" cy="186827"/>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00B0F0"/>
              </a:solidFill>
              <a:latin typeface="Arial" pitchFamily="34" charset="0"/>
              <a:cs typeface="Arial" pitchFamily="34" charset="0"/>
            </a:rPr>
            <a:t>-16,0</a:t>
          </a:r>
        </a:p>
      </cdr:txBody>
    </cdr:sp>
  </cdr:relSizeAnchor>
</c:userShapes>
</file>

<file path=word/drawings/drawing3.xml><?xml version="1.0" encoding="utf-8"?>
<c:userShapes xmlns:c="http://schemas.openxmlformats.org/drawingml/2006/chart">
  <cdr:relSizeAnchor xmlns:cdr="http://schemas.openxmlformats.org/drawingml/2006/chartDrawing">
    <cdr:from>
      <cdr:x>0.03882</cdr:x>
      <cdr:y>0.4281</cdr:y>
    </cdr:from>
    <cdr:to>
      <cdr:x>0.94336</cdr:x>
      <cdr:y>0.42924</cdr:y>
    </cdr:to>
    <cdr:sp macro="" textlink="">
      <cdr:nvSpPr>
        <cdr:cNvPr id="3" name="Přímá spojovací čára 2"/>
        <cdr:cNvSpPr/>
      </cdr:nvSpPr>
      <cdr:spPr bwMode="auto">
        <a:xfrm xmlns:a="http://schemas.openxmlformats.org/drawingml/2006/main">
          <a:off x="183914" y="1497514"/>
          <a:ext cx="4285716" cy="398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E4132-6229-4270-B1A3-F791EBE7A491}">
  <ds:schemaRefs>
    <ds:schemaRef ds:uri="http://schemas.openxmlformats.org/officeDocument/2006/bibliography"/>
  </ds:schemaRefs>
</ds:datastoreItem>
</file>

<file path=customXml/itemProps2.xml><?xml version="1.0" encoding="utf-8"?>
<ds:datastoreItem xmlns:ds="http://schemas.openxmlformats.org/officeDocument/2006/customXml" ds:itemID="{121B352E-65E1-40F4-B70A-5B0E4F9B913E}">
  <ds:schemaRefs>
    <ds:schemaRef ds:uri="http://schemas.openxmlformats.org/officeDocument/2006/bibliography"/>
  </ds:schemaRefs>
</ds:datastoreItem>
</file>

<file path=customXml/itemProps3.xml><?xml version="1.0" encoding="utf-8"?>
<ds:datastoreItem xmlns:ds="http://schemas.openxmlformats.org/officeDocument/2006/customXml" ds:itemID="{4EAD4879-1B3C-4539-B8C3-7546F65CAC46}">
  <ds:schemaRefs>
    <ds:schemaRef ds:uri="http://schemas.openxmlformats.org/officeDocument/2006/bibliography"/>
  </ds:schemaRefs>
</ds:datastoreItem>
</file>

<file path=customXml/itemProps4.xml><?xml version="1.0" encoding="utf-8"?>
<ds:datastoreItem xmlns:ds="http://schemas.openxmlformats.org/officeDocument/2006/customXml" ds:itemID="{BE594EA0-C52B-47AF-B482-6DDA897E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0</TotalTime>
  <Pages>33</Pages>
  <Words>14353</Words>
  <Characters>84683</Characters>
  <Application>Microsoft Office Word</Application>
  <DocSecurity>0</DocSecurity>
  <Lines>705</Lines>
  <Paragraphs>197</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98839</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2</cp:revision>
  <cp:lastPrinted>2018-03-14T17:02:00Z</cp:lastPrinted>
  <dcterms:created xsi:type="dcterms:W3CDTF">2018-04-23T12:06:00Z</dcterms:created>
  <dcterms:modified xsi:type="dcterms:W3CDTF">2018-04-23T12:06:00Z</dcterms:modified>
</cp:coreProperties>
</file>