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9C" w:rsidRPr="003F01D7" w:rsidRDefault="003F01D7" w:rsidP="00150635">
      <w:pPr>
        <w:pStyle w:val="Nadpis1"/>
        <w:numPr>
          <w:ilvl w:val="0"/>
          <w:numId w:val="25"/>
        </w:numPr>
        <w:jc w:val="both"/>
        <w:rPr>
          <w:lang w:val="en-GB"/>
        </w:rPr>
      </w:pPr>
      <w:bookmarkStart w:id="0" w:name="_Toc454185150"/>
      <w:bookmarkStart w:id="1" w:name="_Toc493683635"/>
      <w:r w:rsidRPr="003F01D7">
        <w:rPr>
          <w:lang w:val="en-GB"/>
        </w:rPr>
        <w:t>Branches Performance</w:t>
      </w:r>
      <w:bookmarkEnd w:id="0"/>
      <w:bookmarkEnd w:id="1"/>
    </w:p>
    <w:tbl>
      <w:tblPr>
        <w:tblW w:w="4986" w:type="pct"/>
        <w:tblInd w:w="107" w:type="dxa"/>
        <w:tblLayout w:type="fixed"/>
        <w:tblLook w:val="00A0"/>
      </w:tblPr>
      <w:tblGrid>
        <w:gridCol w:w="1997"/>
        <w:gridCol w:w="283"/>
        <w:gridCol w:w="7546"/>
      </w:tblGrid>
      <w:tr w:rsidR="007B0920" w:rsidRPr="003F01D7" w:rsidTr="00CF0826">
        <w:trPr>
          <w:trHeight w:val="145"/>
        </w:trPr>
        <w:tc>
          <w:tcPr>
            <w:tcW w:w="1016" w:type="pct"/>
          </w:tcPr>
          <w:p w:rsidR="007B0920" w:rsidRPr="003F01D7" w:rsidRDefault="00000C43" w:rsidP="00000C43">
            <w:pPr>
              <w:spacing w:line="240" w:lineRule="auto"/>
              <w:rPr>
                <w:spacing w:val="-3"/>
                <w:sz w:val="16"/>
                <w:szCs w:val="16"/>
                <w:lang w:val="en-GB"/>
              </w:rPr>
            </w:pPr>
            <w:r w:rsidRPr="003F01D7">
              <w:rPr>
                <w:spacing w:val="-3"/>
                <w:sz w:val="16"/>
                <w:szCs w:val="16"/>
                <w:lang w:val="en-GB"/>
              </w:rPr>
              <w:t xml:space="preserve">Gross value added increased by </w:t>
            </w:r>
            <w:r w:rsidR="007B0920" w:rsidRPr="003F01D7">
              <w:rPr>
                <w:spacing w:val="-3"/>
                <w:sz w:val="16"/>
                <w:szCs w:val="16"/>
                <w:lang w:val="en-GB"/>
              </w:rPr>
              <w:t>4</w:t>
            </w:r>
            <w:r w:rsidRPr="003F01D7">
              <w:rPr>
                <w:spacing w:val="-3"/>
                <w:sz w:val="16"/>
                <w:szCs w:val="16"/>
                <w:lang w:val="en-GB"/>
              </w:rPr>
              <w:t>.</w:t>
            </w:r>
            <w:r w:rsidR="007B0920" w:rsidRPr="003F01D7">
              <w:rPr>
                <w:spacing w:val="-3"/>
                <w:sz w:val="16"/>
                <w:szCs w:val="16"/>
                <w:lang w:val="en-GB"/>
              </w:rPr>
              <w:t>5%</w:t>
            </w:r>
            <w:r w:rsidRPr="003F01D7">
              <w:rPr>
                <w:spacing w:val="-3"/>
                <w:sz w:val="16"/>
                <w:szCs w:val="16"/>
                <w:lang w:val="en-GB"/>
              </w:rPr>
              <w:t xml:space="preserve"> last year mainly thanks to the acceleration in the first half of the year. All ten main branch groupings participated on the growth.</w:t>
            </w:r>
            <w:r w:rsidR="007B0920" w:rsidRPr="003F01D7">
              <w:rPr>
                <w:spacing w:val="-3"/>
                <w:sz w:val="16"/>
                <w:szCs w:val="16"/>
                <w:lang w:val="en-GB"/>
              </w:rPr>
              <w:t xml:space="preserve"> </w:t>
            </w:r>
          </w:p>
        </w:tc>
        <w:tc>
          <w:tcPr>
            <w:tcW w:w="144" w:type="pct"/>
          </w:tcPr>
          <w:p w:rsidR="007B0920" w:rsidRPr="003F01D7" w:rsidRDefault="007B0920" w:rsidP="00CF0826">
            <w:pPr>
              <w:pStyle w:val="Textpoznpodarou"/>
              <w:jc w:val="both"/>
              <w:rPr>
                <w:lang w:val="en-GB"/>
              </w:rPr>
            </w:pPr>
          </w:p>
        </w:tc>
        <w:tc>
          <w:tcPr>
            <w:tcW w:w="3840" w:type="pct"/>
          </w:tcPr>
          <w:p w:rsidR="007B0920" w:rsidRPr="003F01D7" w:rsidRDefault="00D867A7" w:rsidP="00CF0826">
            <w:pPr>
              <w:pStyle w:val="Textpoznpodarou"/>
              <w:jc w:val="both"/>
              <w:rPr>
                <w:spacing w:val="-4"/>
                <w:lang w:val="en-GB"/>
              </w:rPr>
            </w:pPr>
            <w:r w:rsidRPr="003F01D7">
              <w:rPr>
                <w:spacing w:val="-4"/>
                <w:lang w:val="en-GB"/>
              </w:rPr>
              <w:t>The Czech economy prospered also in the last year. The growth of the gross value added</w:t>
            </w:r>
            <w:r w:rsidR="007B0920" w:rsidRPr="003F01D7">
              <w:rPr>
                <w:rStyle w:val="Znakapoznpodarou"/>
                <w:spacing w:val="-4"/>
                <w:lang w:val="en-GB"/>
              </w:rPr>
              <w:footnoteReference w:id="1"/>
            </w:r>
            <w:r w:rsidR="007B0920" w:rsidRPr="003F01D7">
              <w:rPr>
                <w:spacing w:val="-4"/>
                <w:lang w:val="en-GB"/>
              </w:rPr>
              <w:t xml:space="preserve"> </w:t>
            </w:r>
            <w:r w:rsidRPr="003F01D7">
              <w:rPr>
                <w:spacing w:val="-4"/>
                <w:lang w:val="en-GB"/>
              </w:rPr>
              <w:t xml:space="preserve">nearly doubled compared to the rate of growth attained in </w:t>
            </w:r>
            <w:r w:rsidR="007B0920" w:rsidRPr="003F01D7">
              <w:rPr>
                <w:spacing w:val="-4"/>
                <w:lang w:val="en-GB"/>
              </w:rPr>
              <w:t>2016</w:t>
            </w:r>
            <w:r w:rsidRPr="003F01D7">
              <w:rPr>
                <w:spacing w:val="-4"/>
                <w:lang w:val="en-GB"/>
              </w:rPr>
              <w:t xml:space="preserve"> </w:t>
            </w:r>
            <w:r w:rsidR="007B0920" w:rsidRPr="003F01D7">
              <w:rPr>
                <w:spacing w:val="-4"/>
                <w:lang w:val="en-GB"/>
              </w:rPr>
              <w:t>(</w:t>
            </w:r>
            <w:r w:rsidRPr="003F01D7">
              <w:rPr>
                <w:spacing w:val="-4"/>
                <w:lang w:val="en-GB"/>
              </w:rPr>
              <w:t xml:space="preserve">to </w:t>
            </w:r>
            <w:r w:rsidR="007B0920" w:rsidRPr="003F01D7">
              <w:rPr>
                <w:spacing w:val="-4"/>
                <w:lang w:val="en-GB"/>
              </w:rPr>
              <w:t>4</w:t>
            </w:r>
            <w:r w:rsidRPr="003F01D7">
              <w:rPr>
                <w:spacing w:val="-4"/>
                <w:lang w:val="en-GB"/>
              </w:rPr>
              <w:t>.</w:t>
            </w:r>
            <w:r w:rsidR="007B0920" w:rsidRPr="003F01D7">
              <w:rPr>
                <w:spacing w:val="-4"/>
                <w:lang w:val="en-GB"/>
              </w:rPr>
              <w:t>5%).</w:t>
            </w:r>
            <w:r w:rsidRPr="003F01D7">
              <w:rPr>
                <w:spacing w:val="-4"/>
                <w:lang w:val="en-GB"/>
              </w:rPr>
              <w:t xml:space="preserve"> The last year thus ended next to year </w:t>
            </w:r>
            <w:r w:rsidR="007B0920" w:rsidRPr="003F01D7">
              <w:rPr>
                <w:spacing w:val="-4"/>
                <w:lang w:val="en-GB"/>
              </w:rPr>
              <w:t>2015</w:t>
            </w:r>
            <w:r w:rsidRPr="003F01D7">
              <w:rPr>
                <w:spacing w:val="-4"/>
                <w:lang w:val="en-GB"/>
              </w:rPr>
              <w:t xml:space="preserve"> </w:t>
            </w:r>
            <w:r w:rsidR="00790164" w:rsidRPr="003F01D7">
              <w:rPr>
                <w:spacing w:val="-4"/>
                <w:lang w:val="en-GB"/>
              </w:rPr>
              <w:t xml:space="preserve">among the </w:t>
            </w:r>
            <w:r w:rsidRPr="003F01D7">
              <w:rPr>
                <w:spacing w:val="-4"/>
                <w:lang w:val="en-GB"/>
              </w:rPr>
              <w:t xml:space="preserve">most successful in the last decade. </w:t>
            </w:r>
            <w:r w:rsidR="00B54B85" w:rsidRPr="003F01D7">
              <w:rPr>
                <w:spacing w:val="-4"/>
                <w:lang w:val="en-GB"/>
              </w:rPr>
              <w:t xml:space="preserve">It was mostly due to the </w:t>
            </w:r>
            <w:r w:rsidR="002473CA" w:rsidRPr="003F01D7">
              <w:rPr>
                <w:spacing w:val="-4"/>
                <w:lang w:val="en-GB"/>
              </w:rPr>
              <w:t>substantial acceleration of performance in the first half of the last year</w:t>
            </w:r>
            <w:r w:rsidR="007B0920" w:rsidRPr="003F01D7">
              <w:rPr>
                <w:spacing w:val="-4"/>
                <w:lang w:val="en-GB"/>
              </w:rPr>
              <w:t>, n</w:t>
            </w:r>
            <w:r w:rsidR="00E841E3" w:rsidRPr="003F01D7">
              <w:rPr>
                <w:spacing w:val="-4"/>
                <w:lang w:val="en-GB"/>
              </w:rPr>
              <w:t xml:space="preserve">evertheless the GVA strengthened by a significant 0.6% compared to the preceding quarter (similarly to the EU) even in the last three months of </w:t>
            </w:r>
            <w:r w:rsidR="007B0920" w:rsidRPr="003F01D7">
              <w:rPr>
                <w:spacing w:val="-4"/>
                <w:lang w:val="en-GB"/>
              </w:rPr>
              <w:t>2017</w:t>
            </w:r>
            <w:r w:rsidR="00E841E3" w:rsidRPr="003F01D7">
              <w:rPr>
                <w:spacing w:val="-4"/>
                <w:lang w:val="en-GB"/>
              </w:rPr>
              <w:t xml:space="preserve">. </w:t>
            </w:r>
            <w:r w:rsidR="00817BBE" w:rsidRPr="003F01D7">
              <w:rPr>
                <w:spacing w:val="-4"/>
                <w:lang w:val="en-GB"/>
              </w:rPr>
              <w:t xml:space="preserve">Quarter-on-quarter growth of GVA persisted already for the nineteenth time in a row, in total then the performance of all branches jumped by </w:t>
            </w:r>
            <w:r w:rsidR="007B0920" w:rsidRPr="003F01D7">
              <w:rPr>
                <w:spacing w:val="-4"/>
                <w:lang w:val="en-GB"/>
              </w:rPr>
              <w:t>18</w:t>
            </w:r>
            <w:r w:rsidR="00817BBE" w:rsidRPr="003F01D7">
              <w:rPr>
                <w:spacing w:val="-4"/>
                <w:lang w:val="en-GB"/>
              </w:rPr>
              <w:t>.</w:t>
            </w:r>
            <w:r w:rsidR="007B0920" w:rsidRPr="003F01D7">
              <w:rPr>
                <w:spacing w:val="-4"/>
                <w:lang w:val="en-GB"/>
              </w:rPr>
              <w:t>2%</w:t>
            </w:r>
            <w:r w:rsidR="00817BBE" w:rsidRPr="003F01D7">
              <w:rPr>
                <w:spacing w:val="-4"/>
                <w:lang w:val="en-GB"/>
              </w:rPr>
              <w:t xml:space="preserve"> since the end of the last recession</w:t>
            </w:r>
            <w:r w:rsidR="007B0920" w:rsidRPr="003F01D7">
              <w:rPr>
                <w:spacing w:val="-4"/>
                <w:lang w:val="en-GB"/>
              </w:rPr>
              <w:t>.</w:t>
            </w:r>
            <w:r w:rsidR="00A738E8" w:rsidRPr="003F01D7">
              <w:rPr>
                <w:spacing w:val="-4"/>
                <w:lang w:val="en-GB"/>
              </w:rPr>
              <w:t xml:space="preserve"> </w:t>
            </w:r>
            <w:r w:rsidR="00435874" w:rsidRPr="003F01D7">
              <w:rPr>
                <w:spacing w:val="-4"/>
                <w:lang w:val="en-GB"/>
              </w:rPr>
              <w:t xml:space="preserve">In contrast to the preceding years of the current expansion, all main branch groupings contributed to the year-on-year GVA growth last year. </w:t>
            </w:r>
            <w:r w:rsidR="0021396F" w:rsidRPr="003F01D7">
              <w:rPr>
                <w:spacing w:val="-4"/>
                <w:lang w:val="en-GB"/>
              </w:rPr>
              <w:t xml:space="preserve">Improvement of the performance in energetics and construction also played a part. </w:t>
            </w:r>
          </w:p>
          <w:p w:rsidR="007B0920" w:rsidRPr="003F01D7" w:rsidRDefault="007B0920" w:rsidP="00CF0826">
            <w:pPr>
              <w:pStyle w:val="Textpoznpodarou"/>
              <w:jc w:val="both"/>
              <w:rPr>
                <w:spacing w:val="-4"/>
                <w:sz w:val="15"/>
                <w:szCs w:val="15"/>
                <w:lang w:val="en-GB"/>
              </w:rPr>
            </w:pPr>
          </w:p>
        </w:tc>
      </w:tr>
      <w:tr w:rsidR="007B0920" w:rsidRPr="00A74192" w:rsidTr="00CF0826">
        <w:trPr>
          <w:trHeight w:val="145"/>
        </w:trPr>
        <w:tc>
          <w:tcPr>
            <w:tcW w:w="1016" w:type="pct"/>
            <w:shd w:val="clear" w:color="auto" w:fill="auto"/>
          </w:tcPr>
          <w:p w:rsidR="007B0920" w:rsidRPr="00A07BB0" w:rsidRDefault="0091561A" w:rsidP="00CF0826">
            <w:pPr>
              <w:spacing w:line="240" w:lineRule="auto"/>
              <w:rPr>
                <w:spacing w:val="-2"/>
                <w:sz w:val="16"/>
                <w:szCs w:val="16"/>
                <w:lang w:val="en-GB"/>
              </w:rPr>
            </w:pPr>
            <w:r w:rsidRPr="00A07BB0">
              <w:rPr>
                <w:spacing w:val="-2"/>
                <w:sz w:val="16"/>
                <w:szCs w:val="16"/>
                <w:lang w:val="en-GB"/>
              </w:rPr>
              <w:t>Contribution of manufacturing to growth of total GVA remained stable in the last seven quarters</w:t>
            </w:r>
            <w:r w:rsidR="007B0920" w:rsidRPr="00A07BB0">
              <w:rPr>
                <w:spacing w:val="-2"/>
                <w:sz w:val="16"/>
                <w:szCs w:val="16"/>
                <w:lang w:val="en-GB"/>
              </w:rPr>
              <w:t xml:space="preserve">, </w:t>
            </w:r>
            <w:r w:rsidRPr="00A07BB0">
              <w:rPr>
                <w:spacing w:val="-2"/>
                <w:sz w:val="16"/>
                <w:szCs w:val="16"/>
                <w:lang w:val="en-GB"/>
              </w:rPr>
              <w:t>in contrast it markedly strengthened in services</w:t>
            </w:r>
            <w:r w:rsidR="002439C3" w:rsidRPr="00A07BB0">
              <w:rPr>
                <w:spacing w:val="-2"/>
                <w:sz w:val="16"/>
                <w:szCs w:val="16"/>
                <w:lang w:val="en-GB"/>
              </w:rPr>
              <w:t xml:space="preserve"> sector. </w:t>
            </w:r>
          </w:p>
          <w:p w:rsidR="007B0920" w:rsidRPr="00A07BB0" w:rsidRDefault="007B0920" w:rsidP="00CF0826">
            <w:pPr>
              <w:spacing w:line="240" w:lineRule="auto"/>
              <w:rPr>
                <w:spacing w:val="-2"/>
                <w:sz w:val="16"/>
                <w:szCs w:val="16"/>
                <w:lang w:val="en-GB"/>
              </w:rPr>
            </w:pPr>
          </w:p>
          <w:p w:rsidR="007B0920" w:rsidRPr="00A07BB0" w:rsidRDefault="007B0920" w:rsidP="00CF0826">
            <w:pPr>
              <w:spacing w:line="240" w:lineRule="auto"/>
              <w:rPr>
                <w:spacing w:val="-2"/>
                <w:sz w:val="16"/>
                <w:szCs w:val="16"/>
                <w:lang w:val="en-GB"/>
              </w:rPr>
            </w:pPr>
          </w:p>
          <w:p w:rsidR="007B0920" w:rsidRPr="00A07BB0" w:rsidRDefault="007B0920" w:rsidP="00CF0826">
            <w:pPr>
              <w:spacing w:line="240" w:lineRule="auto"/>
              <w:rPr>
                <w:spacing w:val="-2"/>
                <w:sz w:val="16"/>
                <w:szCs w:val="16"/>
                <w:lang w:val="en-GB"/>
              </w:rPr>
            </w:pPr>
          </w:p>
          <w:p w:rsidR="007B0920" w:rsidRPr="00A07BB0" w:rsidRDefault="007B0920" w:rsidP="00CF0826">
            <w:pPr>
              <w:spacing w:line="240" w:lineRule="auto"/>
              <w:rPr>
                <w:spacing w:val="-2"/>
                <w:sz w:val="16"/>
                <w:szCs w:val="16"/>
                <w:lang w:val="en-GB"/>
              </w:rPr>
            </w:pPr>
            <w:r w:rsidRPr="00A07BB0">
              <w:rPr>
                <w:spacing w:val="-2"/>
                <w:sz w:val="16"/>
                <w:szCs w:val="16"/>
                <w:lang w:val="en-GB"/>
              </w:rPr>
              <w:t>Dyn</w:t>
            </w:r>
            <w:r w:rsidR="002439C3" w:rsidRPr="00A07BB0">
              <w:rPr>
                <w:spacing w:val="-2"/>
                <w:sz w:val="16"/>
                <w:szCs w:val="16"/>
                <w:lang w:val="en-GB"/>
              </w:rPr>
              <w:t xml:space="preserve">amic growth of the financial sector performance as well as the weak </w:t>
            </w:r>
            <w:r w:rsidR="00A07BB0" w:rsidRPr="00A07BB0">
              <w:rPr>
                <w:spacing w:val="-2"/>
                <w:sz w:val="16"/>
                <w:szCs w:val="16"/>
                <w:lang w:val="en-GB"/>
              </w:rPr>
              <w:t>dynamics of the branches with the dominant share of state endured.</w:t>
            </w:r>
          </w:p>
          <w:p w:rsidR="007B0920" w:rsidRPr="00A07BB0" w:rsidRDefault="007B0920" w:rsidP="00CF0826">
            <w:pPr>
              <w:spacing w:line="240" w:lineRule="auto"/>
              <w:rPr>
                <w:spacing w:val="-2"/>
                <w:sz w:val="16"/>
                <w:szCs w:val="16"/>
                <w:lang w:val="en-GB"/>
              </w:rPr>
            </w:pPr>
          </w:p>
          <w:p w:rsidR="007B0920" w:rsidRPr="00A07BB0" w:rsidRDefault="007B0920" w:rsidP="00CF0826">
            <w:pPr>
              <w:spacing w:line="240" w:lineRule="auto"/>
              <w:rPr>
                <w:spacing w:val="-2"/>
                <w:sz w:val="16"/>
                <w:szCs w:val="16"/>
                <w:lang w:val="en-GB"/>
              </w:rPr>
            </w:pPr>
          </w:p>
          <w:p w:rsidR="007B0920" w:rsidRPr="00A07BB0" w:rsidRDefault="00B945C1" w:rsidP="00B945C1">
            <w:pPr>
              <w:spacing w:line="240" w:lineRule="auto"/>
              <w:rPr>
                <w:spacing w:val="-2"/>
                <w:sz w:val="16"/>
                <w:szCs w:val="16"/>
                <w:lang w:val="en-GB"/>
              </w:rPr>
            </w:pPr>
            <w:r w:rsidRPr="00A07BB0">
              <w:rPr>
                <w:spacing w:val="-2"/>
                <w:sz w:val="16"/>
                <w:szCs w:val="16"/>
                <w:lang w:val="en-GB"/>
              </w:rPr>
              <w:t xml:space="preserve">Despite the fact, that the very good harvest from years </w:t>
            </w:r>
            <w:r w:rsidR="007B0920" w:rsidRPr="00A07BB0">
              <w:rPr>
                <w:spacing w:val="-2"/>
                <w:sz w:val="16"/>
                <w:szCs w:val="16"/>
                <w:lang w:val="en-GB"/>
              </w:rPr>
              <w:t xml:space="preserve">2014 </w:t>
            </w:r>
            <w:r w:rsidRPr="00A07BB0">
              <w:rPr>
                <w:spacing w:val="-2"/>
                <w:sz w:val="16"/>
                <w:szCs w:val="16"/>
                <w:lang w:val="en-GB"/>
              </w:rPr>
              <w:t xml:space="preserve">till </w:t>
            </w:r>
            <w:r w:rsidR="007B0920" w:rsidRPr="00A07BB0">
              <w:rPr>
                <w:spacing w:val="-2"/>
                <w:sz w:val="16"/>
                <w:szCs w:val="16"/>
                <w:lang w:val="en-GB"/>
              </w:rPr>
              <w:t xml:space="preserve">2016 </w:t>
            </w:r>
            <w:r w:rsidRPr="00A07BB0">
              <w:rPr>
                <w:spacing w:val="-2"/>
                <w:sz w:val="16"/>
                <w:szCs w:val="16"/>
                <w:lang w:val="en-GB"/>
              </w:rPr>
              <w:t xml:space="preserve">was not repeated last year, value added in the primary sector still kept growing. </w:t>
            </w:r>
          </w:p>
        </w:tc>
        <w:tc>
          <w:tcPr>
            <w:tcW w:w="144" w:type="pct"/>
          </w:tcPr>
          <w:p w:rsidR="007B0920" w:rsidRPr="00A07BB0" w:rsidRDefault="007B0920" w:rsidP="00CF0826">
            <w:pPr>
              <w:pStyle w:val="Textpoznpodarou"/>
              <w:jc w:val="both"/>
              <w:rPr>
                <w:lang w:val="en-GB"/>
              </w:rPr>
            </w:pPr>
          </w:p>
        </w:tc>
        <w:tc>
          <w:tcPr>
            <w:tcW w:w="3840" w:type="pct"/>
          </w:tcPr>
          <w:p w:rsidR="007B0920" w:rsidRPr="00A07BB0" w:rsidRDefault="0091561A" w:rsidP="00CF0826">
            <w:pPr>
              <w:pStyle w:val="Textpoznpodarou"/>
              <w:jc w:val="both"/>
              <w:rPr>
                <w:spacing w:val="-4"/>
                <w:lang w:val="en-GB"/>
              </w:rPr>
            </w:pPr>
            <w:r w:rsidRPr="00A07BB0">
              <w:rPr>
                <w:spacing w:val="-4"/>
                <w:lang w:val="en-GB"/>
              </w:rPr>
              <w:t xml:space="preserve">Manufacturing sustained the key role it plays among branches also last year when it contributed to the year-on-year growth of total GVA from nearly one half. Favourable results of industrial exporters were reflected in the high GVA growth rate of this branch </w:t>
            </w:r>
            <w:r w:rsidR="007B0920" w:rsidRPr="00A07BB0">
              <w:rPr>
                <w:spacing w:val="-4"/>
                <w:lang w:val="en-GB"/>
              </w:rPr>
              <w:t>(+7</w:t>
            </w:r>
            <w:r w:rsidRPr="00A07BB0">
              <w:rPr>
                <w:spacing w:val="-4"/>
                <w:lang w:val="en-GB"/>
              </w:rPr>
              <w:t>.</w:t>
            </w:r>
            <w:r w:rsidR="007B0920" w:rsidRPr="00A07BB0">
              <w:rPr>
                <w:spacing w:val="-4"/>
                <w:lang w:val="en-GB"/>
              </w:rPr>
              <w:t xml:space="preserve">6%, </w:t>
            </w:r>
            <w:r w:rsidRPr="00A07BB0">
              <w:rPr>
                <w:spacing w:val="-4"/>
                <w:lang w:val="en-GB"/>
              </w:rPr>
              <w:t>the highest in the last six years</w:t>
            </w:r>
            <w:r w:rsidR="007B0920" w:rsidRPr="00A07BB0">
              <w:rPr>
                <w:spacing w:val="-4"/>
                <w:lang w:val="en-GB"/>
              </w:rPr>
              <w:t xml:space="preserve">). </w:t>
            </w:r>
            <w:r w:rsidRPr="00A07BB0">
              <w:rPr>
                <w:spacing w:val="-4"/>
                <w:lang w:val="en-GB"/>
              </w:rPr>
              <w:t>Strong growth of GVA was ach</w:t>
            </w:r>
            <w:r w:rsidRPr="002A7A78">
              <w:rPr>
                <w:spacing w:val="-4"/>
                <w:lang w:val="en-GB"/>
              </w:rPr>
              <w:t xml:space="preserve">ieved </w:t>
            </w:r>
            <w:r w:rsidR="002A7A78" w:rsidRPr="002A7A78">
              <w:rPr>
                <w:rStyle w:val="shorttext"/>
                <w:rFonts w:cs="Arial"/>
                <w:color w:val="222222"/>
              </w:rPr>
              <w:t>together with</w:t>
            </w:r>
            <w:r w:rsidR="002A7A78" w:rsidRPr="002A7A78">
              <w:rPr>
                <w:spacing w:val="-4"/>
                <w:lang w:val="en-GB"/>
              </w:rPr>
              <w:t xml:space="preserve"> </w:t>
            </w:r>
            <w:r w:rsidRPr="002A7A78">
              <w:rPr>
                <w:spacing w:val="-4"/>
                <w:lang w:val="en-GB"/>
              </w:rPr>
              <w:t>weak rise</w:t>
            </w:r>
            <w:r w:rsidRPr="00A07BB0">
              <w:rPr>
                <w:spacing w:val="-4"/>
                <w:lang w:val="en-GB"/>
              </w:rPr>
              <w:t xml:space="preserve"> of employment </w:t>
            </w:r>
            <w:r w:rsidR="007B0920" w:rsidRPr="00A07BB0">
              <w:rPr>
                <w:spacing w:val="-4"/>
                <w:lang w:val="en-GB"/>
              </w:rPr>
              <w:t>(+0</w:t>
            </w:r>
            <w:r w:rsidRPr="00A07BB0">
              <w:rPr>
                <w:spacing w:val="-4"/>
                <w:lang w:val="en-GB"/>
              </w:rPr>
              <w:t>.</w:t>
            </w:r>
            <w:r w:rsidR="007B0920" w:rsidRPr="00A07BB0">
              <w:rPr>
                <w:spacing w:val="-4"/>
                <w:lang w:val="en-GB"/>
              </w:rPr>
              <w:t xml:space="preserve">6%) </w:t>
            </w:r>
            <w:r w:rsidRPr="00A07BB0">
              <w:rPr>
                <w:spacing w:val="-4"/>
                <w:lang w:val="en-GB"/>
              </w:rPr>
              <w:t>as well as hours worked (</w:t>
            </w:r>
            <w:r w:rsidR="007B0920" w:rsidRPr="00A07BB0">
              <w:rPr>
                <w:spacing w:val="-4"/>
                <w:lang w:val="en-GB"/>
              </w:rPr>
              <w:t>+1</w:t>
            </w:r>
            <w:r w:rsidRPr="00A07BB0">
              <w:rPr>
                <w:spacing w:val="-4"/>
                <w:lang w:val="en-GB"/>
              </w:rPr>
              <w:t>.</w:t>
            </w:r>
            <w:r w:rsidR="007B0920" w:rsidRPr="00A07BB0">
              <w:rPr>
                <w:spacing w:val="-4"/>
                <w:lang w:val="en-GB"/>
              </w:rPr>
              <w:t>0%),</w:t>
            </w:r>
            <w:r w:rsidRPr="00A07BB0">
              <w:rPr>
                <w:spacing w:val="-4"/>
                <w:lang w:val="en-GB"/>
              </w:rPr>
              <w:t xml:space="preserve"> which had a positive effect on the development of productivity. The performance of the services sector increased by more modest </w:t>
            </w:r>
            <w:r w:rsidR="007B0920" w:rsidRPr="00A07BB0">
              <w:rPr>
                <w:spacing w:val="-4"/>
                <w:lang w:val="en-GB"/>
              </w:rPr>
              <w:t>3</w:t>
            </w:r>
            <w:r w:rsidRPr="00A07BB0">
              <w:rPr>
                <w:spacing w:val="-4"/>
                <w:lang w:val="en-GB"/>
              </w:rPr>
              <w:t>.</w:t>
            </w:r>
            <w:r w:rsidR="007B0920" w:rsidRPr="00A07BB0">
              <w:rPr>
                <w:spacing w:val="-4"/>
                <w:lang w:val="en-GB"/>
              </w:rPr>
              <w:t xml:space="preserve">5%, </w:t>
            </w:r>
            <w:r w:rsidRPr="00A07BB0">
              <w:rPr>
                <w:spacing w:val="-4"/>
                <w:lang w:val="en-GB"/>
              </w:rPr>
              <w:t xml:space="preserve">nevertheless it contributed to the growth of the GVA of the whole economy comparably to manufacturing in the last year. While contributions of manufacturing to growth stagnated in the last seven months, the role of the services sector on the contrary strengthened, which was accompanied by more </w:t>
            </w:r>
            <w:r w:rsidR="007C75CA" w:rsidRPr="00A07BB0">
              <w:rPr>
                <w:spacing w:val="-4"/>
                <w:lang w:val="en-GB"/>
              </w:rPr>
              <w:t>intensive</w:t>
            </w:r>
            <w:r w:rsidRPr="00A07BB0">
              <w:rPr>
                <w:spacing w:val="-4"/>
                <w:lang w:val="en-GB"/>
              </w:rPr>
              <w:t xml:space="preserve"> creation of new job positions. </w:t>
            </w:r>
            <w:r w:rsidR="007B0920" w:rsidRPr="00A07BB0">
              <w:rPr>
                <w:spacing w:val="-4"/>
                <w:lang w:val="en-GB"/>
              </w:rPr>
              <w:t>S</w:t>
            </w:r>
            <w:r w:rsidR="002439C3" w:rsidRPr="00A07BB0">
              <w:rPr>
                <w:spacing w:val="-4"/>
                <w:lang w:val="en-GB"/>
              </w:rPr>
              <w:t xml:space="preserve">ervices were driven by the most weight dominant group trade, transportation, accommodation and restaurants for the most part of the last year. However, financial and insurance services represented the most dynamic segment similarly to year </w:t>
            </w:r>
            <w:r w:rsidR="007B0920" w:rsidRPr="00A07BB0">
              <w:rPr>
                <w:spacing w:val="-4"/>
                <w:lang w:val="en-GB"/>
              </w:rPr>
              <w:t>2016 (+9</w:t>
            </w:r>
            <w:r w:rsidR="002439C3" w:rsidRPr="00A07BB0">
              <w:rPr>
                <w:spacing w:val="-4"/>
                <w:lang w:val="en-GB"/>
              </w:rPr>
              <w:t>.</w:t>
            </w:r>
            <w:r w:rsidR="007B0920" w:rsidRPr="00A07BB0">
              <w:rPr>
                <w:spacing w:val="-4"/>
                <w:lang w:val="en-GB"/>
              </w:rPr>
              <w:t xml:space="preserve">3%, </w:t>
            </w:r>
            <w:r w:rsidR="002439C3" w:rsidRPr="00A07BB0">
              <w:rPr>
                <w:spacing w:val="-4"/>
                <w:lang w:val="en-GB"/>
              </w:rPr>
              <w:t xml:space="preserve">the most after year </w:t>
            </w:r>
            <w:r w:rsidR="007B0920" w:rsidRPr="00A07BB0">
              <w:rPr>
                <w:spacing w:val="-4"/>
                <w:lang w:val="en-GB"/>
              </w:rPr>
              <w:t xml:space="preserve">2008). </w:t>
            </w:r>
            <w:r w:rsidR="00A65A2B">
              <w:rPr>
                <w:spacing w:val="-4"/>
                <w:lang w:val="en-GB"/>
              </w:rPr>
              <w:t>The professional, scientific, technical and administrative activities also benefited from the growing demand in the last years. On the contrary, the GVA in the branches with the dominant share of state</w:t>
            </w:r>
            <w:r w:rsidR="007B0920" w:rsidRPr="00A07BB0">
              <w:rPr>
                <w:rStyle w:val="Znakapoznpodarou"/>
                <w:spacing w:val="-4"/>
                <w:lang w:val="en-GB"/>
              </w:rPr>
              <w:footnoteReference w:id="2"/>
            </w:r>
            <w:r w:rsidR="004D474F" w:rsidRPr="00A07BB0">
              <w:rPr>
                <w:spacing w:val="-4"/>
                <w:lang w:val="en-GB"/>
              </w:rPr>
              <w:t xml:space="preserve"> </w:t>
            </w:r>
            <w:r w:rsidR="00A65A2B">
              <w:rPr>
                <w:spacing w:val="-4"/>
                <w:lang w:val="en-GB"/>
              </w:rPr>
              <w:t xml:space="preserve">increased (together with employment) only slightly above </w:t>
            </w:r>
            <w:r w:rsidR="007B0920" w:rsidRPr="00A07BB0">
              <w:rPr>
                <w:spacing w:val="-4"/>
                <w:lang w:val="en-GB"/>
              </w:rPr>
              <w:t xml:space="preserve">1%, </w:t>
            </w:r>
            <w:r w:rsidR="00A65A2B">
              <w:rPr>
                <w:spacing w:val="-4"/>
                <w:lang w:val="en-GB"/>
              </w:rPr>
              <w:t>still it was the fastest pace in the last seven years.</w:t>
            </w:r>
            <w:r w:rsidR="00B16796">
              <w:rPr>
                <w:spacing w:val="-4"/>
                <w:lang w:val="en-GB"/>
              </w:rPr>
              <w:t xml:space="preserve"> Value added of the branch agriculture, forestry and fishing rose already fourth year in a row, it however reduced from the pace in year 2016 by one half last year (to </w:t>
            </w:r>
            <w:r w:rsidR="007B0920" w:rsidRPr="00A07BB0">
              <w:rPr>
                <w:spacing w:val="-4"/>
                <w:lang w:val="en-GB"/>
              </w:rPr>
              <w:t>4</w:t>
            </w:r>
            <w:r w:rsidR="00B16796">
              <w:rPr>
                <w:spacing w:val="-4"/>
                <w:lang w:val="en-GB"/>
              </w:rPr>
              <w:t>.</w:t>
            </w:r>
            <w:r w:rsidR="007B0920" w:rsidRPr="00A07BB0">
              <w:rPr>
                <w:spacing w:val="-4"/>
                <w:lang w:val="en-GB"/>
              </w:rPr>
              <w:t xml:space="preserve">7%). </w:t>
            </w:r>
            <w:r w:rsidR="000F45F0">
              <w:rPr>
                <w:spacing w:val="-4"/>
                <w:lang w:val="en-GB"/>
              </w:rPr>
              <w:t xml:space="preserve">The poorer harvest of majority of main types </w:t>
            </w:r>
            <w:r w:rsidR="007A6772">
              <w:rPr>
                <w:spacing w:val="-4"/>
                <w:lang w:val="en-GB"/>
              </w:rPr>
              <w:t xml:space="preserve">of </w:t>
            </w:r>
            <w:r w:rsidR="009459DE">
              <w:rPr>
                <w:spacing w:val="-4"/>
                <w:lang w:val="en-GB"/>
              </w:rPr>
              <w:t xml:space="preserve">cereals </w:t>
            </w:r>
            <w:r w:rsidR="007B0920" w:rsidRPr="009459DE">
              <w:rPr>
                <w:spacing w:val="-4"/>
                <w:lang w:val="en-GB"/>
              </w:rPr>
              <w:t>(</w:t>
            </w:r>
            <w:r w:rsidR="000F45F0" w:rsidRPr="009459DE">
              <w:rPr>
                <w:spacing w:val="-4"/>
                <w:lang w:val="en-GB"/>
              </w:rPr>
              <w:t>especially of corn</w:t>
            </w:r>
            <w:r w:rsidR="007B0920" w:rsidRPr="009459DE">
              <w:rPr>
                <w:spacing w:val="-4"/>
                <w:lang w:val="en-GB"/>
              </w:rPr>
              <w:t xml:space="preserve">), </w:t>
            </w:r>
            <w:r w:rsidR="0009437C" w:rsidRPr="009459DE">
              <w:rPr>
                <w:spacing w:val="-4"/>
                <w:lang w:val="en-GB"/>
              </w:rPr>
              <w:t xml:space="preserve">oilseed rape </w:t>
            </w:r>
            <w:r w:rsidR="00705A91" w:rsidRPr="009459DE">
              <w:rPr>
                <w:spacing w:val="-4"/>
                <w:lang w:val="en-GB"/>
              </w:rPr>
              <w:t xml:space="preserve">as well as fruit </w:t>
            </w:r>
            <w:r w:rsidR="000F45F0" w:rsidRPr="009459DE">
              <w:rPr>
                <w:spacing w:val="-4"/>
                <w:lang w:val="en-GB"/>
              </w:rPr>
              <w:t xml:space="preserve">stood behind the slow </w:t>
            </w:r>
            <w:r w:rsidR="000F45F0" w:rsidRPr="00280A72">
              <w:rPr>
                <w:spacing w:val="-4"/>
                <w:lang w:val="en-GB"/>
              </w:rPr>
              <w:t xml:space="preserve">down. The harvest of </w:t>
            </w:r>
            <w:r w:rsidR="00280A72" w:rsidRPr="00280A72">
              <w:rPr>
                <w:spacing w:val="-4"/>
                <w:lang w:val="en-GB"/>
              </w:rPr>
              <w:t>sugar</w:t>
            </w:r>
            <w:r w:rsidR="00867B8F" w:rsidRPr="00280A72">
              <w:rPr>
                <w:spacing w:val="-4"/>
                <w:lang w:val="en-GB"/>
              </w:rPr>
              <w:t xml:space="preserve"> beet and </w:t>
            </w:r>
            <w:r w:rsidR="00280A72" w:rsidRPr="00280A72">
              <w:rPr>
                <w:spacing w:val="-4"/>
                <w:lang w:val="en-GB"/>
              </w:rPr>
              <w:t xml:space="preserve">legumes </w:t>
            </w:r>
            <w:r w:rsidR="000F45F0" w:rsidRPr="00280A72">
              <w:rPr>
                <w:spacing w:val="-4"/>
                <w:lang w:val="en-GB"/>
              </w:rPr>
              <w:t>was above average thanks to the larger harvesting</w:t>
            </w:r>
            <w:r w:rsidR="000F45F0" w:rsidRPr="009459DE">
              <w:rPr>
                <w:spacing w:val="-4"/>
                <w:lang w:val="en-GB"/>
              </w:rPr>
              <w:t xml:space="preserve"> areas</w:t>
            </w:r>
            <w:r w:rsidR="007B0920" w:rsidRPr="009459DE">
              <w:rPr>
                <w:spacing w:val="-4"/>
                <w:lang w:val="en-GB"/>
              </w:rPr>
              <w:t xml:space="preserve">. </w:t>
            </w:r>
            <w:r w:rsidR="00C44EBB" w:rsidRPr="009459DE">
              <w:rPr>
                <w:spacing w:val="-4"/>
                <w:lang w:val="en-GB"/>
              </w:rPr>
              <w:t>Output of the animal production featured stabilisation similarly to the employment in the whole branch.</w:t>
            </w:r>
            <w:r w:rsidR="007B0920" w:rsidRPr="00A07BB0">
              <w:rPr>
                <w:spacing w:val="-4"/>
                <w:lang w:val="en-GB"/>
              </w:rPr>
              <w:t xml:space="preserve">  </w:t>
            </w:r>
          </w:p>
          <w:p w:rsidR="007B0920" w:rsidRPr="00A07BB0" w:rsidRDefault="007B0920" w:rsidP="00CF0826">
            <w:pPr>
              <w:pStyle w:val="Textpoznpodarou"/>
              <w:jc w:val="both"/>
              <w:rPr>
                <w:spacing w:val="-4"/>
                <w:sz w:val="15"/>
                <w:szCs w:val="15"/>
                <w:lang w:val="en-GB"/>
              </w:rPr>
            </w:pPr>
          </w:p>
        </w:tc>
      </w:tr>
      <w:tr w:rsidR="007B0920" w:rsidRPr="00A74192" w:rsidTr="00CF0826">
        <w:trPr>
          <w:trHeight w:val="145"/>
        </w:trPr>
        <w:tc>
          <w:tcPr>
            <w:tcW w:w="1016" w:type="pct"/>
            <w:shd w:val="clear" w:color="auto" w:fill="auto"/>
          </w:tcPr>
          <w:p w:rsidR="007B0920" w:rsidRPr="0012394A" w:rsidRDefault="001A1087" w:rsidP="00CF0826">
            <w:pPr>
              <w:spacing w:line="240" w:lineRule="auto"/>
              <w:rPr>
                <w:spacing w:val="-2"/>
                <w:sz w:val="16"/>
                <w:szCs w:val="16"/>
                <w:lang w:val="en-GB"/>
              </w:rPr>
            </w:pPr>
            <w:r w:rsidRPr="0012394A">
              <w:rPr>
                <w:spacing w:val="-2"/>
                <w:sz w:val="16"/>
                <w:szCs w:val="16"/>
                <w:lang w:val="en-GB"/>
              </w:rPr>
              <w:t xml:space="preserve">Industrial output rose by the highest pace in the last seven years. Favourable tendencies pervaded </w:t>
            </w:r>
            <w:r w:rsidR="0012394A" w:rsidRPr="0012394A">
              <w:rPr>
                <w:spacing w:val="-2"/>
                <w:sz w:val="16"/>
                <w:szCs w:val="16"/>
                <w:lang w:val="en-GB"/>
              </w:rPr>
              <w:t xml:space="preserve">the overwhelming majority of the </w:t>
            </w:r>
            <w:r w:rsidR="0012394A">
              <w:rPr>
                <w:spacing w:val="-2"/>
                <w:sz w:val="16"/>
                <w:szCs w:val="16"/>
                <w:lang w:val="en-GB"/>
              </w:rPr>
              <w:t>sub</w:t>
            </w:r>
            <w:r w:rsidR="0012394A" w:rsidRPr="0012394A">
              <w:rPr>
                <w:spacing w:val="-2"/>
                <w:sz w:val="16"/>
                <w:szCs w:val="16"/>
                <w:lang w:val="en-GB"/>
              </w:rPr>
              <w:t>branches.</w:t>
            </w:r>
          </w:p>
        </w:tc>
        <w:tc>
          <w:tcPr>
            <w:tcW w:w="144" w:type="pct"/>
          </w:tcPr>
          <w:p w:rsidR="007B0920" w:rsidRPr="0012394A" w:rsidRDefault="007B0920" w:rsidP="00CF0826">
            <w:pPr>
              <w:pStyle w:val="Textpoznpodarou"/>
              <w:jc w:val="both"/>
              <w:rPr>
                <w:spacing w:val="-2"/>
                <w:lang w:val="en-GB"/>
              </w:rPr>
            </w:pPr>
          </w:p>
        </w:tc>
        <w:tc>
          <w:tcPr>
            <w:tcW w:w="3840" w:type="pct"/>
          </w:tcPr>
          <w:p w:rsidR="007B0920" w:rsidRPr="0012394A" w:rsidRDefault="0059649D" w:rsidP="00CF0826">
            <w:pPr>
              <w:pStyle w:val="Textpoznpodarou"/>
              <w:jc w:val="both"/>
              <w:rPr>
                <w:color w:val="000000" w:themeColor="text1"/>
                <w:spacing w:val="-4"/>
                <w:sz w:val="16"/>
                <w:szCs w:val="16"/>
                <w:lang w:val="en-GB"/>
              </w:rPr>
            </w:pPr>
            <w:r>
              <w:rPr>
                <w:spacing w:val="-4"/>
                <w:lang w:val="en-GB"/>
              </w:rPr>
              <w:t xml:space="preserve">Data from the business statistic also provide evidence of the favourable development of the industry. Its output </w:t>
            </w:r>
            <w:r w:rsidR="007B0920" w:rsidRPr="0012394A">
              <w:rPr>
                <w:spacing w:val="-4"/>
                <w:lang w:val="en-GB"/>
              </w:rPr>
              <w:t>(</w:t>
            </w:r>
            <w:r>
              <w:rPr>
                <w:spacing w:val="-4"/>
                <w:lang w:val="en-GB"/>
              </w:rPr>
              <w:t>according to the industrial producer index</w:t>
            </w:r>
            <w:r w:rsidR="007B0920" w:rsidRPr="0012394A">
              <w:rPr>
                <w:color w:val="000000" w:themeColor="text1"/>
                <w:spacing w:val="-4"/>
                <w:vertAlign w:val="superscript"/>
                <w:lang w:val="en-GB"/>
              </w:rPr>
              <w:footnoteReference w:id="3"/>
            </w:r>
            <w:r w:rsidR="007B0920" w:rsidRPr="0012394A">
              <w:rPr>
                <w:color w:val="000000" w:themeColor="text1"/>
                <w:spacing w:val="-4"/>
                <w:lang w:val="en-GB"/>
              </w:rPr>
              <w:t xml:space="preserve">) </w:t>
            </w:r>
            <w:r>
              <w:rPr>
                <w:color w:val="000000" w:themeColor="text1"/>
                <w:spacing w:val="-4"/>
                <w:lang w:val="en-GB"/>
              </w:rPr>
              <w:t>increased despite a temporary worsening in the summer period</w:t>
            </w:r>
            <w:r w:rsidR="007B0920" w:rsidRPr="0012394A">
              <w:rPr>
                <w:rStyle w:val="Znakapoznpodarou"/>
                <w:color w:val="000000" w:themeColor="text1"/>
                <w:spacing w:val="-4"/>
                <w:lang w:val="en-GB"/>
              </w:rPr>
              <w:footnoteReference w:id="4"/>
            </w:r>
            <w:r w:rsidR="006F0D32" w:rsidRPr="0012394A">
              <w:rPr>
                <w:color w:val="000000" w:themeColor="text1"/>
                <w:spacing w:val="-4"/>
                <w:lang w:val="en-GB"/>
              </w:rPr>
              <w:t xml:space="preserve"> </w:t>
            </w:r>
            <w:r>
              <w:rPr>
                <w:color w:val="000000" w:themeColor="text1"/>
                <w:spacing w:val="-4"/>
                <w:lang w:val="en-GB"/>
              </w:rPr>
              <w:t xml:space="preserve">by </w:t>
            </w:r>
            <w:r w:rsidR="006F0D32" w:rsidRPr="0012394A">
              <w:rPr>
                <w:color w:val="000000" w:themeColor="text1"/>
                <w:spacing w:val="-4"/>
                <w:lang w:val="en-GB"/>
              </w:rPr>
              <w:t>6</w:t>
            </w:r>
            <w:r>
              <w:rPr>
                <w:color w:val="000000" w:themeColor="text1"/>
                <w:spacing w:val="-4"/>
                <w:lang w:val="en-GB"/>
              </w:rPr>
              <w:t>.</w:t>
            </w:r>
            <w:r w:rsidR="006F0D32" w:rsidRPr="0012394A">
              <w:rPr>
                <w:color w:val="000000" w:themeColor="text1"/>
                <w:spacing w:val="-4"/>
                <w:lang w:val="en-GB"/>
              </w:rPr>
              <w:t>9</w:t>
            </w:r>
            <w:r w:rsidR="007B0920" w:rsidRPr="0012394A">
              <w:rPr>
                <w:color w:val="000000" w:themeColor="text1"/>
                <w:spacing w:val="-4"/>
                <w:lang w:val="en-GB"/>
              </w:rPr>
              <w:t>%</w:t>
            </w:r>
            <w:r>
              <w:rPr>
                <w:color w:val="000000" w:themeColor="text1"/>
                <w:spacing w:val="-4"/>
                <w:lang w:val="en-GB"/>
              </w:rPr>
              <w:t xml:space="preserve"> for the whole year</w:t>
            </w:r>
            <w:r w:rsidR="007B0920" w:rsidRPr="0012394A">
              <w:rPr>
                <w:color w:val="000000" w:themeColor="text1"/>
                <w:spacing w:val="-4"/>
                <w:lang w:val="en-GB"/>
              </w:rPr>
              <w:t>.</w:t>
            </w:r>
            <w:r>
              <w:rPr>
                <w:color w:val="000000" w:themeColor="text1"/>
                <w:spacing w:val="-4"/>
                <w:lang w:val="en-GB"/>
              </w:rPr>
              <w:t xml:space="preserve"> It thus reached the best result since 2</w:t>
            </w:r>
            <w:r w:rsidR="007B0920" w:rsidRPr="0012394A">
              <w:rPr>
                <w:color w:val="000000" w:themeColor="text1"/>
                <w:spacing w:val="-4"/>
                <w:lang w:val="en-GB"/>
              </w:rPr>
              <w:t xml:space="preserve">010, </w:t>
            </w:r>
            <w:r>
              <w:rPr>
                <w:color w:val="000000" w:themeColor="text1"/>
                <w:spacing w:val="-4"/>
                <w:lang w:val="en-GB"/>
              </w:rPr>
              <w:t xml:space="preserve">when it was recovering from the consequences of a deep recession. Positive tendencies were apparent also at the end of the year – the year-on-year output hiked up to 7.6% in Q4. </w:t>
            </w:r>
            <w:r w:rsidR="00637211">
              <w:rPr>
                <w:color w:val="000000" w:themeColor="text1"/>
                <w:spacing w:val="-4"/>
                <w:lang w:val="en-GB"/>
              </w:rPr>
              <w:t xml:space="preserve">Not only the good economic situation in the main export territories, but also the strengthening domestic demand stood behind these results. </w:t>
            </w:r>
            <w:r w:rsidR="00596601">
              <w:rPr>
                <w:color w:val="000000" w:themeColor="text1"/>
                <w:spacing w:val="-4"/>
                <w:lang w:val="en-GB"/>
              </w:rPr>
              <w:t>The dominant branch – manufacturing of motor vehicles (together with its key subcontractor fields) sustained high growth rates last year. The renewal of production capacities of the chemical industry,</w:t>
            </w:r>
            <w:r w:rsidR="002E10D3">
              <w:rPr>
                <w:color w:val="000000" w:themeColor="text1"/>
                <w:spacing w:val="-4"/>
                <w:lang w:val="en-GB"/>
              </w:rPr>
              <w:t xml:space="preserve"> temporarily reduced in the preceding years and energetics also aided. </w:t>
            </w:r>
            <w:r w:rsidR="00596601">
              <w:rPr>
                <w:color w:val="000000" w:themeColor="text1"/>
                <w:spacing w:val="-4"/>
                <w:lang w:val="en-GB"/>
              </w:rPr>
              <w:t xml:space="preserve">However, the majority of the smaller industrial activities also fared well. </w:t>
            </w:r>
          </w:p>
          <w:p w:rsidR="00335E99" w:rsidRPr="0012394A" w:rsidRDefault="00335E99" w:rsidP="00CF0826">
            <w:pPr>
              <w:pStyle w:val="Textpoznpodarou"/>
              <w:jc w:val="both"/>
              <w:rPr>
                <w:spacing w:val="-4"/>
                <w:sz w:val="16"/>
                <w:szCs w:val="16"/>
                <w:lang w:val="en-GB"/>
              </w:rPr>
            </w:pPr>
          </w:p>
        </w:tc>
      </w:tr>
      <w:tr w:rsidR="007B0920" w:rsidRPr="00A74192" w:rsidTr="00CF0826">
        <w:trPr>
          <w:trHeight w:val="145"/>
        </w:trPr>
        <w:tc>
          <w:tcPr>
            <w:tcW w:w="1016" w:type="pct"/>
            <w:shd w:val="clear" w:color="auto" w:fill="auto"/>
          </w:tcPr>
          <w:p w:rsidR="007B0920" w:rsidRPr="00552112" w:rsidRDefault="002B4ADE" w:rsidP="00CF0826">
            <w:pPr>
              <w:spacing w:line="240" w:lineRule="auto"/>
              <w:rPr>
                <w:spacing w:val="-2"/>
                <w:sz w:val="16"/>
                <w:szCs w:val="16"/>
                <w:lang w:val="en-GB"/>
              </w:rPr>
            </w:pPr>
            <w:r w:rsidRPr="00552112">
              <w:rPr>
                <w:spacing w:val="-2"/>
                <w:sz w:val="16"/>
                <w:szCs w:val="16"/>
                <w:lang w:val="en-GB"/>
              </w:rPr>
              <w:lastRenderedPageBreak/>
              <w:t>St</w:t>
            </w:r>
            <w:r>
              <w:rPr>
                <w:spacing w:val="-2"/>
                <w:sz w:val="16"/>
                <w:szCs w:val="16"/>
                <w:lang w:val="en-GB"/>
              </w:rPr>
              <w:t xml:space="preserve">ably growing motor vehicle manufacturing contributed to the growth of the whole industry by one third, together with </w:t>
            </w:r>
            <w:r w:rsidRPr="001D1383">
              <w:rPr>
                <w:spacing w:val="-2"/>
                <w:sz w:val="16"/>
                <w:szCs w:val="16"/>
                <w:lang w:val="en-GB"/>
              </w:rPr>
              <w:t>the subcontractor fields by one half.</w:t>
            </w:r>
            <w:r>
              <w:rPr>
                <w:spacing w:val="-2"/>
                <w:sz w:val="16"/>
                <w:szCs w:val="16"/>
                <w:lang w:val="en-GB"/>
              </w:rPr>
              <w:t xml:space="preserve"> </w:t>
            </w:r>
            <w:r w:rsidR="007B0920" w:rsidRPr="00552112">
              <w:rPr>
                <w:spacing w:val="-2"/>
                <w:sz w:val="16"/>
                <w:szCs w:val="16"/>
                <w:lang w:val="en-GB"/>
              </w:rPr>
              <w:t xml:space="preserve"> </w:t>
            </w:r>
          </w:p>
          <w:p w:rsidR="007B0920" w:rsidRPr="00552112" w:rsidRDefault="007B0920" w:rsidP="00CF0826">
            <w:pPr>
              <w:spacing w:line="240" w:lineRule="auto"/>
              <w:rPr>
                <w:spacing w:val="-2"/>
                <w:sz w:val="16"/>
                <w:szCs w:val="16"/>
                <w:lang w:val="en-GB"/>
              </w:rPr>
            </w:pPr>
          </w:p>
          <w:p w:rsidR="003D3FB2" w:rsidRPr="00552112" w:rsidRDefault="003D3FB2" w:rsidP="00CF0826">
            <w:pPr>
              <w:spacing w:line="240" w:lineRule="auto"/>
              <w:rPr>
                <w:spacing w:val="-2"/>
                <w:sz w:val="16"/>
                <w:szCs w:val="16"/>
                <w:lang w:val="en-GB"/>
              </w:rPr>
            </w:pPr>
          </w:p>
          <w:p w:rsidR="00D309C0" w:rsidRPr="00552112" w:rsidRDefault="00D309C0" w:rsidP="00CF0826">
            <w:pPr>
              <w:spacing w:line="240" w:lineRule="auto"/>
              <w:rPr>
                <w:spacing w:val="-2"/>
                <w:sz w:val="16"/>
                <w:szCs w:val="16"/>
                <w:lang w:val="en-GB"/>
              </w:rPr>
            </w:pPr>
          </w:p>
          <w:p w:rsidR="007B0920" w:rsidRPr="00552112" w:rsidRDefault="00BB16AD" w:rsidP="00CF0826">
            <w:pPr>
              <w:spacing w:line="240" w:lineRule="auto"/>
              <w:rPr>
                <w:spacing w:val="-2"/>
                <w:sz w:val="16"/>
                <w:szCs w:val="16"/>
                <w:lang w:val="en-GB"/>
              </w:rPr>
            </w:pPr>
            <w:r>
              <w:rPr>
                <w:spacing w:val="-2"/>
                <w:sz w:val="16"/>
                <w:szCs w:val="16"/>
                <w:lang w:val="en-GB"/>
              </w:rPr>
              <w:t xml:space="preserve">Growth notably accelerated in machinery, manufacture of computers, electronic and optical products. </w:t>
            </w:r>
          </w:p>
          <w:p w:rsidR="007B0920" w:rsidRPr="00552112" w:rsidRDefault="007B0920" w:rsidP="00CF0826">
            <w:pPr>
              <w:spacing w:line="240" w:lineRule="auto"/>
              <w:rPr>
                <w:spacing w:val="-2"/>
                <w:sz w:val="16"/>
                <w:szCs w:val="16"/>
                <w:lang w:val="en-GB"/>
              </w:rPr>
            </w:pPr>
          </w:p>
          <w:p w:rsidR="007B0920" w:rsidRPr="00552112" w:rsidRDefault="007B0920" w:rsidP="00CF0826">
            <w:pPr>
              <w:spacing w:line="240" w:lineRule="auto"/>
              <w:rPr>
                <w:spacing w:val="-2"/>
                <w:sz w:val="16"/>
                <w:szCs w:val="16"/>
                <w:lang w:val="en-GB"/>
              </w:rPr>
            </w:pPr>
          </w:p>
          <w:p w:rsidR="007B0920" w:rsidRDefault="007B0920" w:rsidP="00CF0826">
            <w:pPr>
              <w:spacing w:line="240" w:lineRule="auto"/>
              <w:rPr>
                <w:spacing w:val="-2"/>
                <w:sz w:val="16"/>
                <w:szCs w:val="16"/>
                <w:lang w:val="en-GB"/>
              </w:rPr>
            </w:pPr>
          </w:p>
          <w:p w:rsidR="00150CEC" w:rsidRPr="00552112" w:rsidRDefault="00150CEC" w:rsidP="00CF0826">
            <w:pPr>
              <w:spacing w:line="240" w:lineRule="auto"/>
              <w:rPr>
                <w:spacing w:val="-2"/>
                <w:sz w:val="16"/>
                <w:szCs w:val="16"/>
                <w:lang w:val="en-GB"/>
              </w:rPr>
            </w:pPr>
          </w:p>
          <w:p w:rsidR="007B0920" w:rsidRPr="00552112" w:rsidRDefault="007B0920" w:rsidP="00CF0826">
            <w:pPr>
              <w:spacing w:line="240" w:lineRule="auto"/>
              <w:rPr>
                <w:spacing w:val="-2"/>
                <w:sz w:val="16"/>
                <w:szCs w:val="16"/>
                <w:lang w:val="en-GB"/>
              </w:rPr>
            </w:pPr>
          </w:p>
          <w:p w:rsidR="007B0920" w:rsidRPr="00552112" w:rsidRDefault="00BB16AD" w:rsidP="00CF0826">
            <w:pPr>
              <w:spacing w:line="240" w:lineRule="auto"/>
              <w:rPr>
                <w:spacing w:val="-2"/>
                <w:sz w:val="16"/>
                <w:szCs w:val="16"/>
                <w:lang w:val="en-GB"/>
              </w:rPr>
            </w:pPr>
            <w:r>
              <w:rPr>
                <w:spacing w:val="-2"/>
                <w:sz w:val="16"/>
                <w:szCs w:val="16"/>
                <w:lang w:val="en-GB"/>
              </w:rPr>
              <w:t>Higher production of electricity in the nuclear plants pushed the growth of energetics.</w:t>
            </w:r>
          </w:p>
        </w:tc>
        <w:tc>
          <w:tcPr>
            <w:tcW w:w="144" w:type="pct"/>
          </w:tcPr>
          <w:p w:rsidR="007B0920" w:rsidRPr="00552112" w:rsidRDefault="007B0920" w:rsidP="00CF0826">
            <w:pPr>
              <w:rPr>
                <w:color w:val="000000" w:themeColor="text1"/>
                <w:szCs w:val="16"/>
                <w:lang w:val="en-GB"/>
              </w:rPr>
            </w:pPr>
          </w:p>
        </w:tc>
        <w:tc>
          <w:tcPr>
            <w:tcW w:w="3840" w:type="pct"/>
          </w:tcPr>
          <w:p w:rsidR="00150CEC" w:rsidRDefault="002B4ADE" w:rsidP="00CF0826">
            <w:pPr>
              <w:pStyle w:val="Textpoznpodarou"/>
              <w:jc w:val="both"/>
              <w:rPr>
                <w:spacing w:val="-4"/>
                <w:lang w:val="en-GB"/>
              </w:rPr>
            </w:pPr>
            <w:r>
              <w:rPr>
                <w:color w:val="000000" w:themeColor="text1"/>
                <w:spacing w:val="-4"/>
                <w:lang w:val="en-GB"/>
              </w:rPr>
              <w:t xml:space="preserve">Motor vehicle manufacturers increased their output </w:t>
            </w:r>
            <w:r w:rsidR="00150CEC">
              <w:rPr>
                <w:color w:val="000000" w:themeColor="text1"/>
                <w:spacing w:val="-4"/>
                <w:lang w:val="en-GB"/>
              </w:rPr>
              <w:t xml:space="preserve">in 2017 </w:t>
            </w:r>
            <w:r>
              <w:rPr>
                <w:color w:val="000000" w:themeColor="text1"/>
                <w:spacing w:val="-4"/>
                <w:lang w:val="en-GB"/>
              </w:rPr>
              <w:t xml:space="preserve">by </w:t>
            </w:r>
            <w:r w:rsidR="007B0920" w:rsidRPr="00552112">
              <w:rPr>
                <w:color w:val="000000" w:themeColor="text1"/>
                <w:spacing w:val="-4"/>
                <w:lang w:val="en-GB"/>
              </w:rPr>
              <w:t>9</w:t>
            </w:r>
            <w:r>
              <w:rPr>
                <w:color w:val="000000" w:themeColor="text1"/>
                <w:spacing w:val="-4"/>
                <w:lang w:val="en-GB"/>
              </w:rPr>
              <w:t>.</w:t>
            </w:r>
            <w:r w:rsidR="006F0D32" w:rsidRPr="00552112">
              <w:rPr>
                <w:color w:val="000000" w:themeColor="text1"/>
                <w:spacing w:val="-4"/>
                <w:lang w:val="en-GB"/>
              </w:rPr>
              <w:t>8</w:t>
            </w:r>
            <w:r w:rsidR="007B0920" w:rsidRPr="00552112">
              <w:rPr>
                <w:color w:val="000000" w:themeColor="text1"/>
                <w:spacing w:val="-4"/>
                <w:lang w:val="en-GB"/>
              </w:rPr>
              <w:t>% a</w:t>
            </w:r>
            <w:r>
              <w:rPr>
                <w:color w:val="000000" w:themeColor="text1"/>
                <w:spacing w:val="-4"/>
                <w:lang w:val="en-GB"/>
              </w:rPr>
              <w:t xml:space="preserve">nd they thus provided nearly one third </w:t>
            </w:r>
            <w:r w:rsidR="007B0920" w:rsidRPr="00552112">
              <w:rPr>
                <w:color w:val="000000" w:themeColor="text1"/>
                <w:spacing w:val="-4"/>
                <w:lang w:val="en-GB"/>
              </w:rPr>
              <w:t>(</w:t>
            </w:r>
            <w:r>
              <w:rPr>
                <w:color w:val="000000" w:themeColor="text1"/>
                <w:spacing w:val="-4"/>
                <w:lang w:val="en-GB"/>
              </w:rPr>
              <w:t xml:space="preserve">together with the subcontractor </w:t>
            </w:r>
            <w:proofErr w:type="gramStart"/>
            <w:r>
              <w:rPr>
                <w:color w:val="000000" w:themeColor="text1"/>
                <w:spacing w:val="-4"/>
                <w:lang w:val="en-GB"/>
              </w:rPr>
              <w:t>fields</w:t>
            </w:r>
            <w:proofErr w:type="gramEnd"/>
            <w:r w:rsidR="007B0920" w:rsidRPr="00552112">
              <w:rPr>
                <w:rStyle w:val="Znakapoznpodarou"/>
                <w:color w:val="000000" w:themeColor="text1"/>
                <w:spacing w:val="-4"/>
                <w:lang w:val="en-GB"/>
              </w:rPr>
              <w:footnoteReference w:id="5"/>
            </w:r>
            <w:r w:rsidR="007B0920" w:rsidRPr="00552112">
              <w:rPr>
                <w:color w:val="000000" w:themeColor="text1"/>
                <w:spacing w:val="-4"/>
                <w:lang w:val="en-GB"/>
              </w:rPr>
              <w:t xml:space="preserve"> </w:t>
            </w:r>
            <w:r>
              <w:rPr>
                <w:color w:val="000000" w:themeColor="text1"/>
                <w:spacing w:val="-4"/>
                <w:lang w:val="en-GB"/>
              </w:rPr>
              <w:t>one half</w:t>
            </w:r>
            <w:r w:rsidR="007B0920" w:rsidRPr="00552112">
              <w:rPr>
                <w:color w:val="000000" w:themeColor="text1"/>
                <w:spacing w:val="-4"/>
                <w:lang w:val="en-GB"/>
              </w:rPr>
              <w:t xml:space="preserve">) </w:t>
            </w:r>
            <w:r>
              <w:rPr>
                <w:color w:val="000000" w:themeColor="text1"/>
                <w:spacing w:val="-4"/>
                <w:lang w:val="en-GB"/>
              </w:rPr>
              <w:t>of the growth of the total industrial production. Strong demand on both the European and Asian markets, but also at home, was mirrored in the record number of the manufactured vehicles</w:t>
            </w:r>
            <w:r w:rsidR="007B0920" w:rsidRPr="00552112">
              <w:rPr>
                <w:rStyle w:val="Znakapoznpodarou"/>
                <w:spacing w:val="-4"/>
                <w:lang w:val="en-GB"/>
              </w:rPr>
              <w:footnoteReference w:id="6"/>
            </w:r>
            <w:r w:rsidR="007B0920" w:rsidRPr="00552112">
              <w:rPr>
                <w:spacing w:val="-4"/>
                <w:lang w:val="en-GB"/>
              </w:rPr>
              <w:t xml:space="preserve">. </w:t>
            </w:r>
          </w:p>
          <w:p w:rsidR="00150CEC" w:rsidRDefault="00150CEC" w:rsidP="00CF0826">
            <w:pPr>
              <w:pStyle w:val="Textpoznpodarou"/>
              <w:jc w:val="both"/>
              <w:rPr>
                <w:spacing w:val="-4"/>
                <w:lang w:val="en-GB"/>
              </w:rPr>
            </w:pPr>
          </w:p>
          <w:p w:rsidR="00150CEC" w:rsidRDefault="00B17335" w:rsidP="00CF0826">
            <w:pPr>
              <w:pStyle w:val="Textpoznpodarou"/>
              <w:jc w:val="both"/>
              <w:rPr>
                <w:spacing w:val="-4"/>
                <w:lang w:val="en-GB"/>
              </w:rPr>
            </w:pPr>
            <w:r>
              <w:rPr>
                <w:spacing w:val="-4"/>
                <w:lang w:val="en-GB"/>
              </w:rPr>
              <w:t xml:space="preserve">Machinery </w:t>
            </w:r>
            <w:r w:rsidR="00150CEC">
              <w:rPr>
                <w:spacing w:val="-4"/>
                <w:lang w:val="en-GB"/>
              </w:rPr>
              <w:t xml:space="preserve">industry </w:t>
            </w:r>
            <w:r w:rsidR="008A2890">
              <w:rPr>
                <w:spacing w:val="-4"/>
                <w:lang w:val="en-GB"/>
              </w:rPr>
              <w:t xml:space="preserve">experienced successful year also thanks to the strong domestic demand </w:t>
            </w:r>
            <w:r w:rsidR="003D3FB2" w:rsidRPr="00552112">
              <w:rPr>
                <w:spacing w:val="-4"/>
                <w:lang w:val="en-GB"/>
              </w:rPr>
              <w:t>(+9</w:t>
            </w:r>
            <w:r w:rsidR="008A2890">
              <w:rPr>
                <w:spacing w:val="-4"/>
                <w:lang w:val="en-GB"/>
              </w:rPr>
              <w:t>.</w:t>
            </w:r>
            <w:r>
              <w:rPr>
                <w:spacing w:val="-4"/>
                <w:lang w:val="en-GB"/>
              </w:rPr>
              <w:t>2</w:t>
            </w:r>
            <w:r w:rsidR="007B0920" w:rsidRPr="00552112">
              <w:rPr>
                <w:spacing w:val="-4"/>
                <w:lang w:val="en-GB"/>
              </w:rPr>
              <w:t xml:space="preserve">%, </w:t>
            </w:r>
            <w:r w:rsidR="008A2890">
              <w:rPr>
                <w:spacing w:val="-4"/>
                <w:lang w:val="en-GB"/>
              </w:rPr>
              <w:t xml:space="preserve">the growth </w:t>
            </w:r>
            <w:r w:rsidR="00DE7B69">
              <w:rPr>
                <w:spacing w:val="-4"/>
                <w:lang w:val="en-GB"/>
              </w:rPr>
              <w:t>oscillated</w:t>
            </w:r>
            <w:r w:rsidR="008A2890">
              <w:rPr>
                <w:spacing w:val="-4"/>
                <w:lang w:val="en-GB"/>
              </w:rPr>
              <w:t xml:space="preserve"> between 2% and 3.5% in the previous five years) and it participated on the growth of the whole industry by one tenth. Both the second most significant by weight manufacturing activity – manufacture of metal products and the strongly export oriented manufacture of computers, electronic and optical</w:t>
            </w:r>
            <w:r w:rsidR="007B0920" w:rsidRPr="00552112">
              <w:rPr>
                <w:spacing w:val="-4"/>
                <w:lang w:val="en-GB"/>
              </w:rPr>
              <w:t xml:space="preserve"> </w:t>
            </w:r>
            <w:r w:rsidR="00AF7C9B">
              <w:rPr>
                <w:spacing w:val="-4"/>
                <w:lang w:val="en-GB"/>
              </w:rPr>
              <w:t xml:space="preserve">products </w:t>
            </w:r>
            <w:r w:rsidR="007B0920" w:rsidRPr="00552112">
              <w:rPr>
                <w:spacing w:val="-4"/>
                <w:lang w:val="en-GB"/>
              </w:rPr>
              <w:t>(</w:t>
            </w:r>
            <w:r w:rsidR="008A2890">
              <w:rPr>
                <w:spacing w:val="-4"/>
                <w:lang w:val="en-GB"/>
              </w:rPr>
              <w:t xml:space="preserve">with the growth of output by </w:t>
            </w:r>
            <w:r w:rsidR="003D3FB2" w:rsidRPr="00552112">
              <w:rPr>
                <w:spacing w:val="-4"/>
                <w:lang w:val="en-GB"/>
              </w:rPr>
              <w:t>12</w:t>
            </w:r>
            <w:r w:rsidR="008A2890">
              <w:rPr>
                <w:spacing w:val="-4"/>
                <w:lang w:val="en-GB"/>
              </w:rPr>
              <w:t>.</w:t>
            </w:r>
            <w:r w:rsidR="003D3FB2" w:rsidRPr="00552112">
              <w:rPr>
                <w:spacing w:val="-4"/>
                <w:lang w:val="en-GB"/>
              </w:rPr>
              <w:t>2</w:t>
            </w:r>
            <w:r w:rsidR="007B0920" w:rsidRPr="00552112">
              <w:rPr>
                <w:spacing w:val="-4"/>
                <w:lang w:val="en-GB"/>
              </w:rPr>
              <w:t xml:space="preserve">%, </w:t>
            </w:r>
            <w:r w:rsidR="008A2890">
              <w:rPr>
                <w:spacing w:val="-4"/>
                <w:lang w:val="en-GB"/>
              </w:rPr>
              <w:t xml:space="preserve">by 3.2% in </w:t>
            </w:r>
            <w:r w:rsidR="007B0920" w:rsidRPr="00552112">
              <w:rPr>
                <w:spacing w:val="-4"/>
                <w:lang w:val="en-GB"/>
              </w:rPr>
              <w:t>2016)</w:t>
            </w:r>
            <w:r w:rsidR="008A2890">
              <w:rPr>
                <w:spacing w:val="-4"/>
                <w:lang w:val="en-GB"/>
              </w:rPr>
              <w:t xml:space="preserve"> contributed to a similar extent</w:t>
            </w:r>
            <w:r w:rsidR="00DB0870">
              <w:rPr>
                <w:spacing w:val="-4"/>
                <w:lang w:val="en-GB"/>
              </w:rPr>
              <w:t xml:space="preserve">. </w:t>
            </w:r>
            <w:r w:rsidR="00BB16AD">
              <w:rPr>
                <w:spacing w:val="-4"/>
                <w:lang w:val="en-GB"/>
              </w:rPr>
              <w:t>Contribution of the chemical industry was also important, its output enlarged by nearly one fifth compared to year 2</w:t>
            </w:r>
            <w:r w:rsidR="007B0920" w:rsidRPr="00552112">
              <w:rPr>
                <w:spacing w:val="-4"/>
                <w:lang w:val="en-GB"/>
              </w:rPr>
              <w:t>016</w:t>
            </w:r>
            <w:r w:rsidR="007B0920" w:rsidRPr="00552112">
              <w:rPr>
                <w:rStyle w:val="Znakapoznpodarou"/>
                <w:spacing w:val="-4"/>
                <w:lang w:val="en-GB"/>
              </w:rPr>
              <w:footnoteReference w:id="7"/>
            </w:r>
            <w:r w:rsidR="007B0920" w:rsidRPr="00552112">
              <w:rPr>
                <w:spacing w:val="-4"/>
                <w:lang w:val="en-GB"/>
              </w:rPr>
              <w:t xml:space="preserve">, </w:t>
            </w:r>
            <w:r w:rsidR="00BB16AD">
              <w:rPr>
                <w:spacing w:val="-4"/>
                <w:lang w:val="en-GB"/>
              </w:rPr>
              <w:t xml:space="preserve">the most from the individual sections of industry. </w:t>
            </w:r>
          </w:p>
          <w:p w:rsidR="00150CEC" w:rsidRDefault="00150CEC" w:rsidP="00CF0826">
            <w:pPr>
              <w:pStyle w:val="Textpoznpodarou"/>
              <w:jc w:val="both"/>
              <w:rPr>
                <w:spacing w:val="-4"/>
                <w:lang w:val="en-GB"/>
              </w:rPr>
            </w:pPr>
          </w:p>
          <w:p w:rsidR="00AF7C9B" w:rsidRDefault="00E776DE" w:rsidP="00E776DE">
            <w:pPr>
              <w:pStyle w:val="Textpoznpodarou"/>
              <w:jc w:val="both"/>
              <w:rPr>
                <w:spacing w:val="-4"/>
                <w:lang w:val="en-GB"/>
              </w:rPr>
            </w:pPr>
            <w:r>
              <w:rPr>
                <w:spacing w:val="-4"/>
                <w:lang w:val="en-GB"/>
              </w:rPr>
              <w:t>Energy industry</w:t>
            </w:r>
            <w:r w:rsidR="00BB16AD">
              <w:rPr>
                <w:spacing w:val="-4"/>
                <w:lang w:val="en-GB"/>
              </w:rPr>
              <w:t xml:space="preserve"> also experienced an exceptional year, its production fastened from 0.9% in </w:t>
            </w:r>
            <w:r>
              <w:rPr>
                <w:spacing w:val="-4"/>
                <w:lang w:val="en-GB"/>
              </w:rPr>
              <w:t xml:space="preserve">2016 </w:t>
            </w:r>
            <w:r w:rsidR="009B19B8">
              <w:rPr>
                <w:spacing w:val="-4"/>
                <w:lang w:val="en-GB"/>
              </w:rPr>
              <w:t>t</w:t>
            </w:r>
            <w:r w:rsidR="00BB16AD">
              <w:rPr>
                <w:spacing w:val="-4"/>
                <w:lang w:val="en-GB"/>
              </w:rPr>
              <w:t xml:space="preserve">o </w:t>
            </w:r>
            <w:r w:rsidR="00AF7C9B">
              <w:rPr>
                <w:spacing w:val="-4"/>
                <w:lang w:val="en-GB"/>
              </w:rPr>
              <w:t xml:space="preserve">last year </w:t>
            </w:r>
            <w:r w:rsidR="00BB16AD">
              <w:rPr>
                <w:spacing w:val="-4"/>
                <w:lang w:val="en-GB"/>
              </w:rPr>
              <w:t>4.8% (highest pace after year</w:t>
            </w:r>
            <w:r w:rsidR="007B0920" w:rsidRPr="00552112">
              <w:rPr>
                <w:spacing w:val="-4"/>
                <w:lang w:val="en-GB"/>
              </w:rPr>
              <w:t>)</w:t>
            </w:r>
            <w:r w:rsidR="007B0920" w:rsidRPr="00552112">
              <w:rPr>
                <w:rStyle w:val="Znakapoznpodarou"/>
                <w:spacing w:val="-4"/>
                <w:lang w:val="en-GB"/>
              </w:rPr>
              <w:footnoteReference w:id="8"/>
            </w:r>
            <w:r w:rsidR="007B0920" w:rsidRPr="00552112">
              <w:rPr>
                <w:spacing w:val="-4"/>
                <w:lang w:val="en-GB"/>
              </w:rPr>
              <w:t xml:space="preserve">. </w:t>
            </w:r>
            <w:r w:rsidR="009B19B8">
              <w:rPr>
                <w:spacing w:val="-4"/>
                <w:lang w:val="en-GB"/>
              </w:rPr>
              <w:t xml:space="preserve">Gradual recovery of the demand in construction assisted the output of manufacture of other non-metal mineral products </w:t>
            </w:r>
            <w:r w:rsidR="007B0920" w:rsidRPr="00552112">
              <w:rPr>
                <w:spacing w:val="-4"/>
                <w:lang w:val="en-GB"/>
              </w:rPr>
              <w:t>(+</w:t>
            </w:r>
            <w:r w:rsidR="003D3FB2" w:rsidRPr="00552112">
              <w:rPr>
                <w:spacing w:val="-4"/>
                <w:lang w:val="en-GB"/>
              </w:rPr>
              <w:t>9</w:t>
            </w:r>
            <w:r w:rsidR="009B19B8">
              <w:rPr>
                <w:spacing w:val="-4"/>
                <w:lang w:val="en-GB"/>
              </w:rPr>
              <w:t>.</w:t>
            </w:r>
            <w:r w:rsidR="003D3FB2" w:rsidRPr="00552112">
              <w:rPr>
                <w:spacing w:val="-4"/>
                <w:lang w:val="en-GB"/>
              </w:rPr>
              <w:t>1</w:t>
            </w:r>
            <w:r w:rsidR="007B0920" w:rsidRPr="00552112">
              <w:rPr>
                <w:spacing w:val="-4"/>
                <w:lang w:val="en-GB"/>
              </w:rPr>
              <w:t xml:space="preserve">%, </w:t>
            </w:r>
            <w:r w:rsidR="003D3FB2" w:rsidRPr="00552112">
              <w:rPr>
                <w:spacing w:val="-4"/>
                <w:lang w:val="en-GB"/>
              </w:rPr>
              <w:t>-2</w:t>
            </w:r>
            <w:r w:rsidR="009B19B8">
              <w:rPr>
                <w:spacing w:val="-4"/>
                <w:lang w:val="en-GB"/>
              </w:rPr>
              <w:t>.</w:t>
            </w:r>
            <w:r w:rsidR="003D3FB2" w:rsidRPr="00552112">
              <w:rPr>
                <w:spacing w:val="-4"/>
                <w:lang w:val="en-GB"/>
              </w:rPr>
              <w:t>0%</w:t>
            </w:r>
            <w:r w:rsidR="009B19B8">
              <w:rPr>
                <w:spacing w:val="-4"/>
                <w:lang w:val="en-GB"/>
              </w:rPr>
              <w:t xml:space="preserve"> the year before</w:t>
            </w:r>
            <w:r w:rsidR="003D3FB2" w:rsidRPr="00552112">
              <w:rPr>
                <w:spacing w:val="-4"/>
                <w:lang w:val="en-GB"/>
              </w:rPr>
              <w:t xml:space="preserve">). </w:t>
            </w:r>
          </w:p>
          <w:p w:rsidR="00AF7C9B" w:rsidRDefault="00AF7C9B" w:rsidP="00E776DE">
            <w:pPr>
              <w:pStyle w:val="Textpoznpodarou"/>
              <w:jc w:val="both"/>
              <w:rPr>
                <w:spacing w:val="-4"/>
                <w:lang w:val="en-GB"/>
              </w:rPr>
            </w:pPr>
          </w:p>
          <w:p w:rsidR="007B0920" w:rsidRPr="00552112" w:rsidRDefault="00006AAD" w:rsidP="00E776DE">
            <w:pPr>
              <w:pStyle w:val="Textpoznpodarou"/>
              <w:jc w:val="both"/>
              <w:rPr>
                <w:color w:val="000000" w:themeColor="text1"/>
                <w:spacing w:val="-4"/>
                <w:lang w:val="en-GB"/>
              </w:rPr>
            </w:pPr>
            <w:r>
              <w:rPr>
                <w:spacing w:val="-4"/>
                <w:lang w:val="en-GB"/>
              </w:rPr>
              <w:t>On the contrary</w:t>
            </w:r>
            <w:r w:rsidR="00D8118B">
              <w:rPr>
                <w:spacing w:val="-4"/>
                <w:lang w:val="en-GB"/>
              </w:rPr>
              <w:t>, the more domestic market-oriented food industry as well as the beverage industry were ascribed much more modest growth (</w:t>
            </w:r>
            <w:r w:rsidR="007B0920" w:rsidRPr="00552112">
              <w:rPr>
                <w:spacing w:val="-4"/>
                <w:lang w:val="en-GB"/>
              </w:rPr>
              <w:t>+</w:t>
            </w:r>
            <w:r w:rsidR="003D3FB2" w:rsidRPr="00552112">
              <w:rPr>
                <w:spacing w:val="-4"/>
                <w:lang w:val="en-GB"/>
              </w:rPr>
              <w:t>2</w:t>
            </w:r>
            <w:r w:rsidR="00D8118B">
              <w:rPr>
                <w:spacing w:val="-4"/>
                <w:lang w:val="en-GB"/>
              </w:rPr>
              <w:t>.</w:t>
            </w:r>
            <w:r w:rsidR="003D3FB2" w:rsidRPr="00552112">
              <w:rPr>
                <w:spacing w:val="-4"/>
                <w:lang w:val="en-GB"/>
              </w:rPr>
              <w:t>0</w:t>
            </w:r>
            <w:r w:rsidR="007B0920" w:rsidRPr="00552112">
              <w:rPr>
                <w:spacing w:val="-4"/>
                <w:lang w:val="en-GB"/>
              </w:rPr>
              <w:t>%</w:t>
            </w:r>
            <w:r w:rsidR="00D8118B">
              <w:rPr>
                <w:spacing w:val="-4"/>
                <w:lang w:val="en-GB"/>
              </w:rPr>
              <w:t xml:space="preserve"> and </w:t>
            </w:r>
            <w:r w:rsidR="007B0920" w:rsidRPr="00552112">
              <w:rPr>
                <w:spacing w:val="-4"/>
                <w:lang w:val="en-GB"/>
              </w:rPr>
              <w:t>+</w:t>
            </w:r>
            <w:r w:rsidR="003D3FB2" w:rsidRPr="00552112">
              <w:rPr>
                <w:spacing w:val="-4"/>
                <w:lang w:val="en-GB"/>
              </w:rPr>
              <w:t>3</w:t>
            </w:r>
            <w:r w:rsidR="00D8118B">
              <w:rPr>
                <w:spacing w:val="-4"/>
                <w:lang w:val="en-GB"/>
              </w:rPr>
              <w:t>.</w:t>
            </w:r>
            <w:r w:rsidR="003D3FB2" w:rsidRPr="00552112">
              <w:rPr>
                <w:spacing w:val="-4"/>
                <w:lang w:val="en-GB"/>
              </w:rPr>
              <w:t>9</w:t>
            </w:r>
            <w:r w:rsidR="007B0920" w:rsidRPr="00552112">
              <w:rPr>
                <w:spacing w:val="-4"/>
                <w:lang w:val="en-GB"/>
              </w:rPr>
              <w:t xml:space="preserve">%) </w:t>
            </w:r>
            <w:r w:rsidR="00D8118B">
              <w:rPr>
                <w:spacing w:val="-4"/>
                <w:lang w:val="en-GB"/>
              </w:rPr>
              <w:t xml:space="preserve">and they thus did not breach the trends from the preceding years. </w:t>
            </w:r>
            <w:r w:rsidR="00E32DFC">
              <w:rPr>
                <w:spacing w:val="-4"/>
                <w:lang w:val="en-GB"/>
              </w:rPr>
              <w:t xml:space="preserve">Among the smaller activities, the export focussed pharmaceutical industry fared well </w:t>
            </w:r>
            <w:r w:rsidR="007B0920" w:rsidRPr="00552112">
              <w:rPr>
                <w:spacing w:val="-4"/>
                <w:lang w:val="en-GB"/>
              </w:rPr>
              <w:t>(+</w:t>
            </w:r>
            <w:r w:rsidR="003D3FB2" w:rsidRPr="00552112">
              <w:rPr>
                <w:spacing w:val="-4"/>
                <w:lang w:val="en-GB"/>
              </w:rPr>
              <w:t>10</w:t>
            </w:r>
            <w:r w:rsidR="00E32DFC">
              <w:rPr>
                <w:spacing w:val="-4"/>
                <w:lang w:val="en-GB"/>
              </w:rPr>
              <w:t>.</w:t>
            </w:r>
            <w:r w:rsidR="003D3FB2" w:rsidRPr="00552112">
              <w:rPr>
                <w:spacing w:val="-4"/>
                <w:lang w:val="en-GB"/>
              </w:rPr>
              <w:t>6</w:t>
            </w:r>
            <w:r w:rsidR="007B0920" w:rsidRPr="00552112">
              <w:rPr>
                <w:spacing w:val="-4"/>
                <w:lang w:val="en-GB"/>
              </w:rPr>
              <w:t>%, +</w:t>
            </w:r>
            <w:r w:rsidR="003D3FB2" w:rsidRPr="00552112">
              <w:rPr>
                <w:spacing w:val="-4"/>
                <w:lang w:val="en-GB"/>
              </w:rPr>
              <w:t>32</w:t>
            </w:r>
            <w:r w:rsidR="00E32DFC">
              <w:rPr>
                <w:spacing w:val="-4"/>
                <w:lang w:val="en-GB"/>
              </w:rPr>
              <w:t>.</w:t>
            </w:r>
            <w:r w:rsidR="003D3FB2" w:rsidRPr="00552112">
              <w:rPr>
                <w:spacing w:val="-4"/>
                <w:lang w:val="en-GB"/>
              </w:rPr>
              <w:t>1</w:t>
            </w:r>
            <w:r w:rsidR="007B0920" w:rsidRPr="00552112">
              <w:rPr>
                <w:spacing w:val="-4"/>
                <w:lang w:val="en-GB"/>
              </w:rPr>
              <w:t>%</w:t>
            </w:r>
            <w:r w:rsidR="00E32DFC">
              <w:rPr>
                <w:spacing w:val="-4"/>
                <w:lang w:val="en-GB"/>
              </w:rPr>
              <w:t xml:space="preserve"> in five years</w:t>
            </w:r>
            <w:r w:rsidR="007B0920" w:rsidRPr="00552112">
              <w:rPr>
                <w:spacing w:val="-4"/>
                <w:lang w:val="en-GB"/>
              </w:rPr>
              <w:t xml:space="preserve">). </w:t>
            </w:r>
            <w:r w:rsidR="00E32DFC">
              <w:rPr>
                <w:spacing w:val="-4"/>
                <w:lang w:val="en-GB"/>
              </w:rPr>
              <w:t>Also,</w:t>
            </w:r>
            <w:r w:rsidR="00D8118B">
              <w:rPr>
                <w:spacing w:val="-4"/>
                <w:lang w:val="en-GB"/>
              </w:rPr>
              <w:t xml:space="preserve"> t</w:t>
            </w:r>
            <w:r>
              <w:rPr>
                <w:spacing w:val="-4"/>
                <w:lang w:val="en-GB"/>
              </w:rPr>
              <w:t xml:space="preserve">he textile, paper and </w:t>
            </w:r>
            <w:r w:rsidR="00D8118B">
              <w:rPr>
                <w:spacing w:val="-4"/>
                <w:lang w:val="en-GB"/>
              </w:rPr>
              <w:t>furniture</w:t>
            </w:r>
            <w:r>
              <w:rPr>
                <w:spacing w:val="-4"/>
                <w:lang w:val="en-GB"/>
              </w:rPr>
              <w:t xml:space="preserve"> industries were growing continuously in the last five years. </w:t>
            </w:r>
          </w:p>
        </w:tc>
      </w:tr>
    </w:tbl>
    <w:p w:rsidR="002133D5" w:rsidRPr="00C25BC2" w:rsidRDefault="002133D5" w:rsidP="007B0920">
      <w:pPr>
        <w:pStyle w:val="Textpoznpodarou"/>
        <w:jc w:val="both"/>
        <w:rPr>
          <w:sz w:val="14"/>
          <w:szCs w:val="14"/>
        </w:rPr>
      </w:pPr>
    </w:p>
    <w:tbl>
      <w:tblPr>
        <w:tblW w:w="4963" w:type="pct"/>
        <w:tblInd w:w="108" w:type="dxa"/>
        <w:tblLayout w:type="fixed"/>
        <w:tblLook w:val="00A0"/>
      </w:tblPr>
      <w:tblGrid>
        <w:gridCol w:w="1997"/>
        <w:gridCol w:w="284"/>
        <w:gridCol w:w="1121"/>
        <w:gridCol w:w="6379"/>
      </w:tblGrid>
      <w:tr w:rsidR="007B0920" w:rsidRPr="00AA4A76" w:rsidTr="00CF0826">
        <w:trPr>
          <w:trHeight w:val="145"/>
        </w:trPr>
        <w:tc>
          <w:tcPr>
            <w:tcW w:w="1021"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73" w:type="pct"/>
          </w:tcPr>
          <w:p w:rsidR="007B0920" w:rsidRPr="00540CB3" w:rsidRDefault="008810BB" w:rsidP="008810BB">
            <w:pPr>
              <w:pStyle w:val="Textpoznpodarou"/>
              <w:jc w:val="both"/>
              <w:rPr>
                <w:highlight w:val="yellow"/>
              </w:rPr>
            </w:pPr>
            <w:r>
              <w:rPr>
                <w:color w:val="000000"/>
              </w:rPr>
              <w:t xml:space="preserve">Chart </w:t>
            </w:r>
            <w:r w:rsidR="007B0920" w:rsidRPr="00540CB3">
              <w:rPr>
                <w:color w:val="000000"/>
              </w:rPr>
              <w:t>5</w:t>
            </w:r>
          </w:p>
        </w:tc>
        <w:tc>
          <w:tcPr>
            <w:tcW w:w="3261" w:type="pct"/>
          </w:tcPr>
          <w:p w:rsidR="007B0920" w:rsidRPr="0005235A" w:rsidRDefault="0005235A" w:rsidP="008810BB">
            <w:pPr>
              <w:pStyle w:val="Textpoznpodarou"/>
              <w:rPr>
                <w:b/>
                <w:lang w:val="en-GB"/>
              </w:rPr>
            </w:pPr>
            <w:r w:rsidRPr="0005235A">
              <w:rPr>
                <w:b/>
                <w:lang w:val="en-GB"/>
              </w:rPr>
              <w:t xml:space="preserve">Production in industry and selected manufacturing branches </w:t>
            </w:r>
            <w:r w:rsidRPr="00AF7C9B">
              <w:rPr>
                <w:lang w:val="en-GB"/>
              </w:rPr>
              <w:t>(</w:t>
            </w:r>
            <w:r w:rsidR="007B0920" w:rsidRPr="0005235A">
              <w:rPr>
                <w:lang w:val="en-GB"/>
              </w:rPr>
              <w:t>re</w:t>
            </w:r>
            <w:r w:rsidRPr="0005235A">
              <w:rPr>
                <w:lang w:val="en-GB"/>
              </w:rPr>
              <w:t>al, adjusted for calendar effects</w:t>
            </w:r>
            <w:r w:rsidR="007B0920" w:rsidRPr="0005235A">
              <w:rPr>
                <w:lang w:val="en-GB"/>
              </w:rPr>
              <w:t xml:space="preserve">, </w:t>
            </w:r>
            <w:r w:rsidR="008810BB" w:rsidRPr="0005235A">
              <w:rPr>
                <w:lang w:val="en-GB"/>
              </w:rPr>
              <w:t xml:space="preserve">year-on-year in </w:t>
            </w:r>
            <w:r w:rsidR="007B0920" w:rsidRPr="0005235A">
              <w:rPr>
                <w:lang w:val="en-GB"/>
              </w:rPr>
              <w:t>%)</w:t>
            </w:r>
          </w:p>
        </w:tc>
      </w:tr>
      <w:tr w:rsidR="007B0920" w:rsidRPr="00AA4A76" w:rsidTr="00CF0826">
        <w:trPr>
          <w:trHeight w:val="145"/>
        </w:trPr>
        <w:tc>
          <w:tcPr>
            <w:tcW w:w="1021"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05235A" w:rsidRDefault="007B0920" w:rsidP="00CF0826">
            <w:pPr>
              <w:pStyle w:val="Textpoznpodarou"/>
              <w:jc w:val="both"/>
              <w:rPr>
                <w:lang w:val="en-GB"/>
              </w:rPr>
            </w:pPr>
          </w:p>
        </w:tc>
        <w:tc>
          <w:tcPr>
            <w:tcW w:w="3834" w:type="pct"/>
            <w:gridSpan w:val="2"/>
          </w:tcPr>
          <w:p w:rsidR="0005235A" w:rsidRPr="002133D5" w:rsidRDefault="002133D5" w:rsidP="002133D5">
            <w:pPr>
              <w:pStyle w:val="Textpoznpodarou"/>
              <w:ind w:left="-124"/>
              <w:jc w:val="right"/>
              <w:rPr>
                <w:sz w:val="14"/>
                <w:szCs w:val="14"/>
                <w:lang w:val="en-GB"/>
              </w:rPr>
            </w:pPr>
            <w:r w:rsidRPr="002133D5">
              <w:rPr>
                <w:noProof/>
                <w:sz w:val="14"/>
                <w:szCs w:val="14"/>
              </w:rPr>
              <w:drawing>
                <wp:inline distT="0" distB="0" distL="0" distR="0">
                  <wp:extent cx="4769902" cy="3553200"/>
                  <wp:effectExtent l="0" t="0" r="0" b="0"/>
                  <wp:docPr id="2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B12AC" w:rsidRPr="0005235A">
              <w:rPr>
                <w:sz w:val="14"/>
                <w:szCs w:val="14"/>
                <w:lang w:val="en-GB"/>
              </w:rPr>
              <w:t xml:space="preserve"> </w:t>
            </w:r>
            <w:r w:rsidR="00861C98" w:rsidRPr="0005235A">
              <w:rPr>
                <w:sz w:val="14"/>
                <w:szCs w:val="14"/>
                <w:lang w:val="en-GB"/>
              </w:rPr>
              <w:t>Source</w:t>
            </w:r>
            <w:r w:rsidR="007B0920" w:rsidRPr="0005235A">
              <w:rPr>
                <w:sz w:val="14"/>
                <w:szCs w:val="14"/>
                <w:lang w:val="en-GB"/>
              </w:rPr>
              <w:t xml:space="preserve">: </w:t>
            </w:r>
            <w:r w:rsidR="00861C98" w:rsidRPr="0005235A">
              <w:rPr>
                <w:sz w:val="14"/>
                <w:szCs w:val="14"/>
                <w:lang w:val="en-GB"/>
              </w:rPr>
              <w:t>CZSO</w:t>
            </w:r>
          </w:p>
        </w:tc>
      </w:tr>
    </w:tbl>
    <w:p w:rsidR="007B0920" w:rsidRDefault="007B0920" w:rsidP="007B0920">
      <w:pPr>
        <w:pStyle w:val="Textpoznpodarou"/>
        <w:jc w:val="both"/>
        <w:rPr>
          <w:sz w:val="14"/>
          <w:szCs w:val="14"/>
        </w:rPr>
      </w:pPr>
    </w:p>
    <w:tbl>
      <w:tblPr>
        <w:tblW w:w="4986" w:type="pct"/>
        <w:tblInd w:w="107" w:type="dxa"/>
        <w:tblLayout w:type="fixed"/>
        <w:tblLook w:val="00A0"/>
      </w:tblPr>
      <w:tblGrid>
        <w:gridCol w:w="1997"/>
        <w:gridCol w:w="283"/>
        <w:gridCol w:w="7546"/>
      </w:tblGrid>
      <w:tr w:rsidR="007B0920" w:rsidRPr="00DE32DB" w:rsidTr="00CF0826">
        <w:trPr>
          <w:trHeight w:val="145"/>
        </w:trPr>
        <w:tc>
          <w:tcPr>
            <w:tcW w:w="1016" w:type="pct"/>
          </w:tcPr>
          <w:p w:rsidR="007B0920" w:rsidRPr="00E85720" w:rsidRDefault="00E85720" w:rsidP="00CF0826">
            <w:pPr>
              <w:spacing w:line="240" w:lineRule="auto"/>
              <w:rPr>
                <w:spacing w:val="-2"/>
                <w:sz w:val="16"/>
                <w:szCs w:val="16"/>
                <w:lang w:val="en-GB"/>
              </w:rPr>
            </w:pPr>
            <w:r w:rsidRPr="00E85720">
              <w:rPr>
                <w:spacing w:val="-2"/>
                <w:sz w:val="16"/>
                <w:szCs w:val="16"/>
                <w:lang w:val="en-GB"/>
              </w:rPr>
              <w:t>Adverse tendencies from the view of output as well as employment continued in the mining industry or metallurgy and foundry industry.</w:t>
            </w:r>
          </w:p>
        </w:tc>
        <w:tc>
          <w:tcPr>
            <w:tcW w:w="144" w:type="pct"/>
          </w:tcPr>
          <w:p w:rsidR="007B0920" w:rsidRPr="00E85720" w:rsidRDefault="007B0920" w:rsidP="00CF0826">
            <w:pPr>
              <w:rPr>
                <w:color w:val="000000" w:themeColor="text1"/>
                <w:szCs w:val="16"/>
                <w:lang w:val="en-GB"/>
              </w:rPr>
            </w:pPr>
          </w:p>
        </w:tc>
        <w:tc>
          <w:tcPr>
            <w:tcW w:w="3840" w:type="pct"/>
          </w:tcPr>
          <w:p w:rsidR="007B0920" w:rsidRPr="00E85720" w:rsidRDefault="00861C98" w:rsidP="00CF0826">
            <w:pPr>
              <w:pStyle w:val="Textpoznpodarou"/>
              <w:jc w:val="both"/>
              <w:rPr>
                <w:color w:val="000000" w:themeColor="text1"/>
                <w:spacing w:val="-4"/>
                <w:lang w:val="en-GB"/>
              </w:rPr>
            </w:pPr>
            <w:r w:rsidRPr="00E85720">
              <w:rPr>
                <w:color w:val="000000" w:themeColor="text1"/>
                <w:spacing w:val="-4"/>
                <w:lang w:val="en-GB"/>
              </w:rPr>
              <w:t xml:space="preserve">The long term structural problems persisted in some industrial activities. </w:t>
            </w:r>
            <w:r w:rsidR="008D21DE">
              <w:rPr>
                <w:color w:val="000000" w:themeColor="text1"/>
                <w:spacing w:val="-4"/>
                <w:lang w:val="en-GB"/>
              </w:rPr>
              <w:t xml:space="preserve">Output in mining and quarrying has been declining due to the controlled reduction of the black coal mining already sixth year in a row </w:t>
            </w:r>
            <w:r w:rsidR="007B0920" w:rsidRPr="00E85720">
              <w:rPr>
                <w:color w:val="000000" w:themeColor="text1"/>
                <w:spacing w:val="-4"/>
                <w:lang w:val="en-GB"/>
              </w:rPr>
              <w:t>(</w:t>
            </w:r>
            <w:r w:rsidR="008D21DE">
              <w:rPr>
                <w:color w:val="000000" w:themeColor="text1"/>
                <w:spacing w:val="-4"/>
                <w:lang w:val="en-GB"/>
              </w:rPr>
              <w:t xml:space="preserve">by </w:t>
            </w:r>
            <w:r w:rsidR="001305B2" w:rsidRPr="00E85720">
              <w:rPr>
                <w:color w:val="000000" w:themeColor="text1"/>
                <w:spacing w:val="-4"/>
                <w:lang w:val="en-GB"/>
              </w:rPr>
              <w:t>1</w:t>
            </w:r>
            <w:r w:rsidR="008D21DE">
              <w:rPr>
                <w:color w:val="000000" w:themeColor="text1"/>
                <w:spacing w:val="-4"/>
                <w:lang w:val="en-GB"/>
              </w:rPr>
              <w:t>.</w:t>
            </w:r>
            <w:r w:rsidR="001305B2" w:rsidRPr="00E85720">
              <w:rPr>
                <w:color w:val="000000" w:themeColor="text1"/>
                <w:spacing w:val="-4"/>
                <w:lang w:val="en-GB"/>
              </w:rPr>
              <w:t>7</w:t>
            </w:r>
            <w:r w:rsidR="007B0920" w:rsidRPr="00E85720">
              <w:rPr>
                <w:color w:val="000000" w:themeColor="text1"/>
                <w:spacing w:val="-4"/>
                <w:lang w:val="en-GB"/>
              </w:rPr>
              <w:t>%</w:t>
            </w:r>
            <w:r w:rsidR="007B0920" w:rsidRPr="00E85720">
              <w:rPr>
                <w:rStyle w:val="Znakapoznpodarou"/>
                <w:color w:val="000000" w:themeColor="text1"/>
                <w:spacing w:val="-4"/>
                <w:lang w:val="en-GB"/>
              </w:rPr>
              <w:footnoteReference w:id="9"/>
            </w:r>
            <w:r w:rsidR="001305B2" w:rsidRPr="00E85720">
              <w:rPr>
                <w:color w:val="000000" w:themeColor="text1"/>
                <w:spacing w:val="-4"/>
                <w:lang w:val="en-GB"/>
              </w:rPr>
              <w:t xml:space="preserve">, </w:t>
            </w:r>
            <w:r w:rsidR="008D21DE">
              <w:rPr>
                <w:color w:val="000000" w:themeColor="text1"/>
                <w:spacing w:val="-4"/>
                <w:lang w:val="en-GB"/>
              </w:rPr>
              <w:t>in total by more than one quarter</w:t>
            </w:r>
            <w:r w:rsidR="007B0920" w:rsidRPr="00E85720">
              <w:rPr>
                <w:color w:val="000000" w:themeColor="text1"/>
                <w:spacing w:val="-4"/>
                <w:lang w:val="en-GB"/>
              </w:rPr>
              <w:t xml:space="preserve">). </w:t>
            </w:r>
            <w:r w:rsidR="00EB599D">
              <w:rPr>
                <w:color w:val="000000" w:themeColor="text1"/>
                <w:spacing w:val="-4"/>
                <w:lang w:val="en-GB"/>
              </w:rPr>
              <w:t xml:space="preserve">Nominal sales of the mining businesses however increased after five years last year </w:t>
            </w:r>
            <w:r w:rsidR="00B2419B" w:rsidRPr="00E85720">
              <w:rPr>
                <w:color w:val="000000" w:themeColor="text1"/>
                <w:spacing w:val="-4"/>
                <w:lang w:val="en-GB"/>
              </w:rPr>
              <w:t>(</w:t>
            </w:r>
            <w:r w:rsidR="00EB599D">
              <w:rPr>
                <w:color w:val="000000" w:themeColor="text1"/>
                <w:spacing w:val="-4"/>
                <w:lang w:val="en-GB"/>
              </w:rPr>
              <w:t xml:space="preserve">by </w:t>
            </w:r>
            <w:r w:rsidR="00B2419B" w:rsidRPr="00E85720">
              <w:rPr>
                <w:color w:val="000000" w:themeColor="text1"/>
                <w:spacing w:val="-4"/>
                <w:lang w:val="en-GB"/>
              </w:rPr>
              <w:t>8</w:t>
            </w:r>
            <w:r w:rsidR="00EB599D">
              <w:rPr>
                <w:color w:val="000000" w:themeColor="text1"/>
                <w:spacing w:val="-4"/>
                <w:lang w:val="en-GB"/>
              </w:rPr>
              <w:t>.</w:t>
            </w:r>
            <w:r w:rsidR="00B2419B" w:rsidRPr="00E85720">
              <w:rPr>
                <w:color w:val="000000" w:themeColor="text1"/>
                <w:spacing w:val="-4"/>
                <w:lang w:val="en-GB"/>
              </w:rPr>
              <w:t>7</w:t>
            </w:r>
            <w:r w:rsidR="007B0920" w:rsidRPr="00E85720">
              <w:rPr>
                <w:color w:val="000000" w:themeColor="text1"/>
                <w:spacing w:val="-4"/>
                <w:lang w:val="en-GB"/>
              </w:rPr>
              <w:t xml:space="preserve">%), </w:t>
            </w:r>
            <w:r w:rsidR="00EB599D">
              <w:rPr>
                <w:color w:val="000000" w:themeColor="text1"/>
                <w:spacing w:val="-4"/>
                <w:lang w:val="en-GB"/>
              </w:rPr>
              <w:t xml:space="preserve">since they absorbed the prices of materials. Output was mildly falling (similarly to the previous two years) in metallurgy and foundry industry. </w:t>
            </w:r>
            <w:r w:rsidR="0069340D">
              <w:rPr>
                <w:color w:val="000000" w:themeColor="text1"/>
                <w:spacing w:val="-4"/>
                <w:lang w:val="en-GB"/>
              </w:rPr>
              <w:t>Not even the Q4 2017 brought some more favourable results despite the growth of orders as well as import of basic metals. Output in the manufacture of leather again mildly</w:t>
            </w:r>
            <w:r w:rsidR="00F951D6">
              <w:rPr>
                <w:color w:val="000000" w:themeColor="text1"/>
                <w:spacing w:val="-4"/>
                <w:lang w:val="en-GB"/>
              </w:rPr>
              <w:t xml:space="preserve"> </w:t>
            </w:r>
            <w:r w:rsidR="0069340D">
              <w:rPr>
                <w:color w:val="000000" w:themeColor="text1"/>
                <w:spacing w:val="-4"/>
                <w:lang w:val="en-GB"/>
              </w:rPr>
              <w:t xml:space="preserve">dropped last year after the short revival, it was by nearly 30% weaker compared to the expansion year of </w:t>
            </w:r>
            <w:r w:rsidR="00F951D6">
              <w:rPr>
                <w:color w:val="000000" w:themeColor="text1"/>
                <w:spacing w:val="-4"/>
                <w:lang w:val="en-GB"/>
              </w:rPr>
              <w:t>2007</w:t>
            </w:r>
            <w:r w:rsidR="007B0920" w:rsidRPr="00E85720">
              <w:rPr>
                <w:rStyle w:val="Znakapoznpodarou"/>
                <w:color w:val="000000" w:themeColor="text1"/>
                <w:spacing w:val="-4"/>
                <w:lang w:val="en-GB"/>
              </w:rPr>
              <w:footnoteReference w:id="10"/>
            </w:r>
            <w:r w:rsidR="007B0920" w:rsidRPr="00E85720">
              <w:rPr>
                <w:color w:val="000000" w:themeColor="text1"/>
                <w:spacing w:val="-4"/>
                <w:lang w:val="en-GB"/>
              </w:rPr>
              <w:t xml:space="preserve">. </w:t>
            </w:r>
            <w:r w:rsidR="00730BBC">
              <w:rPr>
                <w:color w:val="000000" w:themeColor="text1"/>
                <w:spacing w:val="-4"/>
                <w:lang w:val="en-GB"/>
              </w:rPr>
              <w:t xml:space="preserve">On the contrary, the small but growing in the </w:t>
            </w:r>
            <w:r w:rsidR="00654E14">
              <w:rPr>
                <w:color w:val="000000" w:themeColor="text1"/>
                <w:spacing w:val="-4"/>
                <w:lang w:val="en-GB"/>
              </w:rPr>
              <w:t>long-term</w:t>
            </w:r>
            <w:r w:rsidR="00730BBC">
              <w:rPr>
                <w:color w:val="000000" w:themeColor="text1"/>
                <w:spacing w:val="-4"/>
                <w:lang w:val="en-GB"/>
              </w:rPr>
              <w:t xml:space="preserve"> activity – manufacture of other (mostly rail) transportation </w:t>
            </w:r>
            <w:r w:rsidR="00745650">
              <w:rPr>
                <w:color w:val="000000" w:themeColor="text1"/>
                <w:spacing w:val="-4"/>
                <w:lang w:val="en-GB"/>
              </w:rPr>
              <w:t>equipment</w:t>
            </w:r>
            <w:r w:rsidR="00730BBC">
              <w:rPr>
                <w:color w:val="000000" w:themeColor="text1"/>
                <w:spacing w:val="-4"/>
                <w:lang w:val="en-GB"/>
              </w:rPr>
              <w:t xml:space="preserve"> had the last year fall </w:t>
            </w:r>
            <w:r w:rsidR="007B0920" w:rsidRPr="00E85720">
              <w:rPr>
                <w:color w:val="000000" w:themeColor="text1"/>
                <w:spacing w:val="-4"/>
                <w:lang w:val="en-GB"/>
              </w:rPr>
              <w:t>(</w:t>
            </w:r>
            <w:r w:rsidR="00730BBC">
              <w:rPr>
                <w:color w:val="000000" w:themeColor="text1"/>
                <w:spacing w:val="-4"/>
                <w:lang w:val="en-GB"/>
              </w:rPr>
              <w:t>by</w:t>
            </w:r>
            <w:r w:rsidR="007B0920" w:rsidRPr="00E85720">
              <w:rPr>
                <w:color w:val="000000" w:themeColor="text1"/>
                <w:spacing w:val="-4"/>
                <w:lang w:val="en-GB"/>
              </w:rPr>
              <w:t xml:space="preserve"> </w:t>
            </w:r>
            <w:r w:rsidR="006305C4" w:rsidRPr="00E85720">
              <w:rPr>
                <w:color w:val="000000" w:themeColor="text1"/>
                <w:spacing w:val="-4"/>
                <w:lang w:val="en-GB"/>
              </w:rPr>
              <w:t>9</w:t>
            </w:r>
            <w:r w:rsidR="00730BBC">
              <w:rPr>
                <w:color w:val="000000" w:themeColor="text1"/>
                <w:spacing w:val="-4"/>
                <w:lang w:val="en-GB"/>
              </w:rPr>
              <w:t>.</w:t>
            </w:r>
            <w:r w:rsidR="00034D3F" w:rsidRPr="00E85720">
              <w:rPr>
                <w:color w:val="000000" w:themeColor="text1"/>
                <w:spacing w:val="-4"/>
                <w:lang w:val="en-GB"/>
              </w:rPr>
              <w:t>1</w:t>
            </w:r>
            <w:r w:rsidR="007B0920" w:rsidRPr="00E85720">
              <w:rPr>
                <w:color w:val="000000" w:themeColor="text1"/>
                <w:spacing w:val="-4"/>
                <w:lang w:val="en-GB"/>
              </w:rPr>
              <w:t xml:space="preserve">%, </w:t>
            </w:r>
            <w:r w:rsidR="00730BBC">
              <w:rPr>
                <w:color w:val="000000" w:themeColor="text1"/>
                <w:spacing w:val="-4"/>
                <w:lang w:val="en-GB"/>
              </w:rPr>
              <w:t>the deepest from all sections of industry</w:t>
            </w:r>
            <w:r w:rsidR="007B0920" w:rsidRPr="00E85720">
              <w:rPr>
                <w:color w:val="000000" w:themeColor="text1"/>
                <w:spacing w:val="-4"/>
                <w:lang w:val="en-GB"/>
              </w:rPr>
              <w:t xml:space="preserve">) </w:t>
            </w:r>
            <w:r w:rsidR="00730BBC">
              <w:rPr>
                <w:color w:val="000000" w:themeColor="text1"/>
                <w:spacing w:val="-4"/>
                <w:lang w:val="en-GB"/>
              </w:rPr>
              <w:t>more as a one-off deviation due to the volatile nature of orders</w:t>
            </w:r>
            <w:r w:rsidR="007B0920" w:rsidRPr="00E85720">
              <w:rPr>
                <w:color w:val="000000" w:themeColor="text1"/>
                <w:spacing w:val="-5"/>
                <w:lang w:val="en-GB"/>
              </w:rPr>
              <w:t xml:space="preserve">, </w:t>
            </w:r>
            <w:r w:rsidR="00730BBC">
              <w:rPr>
                <w:color w:val="000000" w:themeColor="text1"/>
                <w:spacing w:val="-5"/>
                <w:lang w:val="en-GB"/>
              </w:rPr>
              <w:t xml:space="preserve">which also the favourable development of employment confirmed. </w:t>
            </w:r>
          </w:p>
          <w:p w:rsidR="007B0920" w:rsidRPr="00E85720" w:rsidRDefault="007B0920" w:rsidP="00CF0826">
            <w:pPr>
              <w:pStyle w:val="Textpoznpodarou"/>
              <w:jc w:val="both"/>
              <w:rPr>
                <w:color w:val="000000" w:themeColor="text1"/>
                <w:spacing w:val="-4"/>
                <w:sz w:val="15"/>
                <w:lang w:val="en-GB"/>
              </w:rPr>
            </w:pPr>
          </w:p>
        </w:tc>
      </w:tr>
      <w:tr w:rsidR="007B0920" w:rsidRPr="00DE32DB" w:rsidTr="00CF0826">
        <w:trPr>
          <w:trHeight w:val="145"/>
        </w:trPr>
        <w:tc>
          <w:tcPr>
            <w:tcW w:w="1016" w:type="pct"/>
          </w:tcPr>
          <w:p w:rsidR="007B0920" w:rsidRPr="00E85720" w:rsidRDefault="00AF4A95" w:rsidP="00CF0826">
            <w:pPr>
              <w:spacing w:line="240" w:lineRule="auto"/>
              <w:rPr>
                <w:spacing w:val="-2"/>
                <w:sz w:val="16"/>
                <w:szCs w:val="16"/>
                <w:lang w:val="en-GB"/>
              </w:rPr>
            </w:pPr>
            <w:r>
              <w:rPr>
                <w:spacing w:val="-2"/>
                <w:sz w:val="16"/>
                <w:szCs w:val="16"/>
                <w:lang w:val="en-GB"/>
              </w:rPr>
              <w:t xml:space="preserve">Growth of the sales of industrial businesses from direct export mildly lagged behind the pace of domestic sales. Rate of growth of new orders did not ease up significantly during </w:t>
            </w:r>
            <w:r w:rsidR="007B0920" w:rsidRPr="00E85720">
              <w:rPr>
                <w:spacing w:val="-2"/>
                <w:sz w:val="16"/>
                <w:szCs w:val="16"/>
                <w:lang w:val="en-GB"/>
              </w:rPr>
              <w:t>2017</w:t>
            </w:r>
            <w:r>
              <w:rPr>
                <w:spacing w:val="-2"/>
                <w:sz w:val="16"/>
                <w:szCs w:val="16"/>
                <w:lang w:val="en-GB"/>
              </w:rPr>
              <w:t xml:space="preserve">, entrepreneur confidence also remained in the </w:t>
            </w:r>
            <w:r w:rsidRPr="00AF4A95">
              <w:rPr>
                <w:spacing w:val="-2"/>
                <w:sz w:val="16"/>
                <w:szCs w:val="16"/>
                <w:lang w:val="en-GB"/>
              </w:rPr>
              <w:t>positive</w:t>
            </w:r>
            <w:r w:rsidR="001D1383">
              <w:rPr>
                <w:spacing w:val="-2"/>
                <w:sz w:val="16"/>
                <w:szCs w:val="16"/>
                <w:lang w:val="en-GB"/>
              </w:rPr>
              <w:t xml:space="preserve"> band. </w:t>
            </w:r>
            <w:r w:rsidR="007B0920" w:rsidRPr="00E85720">
              <w:rPr>
                <w:spacing w:val="-2"/>
                <w:sz w:val="16"/>
                <w:szCs w:val="16"/>
                <w:lang w:val="en-GB"/>
              </w:rPr>
              <w:t xml:space="preserve"> </w:t>
            </w:r>
          </w:p>
          <w:p w:rsidR="007B0920" w:rsidRPr="00E85720" w:rsidRDefault="007B0920" w:rsidP="00CF0826">
            <w:pPr>
              <w:spacing w:line="240" w:lineRule="auto"/>
              <w:rPr>
                <w:spacing w:val="-2"/>
                <w:sz w:val="16"/>
                <w:szCs w:val="16"/>
                <w:lang w:val="en-GB"/>
              </w:rPr>
            </w:pPr>
          </w:p>
          <w:p w:rsidR="007B0920" w:rsidRPr="00E85720" w:rsidRDefault="007B0920" w:rsidP="00CF0826">
            <w:pPr>
              <w:spacing w:line="240" w:lineRule="auto"/>
              <w:rPr>
                <w:spacing w:val="-2"/>
                <w:sz w:val="16"/>
                <w:szCs w:val="16"/>
                <w:lang w:val="en-GB"/>
              </w:rPr>
            </w:pPr>
          </w:p>
          <w:p w:rsidR="007B0920" w:rsidRPr="00E85720" w:rsidRDefault="007B0920" w:rsidP="00CF0826">
            <w:pPr>
              <w:spacing w:line="240" w:lineRule="auto"/>
              <w:rPr>
                <w:spacing w:val="-2"/>
                <w:sz w:val="16"/>
                <w:szCs w:val="16"/>
                <w:lang w:val="en-GB"/>
              </w:rPr>
            </w:pPr>
          </w:p>
          <w:p w:rsidR="004C08F1" w:rsidRDefault="00200D2A" w:rsidP="00CF0826">
            <w:pPr>
              <w:spacing w:line="240" w:lineRule="auto"/>
              <w:rPr>
                <w:spacing w:val="-2"/>
                <w:sz w:val="16"/>
                <w:szCs w:val="16"/>
                <w:lang w:val="en-GB"/>
              </w:rPr>
            </w:pPr>
            <w:r>
              <w:rPr>
                <w:spacing w:val="-2"/>
                <w:sz w:val="16"/>
                <w:szCs w:val="16"/>
                <w:lang w:val="en-GB"/>
              </w:rPr>
              <w:t xml:space="preserve">Lack of employees as </w:t>
            </w:r>
          </w:p>
          <w:p w:rsidR="007B0920" w:rsidRPr="00E85720" w:rsidRDefault="00200D2A" w:rsidP="00CF0826">
            <w:pPr>
              <w:spacing w:line="240" w:lineRule="auto"/>
              <w:rPr>
                <w:spacing w:val="-2"/>
                <w:sz w:val="16"/>
                <w:szCs w:val="16"/>
                <w:lang w:val="en-GB"/>
              </w:rPr>
            </w:pPr>
            <w:proofErr w:type="gramStart"/>
            <w:r>
              <w:rPr>
                <w:spacing w:val="-2"/>
                <w:sz w:val="16"/>
                <w:szCs w:val="16"/>
                <w:lang w:val="en-GB"/>
              </w:rPr>
              <w:t>a</w:t>
            </w:r>
            <w:proofErr w:type="gramEnd"/>
            <w:r>
              <w:rPr>
                <w:spacing w:val="-2"/>
                <w:sz w:val="16"/>
                <w:szCs w:val="16"/>
                <w:lang w:val="en-GB"/>
              </w:rPr>
              <w:t xml:space="preserve"> barrier to growth increased in industry last year, role of the inadequate demand slightly weakened. </w:t>
            </w:r>
          </w:p>
        </w:tc>
        <w:tc>
          <w:tcPr>
            <w:tcW w:w="144" w:type="pct"/>
          </w:tcPr>
          <w:p w:rsidR="007B0920" w:rsidRPr="00E85720" w:rsidRDefault="007B0920" w:rsidP="00CF0826">
            <w:pPr>
              <w:pStyle w:val="Textpoznpodarou"/>
              <w:jc w:val="both"/>
              <w:rPr>
                <w:lang w:val="en-GB"/>
              </w:rPr>
            </w:pPr>
          </w:p>
        </w:tc>
        <w:tc>
          <w:tcPr>
            <w:tcW w:w="3840" w:type="pct"/>
          </w:tcPr>
          <w:p w:rsidR="007B0920" w:rsidRPr="00E85720" w:rsidRDefault="00861C98" w:rsidP="00861C98">
            <w:pPr>
              <w:pStyle w:val="Textpoznpodarou"/>
              <w:jc w:val="both"/>
              <w:rPr>
                <w:color w:val="000000" w:themeColor="text1"/>
                <w:spacing w:val="-4"/>
                <w:lang w:val="en-GB"/>
              </w:rPr>
            </w:pPr>
            <w:r w:rsidRPr="00E85720">
              <w:rPr>
                <w:color w:val="000000" w:themeColor="text1"/>
                <w:spacing w:val="-4"/>
                <w:lang w:val="en-GB"/>
              </w:rPr>
              <w:t xml:space="preserve">The nominal sales of businesses from the industrial activity rose by </w:t>
            </w:r>
            <w:r w:rsidR="00014690" w:rsidRPr="00E85720">
              <w:rPr>
                <w:color w:val="000000" w:themeColor="text1"/>
                <w:spacing w:val="-4"/>
                <w:lang w:val="en-GB"/>
              </w:rPr>
              <w:t>7</w:t>
            </w:r>
            <w:r w:rsidRPr="00E85720">
              <w:rPr>
                <w:color w:val="000000" w:themeColor="text1"/>
                <w:spacing w:val="-4"/>
                <w:lang w:val="en-GB"/>
              </w:rPr>
              <w:t>.</w:t>
            </w:r>
            <w:r w:rsidR="00014690" w:rsidRPr="00E85720">
              <w:rPr>
                <w:color w:val="000000" w:themeColor="text1"/>
                <w:spacing w:val="-4"/>
                <w:lang w:val="en-GB"/>
              </w:rPr>
              <w:t>2</w:t>
            </w:r>
            <w:r w:rsidR="007B0920" w:rsidRPr="00E85720">
              <w:rPr>
                <w:color w:val="000000" w:themeColor="text1"/>
                <w:spacing w:val="-4"/>
                <w:lang w:val="en-GB"/>
              </w:rPr>
              <w:t>%</w:t>
            </w:r>
            <w:r w:rsidRPr="00E85720">
              <w:rPr>
                <w:color w:val="000000" w:themeColor="text1"/>
                <w:spacing w:val="-4"/>
                <w:lang w:val="en-GB"/>
              </w:rPr>
              <w:t xml:space="preserve"> during the year 2017</w:t>
            </w:r>
            <w:r w:rsidR="007B0920" w:rsidRPr="00E85720">
              <w:rPr>
                <w:color w:val="000000" w:themeColor="text1"/>
                <w:spacing w:val="-4"/>
                <w:lang w:val="en-GB"/>
              </w:rPr>
              <w:t xml:space="preserve">. </w:t>
            </w:r>
            <w:r w:rsidR="009869C4">
              <w:rPr>
                <w:color w:val="000000" w:themeColor="text1"/>
                <w:spacing w:val="-4"/>
                <w:lang w:val="en-GB"/>
              </w:rPr>
              <w:t xml:space="preserve">They increased in all more significant industrial branches. Growth of sales from direct export </w:t>
            </w:r>
            <w:r w:rsidR="00014690" w:rsidRPr="00E85720">
              <w:rPr>
                <w:color w:val="000000" w:themeColor="text1"/>
                <w:spacing w:val="-4"/>
                <w:lang w:val="en-GB"/>
              </w:rPr>
              <w:t>(+6</w:t>
            </w:r>
            <w:r w:rsidRPr="00E85720">
              <w:rPr>
                <w:color w:val="000000" w:themeColor="text1"/>
                <w:spacing w:val="-4"/>
                <w:lang w:val="en-GB"/>
              </w:rPr>
              <w:t>.</w:t>
            </w:r>
            <w:r w:rsidR="00014690" w:rsidRPr="00E85720">
              <w:rPr>
                <w:color w:val="000000" w:themeColor="text1"/>
                <w:spacing w:val="-4"/>
                <w:lang w:val="en-GB"/>
              </w:rPr>
              <w:t xml:space="preserve">5%) </w:t>
            </w:r>
            <w:r w:rsidR="009869C4">
              <w:rPr>
                <w:color w:val="000000" w:themeColor="text1"/>
                <w:spacing w:val="-4"/>
                <w:lang w:val="en-GB"/>
              </w:rPr>
              <w:t xml:space="preserve">mildly lagged behind the pace of the domestic sales </w:t>
            </w:r>
            <w:r w:rsidR="00014690" w:rsidRPr="00E85720">
              <w:rPr>
                <w:color w:val="000000" w:themeColor="text1"/>
                <w:spacing w:val="-4"/>
                <w:lang w:val="en-GB"/>
              </w:rPr>
              <w:t>(+8</w:t>
            </w:r>
            <w:r w:rsidR="009869C4">
              <w:rPr>
                <w:color w:val="000000" w:themeColor="text1"/>
                <w:spacing w:val="-4"/>
                <w:lang w:val="en-GB"/>
              </w:rPr>
              <w:t>.</w:t>
            </w:r>
            <w:r w:rsidR="00014690" w:rsidRPr="00E85720">
              <w:rPr>
                <w:color w:val="000000" w:themeColor="text1"/>
                <w:spacing w:val="-4"/>
                <w:lang w:val="en-GB"/>
              </w:rPr>
              <w:t>1%)</w:t>
            </w:r>
            <w:r w:rsidR="007B0920" w:rsidRPr="00E85720">
              <w:rPr>
                <w:color w:val="000000" w:themeColor="text1"/>
                <w:spacing w:val="-4"/>
                <w:lang w:val="en-GB"/>
              </w:rPr>
              <w:t xml:space="preserve">, </w:t>
            </w:r>
            <w:r w:rsidR="009869C4">
              <w:rPr>
                <w:color w:val="000000" w:themeColor="text1"/>
                <w:spacing w:val="-4"/>
                <w:lang w:val="en-GB"/>
              </w:rPr>
              <w:t xml:space="preserve">which last manifested in year </w:t>
            </w:r>
            <w:r w:rsidR="007B0920" w:rsidRPr="00E85720">
              <w:rPr>
                <w:color w:val="000000" w:themeColor="text1"/>
                <w:spacing w:val="-4"/>
                <w:lang w:val="en-GB"/>
              </w:rPr>
              <w:t xml:space="preserve">2008. </w:t>
            </w:r>
            <w:r w:rsidR="009869C4">
              <w:rPr>
                <w:color w:val="000000" w:themeColor="text1"/>
                <w:spacing w:val="-4"/>
                <w:lang w:val="en-GB"/>
              </w:rPr>
              <w:t>Recovery in the chemical industry, but also good results of machinery and subcontractors for the motor vehicle manufacturing stood behind the growth of the domestic sales last year</w:t>
            </w:r>
            <w:r w:rsidR="007B0920" w:rsidRPr="00E85720">
              <w:rPr>
                <w:color w:val="000000" w:themeColor="text1"/>
                <w:spacing w:val="-4"/>
                <w:lang w:val="en-GB"/>
              </w:rPr>
              <w:t xml:space="preserve">. </w:t>
            </w:r>
            <w:r w:rsidR="00585EFE">
              <w:rPr>
                <w:color w:val="000000" w:themeColor="text1"/>
                <w:spacing w:val="-4"/>
                <w:lang w:val="en-GB"/>
              </w:rPr>
              <w:t>Rate of growth of new industrial orders did not slacken much during the year. Their value was by 7.1% higher year-on-year in Q</w:t>
            </w:r>
            <w:r w:rsidR="001E3731" w:rsidRPr="00E85720">
              <w:rPr>
                <w:color w:val="000000" w:themeColor="text1"/>
                <w:spacing w:val="-4"/>
                <w:lang w:val="en-GB"/>
              </w:rPr>
              <w:t>4. </w:t>
            </w:r>
            <w:r w:rsidR="00585EFE">
              <w:rPr>
                <w:color w:val="000000" w:themeColor="text1"/>
                <w:spacing w:val="-4"/>
                <w:lang w:val="en-GB"/>
              </w:rPr>
              <w:t xml:space="preserve">Stock of work expanded in all twelve monitored branches. Only manufacturers of motor vehicles signalled only a mild growth at the end of the year (+0.3%), partially due to the higher comparative basis. </w:t>
            </w:r>
            <w:r w:rsidR="007B0920" w:rsidRPr="00E85720">
              <w:rPr>
                <w:color w:val="000000" w:themeColor="text1"/>
                <w:spacing w:val="-4"/>
                <w:lang w:val="en-GB"/>
              </w:rPr>
              <w:t>Se</w:t>
            </w:r>
            <w:r w:rsidR="0064574A">
              <w:rPr>
                <w:color w:val="000000" w:themeColor="text1"/>
                <w:spacing w:val="-4"/>
                <w:lang w:val="en-GB"/>
              </w:rPr>
              <w:t xml:space="preserve">asonally adjusted balance of the confidence indicator </w:t>
            </w:r>
            <w:r w:rsidR="007F646D">
              <w:rPr>
                <w:color w:val="000000" w:themeColor="text1"/>
                <w:spacing w:val="-4"/>
                <w:lang w:val="en-GB"/>
              </w:rPr>
              <w:t xml:space="preserve">in </w:t>
            </w:r>
            <w:r w:rsidR="0064574A">
              <w:rPr>
                <w:color w:val="000000" w:themeColor="text1"/>
                <w:spacing w:val="-4"/>
                <w:lang w:val="en-GB"/>
              </w:rPr>
              <w:t>industry mildly fell in H</w:t>
            </w:r>
            <w:r w:rsidR="007B0920" w:rsidRPr="00E85720">
              <w:rPr>
                <w:color w:val="000000" w:themeColor="text1"/>
                <w:spacing w:val="-4"/>
                <w:lang w:val="en-GB"/>
              </w:rPr>
              <w:t xml:space="preserve">1, </w:t>
            </w:r>
            <w:r w:rsidR="00A375DE">
              <w:rPr>
                <w:color w:val="000000" w:themeColor="text1"/>
                <w:spacing w:val="-4"/>
                <w:lang w:val="en-GB"/>
              </w:rPr>
              <w:t xml:space="preserve">this development was compensated in the next part of the year. The value of the balance was </w:t>
            </w:r>
            <w:r w:rsidR="007B0920" w:rsidRPr="00E85720">
              <w:rPr>
                <w:color w:val="000000" w:themeColor="text1"/>
                <w:spacing w:val="-4"/>
                <w:lang w:val="en-GB"/>
              </w:rPr>
              <w:t>(+6</w:t>
            </w:r>
            <w:r w:rsidR="00283D6A" w:rsidRPr="00E85720">
              <w:rPr>
                <w:color w:val="000000" w:themeColor="text1"/>
                <w:spacing w:val="-4"/>
                <w:lang w:val="en-GB"/>
              </w:rPr>
              <w:t> </w:t>
            </w:r>
            <w:r w:rsidR="0030607B">
              <w:rPr>
                <w:color w:val="000000" w:themeColor="text1"/>
                <w:spacing w:val="-4"/>
                <w:lang w:val="en-GB"/>
              </w:rPr>
              <w:t>p.p.</w:t>
            </w:r>
            <w:r w:rsidR="007B0920" w:rsidRPr="00E85720">
              <w:rPr>
                <w:color w:val="000000" w:themeColor="text1"/>
                <w:spacing w:val="-4"/>
                <w:lang w:val="en-GB"/>
              </w:rPr>
              <w:t xml:space="preserve">) </w:t>
            </w:r>
            <w:r w:rsidR="00A375DE">
              <w:rPr>
                <w:color w:val="000000" w:themeColor="text1"/>
                <w:spacing w:val="-4"/>
                <w:lang w:val="en-GB"/>
              </w:rPr>
              <w:t xml:space="preserve">in December 2017 similar to the situation twelve months ago. </w:t>
            </w:r>
            <w:r w:rsidR="00A95545">
              <w:rPr>
                <w:color w:val="000000" w:themeColor="text1"/>
                <w:spacing w:val="-4"/>
                <w:lang w:val="en-GB"/>
              </w:rPr>
              <w:t xml:space="preserve">In December, 24% of industrial businesses expected the growth of the production activity in the next three months </w:t>
            </w:r>
            <w:r w:rsidR="007B0920" w:rsidRPr="00E85720">
              <w:rPr>
                <w:color w:val="000000" w:themeColor="text1"/>
                <w:spacing w:val="-5"/>
                <w:lang w:val="en-GB"/>
              </w:rPr>
              <w:t>(20%</w:t>
            </w:r>
            <w:r w:rsidR="00A95545">
              <w:rPr>
                <w:color w:val="000000" w:themeColor="text1"/>
                <w:spacing w:val="-5"/>
                <w:lang w:val="en-GB"/>
              </w:rPr>
              <w:t xml:space="preserve"> the year before</w:t>
            </w:r>
            <w:r w:rsidR="007B0920" w:rsidRPr="00E85720">
              <w:rPr>
                <w:color w:val="000000" w:themeColor="text1"/>
                <w:spacing w:val="-5"/>
                <w:lang w:val="en-GB"/>
              </w:rPr>
              <w:t>).</w:t>
            </w:r>
            <w:r w:rsidR="007B0920" w:rsidRPr="00E85720">
              <w:rPr>
                <w:color w:val="000000" w:themeColor="text1"/>
                <w:spacing w:val="-4"/>
                <w:lang w:val="en-GB"/>
              </w:rPr>
              <w:t xml:space="preserve"> </w:t>
            </w:r>
            <w:r w:rsidR="00A95545">
              <w:rPr>
                <w:color w:val="000000" w:themeColor="text1"/>
                <w:spacing w:val="-4"/>
                <w:lang w:val="en-GB"/>
              </w:rPr>
              <w:t>On</w:t>
            </w:r>
            <w:r w:rsidR="000B27B2">
              <w:rPr>
                <w:color w:val="000000" w:themeColor="text1"/>
                <w:spacing w:val="-4"/>
                <w:lang w:val="en-GB"/>
              </w:rPr>
              <w:t>e</w:t>
            </w:r>
            <w:r w:rsidR="00A95545">
              <w:rPr>
                <w:color w:val="000000" w:themeColor="text1"/>
                <w:spacing w:val="-4"/>
                <w:lang w:val="en-GB"/>
              </w:rPr>
              <w:t xml:space="preserve"> seventh of businesses also considered the increase of employment </w:t>
            </w:r>
            <w:r w:rsidR="007B0920" w:rsidRPr="00E85720">
              <w:rPr>
                <w:color w:val="000000" w:themeColor="text1"/>
                <w:spacing w:val="-4"/>
                <w:lang w:val="en-GB"/>
              </w:rPr>
              <w:t>(</w:t>
            </w:r>
            <w:r w:rsidR="00A95545">
              <w:rPr>
                <w:color w:val="000000" w:themeColor="text1"/>
                <w:spacing w:val="-4"/>
                <w:lang w:val="en-GB"/>
              </w:rPr>
              <w:t>one fifth year ago</w:t>
            </w:r>
            <w:r w:rsidR="007B0920" w:rsidRPr="00E85720">
              <w:rPr>
                <w:color w:val="000000" w:themeColor="text1"/>
                <w:spacing w:val="-4"/>
                <w:lang w:val="en-GB"/>
              </w:rPr>
              <w:t xml:space="preserve">). </w:t>
            </w:r>
            <w:r w:rsidR="00F36BB9">
              <w:rPr>
                <w:color w:val="000000" w:themeColor="text1"/>
                <w:spacing w:val="-4"/>
                <w:lang w:val="en-GB"/>
              </w:rPr>
              <w:t xml:space="preserve">Outlooks markedly improved in energy industry, the mining industry stabilised. </w:t>
            </w:r>
            <w:r w:rsidR="00FB5A54">
              <w:rPr>
                <w:color w:val="000000" w:themeColor="text1"/>
                <w:spacing w:val="-4"/>
                <w:lang w:val="en-GB"/>
              </w:rPr>
              <w:t>Record 43% of industrial businesses stated</w:t>
            </w:r>
            <w:r w:rsidR="000B27B2">
              <w:rPr>
                <w:color w:val="000000" w:themeColor="text1"/>
                <w:spacing w:val="-4"/>
                <w:lang w:val="en-GB"/>
              </w:rPr>
              <w:t xml:space="preserve"> </w:t>
            </w:r>
            <w:r w:rsidR="00FB5A54">
              <w:rPr>
                <w:color w:val="000000" w:themeColor="text1"/>
                <w:spacing w:val="-4"/>
                <w:lang w:val="en-GB"/>
              </w:rPr>
              <w:t xml:space="preserve">the lack of labour </w:t>
            </w:r>
            <w:r w:rsidR="002047DA">
              <w:rPr>
                <w:color w:val="000000" w:themeColor="text1"/>
                <w:spacing w:val="-4"/>
                <w:lang w:val="en-GB"/>
              </w:rPr>
              <w:t>force</w:t>
            </w:r>
            <w:r w:rsidR="00FB5A54">
              <w:rPr>
                <w:color w:val="000000" w:themeColor="text1"/>
                <w:spacing w:val="-4"/>
                <w:lang w:val="en-GB"/>
              </w:rPr>
              <w:t xml:space="preserve"> a</w:t>
            </w:r>
            <w:r w:rsidR="002047DA">
              <w:rPr>
                <w:color w:val="000000" w:themeColor="text1"/>
                <w:spacing w:val="-4"/>
                <w:lang w:val="en-GB"/>
              </w:rPr>
              <w:t>s a</w:t>
            </w:r>
            <w:r w:rsidR="00FB5A54">
              <w:rPr>
                <w:color w:val="000000" w:themeColor="text1"/>
                <w:spacing w:val="-4"/>
                <w:lang w:val="en-GB"/>
              </w:rPr>
              <w:t xml:space="preserve"> barrier to growth at the beginning of </w:t>
            </w:r>
            <w:r w:rsidR="007B0920" w:rsidRPr="00E85720">
              <w:rPr>
                <w:color w:val="000000" w:themeColor="text1"/>
                <w:spacing w:val="-4"/>
                <w:lang w:val="en-GB"/>
              </w:rPr>
              <w:t>2018</w:t>
            </w:r>
            <w:r w:rsidR="002047DA">
              <w:rPr>
                <w:color w:val="000000" w:themeColor="text1"/>
                <w:spacing w:val="-4"/>
                <w:lang w:val="en-GB"/>
              </w:rPr>
              <w:t xml:space="preserve">, 35% then the inadequate demand </w:t>
            </w:r>
            <w:r w:rsidR="007B0920" w:rsidRPr="00E85720">
              <w:rPr>
                <w:color w:val="000000" w:themeColor="text1"/>
                <w:spacing w:val="-4"/>
                <w:lang w:val="en-GB"/>
              </w:rPr>
              <w:t>(42%</w:t>
            </w:r>
            <w:r w:rsidR="002047DA">
              <w:rPr>
                <w:color w:val="000000" w:themeColor="text1"/>
                <w:spacing w:val="-4"/>
                <w:lang w:val="en-GB"/>
              </w:rPr>
              <w:t xml:space="preserve"> the year before</w:t>
            </w:r>
            <w:r w:rsidR="007B0920" w:rsidRPr="00E85720">
              <w:rPr>
                <w:color w:val="000000" w:themeColor="text1"/>
                <w:spacing w:val="-4"/>
                <w:lang w:val="en-GB"/>
              </w:rPr>
              <w:t>).</w:t>
            </w:r>
          </w:p>
        </w:tc>
      </w:tr>
    </w:tbl>
    <w:p w:rsidR="007B0920" w:rsidRDefault="007B0920"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p w:rsidR="00150635" w:rsidRDefault="00150635" w:rsidP="007B0920">
      <w:pPr>
        <w:pStyle w:val="Textpoznpodarou"/>
        <w:jc w:val="both"/>
        <w:rPr>
          <w:sz w:val="14"/>
          <w:szCs w:val="14"/>
        </w:rPr>
      </w:pPr>
    </w:p>
    <w:tbl>
      <w:tblPr>
        <w:tblW w:w="4963" w:type="pct"/>
        <w:tblInd w:w="108" w:type="dxa"/>
        <w:tblLayout w:type="fixed"/>
        <w:tblLook w:val="00A0"/>
      </w:tblPr>
      <w:tblGrid>
        <w:gridCol w:w="1997"/>
        <w:gridCol w:w="284"/>
        <w:gridCol w:w="980"/>
        <w:gridCol w:w="6520"/>
      </w:tblGrid>
      <w:tr w:rsidR="007B0920" w:rsidRPr="00AA4A76" w:rsidTr="00CF0826">
        <w:trPr>
          <w:trHeight w:val="145"/>
        </w:trPr>
        <w:tc>
          <w:tcPr>
            <w:tcW w:w="1021"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01" w:type="pct"/>
          </w:tcPr>
          <w:p w:rsidR="007B0920" w:rsidRPr="00540CB3" w:rsidRDefault="00861C98" w:rsidP="00861C98">
            <w:pPr>
              <w:pStyle w:val="Textpoznpodarou"/>
              <w:jc w:val="both"/>
              <w:rPr>
                <w:spacing w:val="-4"/>
                <w:highlight w:val="yellow"/>
              </w:rPr>
            </w:pPr>
            <w:r>
              <w:rPr>
                <w:color w:val="000000"/>
                <w:spacing w:val="-4"/>
              </w:rPr>
              <w:t xml:space="preserve">Chart </w:t>
            </w:r>
            <w:r w:rsidR="007B0920" w:rsidRPr="00540CB3">
              <w:rPr>
                <w:color w:val="000000"/>
                <w:spacing w:val="-4"/>
              </w:rPr>
              <w:t>6</w:t>
            </w:r>
          </w:p>
        </w:tc>
        <w:tc>
          <w:tcPr>
            <w:tcW w:w="3333" w:type="pct"/>
          </w:tcPr>
          <w:p w:rsidR="007B0920" w:rsidRPr="00B0178A" w:rsidRDefault="007B0920" w:rsidP="008C4DBA">
            <w:pPr>
              <w:pStyle w:val="Textpoznpodarou"/>
              <w:rPr>
                <w:bCs/>
                <w:lang w:val="en-GB"/>
              </w:rPr>
            </w:pPr>
            <w:r w:rsidRPr="00B0178A">
              <w:rPr>
                <w:b/>
                <w:spacing w:val="-2"/>
                <w:lang w:val="en-GB"/>
              </w:rPr>
              <w:t>N</w:t>
            </w:r>
            <w:r w:rsidR="008C4DBA" w:rsidRPr="00B0178A">
              <w:rPr>
                <w:b/>
                <w:spacing w:val="-2"/>
                <w:lang w:val="en-GB"/>
              </w:rPr>
              <w:t xml:space="preserve">ew orders in manufacture of motor vehicles, in industry in total </w:t>
            </w:r>
            <w:r w:rsidR="008C4DBA" w:rsidRPr="00B0178A">
              <w:rPr>
                <w:spacing w:val="-2"/>
                <w:lang w:val="en-GB"/>
              </w:rPr>
              <w:t>(in current prices, year-on-year in %)</w:t>
            </w:r>
            <w:r w:rsidRPr="00B0178A">
              <w:rPr>
                <w:bCs/>
                <w:spacing w:val="-2"/>
                <w:lang w:val="en-GB"/>
              </w:rPr>
              <w:t xml:space="preserve"> </w:t>
            </w:r>
            <w:r w:rsidRPr="00B0178A">
              <w:rPr>
                <w:b/>
                <w:spacing w:val="-2"/>
                <w:lang w:val="en-GB"/>
              </w:rPr>
              <w:t>a</w:t>
            </w:r>
            <w:r w:rsidR="008C4DBA" w:rsidRPr="00B0178A">
              <w:rPr>
                <w:b/>
                <w:spacing w:val="-2"/>
                <w:lang w:val="en-GB"/>
              </w:rPr>
              <w:t>nd</w:t>
            </w:r>
            <w:r w:rsidR="00B0178A" w:rsidRPr="00B0178A">
              <w:rPr>
                <w:b/>
                <w:spacing w:val="-2"/>
                <w:lang w:val="en-GB"/>
              </w:rPr>
              <w:t xml:space="preserve"> balance of confidence indicator in industry</w:t>
            </w:r>
          </w:p>
        </w:tc>
      </w:tr>
      <w:tr w:rsidR="007B0920" w:rsidRPr="00AA4A76" w:rsidTr="00CF0826">
        <w:trPr>
          <w:trHeight w:val="145"/>
        </w:trPr>
        <w:tc>
          <w:tcPr>
            <w:tcW w:w="1021"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A74192" w:rsidRDefault="007B0920" w:rsidP="00CF0826">
            <w:pPr>
              <w:pStyle w:val="Textpoznpodarou"/>
              <w:jc w:val="both"/>
            </w:pPr>
          </w:p>
        </w:tc>
        <w:tc>
          <w:tcPr>
            <w:tcW w:w="3834" w:type="pct"/>
            <w:gridSpan w:val="2"/>
          </w:tcPr>
          <w:p w:rsidR="005440E1" w:rsidRPr="002133D5" w:rsidRDefault="00F96E38" w:rsidP="002133D5">
            <w:pPr>
              <w:pStyle w:val="Textpoznpodarou"/>
              <w:ind w:left="-124"/>
              <w:jc w:val="right"/>
              <w:rPr>
                <w:sz w:val="14"/>
                <w:szCs w:val="14"/>
              </w:rPr>
            </w:pPr>
            <w:r>
              <w:rPr>
                <w:noProof/>
                <w:sz w:val="14"/>
                <w:szCs w:val="14"/>
              </w:rPr>
              <w:drawing>
                <wp:inline distT="0" distB="0" distL="0" distR="0">
                  <wp:extent cx="4731960" cy="3553200"/>
                  <wp:effectExtent l="19050" t="0" r="0" b="0"/>
                  <wp:docPr id="2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B0920" w:rsidRPr="00F2490D">
              <w:rPr>
                <w:sz w:val="14"/>
                <w:szCs w:val="14"/>
              </w:rPr>
              <w:t xml:space="preserve"> </w:t>
            </w:r>
            <w:proofErr w:type="spellStart"/>
            <w:r w:rsidR="00022D8D">
              <w:rPr>
                <w:sz w:val="14"/>
                <w:szCs w:val="14"/>
              </w:rPr>
              <w:t>Source</w:t>
            </w:r>
            <w:proofErr w:type="spellEnd"/>
            <w:r w:rsidR="007B0920" w:rsidRPr="00540CB3">
              <w:rPr>
                <w:sz w:val="14"/>
                <w:szCs w:val="14"/>
              </w:rPr>
              <w:t xml:space="preserve">: </w:t>
            </w:r>
            <w:r w:rsidR="00022D8D">
              <w:rPr>
                <w:sz w:val="14"/>
                <w:szCs w:val="14"/>
              </w:rPr>
              <w:t>CZSO</w:t>
            </w:r>
          </w:p>
        </w:tc>
      </w:tr>
    </w:tbl>
    <w:p w:rsidR="007B0920" w:rsidRDefault="007B0920" w:rsidP="007B0920">
      <w:pPr>
        <w:pStyle w:val="Textpoznpodarou"/>
        <w:jc w:val="both"/>
        <w:rPr>
          <w:sz w:val="14"/>
          <w:szCs w:val="14"/>
        </w:rPr>
      </w:pPr>
    </w:p>
    <w:tbl>
      <w:tblPr>
        <w:tblW w:w="4986" w:type="pct"/>
        <w:tblInd w:w="107" w:type="dxa"/>
        <w:tblLayout w:type="fixed"/>
        <w:tblLook w:val="00A0"/>
      </w:tblPr>
      <w:tblGrid>
        <w:gridCol w:w="1997"/>
        <w:gridCol w:w="285"/>
        <w:gridCol w:w="1118"/>
        <w:gridCol w:w="6381"/>
        <w:gridCol w:w="45"/>
      </w:tblGrid>
      <w:tr w:rsidR="007B0920" w:rsidRPr="00DE32DB" w:rsidTr="00CF0826">
        <w:trPr>
          <w:trHeight w:val="145"/>
        </w:trPr>
        <w:tc>
          <w:tcPr>
            <w:tcW w:w="1016" w:type="pct"/>
          </w:tcPr>
          <w:p w:rsidR="007B0920" w:rsidRPr="00142533" w:rsidRDefault="005A6CD0" w:rsidP="005A6CD0">
            <w:pPr>
              <w:spacing w:line="240" w:lineRule="auto"/>
              <w:rPr>
                <w:color w:val="0D0D0D" w:themeColor="text1" w:themeTint="F2"/>
                <w:spacing w:val="-2"/>
                <w:sz w:val="16"/>
                <w:szCs w:val="16"/>
                <w:lang w:val="en-GB"/>
              </w:rPr>
            </w:pPr>
            <w:r w:rsidRPr="00142533">
              <w:rPr>
                <w:color w:val="0D0D0D" w:themeColor="text1" w:themeTint="F2"/>
                <w:spacing w:val="-2"/>
                <w:sz w:val="16"/>
                <w:szCs w:val="16"/>
                <w:lang w:val="en-GB"/>
              </w:rPr>
              <w:t>Construction output</w:t>
            </w:r>
            <w:r w:rsidR="00162C62" w:rsidRPr="00142533">
              <w:rPr>
                <w:color w:val="0D0D0D" w:themeColor="text1" w:themeTint="F2"/>
                <w:spacing w:val="-2"/>
                <w:sz w:val="16"/>
                <w:szCs w:val="16"/>
                <w:lang w:val="en-GB"/>
              </w:rPr>
              <w:t xml:space="preserve"> mildly increased </w:t>
            </w:r>
            <w:r w:rsidR="00A83914" w:rsidRPr="00142533">
              <w:rPr>
                <w:color w:val="0D0D0D" w:themeColor="text1" w:themeTint="F2"/>
                <w:spacing w:val="-2"/>
                <w:sz w:val="16"/>
                <w:szCs w:val="16"/>
                <w:lang w:val="en-GB"/>
              </w:rPr>
              <w:t>exclusively thanks to the</w:t>
            </w:r>
            <w:r w:rsidR="00142533" w:rsidRPr="00142533">
              <w:rPr>
                <w:color w:val="0D0D0D" w:themeColor="text1" w:themeTint="F2"/>
                <w:spacing w:val="-2"/>
                <w:sz w:val="16"/>
                <w:szCs w:val="16"/>
                <w:lang w:val="en-GB"/>
              </w:rPr>
              <w:t xml:space="preserve"> building construction </w:t>
            </w:r>
            <w:r w:rsidR="00A83914" w:rsidRPr="00142533">
              <w:rPr>
                <w:color w:val="0D0D0D" w:themeColor="text1" w:themeTint="F2"/>
                <w:spacing w:val="-2"/>
                <w:sz w:val="16"/>
                <w:szCs w:val="16"/>
                <w:lang w:val="en-GB"/>
              </w:rPr>
              <w:t>last year</w:t>
            </w:r>
            <w:r w:rsidR="007B0920" w:rsidRPr="00142533">
              <w:rPr>
                <w:color w:val="0D0D0D" w:themeColor="text1" w:themeTint="F2"/>
                <w:spacing w:val="-2"/>
                <w:sz w:val="16"/>
                <w:szCs w:val="16"/>
                <w:lang w:val="en-GB"/>
              </w:rPr>
              <w:t xml:space="preserve">. </w:t>
            </w:r>
            <w:r w:rsidR="00142533" w:rsidRPr="00142533">
              <w:rPr>
                <w:color w:val="0D0D0D" w:themeColor="text1" w:themeTint="F2"/>
                <w:spacing w:val="-2"/>
                <w:sz w:val="16"/>
                <w:szCs w:val="16"/>
                <w:lang w:val="en-GB"/>
              </w:rPr>
              <w:t>Output of the civil engineering construction was limited by the low volume of completed projects s</w:t>
            </w:r>
            <w:r w:rsidR="00646B41">
              <w:rPr>
                <w:color w:val="0D0D0D" w:themeColor="text1" w:themeTint="F2"/>
                <w:spacing w:val="-2"/>
                <w:sz w:val="16"/>
                <w:szCs w:val="16"/>
                <w:lang w:val="en-GB"/>
              </w:rPr>
              <w:t>upported from public investment sources</w:t>
            </w:r>
            <w:r w:rsidR="00142533" w:rsidRPr="00142533">
              <w:rPr>
                <w:color w:val="0D0D0D" w:themeColor="text1" w:themeTint="F2"/>
                <w:spacing w:val="-2"/>
                <w:sz w:val="16"/>
                <w:szCs w:val="16"/>
                <w:lang w:val="en-GB"/>
              </w:rPr>
              <w:t xml:space="preserve"> for the whole last year. </w:t>
            </w:r>
          </w:p>
        </w:tc>
        <w:tc>
          <w:tcPr>
            <w:tcW w:w="144" w:type="pct"/>
          </w:tcPr>
          <w:p w:rsidR="007B0920" w:rsidRPr="00142533" w:rsidRDefault="007B0920" w:rsidP="00CF0826">
            <w:pPr>
              <w:pStyle w:val="Textpoznpodarou"/>
              <w:jc w:val="both"/>
              <w:rPr>
                <w:lang w:val="en-GB"/>
              </w:rPr>
            </w:pPr>
          </w:p>
        </w:tc>
        <w:tc>
          <w:tcPr>
            <w:tcW w:w="3840" w:type="pct"/>
            <w:gridSpan w:val="3"/>
          </w:tcPr>
          <w:p w:rsidR="00B46248" w:rsidRDefault="000F3511" w:rsidP="00CF0826">
            <w:pPr>
              <w:pStyle w:val="Textpoznpodarou"/>
              <w:jc w:val="both"/>
              <w:rPr>
                <w:spacing w:val="-4"/>
                <w:lang w:val="en-GB"/>
              </w:rPr>
            </w:pPr>
            <w:r>
              <w:rPr>
                <w:color w:val="0D0D0D" w:themeColor="text1" w:themeTint="F2"/>
                <w:spacing w:val="-4"/>
                <w:lang w:val="en-GB"/>
              </w:rPr>
              <w:t>Construction output was similarly to year 2016 limited by a low volume of public investment last year. Quarter-on-quarter growth of the construction output</w:t>
            </w:r>
            <w:r w:rsidR="007B0920" w:rsidRPr="00142533">
              <w:rPr>
                <w:rStyle w:val="Znakapoznpodarou"/>
                <w:spacing w:val="-4"/>
                <w:lang w:val="en-GB"/>
              </w:rPr>
              <w:footnoteReference w:id="11"/>
            </w:r>
            <w:r w:rsidR="007B0920" w:rsidRPr="00142533">
              <w:rPr>
                <w:spacing w:val="-4"/>
                <w:lang w:val="en-GB"/>
              </w:rPr>
              <w:t xml:space="preserve"> </w:t>
            </w:r>
            <w:r>
              <w:rPr>
                <w:spacing w:val="-4"/>
                <w:lang w:val="en-GB"/>
              </w:rPr>
              <w:t xml:space="preserve">commenced in the second half of year </w:t>
            </w:r>
            <w:r w:rsidR="007B0920" w:rsidRPr="00142533">
              <w:rPr>
                <w:spacing w:val="-4"/>
                <w:lang w:val="en-GB"/>
              </w:rPr>
              <w:t>2016</w:t>
            </w:r>
            <w:r w:rsidR="00BF71D5" w:rsidRPr="00142533">
              <w:rPr>
                <w:spacing w:val="-4"/>
                <w:lang w:val="en-GB"/>
              </w:rPr>
              <w:t xml:space="preserve"> </w:t>
            </w:r>
            <w:r>
              <w:rPr>
                <w:spacing w:val="-4"/>
                <w:lang w:val="en-GB"/>
              </w:rPr>
              <w:t>was halted in Q</w:t>
            </w:r>
            <w:r w:rsidR="00BF71D5" w:rsidRPr="00142533">
              <w:rPr>
                <w:spacing w:val="-4"/>
                <w:lang w:val="en-GB"/>
              </w:rPr>
              <w:t>1</w:t>
            </w:r>
            <w:r>
              <w:rPr>
                <w:spacing w:val="-4"/>
                <w:lang w:val="en-GB"/>
              </w:rPr>
              <w:t xml:space="preserve"> </w:t>
            </w:r>
            <w:r w:rsidR="00BF71D5" w:rsidRPr="00142533">
              <w:rPr>
                <w:spacing w:val="-4"/>
                <w:lang w:val="en-GB"/>
              </w:rPr>
              <w:t>2017</w:t>
            </w:r>
            <w:r>
              <w:rPr>
                <w:spacing w:val="-4"/>
                <w:lang w:val="en-GB"/>
              </w:rPr>
              <w:t xml:space="preserve"> </w:t>
            </w:r>
            <w:r w:rsidR="00BF71D5" w:rsidRPr="00142533">
              <w:rPr>
                <w:spacing w:val="-4"/>
                <w:lang w:val="en-GB"/>
              </w:rPr>
              <w:t>(-0</w:t>
            </w:r>
            <w:r>
              <w:rPr>
                <w:spacing w:val="-4"/>
                <w:lang w:val="en-GB"/>
              </w:rPr>
              <w:t>.</w:t>
            </w:r>
            <w:r w:rsidR="00BF71D5" w:rsidRPr="00142533">
              <w:rPr>
                <w:spacing w:val="-4"/>
                <w:lang w:val="en-GB"/>
              </w:rPr>
              <w:t>2%) a</w:t>
            </w:r>
            <w:r>
              <w:rPr>
                <w:spacing w:val="-4"/>
                <w:lang w:val="en-GB"/>
              </w:rPr>
              <w:t xml:space="preserve">nd not even the second half of the year changed that. Year-on-year growth achieved 3.6% last year, compared to year 2016 however </w:t>
            </w:r>
            <w:r w:rsidR="00BF71D5" w:rsidRPr="00142533">
              <w:rPr>
                <w:spacing w:val="-5"/>
                <w:lang w:val="en-GB"/>
              </w:rPr>
              <w:t>(-5</w:t>
            </w:r>
            <w:r>
              <w:rPr>
                <w:spacing w:val="-5"/>
                <w:lang w:val="en-GB"/>
              </w:rPr>
              <w:t>.</w:t>
            </w:r>
            <w:r w:rsidR="00BF71D5" w:rsidRPr="00142533">
              <w:rPr>
                <w:spacing w:val="-5"/>
                <w:lang w:val="en-GB"/>
              </w:rPr>
              <w:t>8%)</w:t>
            </w:r>
            <w:r w:rsidR="00BF71D5" w:rsidRPr="00142533">
              <w:rPr>
                <w:spacing w:val="-4"/>
                <w:lang w:val="en-GB"/>
              </w:rPr>
              <w:t xml:space="preserve"> </w:t>
            </w:r>
            <w:r>
              <w:rPr>
                <w:spacing w:val="-4"/>
                <w:lang w:val="en-GB"/>
              </w:rPr>
              <w:t xml:space="preserve">it presented at least a </w:t>
            </w:r>
            <w:r w:rsidR="002D50CF">
              <w:rPr>
                <w:spacing w:val="-4"/>
                <w:lang w:val="en-GB"/>
              </w:rPr>
              <w:t>partial</w:t>
            </w:r>
            <w:r>
              <w:rPr>
                <w:spacing w:val="-4"/>
                <w:lang w:val="en-GB"/>
              </w:rPr>
              <w:t xml:space="preserve"> recovery for the whole branch. </w:t>
            </w:r>
            <w:r w:rsidR="002D50CF">
              <w:rPr>
                <w:spacing w:val="-4"/>
                <w:lang w:val="en-GB"/>
              </w:rPr>
              <w:t xml:space="preserve">It was however only thanks to the more significant by weight building construction </w:t>
            </w:r>
            <w:r w:rsidR="00BF71D5" w:rsidRPr="00142533">
              <w:rPr>
                <w:spacing w:val="-4"/>
                <w:lang w:val="en-GB"/>
              </w:rPr>
              <w:t>(+6</w:t>
            </w:r>
            <w:r w:rsidR="002D50CF">
              <w:rPr>
                <w:spacing w:val="-4"/>
                <w:lang w:val="en-GB"/>
              </w:rPr>
              <w:t>.</w:t>
            </w:r>
            <w:r w:rsidR="00BF71D5" w:rsidRPr="00142533">
              <w:rPr>
                <w:spacing w:val="-4"/>
                <w:lang w:val="en-GB"/>
              </w:rPr>
              <w:t>6%</w:t>
            </w:r>
            <w:r w:rsidR="002D50CF">
              <w:rPr>
                <w:spacing w:val="-4"/>
                <w:lang w:val="en-GB"/>
              </w:rPr>
              <w:t xml:space="preserve"> last year</w:t>
            </w:r>
            <w:r w:rsidR="00BF71D5" w:rsidRPr="00142533">
              <w:rPr>
                <w:spacing w:val="-4"/>
                <w:lang w:val="en-GB"/>
              </w:rPr>
              <w:t xml:space="preserve">), </w:t>
            </w:r>
            <w:r w:rsidR="002D50CF">
              <w:rPr>
                <w:spacing w:val="-4"/>
                <w:lang w:val="en-GB"/>
              </w:rPr>
              <w:t xml:space="preserve">since the adverse development of the civil engineering construction prevailed for the whole year </w:t>
            </w:r>
            <w:r w:rsidR="00BF71D5" w:rsidRPr="00142533">
              <w:rPr>
                <w:spacing w:val="-4"/>
                <w:lang w:val="en-GB"/>
              </w:rPr>
              <w:t>(-3</w:t>
            </w:r>
            <w:r w:rsidR="002D50CF">
              <w:rPr>
                <w:spacing w:val="-4"/>
                <w:lang w:val="en-GB"/>
              </w:rPr>
              <w:t>.</w:t>
            </w:r>
            <w:r w:rsidR="00BF71D5" w:rsidRPr="00142533">
              <w:rPr>
                <w:spacing w:val="-4"/>
                <w:lang w:val="en-GB"/>
              </w:rPr>
              <w:t>9%, +0</w:t>
            </w:r>
            <w:r w:rsidR="002D50CF">
              <w:rPr>
                <w:spacing w:val="-4"/>
                <w:lang w:val="en-GB"/>
              </w:rPr>
              <w:t>.</w:t>
            </w:r>
            <w:r w:rsidR="00BF71D5" w:rsidRPr="00142533">
              <w:rPr>
                <w:spacing w:val="-4"/>
                <w:lang w:val="en-GB"/>
              </w:rPr>
              <w:t>7%</w:t>
            </w:r>
            <w:r w:rsidR="002D50CF">
              <w:rPr>
                <w:spacing w:val="-4"/>
                <w:lang w:val="en-GB"/>
              </w:rPr>
              <w:t xml:space="preserve"> in Q4</w:t>
            </w:r>
            <w:r w:rsidR="00BF71D5" w:rsidRPr="00142533">
              <w:rPr>
                <w:spacing w:val="-4"/>
                <w:lang w:val="en-GB"/>
              </w:rPr>
              <w:t xml:space="preserve"> – m</w:t>
            </w:r>
            <w:r w:rsidR="002D50CF">
              <w:rPr>
                <w:spacing w:val="-4"/>
                <w:lang w:val="en-GB"/>
              </w:rPr>
              <w:t>ild growth was especially the reflection of a very low comparative basis</w:t>
            </w:r>
            <w:r w:rsidR="00BF71D5" w:rsidRPr="00142533">
              <w:rPr>
                <w:spacing w:val="-4"/>
                <w:lang w:val="en-GB"/>
              </w:rPr>
              <w:t>)</w:t>
            </w:r>
            <w:r w:rsidR="007B0920" w:rsidRPr="00142533">
              <w:rPr>
                <w:spacing w:val="-4"/>
                <w:lang w:val="en-GB"/>
              </w:rPr>
              <w:t xml:space="preserve">. </w:t>
            </w:r>
          </w:p>
          <w:p w:rsidR="00B46248" w:rsidRDefault="00B46248" w:rsidP="00CF0826">
            <w:pPr>
              <w:pStyle w:val="Textpoznpodarou"/>
              <w:jc w:val="both"/>
              <w:rPr>
                <w:spacing w:val="-4"/>
                <w:lang w:val="en-GB"/>
              </w:rPr>
            </w:pPr>
          </w:p>
          <w:p w:rsidR="00646B41" w:rsidRDefault="00AC20EB" w:rsidP="00CF0826">
            <w:pPr>
              <w:pStyle w:val="Textpoznpodarou"/>
              <w:jc w:val="both"/>
              <w:rPr>
                <w:spacing w:val="-4"/>
                <w:lang w:val="en-GB"/>
              </w:rPr>
            </w:pPr>
            <w:r>
              <w:rPr>
                <w:spacing w:val="-4"/>
                <w:lang w:val="en-GB"/>
              </w:rPr>
              <w:t xml:space="preserve">Building construction was assisted by the gradual development of the residential construction. Number of commenced residential dwellings was rising already fourth year in a row </w:t>
            </w:r>
            <w:r w:rsidR="007B0920" w:rsidRPr="00142533">
              <w:rPr>
                <w:spacing w:val="-4"/>
                <w:lang w:val="en-GB"/>
              </w:rPr>
              <w:t>(</w:t>
            </w:r>
            <w:r>
              <w:rPr>
                <w:spacing w:val="-4"/>
                <w:lang w:val="en-GB"/>
              </w:rPr>
              <w:t xml:space="preserve">to last year´s </w:t>
            </w:r>
            <w:r w:rsidR="007B0920" w:rsidRPr="00142533">
              <w:rPr>
                <w:spacing w:val="-4"/>
                <w:lang w:val="en-GB"/>
              </w:rPr>
              <w:t>31</w:t>
            </w:r>
            <w:r>
              <w:rPr>
                <w:spacing w:val="-4"/>
                <w:lang w:val="en-GB"/>
              </w:rPr>
              <w:t>.</w:t>
            </w:r>
            <w:r w:rsidR="007B0920" w:rsidRPr="00142533">
              <w:rPr>
                <w:spacing w:val="-4"/>
                <w:lang w:val="en-GB"/>
              </w:rPr>
              <w:t>5 t</w:t>
            </w:r>
            <w:r>
              <w:rPr>
                <w:spacing w:val="-4"/>
                <w:lang w:val="en-GB"/>
              </w:rPr>
              <w:t>housand</w:t>
            </w:r>
            <w:r w:rsidR="007B0920" w:rsidRPr="00142533">
              <w:rPr>
                <w:spacing w:val="-4"/>
                <w:lang w:val="en-GB"/>
              </w:rPr>
              <w:t xml:space="preserve">). </w:t>
            </w:r>
            <w:r>
              <w:rPr>
                <w:spacing w:val="-4"/>
                <w:lang w:val="en-GB"/>
              </w:rPr>
              <w:t>Family houses added the most to the growth, other forms of construction also experienced higher growth – except for flats in the non-residential building</w:t>
            </w:r>
            <w:r w:rsidR="00B46248">
              <w:rPr>
                <w:spacing w:val="-4"/>
                <w:lang w:val="en-GB"/>
              </w:rPr>
              <w:t>s and also in community care homes and boarding houses</w:t>
            </w:r>
            <w:r>
              <w:rPr>
                <w:spacing w:val="-4"/>
                <w:lang w:val="en-GB"/>
              </w:rPr>
              <w:t xml:space="preserve">, where the volume of construction was record low. </w:t>
            </w:r>
            <w:r w:rsidR="00646B41">
              <w:rPr>
                <w:spacing w:val="-4"/>
                <w:lang w:val="en-GB"/>
              </w:rPr>
              <w:t>The number of flats commenced in the multi-dwelling buildings was</w:t>
            </w:r>
            <w:r w:rsidR="00B86B70">
              <w:rPr>
                <w:spacing w:val="-4"/>
                <w:lang w:val="en-GB"/>
              </w:rPr>
              <w:t xml:space="preserve"> the </w:t>
            </w:r>
            <w:r w:rsidR="00646B41">
              <w:rPr>
                <w:spacing w:val="-4"/>
                <w:lang w:val="en-GB"/>
              </w:rPr>
              <w:t xml:space="preserve">highest in </w:t>
            </w:r>
            <w:r w:rsidR="00B86B70">
              <w:rPr>
                <w:spacing w:val="-4"/>
                <w:lang w:val="en-GB"/>
              </w:rPr>
              <w:t xml:space="preserve">last eight years </w:t>
            </w:r>
            <w:r w:rsidR="007B0920" w:rsidRPr="00142533">
              <w:rPr>
                <w:spacing w:val="-4"/>
                <w:lang w:val="en-GB"/>
              </w:rPr>
              <w:t xml:space="preserve">(7 244), </w:t>
            </w:r>
            <w:r w:rsidR="00B86B70">
              <w:rPr>
                <w:spacing w:val="-4"/>
                <w:lang w:val="en-GB"/>
              </w:rPr>
              <w:t>still it did not represent even one half of the volume f</w:t>
            </w:r>
            <w:r w:rsidR="00646B41">
              <w:rPr>
                <w:spacing w:val="-4"/>
                <w:lang w:val="en-GB"/>
              </w:rPr>
              <w:t>or the</w:t>
            </w:r>
            <w:r w:rsidR="00B86B70">
              <w:rPr>
                <w:spacing w:val="-4"/>
                <w:lang w:val="en-GB"/>
              </w:rPr>
              <w:t xml:space="preserve"> record year </w:t>
            </w:r>
            <w:r w:rsidR="007B0920" w:rsidRPr="00142533">
              <w:rPr>
                <w:spacing w:val="-4"/>
                <w:lang w:val="en-GB"/>
              </w:rPr>
              <w:t xml:space="preserve">2007. </w:t>
            </w:r>
          </w:p>
          <w:p w:rsidR="00646B41" w:rsidRDefault="00646B41" w:rsidP="00CF0826">
            <w:pPr>
              <w:pStyle w:val="Textpoznpodarou"/>
              <w:jc w:val="both"/>
              <w:rPr>
                <w:spacing w:val="-4"/>
                <w:lang w:val="en-GB"/>
              </w:rPr>
            </w:pPr>
          </w:p>
          <w:p w:rsidR="007B0920" w:rsidRDefault="00646B41" w:rsidP="00CF0826">
            <w:pPr>
              <w:pStyle w:val="Textpoznpodarou"/>
              <w:jc w:val="both"/>
              <w:rPr>
                <w:spacing w:val="-4"/>
                <w:lang w:val="en-GB"/>
              </w:rPr>
            </w:pPr>
            <w:r>
              <w:rPr>
                <w:spacing w:val="-4"/>
                <w:lang w:val="en-GB"/>
              </w:rPr>
              <w:t>More than one fifth of the total started dwellings</w:t>
            </w:r>
            <w:r w:rsidR="003F01D7">
              <w:rPr>
                <w:spacing w:val="-4"/>
                <w:lang w:val="en-GB"/>
              </w:rPr>
              <w:t xml:space="preserve"> </w:t>
            </w:r>
            <w:proofErr w:type="gramStart"/>
            <w:r w:rsidR="003F01D7">
              <w:rPr>
                <w:spacing w:val="-4"/>
                <w:lang w:val="en-GB"/>
              </w:rPr>
              <w:t>was</w:t>
            </w:r>
            <w:proofErr w:type="gramEnd"/>
            <w:r w:rsidR="003F01D7">
              <w:rPr>
                <w:spacing w:val="-4"/>
                <w:lang w:val="en-GB"/>
              </w:rPr>
              <w:t xml:space="preserve"> located in the Central Bohemia. </w:t>
            </w:r>
            <w:r w:rsidR="002F0FDB">
              <w:rPr>
                <w:spacing w:val="-4"/>
                <w:lang w:val="en-GB"/>
              </w:rPr>
              <w:t xml:space="preserve">There were by 976 flats </w:t>
            </w:r>
            <w:r w:rsidR="0030464E">
              <w:rPr>
                <w:spacing w:val="-4"/>
                <w:lang w:val="en-GB"/>
              </w:rPr>
              <w:t xml:space="preserve">more </w:t>
            </w:r>
            <w:r w:rsidR="002F0FDB">
              <w:rPr>
                <w:spacing w:val="-4"/>
                <w:lang w:val="en-GB"/>
              </w:rPr>
              <w:t xml:space="preserve">commenced in Prague compared to year 2016 (with the second lowest construction since the half of 90s), still the construction (3 734) was by nearly one third weaker than in year 2015 and it did not achieve half of the average from </w:t>
            </w:r>
            <w:r w:rsidR="00636E26">
              <w:rPr>
                <w:spacing w:val="-4"/>
                <w:lang w:val="en-GB"/>
              </w:rPr>
              <w:t xml:space="preserve">period </w:t>
            </w:r>
            <w:r w:rsidR="007B0920" w:rsidRPr="00142533">
              <w:rPr>
                <w:spacing w:val="-4"/>
                <w:lang w:val="en-GB"/>
              </w:rPr>
              <w:t>2005</w:t>
            </w:r>
            <w:r w:rsidR="006F32FF" w:rsidRPr="00142533">
              <w:rPr>
                <w:spacing w:val="-4"/>
                <w:lang w:val="en-GB"/>
              </w:rPr>
              <w:t>–</w:t>
            </w:r>
            <w:r w:rsidR="007B0920" w:rsidRPr="00142533">
              <w:rPr>
                <w:spacing w:val="-4"/>
                <w:lang w:val="en-GB"/>
              </w:rPr>
              <w:t>2007.</w:t>
            </w:r>
          </w:p>
          <w:p w:rsidR="002133D5" w:rsidRDefault="002133D5" w:rsidP="00CF0826">
            <w:pPr>
              <w:pStyle w:val="Textpoznpodarou"/>
              <w:jc w:val="both"/>
              <w:rPr>
                <w:spacing w:val="-4"/>
                <w:lang w:val="en-GB"/>
              </w:rPr>
            </w:pPr>
          </w:p>
          <w:p w:rsidR="002133D5" w:rsidRDefault="002133D5" w:rsidP="00CF0826">
            <w:pPr>
              <w:pStyle w:val="Textpoznpodarou"/>
              <w:jc w:val="both"/>
              <w:rPr>
                <w:spacing w:val="-4"/>
                <w:lang w:val="en-GB"/>
              </w:rPr>
            </w:pPr>
          </w:p>
          <w:p w:rsidR="002133D5" w:rsidRDefault="002133D5" w:rsidP="00CF0826">
            <w:pPr>
              <w:pStyle w:val="Textpoznpodarou"/>
              <w:jc w:val="both"/>
              <w:rPr>
                <w:spacing w:val="-4"/>
                <w:lang w:val="en-GB"/>
              </w:rPr>
            </w:pPr>
          </w:p>
          <w:p w:rsidR="00150635" w:rsidRDefault="00150635" w:rsidP="00CF0826">
            <w:pPr>
              <w:pStyle w:val="Textpoznpodarou"/>
              <w:jc w:val="both"/>
              <w:rPr>
                <w:spacing w:val="-4"/>
                <w:lang w:val="en-GB"/>
              </w:rPr>
            </w:pPr>
          </w:p>
          <w:p w:rsidR="00150635" w:rsidRDefault="00150635" w:rsidP="00CF0826">
            <w:pPr>
              <w:pStyle w:val="Textpoznpodarou"/>
              <w:jc w:val="both"/>
              <w:rPr>
                <w:spacing w:val="-4"/>
                <w:lang w:val="en-GB"/>
              </w:rPr>
            </w:pPr>
          </w:p>
          <w:p w:rsidR="00150635" w:rsidRDefault="00150635" w:rsidP="00CF0826">
            <w:pPr>
              <w:pStyle w:val="Textpoznpodarou"/>
              <w:jc w:val="both"/>
              <w:rPr>
                <w:spacing w:val="-4"/>
                <w:lang w:val="en-GB"/>
              </w:rPr>
            </w:pPr>
          </w:p>
          <w:p w:rsidR="00150635" w:rsidRPr="00142533" w:rsidRDefault="00150635" w:rsidP="00CF0826">
            <w:pPr>
              <w:pStyle w:val="Textpoznpodarou"/>
              <w:jc w:val="both"/>
              <w:rPr>
                <w:spacing w:val="-4"/>
                <w:lang w:val="en-GB"/>
              </w:rPr>
            </w:pPr>
          </w:p>
          <w:p w:rsidR="007B0920" w:rsidRPr="00142533" w:rsidRDefault="007B0920" w:rsidP="00CF0826">
            <w:pPr>
              <w:pStyle w:val="Textpoznpodarou"/>
              <w:jc w:val="both"/>
              <w:rPr>
                <w:color w:val="0D0D0D" w:themeColor="text1" w:themeTint="F2"/>
                <w:spacing w:val="-4"/>
                <w:sz w:val="4"/>
                <w:szCs w:val="4"/>
                <w:lang w:val="en-GB"/>
              </w:rPr>
            </w:pPr>
          </w:p>
        </w:tc>
      </w:tr>
      <w:tr w:rsidR="007B0920" w:rsidRPr="00AA4A76" w:rsidTr="00CF0826">
        <w:trPr>
          <w:gridAfter w:val="1"/>
          <w:wAfter w:w="22" w:type="pct"/>
          <w:trHeight w:val="145"/>
        </w:trPr>
        <w:tc>
          <w:tcPr>
            <w:tcW w:w="1016"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69" w:type="pct"/>
          </w:tcPr>
          <w:p w:rsidR="007B0920" w:rsidRPr="00AA4A76" w:rsidRDefault="005A6CD0" w:rsidP="00CF0826">
            <w:pPr>
              <w:pStyle w:val="Textpoznpodarou"/>
              <w:jc w:val="both"/>
              <w:rPr>
                <w:highlight w:val="yellow"/>
              </w:rPr>
            </w:pPr>
            <w:r>
              <w:rPr>
                <w:color w:val="000000"/>
              </w:rPr>
              <w:t>Chart</w:t>
            </w:r>
            <w:r w:rsidR="007B0920">
              <w:rPr>
                <w:color w:val="000000"/>
              </w:rPr>
              <w:t xml:space="preserve"> 7</w:t>
            </w:r>
          </w:p>
        </w:tc>
        <w:tc>
          <w:tcPr>
            <w:tcW w:w="3247" w:type="pct"/>
          </w:tcPr>
          <w:p w:rsidR="007B0920" w:rsidRPr="00521CFC" w:rsidRDefault="00521CFC" w:rsidP="00521CFC">
            <w:pPr>
              <w:pStyle w:val="Textpoznpodarou"/>
              <w:rPr>
                <w:spacing w:val="-2"/>
                <w:lang w:val="en-GB" w:eastAsia="en-US"/>
              </w:rPr>
            </w:pPr>
            <w:r w:rsidRPr="00521CFC">
              <w:rPr>
                <w:b/>
                <w:lang w:val="en-GB"/>
              </w:rPr>
              <w:t>Construction output</w:t>
            </w:r>
            <w:r w:rsidR="007B0920" w:rsidRPr="00521CFC">
              <w:rPr>
                <w:b/>
                <w:lang w:val="en-GB"/>
              </w:rPr>
              <w:t xml:space="preserve">*, </w:t>
            </w:r>
            <w:r w:rsidRPr="00521CFC">
              <w:rPr>
                <w:b/>
                <w:lang w:val="en-GB"/>
              </w:rPr>
              <w:t xml:space="preserve">value of new orders </w:t>
            </w:r>
            <w:r w:rsidR="007B0920" w:rsidRPr="00521CFC">
              <w:rPr>
                <w:bCs/>
                <w:lang w:val="en-GB"/>
              </w:rPr>
              <w:t>(</w:t>
            </w:r>
            <w:r w:rsidRPr="00521CFC">
              <w:rPr>
                <w:bCs/>
                <w:lang w:val="en-GB"/>
              </w:rPr>
              <w:t xml:space="preserve">year-on-year in %) </w:t>
            </w:r>
            <w:r w:rsidRPr="00521CFC">
              <w:rPr>
                <w:b/>
                <w:bCs/>
                <w:lang w:val="en-GB"/>
              </w:rPr>
              <w:t>and balance of confidence indicator in construction</w:t>
            </w:r>
            <w:r>
              <w:rPr>
                <w:bCs/>
                <w:lang w:val="en-GB"/>
              </w:rPr>
              <w:t xml:space="preserve"> </w:t>
            </w:r>
          </w:p>
        </w:tc>
      </w:tr>
      <w:tr w:rsidR="007B0920" w:rsidRPr="00AA4A76" w:rsidTr="00CF0826">
        <w:trPr>
          <w:gridAfter w:val="1"/>
          <w:wAfter w:w="22" w:type="pct"/>
          <w:trHeight w:val="145"/>
        </w:trPr>
        <w:tc>
          <w:tcPr>
            <w:tcW w:w="1016"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A74192" w:rsidRDefault="007B0920" w:rsidP="00CF0826">
            <w:pPr>
              <w:pStyle w:val="Textpoznpodarou"/>
              <w:jc w:val="both"/>
            </w:pPr>
          </w:p>
        </w:tc>
        <w:tc>
          <w:tcPr>
            <w:tcW w:w="3816" w:type="pct"/>
            <w:gridSpan w:val="2"/>
          </w:tcPr>
          <w:p w:rsidR="00407C32" w:rsidRPr="002133D5" w:rsidRDefault="00F96E38" w:rsidP="002133D5">
            <w:pPr>
              <w:pStyle w:val="Textpoznpodarou"/>
              <w:ind w:left="-124"/>
              <w:rPr>
                <w:sz w:val="14"/>
                <w:szCs w:val="14"/>
              </w:rPr>
            </w:pPr>
            <w:r>
              <w:rPr>
                <w:rFonts w:cs="Arial"/>
                <w:noProof/>
                <w:sz w:val="14"/>
                <w:szCs w:val="14"/>
              </w:rPr>
              <w:drawing>
                <wp:inline distT="0" distB="0" distL="0" distR="0">
                  <wp:extent cx="4749800" cy="3486150"/>
                  <wp:effectExtent l="19050" t="0" r="0" b="0"/>
                  <wp:docPr id="2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B0920" w:rsidRPr="00B6493D">
              <w:rPr>
                <w:rFonts w:cs="Arial"/>
                <w:sz w:val="14"/>
                <w:szCs w:val="14"/>
              </w:rPr>
              <w:t xml:space="preserve"> </w:t>
            </w:r>
            <w:r w:rsidR="007B0920">
              <w:rPr>
                <w:rFonts w:cs="Arial"/>
                <w:sz w:val="14"/>
                <w:szCs w:val="14"/>
              </w:rPr>
              <w:t>*</w:t>
            </w:r>
            <w:r w:rsidR="00E85720" w:rsidRPr="00E85720">
              <w:rPr>
                <w:rFonts w:cs="Arial"/>
                <w:sz w:val="14"/>
                <w:szCs w:val="14"/>
                <w:lang w:val="en-GB"/>
              </w:rPr>
              <w:t xml:space="preserve">Adjusted for the effect of the number of working days.  </w:t>
            </w:r>
            <w:r w:rsidR="007B0920" w:rsidRPr="00E85720">
              <w:rPr>
                <w:rFonts w:cs="Arial"/>
                <w:sz w:val="14"/>
                <w:szCs w:val="14"/>
                <w:lang w:val="en-GB"/>
              </w:rPr>
              <w:t xml:space="preserve">                                                                            </w:t>
            </w:r>
            <w:proofErr w:type="spellStart"/>
            <w:r w:rsidR="00790C15">
              <w:rPr>
                <w:rFonts w:cs="Arial"/>
                <w:sz w:val="14"/>
                <w:szCs w:val="14"/>
              </w:rPr>
              <w:t>Source</w:t>
            </w:r>
            <w:proofErr w:type="spellEnd"/>
            <w:r w:rsidR="007B0920" w:rsidRPr="00540CB3">
              <w:rPr>
                <w:sz w:val="14"/>
                <w:szCs w:val="14"/>
              </w:rPr>
              <w:t xml:space="preserve">: </w:t>
            </w:r>
            <w:r w:rsidR="00790C15">
              <w:rPr>
                <w:sz w:val="14"/>
                <w:szCs w:val="14"/>
              </w:rPr>
              <w:t>CZSO</w:t>
            </w:r>
          </w:p>
        </w:tc>
      </w:tr>
    </w:tbl>
    <w:p w:rsidR="007B0920" w:rsidRDefault="007B0920" w:rsidP="007B0920">
      <w:pPr>
        <w:pStyle w:val="Textpoznpodarou"/>
        <w:jc w:val="both"/>
        <w:rPr>
          <w:sz w:val="14"/>
          <w:szCs w:val="14"/>
        </w:rPr>
      </w:pPr>
    </w:p>
    <w:tbl>
      <w:tblPr>
        <w:tblW w:w="4986" w:type="pct"/>
        <w:tblInd w:w="107" w:type="dxa"/>
        <w:tblLayout w:type="fixed"/>
        <w:tblLook w:val="00A0"/>
      </w:tblPr>
      <w:tblGrid>
        <w:gridCol w:w="1997"/>
        <w:gridCol w:w="283"/>
        <w:gridCol w:w="7546"/>
      </w:tblGrid>
      <w:tr w:rsidR="007B0920" w:rsidRPr="00DE32DB" w:rsidTr="00CF0826">
        <w:trPr>
          <w:trHeight w:val="145"/>
        </w:trPr>
        <w:tc>
          <w:tcPr>
            <w:tcW w:w="1016" w:type="pct"/>
          </w:tcPr>
          <w:p w:rsidR="00BF71D5" w:rsidRPr="00FD38F7" w:rsidRDefault="00FD38F7" w:rsidP="00BF71D5">
            <w:pPr>
              <w:spacing w:line="240" w:lineRule="auto"/>
              <w:rPr>
                <w:spacing w:val="-4"/>
                <w:sz w:val="16"/>
                <w:szCs w:val="16"/>
                <w:lang w:val="en-GB"/>
              </w:rPr>
            </w:pPr>
            <w:r w:rsidRPr="00FD38F7">
              <w:rPr>
                <w:spacing w:val="-4"/>
                <w:sz w:val="16"/>
                <w:szCs w:val="16"/>
                <w:lang w:val="en-GB"/>
              </w:rPr>
              <w:t>Mild year-on-year growth of new construction orders was apparent throughout the most of the year. Negative balance of e</w:t>
            </w:r>
            <w:r>
              <w:rPr>
                <w:spacing w:val="-4"/>
                <w:sz w:val="16"/>
                <w:szCs w:val="16"/>
                <w:lang w:val="en-GB"/>
              </w:rPr>
              <w:t>nt</w:t>
            </w:r>
            <w:r w:rsidRPr="00FD38F7">
              <w:rPr>
                <w:spacing w:val="-4"/>
                <w:sz w:val="16"/>
                <w:szCs w:val="16"/>
                <w:lang w:val="en-GB"/>
              </w:rPr>
              <w:t>repreneur confidence in construction improved.</w:t>
            </w:r>
          </w:p>
          <w:p w:rsidR="007B0920" w:rsidRPr="00FD38F7" w:rsidRDefault="007B0920" w:rsidP="00CF0826">
            <w:pPr>
              <w:spacing w:line="240" w:lineRule="auto"/>
              <w:rPr>
                <w:spacing w:val="-4"/>
                <w:sz w:val="16"/>
                <w:szCs w:val="16"/>
                <w:lang w:val="en-GB"/>
              </w:rPr>
            </w:pPr>
          </w:p>
          <w:p w:rsidR="007B0920" w:rsidRPr="00FD38F7" w:rsidRDefault="007B0920" w:rsidP="00CF0826">
            <w:pPr>
              <w:spacing w:line="240" w:lineRule="auto"/>
              <w:rPr>
                <w:spacing w:val="-4"/>
                <w:sz w:val="16"/>
                <w:szCs w:val="16"/>
                <w:lang w:val="en-GB"/>
              </w:rPr>
            </w:pPr>
          </w:p>
          <w:p w:rsidR="007B0920" w:rsidRPr="00FD38F7" w:rsidRDefault="007B0920" w:rsidP="00CF0826">
            <w:pPr>
              <w:spacing w:line="240" w:lineRule="auto"/>
              <w:rPr>
                <w:spacing w:val="-4"/>
                <w:sz w:val="16"/>
                <w:szCs w:val="16"/>
                <w:lang w:val="en-GB"/>
              </w:rPr>
            </w:pPr>
          </w:p>
          <w:p w:rsidR="007B0920" w:rsidRPr="00FD38F7" w:rsidRDefault="007B0920" w:rsidP="00CF0826">
            <w:pPr>
              <w:spacing w:line="240" w:lineRule="auto"/>
              <w:rPr>
                <w:spacing w:val="-4"/>
                <w:sz w:val="16"/>
                <w:szCs w:val="16"/>
                <w:lang w:val="en-GB"/>
              </w:rPr>
            </w:pPr>
          </w:p>
          <w:p w:rsidR="007B0920" w:rsidRPr="00FD38F7" w:rsidRDefault="00790C15" w:rsidP="00CF0826">
            <w:pPr>
              <w:spacing w:line="240" w:lineRule="auto"/>
              <w:rPr>
                <w:spacing w:val="-4"/>
                <w:sz w:val="16"/>
                <w:szCs w:val="16"/>
                <w:lang w:val="en-GB"/>
              </w:rPr>
            </w:pPr>
            <w:r w:rsidRPr="00FD38F7">
              <w:rPr>
                <w:spacing w:val="-4"/>
                <w:sz w:val="16"/>
                <w:szCs w:val="16"/>
                <w:lang w:val="en-GB"/>
              </w:rPr>
              <w:t>Weak growth of the average size of one order signalled</w:t>
            </w:r>
            <w:r w:rsidR="002920F5">
              <w:rPr>
                <w:spacing w:val="-4"/>
                <w:sz w:val="16"/>
                <w:szCs w:val="16"/>
                <w:lang w:val="en-GB"/>
              </w:rPr>
              <w:t xml:space="preserve"> continuing lack of more significant number of large projects</w:t>
            </w:r>
            <w:r w:rsidR="004B2093">
              <w:rPr>
                <w:spacing w:val="-4"/>
                <w:sz w:val="16"/>
                <w:szCs w:val="16"/>
                <w:lang w:val="en-GB"/>
              </w:rPr>
              <w:t>.</w:t>
            </w:r>
            <w:r w:rsidR="002920F5">
              <w:rPr>
                <w:spacing w:val="-4"/>
                <w:sz w:val="16"/>
                <w:szCs w:val="16"/>
                <w:lang w:val="en-GB"/>
              </w:rPr>
              <w:t xml:space="preserve"> </w:t>
            </w:r>
          </w:p>
          <w:p w:rsidR="007B0920" w:rsidRPr="00FD38F7" w:rsidRDefault="007B0920" w:rsidP="00CF0826">
            <w:pPr>
              <w:spacing w:line="240" w:lineRule="auto"/>
              <w:rPr>
                <w:color w:val="0D0D0D" w:themeColor="text1" w:themeTint="F2"/>
                <w:spacing w:val="-2"/>
                <w:sz w:val="16"/>
                <w:szCs w:val="16"/>
                <w:lang w:val="en-GB"/>
              </w:rPr>
            </w:pPr>
          </w:p>
        </w:tc>
        <w:tc>
          <w:tcPr>
            <w:tcW w:w="144" w:type="pct"/>
          </w:tcPr>
          <w:p w:rsidR="007B0920" w:rsidRPr="00FD38F7" w:rsidRDefault="007B0920" w:rsidP="00CF0826">
            <w:pPr>
              <w:pStyle w:val="Textpoznpodarou"/>
              <w:jc w:val="both"/>
              <w:rPr>
                <w:lang w:val="en-GB"/>
              </w:rPr>
            </w:pPr>
          </w:p>
        </w:tc>
        <w:tc>
          <w:tcPr>
            <w:tcW w:w="3840" w:type="pct"/>
          </w:tcPr>
          <w:p w:rsidR="00D309C0" w:rsidRDefault="00FD38F7" w:rsidP="006E2F44">
            <w:pPr>
              <w:pStyle w:val="Textpoznpodarou"/>
              <w:jc w:val="both"/>
              <w:rPr>
                <w:color w:val="000000" w:themeColor="text1"/>
                <w:spacing w:val="-6"/>
                <w:lang w:val="en-GB"/>
              </w:rPr>
            </w:pPr>
            <w:r>
              <w:rPr>
                <w:color w:val="0D0D0D" w:themeColor="text1" w:themeTint="F2"/>
                <w:spacing w:val="-4"/>
                <w:lang w:val="en-GB"/>
              </w:rPr>
              <w:t xml:space="preserve">The value of new domestic orders </w:t>
            </w:r>
            <w:r w:rsidR="00BF71D5" w:rsidRPr="00FD38F7">
              <w:rPr>
                <w:color w:val="0D0D0D" w:themeColor="text1" w:themeTint="F2"/>
                <w:spacing w:val="-4"/>
                <w:lang w:val="en-GB"/>
              </w:rPr>
              <w:t>(</w:t>
            </w:r>
            <w:r>
              <w:rPr>
                <w:color w:val="0D0D0D" w:themeColor="text1" w:themeTint="F2"/>
                <w:spacing w:val="-4"/>
                <w:lang w:val="en-GB"/>
              </w:rPr>
              <w:t>for businesses with 50 employees and more) grew year-on-ye</w:t>
            </w:r>
            <w:r w:rsidR="00CD6339">
              <w:rPr>
                <w:color w:val="0D0D0D" w:themeColor="text1" w:themeTint="F2"/>
                <w:spacing w:val="-4"/>
                <w:lang w:val="en-GB"/>
              </w:rPr>
              <w:t>a</w:t>
            </w:r>
            <w:r>
              <w:rPr>
                <w:color w:val="0D0D0D" w:themeColor="text1" w:themeTint="F2"/>
                <w:spacing w:val="-4"/>
                <w:lang w:val="en-GB"/>
              </w:rPr>
              <w:t xml:space="preserve">r for the most part of the year </w:t>
            </w:r>
            <w:r w:rsidR="00BF71D5" w:rsidRPr="00FD38F7">
              <w:rPr>
                <w:color w:val="0D0D0D" w:themeColor="text1" w:themeTint="F2"/>
                <w:spacing w:val="-4"/>
                <w:lang w:val="en-GB"/>
              </w:rPr>
              <w:t xml:space="preserve">2017. </w:t>
            </w:r>
            <w:r w:rsidR="00CD6339">
              <w:rPr>
                <w:color w:val="0D0D0D" w:themeColor="text1" w:themeTint="F2"/>
                <w:spacing w:val="-4"/>
                <w:lang w:val="en-GB"/>
              </w:rPr>
              <w:t xml:space="preserve">It was by </w:t>
            </w:r>
            <w:r w:rsidR="00BF71D5" w:rsidRPr="00FD38F7">
              <w:rPr>
                <w:color w:val="0D0D0D" w:themeColor="text1" w:themeTint="F2"/>
                <w:spacing w:val="-4"/>
                <w:lang w:val="en-GB"/>
              </w:rPr>
              <w:t>15</w:t>
            </w:r>
            <w:r w:rsidR="00CD6339">
              <w:rPr>
                <w:color w:val="0D0D0D" w:themeColor="text1" w:themeTint="F2"/>
                <w:spacing w:val="-4"/>
                <w:lang w:val="en-GB"/>
              </w:rPr>
              <w:t>.</w:t>
            </w:r>
            <w:r w:rsidR="00BF71D5" w:rsidRPr="00FD38F7">
              <w:rPr>
                <w:color w:val="0D0D0D" w:themeColor="text1" w:themeTint="F2"/>
                <w:spacing w:val="-4"/>
                <w:lang w:val="en-GB"/>
              </w:rPr>
              <w:t xml:space="preserve">6% </w:t>
            </w:r>
            <w:r w:rsidR="00CD6339">
              <w:rPr>
                <w:color w:val="0D0D0D" w:themeColor="text1" w:themeTint="F2"/>
                <w:spacing w:val="-4"/>
                <w:lang w:val="en-GB"/>
              </w:rPr>
              <w:t xml:space="preserve">higher in Q4 </w:t>
            </w:r>
            <w:r w:rsidR="00BF71D5" w:rsidRPr="00FD38F7">
              <w:rPr>
                <w:color w:val="0D0D0D" w:themeColor="text1" w:themeTint="F2"/>
                <w:spacing w:val="-4"/>
                <w:lang w:val="en-GB"/>
              </w:rPr>
              <w:t>(</w:t>
            </w:r>
            <w:r w:rsidR="008D699D">
              <w:rPr>
                <w:color w:val="0D0D0D" w:themeColor="text1" w:themeTint="F2"/>
                <w:spacing w:val="-4"/>
                <w:lang w:val="en-GB"/>
              </w:rPr>
              <w:t>without</w:t>
            </w:r>
            <w:r w:rsidR="00CD6339">
              <w:rPr>
                <w:color w:val="0D0D0D" w:themeColor="text1" w:themeTint="F2"/>
                <w:spacing w:val="-4"/>
                <w:lang w:val="en-GB"/>
              </w:rPr>
              <w:t xml:space="preserve"> the significant difference between the building and civil engineering construction</w:t>
            </w:r>
            <w:r w:rsidR="004121D6" w:rsidRPr="00FD38F7">
              <w:rPr>
                <w:color w:val="0D0D0D" w:themeColor="text1" w:themeTint="F2"/>
                <w:spacing w:val="-4"/>
                <w:lang w:val="en-GB"/>
              </w:rPr>
              <w:t xml:space="preserve">). </w:t>
            </w:r>
            <w:r w:rsidR="008259CC">
              <w:rPr>
                <w:color w:val="0D0D0D" w:themeColor="text1" w:themeTint="F2"/>
                <w:spacing w:val="-4"/>
                <w:lang w:val="en-GB"/>
              </w:rPr>
              <w:t xml:space="preserve">Average value of new order increased by one tenth last year </w:t>
            </w:r>
            <w:r w:rsidR="00BF71D5" w:rsidRPr="00FD38F7">
              <w:rPr>
                <w:spacing w:val="-4"/>
                <w:lang w:val="en-GB"/>
              </w:rPr>
              <w:t>(</w:t>
            </w:r>
            <w:r w:rsidR="008259CC">
              <w:rPr>
                <w:spacing w:val="-4"/>
                <w:lang w:val="en-GB"/>
              </w:rPr>
              <w:t xml:space="preserve">to </w:t>
            </w:r>
            <w:r w:rsidR="00BF71D5" w:rsidRPr="00FD38F7">
              <w:rPr>
                <w:spacing w:val="-4"/>
                <w:lang w:val="en-GB"/>
              </w:rPr>
              <w:t>3</w:t>
            </w:r>
            <w:r w:rsidR="008259CC">
              <w:rPr>
                <w:spacing w:val="-4"/>
                <w:lang w:val="en-GB"/>
              </w:rPr>
              <w:t>.</w:t>
            </w:r>
            <w:r w:rsidR="00BF71D5" w:rsidRPr="00FD38F7">
              <w:rPr>
                <w:spacing w:val="-4"/>
                <w:lang w:val="en-GB"/>
              </w:rPr>
              <w:t xml:space="preserve">3 </w:t>
            </w:r>
            <w:r w:rsidR="008259CC">
              <w:rPr>
                <w:spacing w:val="-4"/>
                <w:lang w:val="en-GB"/>
              </w:rPr>
              <w:t xml:space="preserve">CZK </w:t>
            </w:r>
            <w:r w:rsidR="00BF71D5" w:rsidRPr="00FD38F7">
              <w:rPr>
                <w:spacing w:val="-4"/>
                <w:lang w:val="en-GB"/>
              </w:rPr>
              <w:t xml:space="preserve">mil), </w:t>
            </w:r>
            <w:r w:rsidR="008259CC">
              <w:rPr>
                <w:spacing w:val="-4"/>
                <w:lang w:val="en-GB"/>
              </w:rPr>
              <w:t xml:space="preserve">it oscillated around 4 </w:t>
            </w:r>
            <w:r w:rsidR="00654E14">
              <w:rPr>
                <w:spacing w:val="-4"/>
                <w:lang w:val="en-GB"/>
              </w:rPr>
              <w:t>mils</w:t>
            </w:r>
            <w:r w:rsidR="008259CC">
              <w:rPr>
                <w:spacing w:val="-4"/>
                <w:lang w:val="en-GB"/>
              </w:rPr>
              <w:t xml:space="preserve"> in both years </w:t>
            </w:r>
            <w:r w:rsidR="00BF71D5" w:rsidRPr="00FD38F7">
              <w:rPr>
                <w:spacing w:val="-4"/>
                <w:lang w:val="en-GB"/>
              </w:rPr>
              <w:t>2014</w:t>
            </w:r>
            <w:r w:rsidR="008259CC">
              <w:rPr>
                <w:spacing w:val="-4"/>
                <w:lang w:val="en-GB"/>
              </w:rPr>
              <w:t xml:space="preserve"> and </w:t>
            </w:r>
            <w:r w:rsidR="00BF71D5" w:rsidRPr="00FD38F7">
              <w:rPr>
                <w:spacing w:val="-4"/>
                <w:lang w:val="en-GB"/>
              </w:rPr>
              <w:t>2015</w:t>
            </w:r>
            <w:r w:rsidR="008259CC">
              <w:rPr>
                <w:spacing w:val="-4"/>
                <w:lang w:val="en-GB"/>
              </w:rPr>
              <w:t xml:space="preserve">. </w:t>
            </w:r>
            <w:r w:rsidR="004D2D7A">
              <w:rPr>
                <w:spacing w:val="-4"/>
                <w:lang w:val="en-GB"/>
              </w:rPr>
              <w:t>Balance of all not yet completed orders was 133 CZK bn at the end of the year</w:t>
            </w:r>
            <w:r w:rsidR="008D699D">
              <w:rPr>
                <w:spacing w:val="-4"/>
                <w:lang w:val="en-GB"/>
              </w:rPr>
              <w:t xml:space="preserve"> </w:t>
            </w:r>
            <w:proofErr w:type="gramStart"/>
            <w:r w:rsidR="008D699D">
              <w:rPr>
                <w:spacing w:val="-4"/>
                <w:lang w:val="en-GB"/>
              </w:rPr>
              <w:t>2017</w:t>
            </w:r>
            <w:r w:rsidR="004D2D7A">
              <w:rPr>
                <w:spacing w:val="-4"/>
                <w:lang w:val="en-GB"/>
              </w:rPr>
              <w:t>,</w:t>
            </w:r>
            <w:proofErr w:type="gramEnd"/>
            <w:r w:rsidR="004D2D7A">
              <w:rPr>
                <w:spacing w:val="-4"/>
                <w:lang w:val="en-GB"/>
              </w:rPr>
              <w:t xml:space="preserve"> it rose by mild 3.5% year-on-year. </w:t>
            </w:r>
            <w:r w:rsidR="00711970">
              <w:rPr>
                <w:spacing w:val="-4"/>
                <w:lang w:val="en-GB"/>
              </w:rPr>
              <w:t xml:space="preserve">Drop of the stock of jobs from abroad was compensated by both private </w:t>
            </w:r>
            <w:r w:rsidR="00BF71D5" w:rsidRPr="00FD38F7">
              <w:rPr>
                <w:spacing w:val="-4"/>
                <w:lang w:val="en-GB"/>
              </w:rPr>
              <w:t>(+2</w:t>
            </w:r>
            <w:r w:rsidR="00711970">
              <w:rPr>
                <w:spacing w:val="-4"/>
                <w:lang w:val="en-GB"/>
              </w:rPr>
              <w:t>.</w:t>
            </w:r>
            <w:r w:rsidR="00BF71D5" w:rsidRPr="00FD38F7">
              <w:rPr>
                <w:spacing w:val="-4"/>
                <w:lang w:val="en-GB"/>
              </w:rPr>
              <w:t xml:space="preserve">6%) </w:t>
            </w:r>
            <w:r w:rsidR="00711970">
              <w:rPr>
                <w:spacing w:val="-4"/>
                <w:lang w:val="en-GB"/>
              </w:rPr>
              <w:t xml:space="preserve">and public orders </w:t>
            </w:r>
            <w:r w:rsidR="00BF71D5" w:rsidRPr="00FD38F7">
              <w:rPr>
                <w:spacing w:val="-4"/>
                <w:lang w:val="en-GB"/>
              </w:rPr>
              <w:t>(+9</w:t>
            </w:r>
            <w:r w:rsidR="00711970">
              <w:rPr>
                <w:spacing w:val="-4"/>
                <w:lang w:val="en-GB"/>
              </w:rPr>
              <w:t>.</w:t>
            </w:r>
            <w:r w:rsidR="00BF71D5" w:rsidRPr="00FD38F7">
              <w:rPr>
                <w:spacing w:val="-4"/>
                <w:lang w:val="en-GB"/>
              </w:rPr>
              <w:t xml:space="preserve">3%). </w:t>
            </w:r>
            <w:r w:rsidR="00711970">
              <w:rPr>
                <w:spacing w:val="-4"/>
                <w:lang w:val="en-GB"/>
              </w:rPr>
              <w:t xml:space="preserve">Approximate value of one granted building permit fastened growth </w:t>
            </w:r>
            <w:r w:rsidR="007B0920" w:rsidRPr="00FD38F7">
              <w:rPr>
                <w:spacing w:val="-4"/>
                <w:lang w:val="en-GB"/>
              </w:rPr>
              <w:t>(</w:t>
            </w:r>
            <w:r w:rsidR="007C29B0">
              <w:rPr>
                <w:spacing w:val="-4"/>
                <w:lang w:val="en-GB"/>
              </w:rPr>
              <w:t xml:space="preserve">to </w:t>
            </w:r>
            <w:r w:rsidR="007B0920" w:rsidRPr="00FD38F7">
              <w:rPr>
                <w:spacing w:val="-4"/>
                <w:lang w:val="en-GB"/>
              </w:rPr>
              <w:t>24</w:t>
            </w:r>
            <w:r w:rsidR="00D623F7" w:rsidRPr="00FD38F7">
              <w:rPr>
                <w:spacing w:val="-4"/>
                <w:lang w:val="en-GB"/>
              </w:rPr>
              <w:t>%</w:t>
            </w:r>
            <w:r w:rsidR="008D699D">
              <w:rPr>
                <w:spacing w:val="-4"/>
                <w:lang w:val="en-GB"/>
              </w:rPr>
              <w:t>,</w:t>
            </w:r>
            <w:r w:rsidR="00D623F7" w:rsidRPr="00FD38F7">
              <w:rPr>
                <w:spacing w:val="-4"/>
                <w:lang w:val="en-GB"/>
              </w:rPr>
              <w:t xml:space="preserve"> </w:t>
            </w:r>
            <w:r w:rsidR="007C29B0">
              <w:rPr>
                <w:spacing w:val="-4"/>
                <w:lang w:val="en-GB"/>
              </w:rPr>
              <w:t>from 1</w:t>
            </w:r>
            <w:r w:rsidR="00D623F7" w:rsidRPr="00FD38F7">
              <w:rPr>
                <w:spacing w:val="-4"/>
                <w:lang w:val="en-GB"/>
              </w:rPr>
              <w:t>2%</w:t>
            </w:r>
            <w:r w:rsidR="008D699D">
              <w:rPr>
                <w:spacing w:val="-4"/>
                <w:lang w:val="en-GB"/>
              </w:rPr>
              <w:t xml:space="preserve"> in the year of 2016</w:t>
            </w:r>
            <w:r w:rsidR="00D623F7" w:rsidRPr="00FD38F7">
              <w:rPr>
                <w:spacing w:val="-4"/>
                <w:lang w:val="en-GB"/>
              </w:rPr>
              <w:t xml:space="preserve">). </w:t>
            </w:r>
            <w:r w:rsidR="00194096">
              <w:rPr>
                <w:spacing w:val="-4"/>
                <w:lang w:val="en-GB"/>
              </w:rPr>
              <w:t xml:space="preserve">It was driven predominantly by new construction similarly to year </w:t>
            </w:r>
            <w:r w:rsidR="007B0920" w:rsidRPr="00FD38F7">
              <w:rPr>
                <w:spacing w:val="-4"/>
                <w:lang w:val="en-GB"/>
              </w:rPr>
              <w:t>2016</w:t>
            </w:r>
            <w:r w:rsidR="00194096">
              <w:rPr>
                <w:spacing w:val="-4"/>
                <w:lang w:val="en-GB"/>
              </w:rPr>
              <w:t xml:space="preserve">. </w:t>
            </w:r>
            <w:r w:rsidR="007B0920" w:rsidRPr="00FD38F7">
              <w:rPr>
                <w:spacing w:val="-4"/>
                <w:lang w:val="en-GB"/>
              </w:rPr>
              <w:t xml:space="preserve"> </w:t>
            </w:r>
            <w:r w:rsidR="00516CF6">
              <w:rPr>
                <w:spacing w:val="-4"/>
                <w:lang w:val="en-GB"/>
              </w:rPr>
              <w:t xml:space="preserve">Residential as well as non-residential buildings contributed by a similar share. Seasonally adjusted balance of the entrepreneur confidence in construction remained in the negative </w:t>
            </w:r>
            <w:r w:rsidR="001D1383">
              <w:rPr>
                <w:spacing w:val="-4"/>
                <w:lang w:val="en-GB"/>
              </w:rPr>
              <w:t>band</w:t>
            </w:r>
            <w:r w:rsidR="00516CF6">
              <w:rPr>
                <w:spacing w:val="-4"/>
                <w:lang w:val="en-GB"/>
              </w:rPr>
              <w:t>.</w:t>
            </w:r>
            <w:r w:rsidR="007B0920" w:rsidRPr="00FD38F7">
              <w:rPr>
                <w:color w:val="000000" w:themeColor="text1"/>
                <w:spacing w:val="-4"/>
                <w:lang w:val="en-GB"/>
              </w:rPr>
              <w:t xml:space="preserve"> </w:t>
            </w:r>
            <w:r w:rsidR="0042254E">
              <w:rPr>
                <w:color w:val="000000" w:themeColor="text1"/>
                <w:spacing w:val="-4"/>
                <w:lang w:val="en-GB"/>
              </w:rPr>
              <w:t xml:space="preserve">However, an improvement gradually occurred during the year, this trend slowly gained strength and was also confirmed by the data from the beginning of year </w:t>
            </w:r>
            <w:r w:rsidR="007B0920" w:rsidRPr="00FD38F7">
              <w:rPr>
                <w:color w:val="000000" w:themeColor="text1"/>
                <w:spacing w:val="-4"/>
                <w:lang w:val="en-GB"/>
              </w:rPr>
              <w:t xml:space="preserve">2018. </w:t>
            </w:r>
            <w:r w:rsidR="00AC79F3">
              <w:rPr>
                <w:color w:val="000000" w:themeColor="text1"/>
                <w:spacing w:val="-4"/>
                <w:lang w:val="en-GB"/>
              </w:rPr>
              <w:t xml:space="preserve">Proportion of businesses </w:t>
            </w:r>
            <w:r w:rsidR="006C0E9E">
              <w:rPr>
                <w:color w:val="000000" w:themeColor="text1"/>
                <w:spacing w:val="-4"/>
                <w:lang w:val="en-GB"/>
              </w:rPr>
              <w:t xml:space="preserve">anticipating the reduction of the construction activity or employment fell considerably year-on-year. However, only less than one tenth of businesses expected a growth of the construction activity. Only 15% of businesses did not perceive any significant barrier to their growth. 40% signalled the inadequate demand </w:t>
            </w:r>
            <w:r w:rsidR="007B0920" w:rsidRPr="00FD38F7">
              <w:rPr>
                <w:color w:val="000000" w:themeColor="text1"/>
                <w:spacing w:val="-6"/>
                <w:lang w:val="en-GB"/>
              </w:rPr>
              <w:t xml:space="preserve">(54% </w:t>
            </w:r>
            <w:r w:rsidR="006C0E9E">
              <w:rPr>
                <w:color w:val="000000" w:themeColor="text1"/>
                <w:spacing w:val="-6"/>
                <w:lang w:val="en-GB"/>
              </w:rPr>
              <w:t xml:space="preserve">at the beginning of year </w:t>
            </w:r>
            <w:r w:rsidR="007B0920" w:rsidRPr="00FD38F7">
              <w:rPr>
                <w:color w:val="000000" w:themeColor="text1"/>
                <w:spacing w:val="-6"/>
                <w:lang w:val="en-GB"/>
              </w:rPr>
              <w:t xml:space="preserve">2017), </w:t>
            </w:r>
            <w:r w:rsidR="006C0E9E">
              <w:rPr>
                <w:color w:val="000000" w:themeColor="text1"/>
                <w:spacing w:val="-6"/>
                <w:lang w:val="en-GB"/>
              </w:rPr>
              <w:t xml:space="preserve">24% lack of employees </w:t>
            </w:r>
            <w:r w:rsidR="007B0920" w:rsidRPr="00FD38F7">
              <w:rPr>
                <w:color w:val="000000" w:themeColor="text1"/>
                <w:spacing w:val="-6"/>
                <w:lang w:val="en-GB"/>
              </w:rPr>
              <w:t>(11%).</w:t>
            </w:r>
          </w:p>
          <w:p w:rsidR="002133D5" w:rsidRPr="00FD38F7" w:rsidRDefault="002133D5" w:rsidP="006E2F44">
            <w:pPr>
              <w:pStyle w:val="Textpoznpodarou"/>
              <w:jc w:val="both"/>
              <w:rPr>
                <w:color w:val="0D0D0D" w:themeColor="text1" w:themeTint="F2"/>
                <w:spacing w:val="-4"/>
                <w:sz w:val="15"/>
                <w:szCs w:val="15"/>
                <w:lang w:val="en-GB"/>
              </w:rPr>
            </w:pPr>
          </w:p>
        </w:tc>
      </w:tr>
      <w:tr w:rsidR="007B0920" w:rsidRPr="00A74192" w:rsidTr="00CF0826">
        <w:trPr>
          <w:trHeight w:val="145"/>
        </w:trPr>
        <w:tc>
          <w:tcPr>
            <w:tcW w:w="1016" w:type="pct"/>
            <w:shd w:val="clear" w:color="auto" w:fill="auto"/>
          </w:tcPr>
          <w:p w:rsidR="007B0920" w:rsidRPr="00475076" w:rsidRDefault="00790C15" w:rsidP="00790C15">
            <w:pPr>
              <w:spacing w:line="240" w:lineRule="auto"/>
              <w:rPr>
                <w:spacing w:val="-2"/>
                <w:sz w:val="16"/>
                <w:szCs w:val="16"/>
                <w:lang w:val="en-GB"/>
              </w:rPr>
            </w:pPr>
            <w:r w:rsidRPr="00475076">
              <w:rPr>
                <w:spacing w:val="-2"/>
                <w:sz w:val="16"/>
                <w:szCs w:val="16"/>
                <w:lang w:val="en-GB"/>
              </w:rPr>
              <w:t xml:space="preserve">Sales in selected services accelerated and reached the fastest rate of growth following year </w:t>
            </w:r>
            <w:r w:rsidR="007B0920" w:rsidRPr="00475076">
              <w:rPr>
                <w:spacing w:val="-2"/>
                <w:sz w:val="16"/>
                <w:szCs w:val="16"/>
                <w:lang w:val="en-GB"/>
              </w:rPr>
              <w:t xml:space="preserve">2007. </w:t>
            </w:r>
          </w:p>
        </w:tc>
        <w:tc>
          <w:tcPr>
            <w:tcW w:w="144" w:type="pct"/>
          </w:tcPr>
          <w:p w:rsidR="007B0920" w:rsidRPr="00475076" w:rsidRDefault="007B0920" w:rsidP="00CF0826">
            <w:pPr>
              <w:pStyle w:val="Textpoznpodarou"/>
              <w:jc w:val="both"/>
              <w:rPr>
                <w:lang w:val="en-GB"/>
              </w:rPr>
            </w:pPr>
          </w:p>
        </w:tc>
        <w:tc>
          <w:tcPr>
            <w:tcW w:w="3840" w:type="pct"/>
          </w:tcPr>
          <w:p w:rsidR="007B0920" w:rsidRPr="00475076" w:rsidRDefault="00FC428D" w:rsidP="00840458">
            <w:pPr>
              <w:pStyle w:val="Textpoznpodarou"/>
              <w:jc w:val="both"/>
              <w:rPr>
                <w:color w:val="0D0D0D" w:themeColor="text1" w:themeTint="F2"/>
                <w:spacing w:val="-4"/>
                <w:lang w:val="en-GB"/>
              </w:rPr>
            </w:pPr>
            <w:r w:rsidRPr="00475076">
              <w:rPr>
                <w:spacing w:val="-4"/>
                <w:lang w:val="en-GB"/>
              </w:rPr>
              <w:t>Growth of sales in selected services</w:t>
            </w:r>
            <w:r w:rsidR="007B0920" w:rsidRPr="00475076">
              <w:rPr>
                <w:color w:val="0D0D0D" w:themeColor="text1" w:themeTint="F2"/>
                <w:spacing w:val="-4"/>
                <w:vertAlign w:val="superscript"/>
                <w:lang w:val="en-GB"/>
              </w:rPr>
              <w:footnoteReference w:id="12"/>
            </w:r>
            <w:r w:rsidR="007B0920" w:rsidRPr="00475076">
              <w:rPr>
                <w:color w:val="0D0D0D" w:themeColor="text1" w:themeTint="F2"/>
                <w:spacing w:val="-4"/>
                <w:lang w:val="en-GB"/>
              </w:rPr>
              <w:t xml:space="preserve"> </w:t>
            </w:r>
            <w:r w:rsidRPr="00475076">
              <w:rPr>
                <w:color w:val="0D0D0D" w:themeColor="text1" w:themeTint="F2"/>
                <w:spacing w:val="-4"/>
                <w:lang w:val="en-GB"/>
              </w:rPr>
              <w:t xml:space="preserve">accelerated to 4.2% in </w:t>
            </w:r>
            <w:r w:rsidR="007B0920" w:rsidRPr="00475076">
              <w:rPr>
                <w:color w:val="0D0D0D" w:themeColor="text1" w:themeTint="F2"/>
                <w:spacing w:val="-4"/>
                <w:lang w:val="en-GB"/>
              </w:rPr>
              <w:t>2017</w:t>
            </w:r>
            <w:r w:rsidRPr="00475076">
              <w:rPr>
                <w:color w:val="0D0D0D" w:themeColor="text1" w:themeTint="F2"/>
                <w:spacing w:val="-4"/>
                <w:lang w:val="en-GB"/>
              </w:rPr>
              <w:t xml:space="preserve"> </w:t>
            </w:r>
            <w:r w:rsidR="00F70C8E" w:rsidRPr="00475076">
              <w:rPr>
                <w:color w:val="0D0D0D" w:themeColor="text1" w:themeTint="F2"/>
                <w:spacing w:val="-4"/>
                <w:lang w:val="en-GB"/>
              </w:rPr>
              <w:t>(</w:t>
            </w:r>
            <w:r w:rsidR="00475076">
              <w:rPr>
                <w:color w:val="0D0D0D" w:themeColor="text1" w:themeTint="F2"/>
                <w:spacing w:val="-4"/>
                <w:lang w:val="en-GB"/>
              </w:rPr>
              <w:t xml:space="preserve">from </w:t>
            </w:r>
            <w:r w:rsidR="00F70C8E" w:rsidRPr="00475076">
              <w:rPr>
                <w:color w:val="0D0D0D" w:themeColor="text1" w:themeTint="F2"/>
                <w:spacing w:val="-4"/>
                <w:lang w:val="en-GB"/>
              </w:rPr>
              <w:t>0</w:t>
            </w:r>
            <w:r w:rsidR="00475076">
              <w:rPr>
                <w:color w:val="0D0D0D" w:themeColor="text1" w:themeTint="F2"/>
                <w:spacing w:val="-4"/>
                <w:lang w:val="en-GB"/>
              </w:rPr>
              <w:t>.</w:t>
            </w:r>
            <w:r w:rsidR="00F70C8E" w:rsidRPr="00475076">
              <w:rPr>
                <w:color w:val="0D0D0D" w:themeColor="text1" w:themeTint="F2"/>
                <w:spacing w:val="-4"/>
                <w:lang w:val="en-GB"/>
              </w:rPr>
              <w:t>8%</w:t>
            </w:r>
            <w:r w:rsidR="00475076">
              <w:rPr>
                <w:color w:val="0D0D0D" w:themeColor="text1" w:themeTint="F2"/>
                <w:spacing w:val="-4"/>
                <w:lang w:val="en-GB"/>
              </w:rPr>
              <w:t xml:space="preserve"> the year before last</w:t>
            </w:r>
            <w:r w:rsidR="00F70C8E" w:rsidRPr="00475076">
              <w:rPr>
                <w:color w:val="0D0D0D" w:themeColor="text1" w:themeTint="F2"/>
                <w:spacing w:val="-4"/>
                <w:lang w:val="en-GB"/>
              </w:rPr>
              <w:t>) a</w:t>
            </w:r>
            <w:r w:rsidRPr="00475076">
              <w:rPr>
                <w:color w:val="0D0D0D" w:themeColor="text1" w:themeTint="F2"/>
                <w:spacing w:val="-4"/>
                <w:lang w:val="en-GB"/>
              </w:rPr>
              <w:t xml:space="preserve">nd achieved the best year-on-year rate of growth in the last ten years. </w:t>
            </w:r>
            <w:r w:rsidR="00F70C8E" w:rsidRPr="00475076">
              <w:rPr>
                <w:color w:val="0D0D0D" w:themeColor="text1" w:themeTint="F2"/>
                <w:spacing w:val="-4"/>
                <w:lang w:val="en-GB"/>
              </w:rPr>
              <w:t>T</w:t>
            </w:r>
            <w:r w:rsidRPr="00475076">
              <w:rPr>
                <w:color w:val="0D0D0D" w:themeColor="text1" w:themeTint="F2"/>
                <w:spacing w:val="-4"/>
                <w:lang w:val="en-GB"/>
              </w:rPr>
              <w:t xml:space="preserve">his favourable shift was apparent </w:t>
            </w:r>
            <w:r w:rsidR="00475076" w:rsidRPr="00475076">
              <w:rPr>
                <w:color w:val="0D0D0D" w:themeColor="text1" w:themeTint="F2"/>
                <w:spacing w:val="-4"/>
                <w:lang w:val="en-GB"/>
              </w:rPr>
              <w:t>across</w:t>
            </w:r>
            <w:r w:rsidRPr="00475076">
              <w:rPr>
                <w:color w:val="0D0D0D" w:themeColor="text1" w:themeTint="F2"/>
                <w:spacing w:val="-4"/>
                <w:lang w:val="en-GB"/>
              </w:rPr>
              <w:t xml:space="preserve"> all </w:t>
            </w:r>
            <w:r w:rsidR="00475076">
              <w:rPr>
                <w:color w:val="0D0D0D" w:themeColor="text1" w:themeTint="F2"/>
                <w:spacing w:val="-4"/>
                <w:lang w:val="en-GB"/>
              </w:rPr>
              <w:t xml:space="preserve">activity sections </w:t>
            </w:r>
            <w:r w:rsidRPr="00475076">
              <w:rPr>
                <w:color w:val="0D0D0D" w:themeColor="text1" w:themeTint="F2"/>
                <w:spacing w:val="-4"/>
                <w:lang w:val="en-GB"/>
              </w:rPr>
              <w:t xml:space="preserve">of services </w:t>
            </w:r>
            <w:r w:rsidR="00F70C8E" w:rsidRPr="00475076">
              <w:rPr>
                <w:color w:val="0D0D0D" w:themeColor="text1" w:themeTint="F2"/>
                <w:spacing w:val="-4"/>
                <w:lang w:val="en-GB"/>
              </w:rPr>
              <w:t>(</w:t>
            </w:r>
            <w:r w:rsidRPr="00475076">
              <w:rPr>
                <w:color w:val="0D0D0D" w:themeColor="text1" w:themeTint="F2"/>
                <w:spacing w:val="-4"/>
                <w:lang w:val="en-GB"/>
              </w:rPr>
              <w:t>the most in professional, scientific and technical activities, the least in real estate activities</w:t>
            </w:r>
            <w:r w:rsidR="00F70C8E" w:rsidRPr="00475076">
              <w:rPr>
                <w:color w:val="0D0D0D" w:themeColor="text1" w:themeTint="F2"/>
                <w:spacing w:val="-4"/>
                <w:lang w:val="en-GB"/>
              </w:rPr>
              <w:t xml:space="preserve">). </w:t>
            </w:r>
            <w:r w:rsidR="00475076">
              <w:rPr>
                <w:color w:val="0D0D0D" w:themeColor="text1" w:themeTint="F2"/>
                <w:spacing w:val="-4"/>
                <w:lang w:val="en-GB"/>
              </w:rPr>
              <w:t>It is apparent from the quarter-on-quarter rates of growth, that the output acceleration of services started already in Q</w:t>
            </w:r>
            <w:r w:rsidR="00F70C8E" w:rsidRPr="00475076">
              <w:rPr>
                <w:color w:val="0D0D0D" w:themeColor="text1" w:themeTint="F2"/>
                <w:spacing w:val="-4"/>
                <w:lang w:val="en-GB"/>
              </w:rPr>
              <w:t>3</w:t>
            </w:r>
            <w:r w:rsidR="00475076">
              <w:rPr>
                <w:color w:val="0D0D0D" w:themeColor="text1" w:themeTint="F2"/>
                <w:spacing w:val="-4"/>
                <w:lang w:val="en-GB"/>
              </w:rPr>
              <w:t xml:space="preserve"> </w:t>
            </w:r>
            <w:r w:rsidR="00F70C8E" w:rsidRPr="00475076">
              <w:rPr>
                <w:color w:val="0D0D0D" w:themeColor="text1" w:themeTint="F2"/>
                <w:spacing w:val="-4"/>
                <w:lang w:val="en-GB"/>
              </w:rPr>
              <w:t xml:space="preserve">2016, </w:t>
            </w:r>
            <w:r w:rsidR="00475076">
              <w:rPr>
                <w:color w:val="0D0D0D" w:themeColor="text1" w:themeTint="F2"/>
                <w:spacing w:val="-4"/>
                <w:lang w:val="en-GB"/>
              </w:rPr>
              <w:t>it weakened during the year 2</w:t>
            </w:r>
            <w:r w:rsidR="00F70C8E" w:rsidRPr="00475076">
              <w:rPr>
                <w:color w:val="0D0D0D" w:themeColor="text1" w:themeTint="F2"/>
                <w:spacing w:val="-4"/>
                <w:lang w:val="en-GB"/>
              </w:rPr>
              <w:t>017</w:t>
            </w:r>
            <w:r w:rsidR="00475076">
              <w:rPr>
                <w:color w:val="0D0D0D" w:themeColor="text1" w:themeTint="F2"/>
                <w:spacing w:val="-4"/>
                <w:lang w:val="en-GB"/>
              </w:rPr>
              <w:t xml:space="preserve"> and the sales in fact already stagnated in Q</w:t>
            </w:r>
            <w:r w:rsidR="00F70C8E" w:rsidRPr="00475076">
              <w:rPr>
                <w:color w:val="0D0D0D" w:themeColor="text1" w:themeTint="F2"/>
                <w:spacing w:val="-4"/>
                <w:lang w:val="en-GB"/>
              </w:rPr>
              <w:t>4.</w:t>
            </w:r>
          </w:p>
          <w:p w:rsidR="00D309C0" w:rsidRPr="00475076" w:rsidRDefault="00D309C0" w:rsidP="00840458">
            <w:pPr>
              <w:pStyle w:val="Textpoznpodarou"/>
              <w:jc w:val="both"/>
              <w:rPr>
                <w:spacing w:val="-4"/>
                <w:sz w:val="15"/>
                <w:szCs w:val="15"/>
                <w:lang w:val="en-GB"/>
              </w:rPr>
            </w:pPr>
          </w:p>
        </w:tc>
      </w:tr>
      <w:tr w:rsidR="007B0920" w:rsidRPr="00DE32DB" w:rsidTr="00CF0826">
        <w:trPr>
          <w:trHeight w:val="145"/>
        </w:trPr>
        <w:tc>
          <w:tcPr>
            <w:tcW w:w="1016" w:type="pct"/>
          </w:tcPr>
          <w:p w:rsidR="007B0920" w:rsidRPr="00551147" w:rsidRDefault="00551147" w:rsidP="00CF0826">
            <w:pPr>
              <w:spacing w:line="240" w:lineRule="auto"/>
              <w:rPr>
                <w:spacing w:val="-2"/>
                <w:sz w:val="16"/>
                <w:szCs w:val="16"/>
                <w:lang w:val="en-GB"/>
              </w:rPr>
            </w:pPr>
            <w:r w:rsidRPr="00551147">
              <w:rPr>
                <w:spacing w:val="-2"/>
                <w:sz w:val="16"/>
                <w:szCs w:val="16"/>
                <w:lang w:val="en-GB"/>
              </w:rPr>
              <w:t xml:space="preserve">Transport and </w:t>
            </w:r>
            <w:r w:rsidR="003B7F20">
              <w:rPr>
                <w:spacing w:val="-2"/>
                <w:sz w:val="16"/>
                <w:szCs w:val="16"/>
                <w:lang w:val="en-GB"/>
              </w:rPr>
              <w:t xml:space="preserve">storage </w:t>
            </w:r>
            <w:r w:rsidRPr="00551147">
              <w:rPr>
                <w:spacing w:val="-2"/>
                <w:sz w:val="16"/>
                <w:szCs w:val="16"/>
                <w:lang w:val="en-GB"/>
              </w:rPr>
              <w:t xml:space="preserve">and branch accommodation, food service and restaurants </w:t>
            </w:r>
            <w:r w:rsidRPr="00551147">
              <w:rPr>
                <w:spacing w:val="-2"/>
                <w:sz w:val="16"/>
                <w:szCs w:val="16"/>
                <w:lang w:val="en-GB"/>
              </w:rPr>
              <w:lastRenderedPageBreak/>
              <w:t xml:space="preserve">contributed the most to the growth of sales in services last year. </w:t>
            </w:r>
          </w:p>
          <w:p w:rsidR="007B0920" w:rsidRPr="00551147" w:rsidRDefault="007B0920" w:rsidP="00CF0826">
            <w:pPr>
              <w:spacing w:line="240" w:lineRule="auto"/>
              <w:rPr>
                <w:spacing w:val="-2"/>
                <w:sz w:val="16"/>
                <w:szCs w:val="16"/>
                <w:lang w:val="en-GB"/>
              </w:rPr>
            </w:pPr>
          </w:p>
          <w:p w:rsidR="007B0920" w:rsidRPr="00551147" w:rsidRDefault="007B0920" w:rsidP="00CF0826">
            <w:pPr>
              <w:spacing w:line="240" w:lineRule="auto"/>
              <w:rPr>
                <w:spacing w:val="-2"/>
                <w:sz w:val="16"/>
                <w:szCs w:val="16"/>
                <w:lang w:val="en-GB"/>
              </w:rPr>
            </w:pPr>
          </w:p>
          <w:p w:rsidR="007B0920" w:rsidRPr="00551147" w:rsidRDefault="004A5155" w:rsidP="00CF0826">
            <w:pPr>
              <w:spacing w:line="240" w:lineRule="auto"/>
              <w:rPr>
                <w:spacing w:val="-4"/>
                <w:sz w:val="16"/>
                <w:szCs w:val="16"/>
                <w:lang w:val="en-GB"/>
              </w:rPr>
            </w:pPr>
            <w:r>
              <w:rPr>
                <w:spacing w:val="-4"/>
                <w:sz w:val="16"/>
                <w:szCs w:val="16"/>
                <w:lang w:val="en-GB"/>
              </w:rPr>
              <w:t xml:space="preserve">Strong demand in the long term for information activities, programming or services of job agencies prevailed. Positive turn was apparent at travel offices and agencies.  </w:t>
            </w:r>
          </w:p>
          <w:p w:rsidR="007B0920" w:rsidRPr="00551147" w:rsidRDefault="007B0920" w:rsidP="00CF0826">
            <w:pPr>
              <w:spacing w:line="240" w:lineRule="auto"/>
              <w:rPr>
                <w:spacing w:val="-2"/>
                <w:sz w:val="16"/>
                <w:szCs w:val="16"/>
                <w:lang w:val="en-GB"/>
              </w:rPr>
            </w:pPr>
          </w:p>
          <w:p w:rsidR="007B0920" w:rsidRPr="00551147" w:rsidRDefault="007B0920" w:rsidP="00CF0826">
            <w:pPr>
              <w:spacing w:line="240" w:lineRule="auto"/>
              <w:rPr>
                <w:spacing w:val="-2"/>
                <w:sz w:val="16"/>
                <w:szCs w:val="16"/>
                <w:lang w:val="en-GB"/>
              </w:rPr>
            </w:pPr>
          </w:p>
          <w:p w:rsidR="007B0920" w:rsidRPr="00551147" w:rsidRDefault="007B0920" w:rsidP="00CF0826">
            <w:pPr>
              <w:spacing w:line="240" w:lineRule="auto"/>
              <w:rPr>
                <w:spacing w:val="-2"/>
                <w:sz w:val="16"/>
                <w:szCs w:val="16"/>
                <w:lang w:val="en-GB"/>
              </w:rPr>
            </w:pPr>
          </w:p>
          <w:p w:rsidR="007B0920" w:rsidRPr="00551147" w:rsidRDefault="007B0920" w:rsidP="00CF0826">
            <w:pPr>
              <w:spacing w:line="240" w:lineRule="auto"/>
              <w:rPr>
                <w:spacing w:val="-2"/>
                <w:sz w:val="16"/>
                <w:szCs w:val="16"/>
                <w:lang w:val="en-GB"/>
              </w:rPr>
            </w:pPr>
          </w:p>
          <w:p w:rsidR="007B0920" w:rsidRPr="00551147" w:rsidRDefault="00A95AF3" w:rsidP="00CF0826">
            <w:pPr>
              <w:spacing w:line="240" w:lineRule="auto"/>
              <w:rPr>
                <w:spacing w:val="-2"/>
                <w:sz w:val="16"/>
                <w:szCs w:val="16"/>
                <w:lang w:val="en-GB"/>
              </w:rPr>
            </w:pPr>
            <w:r>
              <w:rPr>
                <w:spacing w:val="-4"/>
                <w:sz w:val="16"/>
                <w:szCs w:val="16"/>
                <w:lang w:val="en-GB"/>
              </w:rPr>
              <w:t xml:space="preserve">The revival of construction was reflected in sales of the architectural and engineering activities.  </w:t>
            </w:r>
          </w:p>
          <w:p w:rsidR="007B0920" w:rsidRPr="00551147" w:rsidRDefault="007B0920" w:rsidP="00CF0826">
            <w:pPr>
              <w:spacing w:line="240" w:lineRule="auto"/>
              <w:rPr>
                <w:spacing w:val="-2"/>
                <w:sz w:val="16"/>
                <w:szCs w:val="16"/>
                <w:lang w:val="en-GB"/>
              </w:rPr>
            </w:pPr>
          </w:p>
        </w:tc>
        <w:tc>
          <w:tcPr>
            <w:tcW w:w="144" w:type="pct"/>
          </w:tcPr>
          <w:p w:rsidR="007B0920" w:rsidRPr="00551147" w:rsidRDefault="007B0920" w:rsidP="00CF0826">
            <w:pPr>
              <w:pStyle w:val="Textpoznpodarou"/>
              <w:jc w:val="both"/>
              <w:rPr>
                <w:lang w:val="en-GB"/>
              </w:rPr>
            </w:pPr>
          </w:p>
        </w:tc>
        <w:tc>
          <w:tcPr>
            <w:tcW w:w="3840" w:type="pct"/>
          </w:tcPr>
          <w:p w:rsidR="00CE31D8" w:rsidRPr="00CE31D8" w:rsidRDefault="00DF6F6E" w:rsidP="00846891">
            <w:pPr>
              <w:pStyle w:val="Textpoznpodarou"/>
              <w:jc w:val="both"/>
              <w:rPr>
                <w:color w:val="000000" w:themeColor="text1"/>
                <w:spacing w:val="-4"/>
                <w:lang w:val="en-GB"/>
              </w:rPr>
            </w:pPr>
            <w:r>
              <w:rPr>
                <w:spacing w:val="-4"/>
                <w:lang w:val="en-GB"/>
              </w:rPr>
              <w:t>Branch transport and warehousing contributed to the year-on-year growth of sales in services for the most part of year 2017, only in Q2 the role of this branch temporarily weakened to the benefit of the information and communication and a</w:t>
            </w:r>
            <w:r w:rsidR="00FF5A33">
              <w:rPr>
                <w:spacing w:val="-4"/>
                <w:lang w:val="en-GB"/>
              </w:rPr>
              <w:t>l</w:t>
            </w:r>
            <w:r>
              <w:rPr>
                <w:spacing w:val="-4"/>
                <w:lang w:val="en-GB"/>
              </w:rPr>
              <w:t xml:space="preserve">so </w:t>
            </w:r>
            <w:r>
              <w:rPr>
                <w:spacing w:val="-4"/>
                <w:lang w:val="en-GB"/>
              </w:rPr>
              <w:lastRenderedPageBreak/>
              <w:t xml:space="preserve">accommodation, food service and restaurants. </w:t>
            </w:r>
            <w:r w:rsidR="00A803A1">
              <w:rPr>
                <w:spacing w:val="-4"/>
                <w:lang w:val="en-GB"/>
              </w:rPr>
              <w:t xml:space="preserve">Storage and other transportation support activities </w:t>
            </w:r>
            <w:r w:rsidR="00C73ED2">
              <w:rPr>
                <w:color w:val="000000" w:themeColor="text1"/>
                <w:spacing w:val="-4"/>
                <w:lang w:val="en-GB"/>
              </w:rPr>
              <w:t>added the most to the growth of sales in transportation and storage</w:t>
            </w:r>
            <w:r w:rsidR="00A803A1">
              <w:rPr>
                <w:color w:val="000000" w:themeColor="text1"/>
                <w:spacing w:val="-4"/>
                <w:lang w:val="en-GB"/>
              </w:rPr>
              <w:t xml:space="preserve"> (+3.8%)</w:t>
            </w:r>
            <w:r w:rsidR="00A84D59">
              <w:rPr>
                <w:color w:val="000000" w:themeColor="text1"/>
                <w:spacing w:val="-4"/>
                <w:lang w:val="en-GB"/>
              </w:rPr>
              <w:t xml:space="preserve"> last years</w:t>
            </w:r>
            <w:r w:rsidR="00846891" w:rsidRPr="00551147">
              <w:rPr>
                <w:color w:val="000000" w:themeColor="text1"/>
                <w:spacing w:val="-4"/>
                <w:lang w:val="en-GB"/>
              </w:rPr>
              <w:t xml:space="preserve">, </w:t>
            </w:r>
            <w:r w:rsidR="00A84D59">
              <w:rPr>
                <w:color w:val="000000" w:themeColor="text1"/>
                <w:spacing w:val="-4"/>
                <w:lang w:val="en-GB"/>
              </w:rPr>
              <w:t xml:space="preserve">they profited from the dynamic development in both industry and trade. Development of tourism was reflected in more than </w:t>
            </w:r>
            <w:r w:rsidR="00846891" w:rsidRPr="00551147">
              <w:rPr>
                <w:color w:val="000000" w:themeColor="text1"/>
                <w:spacing w:val="-4"/>
                <w:lang w:val="en-GB"/>
              </w:rPr>
              <w:t xml:space="preserve">10% </w:t>
            </w:r>
            <w:r w:rsidR="00A84D59">
              <w:rPr>
                <w:color w:val="000000" w:themeColor="text1"/>
                <w:spacing w:val="-4"/>
                <w:lang w:val="en-GB"/>
              </w:rPr>
              <w:t xml:space="preserve">growth of sales in the air transportation </w:t>
            </w:r>
            <w:r w:rsidR="00846891" w:rsidRPr="00551147">
              <w:rPr>
                <w:color w:val="000000" w:themeColor="text1"/>
                <w:spacing w:val="-4"/>
                <w:lang w:val="en-GB"/>
              </w:rPr>
              <w:t>(</w:t>
            </w:r>
            <w:r w:rsidR="00A84D59">
              <w:rPr>
                <w:color w:val="000000" w:themeColor="text1"/>
                <w:spacing w:val="-4"/>
                <w:lang w:val="en-GB"/>
              </w:rPr>
              <w:t xml:space="preserve">the highest after year </w:t>
            </w:r>
            <w:r w:rsidR="00846891" w:rsidRPr="00551147">
              <w:rPr>
                <w:color w:val="000000" w:themeColor="text1"/>
                <w:spacing w:val="-4"/>
                <w:lang w:val="en-GB"/>
              </w:rPr>
              <w:t xml:space="preserve">2005). </w:t>
            </w:r>
            <w:r w:rsidR="00A84D59">
              <w:rPr>
                <w:color w:val="000000" w:themeColor="text1"/>
                <w:spacing w:val="-4"/>
                <w:lang w:val="en-GB"/>
              </w:rPr>
              <w:t xml:space="preserve">In the section of transport, higher transport </w:t>
            </w:r>
            <w:r w:rsidR="00CA6B87">
              <w:rPr>
                <w:color w:val="000000" w:themeColor="text1"/>
                <w:spacing w:val="-4"/>
                <w:lang w:val="en-GB"/>
              </w:rPr>
              <w:t xml:space="preserve">freight rates </w:t>
            </w:r>
            <w:r w:rsidR="00B40879">
              <w:rPr>
                <w:color w:val="000000" w:themeColor="text1"/>
                <w:spacing w:val="-4"/>
                <w:lang w:val="en-GB"/>
              </w:rPr>
              <w:t>were evident (</w:t>
            </w:r>
            <w:r w:rsidR="005C571E">
              <w:rPr>
                <w:color w:val="000000" w:themeColor="text1"/>
                <w:spacing w:val="-4"/>
                <w:lang w:val="en-GB"/>
              </w:rPr>
              <w:t xml:space="preserve">based on data </w:t>
            </w:r>
            <w:r w:rsidR="00CA6B87">
              <w:rPr>
                <w:color w:val="000000" w:themeColor="text1"/>
                <w:spacing w:val="-4"/>
                <w:lang w:val="en-GB"/>
              </w:rPr>
              <w:t>for Q1 to Q</w:t>
            </w:r>
            <w:r w:rsidR="00846891" w:rsidRPr="00551147">
              <w:rPr>
                <w:color w:val="000000" w:themeColor="text1"/>
                <w:spacing w:val="-4"/>
                <w:lang w:val="en-GB"/>
              </w:rPr>
              <w:t>3</w:t>
            </w:r>
            <w:r w:rsidR="00CA6B87">
              <w:rPr>
                <w:color w:val="000000" w:themeColor="text1"/>
                <w:spacing w:val="-4"/>
                <w:lang w:val="en-GB"/>
              </w:rPr>
              <w:t xml:space="preserve"> </w:t>
            </w:r>
            <w:r w:rsidR="005C571E">
              <w:rPr>
                <w:color w:val="000000" w:themeColor="text1"/>
                <w:spacing w:val="-4"/>
                <w:lang w:val="en-GB"/>
              </w:rPr>
              <w:t xml:space="preserve">they </w:t>
            </w:r>
            <w:r w:rsidR="00CA6B87">
              <w:rPr>
                <w:color w:val="000000" w:themeColor="text1"/>
                <w:spacing w:val="-4"/>
                <w:lang w:val="en-GB"/>
              </w:rPr>
              <w:t>grew year-on-year in all main types of transport</w:t>
            </w:r>
            <w:r w:rsidR="005C571E">
              <w:rPr>
                <w:color w:val="000000" w:themeColor="text1"/>
                <w:spacing w:val="-4"/>
                <w:lang w:val="en-GB"/>
              </w:rPr>
              <w:t>)</w:t>
            </w:r>
            <w:r w:rsidR="00846891" w:rsidRPr="00551147">
              <w:rPr>
                <w:color w:val="000000" w:themeColor="text1"/>
                <w:spacing w:val="-4"/>
                <w:lang w:val="en-GB"/>
              </w:rPr>
              <w:t xml:space="preserve">. </w:t>
            </w:r>
            <w:r w:rsidR="003B2721">
              <w:rPr>
                <w:color w:val="000000" w:themeColor="text1"/>
                <w:spacing w:val="-4"/>
                <w:lang w:val="en-GB"/>
              </w:rPr>
              <w:t xml:space="preserve">Increased mobility was connected to tourism, but the higher commuting to work likely also had an impact </w:t>
            </w:r>
            <w:r w:rsidR="00846891" w:rsidRPr="00551147">
              <w:rPr>
                <w:color w:val="000000" w:themeColor="text1"/>
                <w:spacing w:val="-4"/>
                <w:lang w:val="en-GB"/>
              </w:rPr>
              <w:t>(</w:t>
            </w:r>
            <w:r w:rsidR="003B2721">
              <w:rPr>
                <w:color w:val="000000" w:themeColor="text1"/>
                <w:spacing w:val="-4"/>
                <w:lang w:val="en-GB"/>
              </w:rPr>
              <w:t>in association to the record number of employed</w:t>
            </w:r>
            <w:r w:rsidR="00846891" w:rsidRPr="00551147">
              <w:rPr>
                <w:color w:val="000000" w:themeColor="text1"/>
                <w:spacing w:val="-4"/>
                <w:lang w:val="en-GB"/>
              </w:rPr>
              <w:t xml:space="preserve">). </w:t>
            </w:r>
            <w:r w:rsidR="003B2721">
              <w:rPr>
                <w:color w:val="000000" w:themeColor="text1"/>
                <w:spacing w:val="-4"/>
                <w:lang w:val="en-GB"/>
              </w:rPr>
              <w:t xml:space="preserve">The dynamic growth in accommodation continued last year </w:t>
            </w:r>
            <w:r w:rsidR="00846891" w:rsidRPr="00551147">
              <w:rPr>
                <w:color w:val="000000" w:themeColor="text1"/>
                <w:spacing w:val="-4"/>
                <w:lang w:val="en-GB"/>
              </w:rPr>
              <w:t>(+8</w:t>
            </w:r>
            <w:r w:rsidR="003B2721">
              <w:rPr>
                <w:color w:val="000000" w:themeColor="text1"/>
                <w:spacing w:val="-4"/>
                <w:lang w:val="en-GB"/>
              </w:rPr>
              <w:t>.</w:t>
            </w:r>
            <w:r w:rsidR="00846891" w:rsidRPr="00551147">
              <w:rPr>
                <w:color w:val="000000" w:themeColor="text1"/>
                <w:spacing w:val="-4"/>
                <w:lang w:val="en-GB"/>
              </w:rPr>
              <w:t>1%)</w:t>
            </w:r>
            <w:r w:rsidR="003B2721">
              <w:rPr>
                <w:color w:val="000000" w:themeColor="text1"/>
                <w:spacing w:val="-4"/>
                <w:lang w:val="en-GB"/>
              </w:rPr>
              <w:t xml:space="preserve"> as well as in food service and restaurants </w:t>
            </w:r>
            <w:r w:rsidR="00846891" w:rsidRPr="00551147">
              <w:rPr>
                <w:color w:val="000000" w:themeColor="text1"/>
                <w:spacing w:val="-4"/>
                <w:lang w:val="en-GB"/>
              </w:rPr>
              <w:t>(+10</w:t>
            </w:r>
            <w:r w:rsidR="00816DDF">
              <w:rPr>
                <w:color w:val="000000" w:themeColor="text1"/>
                <w:spacing w:val="-4"/>
                <w:lang w:val="en-GB"/>
              </w:rPr>
              <w:t>.</w:t>
            </w:r>
            <w:r w:rsidR="00846891" w:rsidRPr="00551147">
              <w:rPr>
                <w:color w:val="000000" w:themeColor="text1"/>
                <w:spacing w:val="-4"/>
                <w:lang w:val="en-GB"/>
              </w:rPr>
              <w:t xml:space="preserve">0%). </w:t>
            </w:r>
            <w:r w:rsidR="00816DDF">
              <w:rPr>
                <w:color w:val="000000" w:themeColor="text1"/>
                <w:spacing w:val="-4"/>
                <w:lang w:val="en-GB"/>
              </w:rPr>
              <w:t>Both partial branches benefited from the growing household consumption as well as the development of the incoming tourism</w:t>
            </w:r>
            <w:r w:rsidR="00846891" w:rsidRPr="00551147">
              <w:rPr>
                <w:rStyle w:val="Znakapoznpodarou"/>
                <w:spacing w:val="-4"/>
                <w:lang w:val="en-GB"/>
              </w:rPr>
              <w:footnoteReference w:id="13"/>
            </w:r>
            <w:r w:rsidR="00846891" w:rsidRPr="00551147">
              <w:rPr>
                <w:spacing w:val="-4"/>
                <w:lang w:val="en-GB"/>
              </w:rPr>
              <w:t xml:space="preserve">. </w:t>
            </w:r>
            <w:r w:rsidR="00F8630A">
              <w:rPr>
                <w:spacing w:val="-4"/>
                <w:lang w:val="en-GB"/>
              </w:rPr>
              <w:t xml:space="preserve">Number of overnight stays of guests in the mass accommodation facilities rose by </w:t>
            </w:r>
            <w:r w:rsidR="00846891" w:rsidRPr="00551147">
              <w:rPr>
                <w:spacing w:val="-4"/>
                <w:lang w:val="en-GB"/>
              </w:rPr>
              <w:t>7</w:t>
            </w:r>
            <w:r w:rsidR="00F8630A">
              <w:rPr>
                <w:spacing w:val="-4"/>
                <w:lang w:val="en-GB"/>
              </w:rPr>
              <w:t>.</w:t>
            </w:r>
            <w:r w:rsidR="00846891" w:rsidRPr="00551147">
              <w:rPr>
                <w:spacing w:val="-4"/>
                <w:lang w:val="en-GB"/>
              </w:rPr>
              <w:t xml:space="preserve">3%. </w:t>
            </w:r>
            <w:r w:rsidR="00F8630A">
              <w:rPr>
                <w:spacing w:val="-4"/>
                <w:lang w:val="en-GB"/>
              </w:rPr>
              <w:t xml:space="preserve">Strong demand after the processing of data, web portals and hosting, programming and advisory in the IT area pushed information and communication branch in the long term </w:t>
            </w:r>
            <w:r w:rsidR="00846891" w:rsidRPr="00551147">
              <w:rPr>
                <w:color w:val="0D0D0D" w:themeColor="text1" w:themeTint="F2"/>
                <w:spacing w:val="-4"/>
                <w:lang w:val="en-GB"/>
              </w:rPr>
              <w:t>(+3</w:t>
            </w:r>
            <w:r w:rsidR="00F8630A">
              <w:rPr>
                <w:color w:val="0D0D0D" w:themeColor="text1" w:themeTint="F2"/>
                <w:spacing w:val="-4"/>
                <w:lang w:val="en-GB"/>
              </w:rPr>
              <w:t>.</w:t>
            </w:r>
            <w:r w:rsidR="00846891" w:rsidRPr="00551147">
              <w:rPr>
                <w:color w:val="0D0D0D" w:themeColor="text1" w:themeTint="F2"/>
                <w:spacing w:val="-4"/>
                <w:lang w:val="en-GB"/>
              </w:rPr>
              <w:t>9%)</w:t>
            </w:r>
            <w:r w:rsidR="00F8630A">
              <w:rPr>
                <w:color w:val="0D0D0D" w:themeColor="text1" w:themeTint="F2"/>
                <w:spacing w:val="-4"/>
                <w:lang w:val="en-GB"/>
              </w:rPr>
              <w:t xml:space="preserve">. </w:t>
            </w:r>
            <w:r w:rsidR="00A264F5">
              <w:rPr>
                <w:color w:val="0D0D0D" w:themeColor="text1" w:themeTint="F2"/>
                <w:spacing w:val="-4"/>
                <w:lang w:val="en-GB"/>
              </w:rPr>
              <w:t xml:space="preserve">Travel agencies, offices </w:t>
            </w:r>
            <w:r w:rsidR="00A264F5" w:rsidRPr="00551147">
              <w:rPr>
                <w:color w:val="000000" w:themeColor="text1"/>
                <w:spacing w:val="-4"/>
                <w:lang w:val="en-GB"/>
              </w:rPr>
              <w:t>(+9</w:t>
            </w:r>
            <w:r w:rsidR="00A264F5">
              <w:rPr>
                <w:color w:val="000000" w:themeColor="text1"/>
                <w:spacing w:val="-4"/>
                <w:lang w:val="en-GB"/>
              </w:rPr>
              <w:t>.</w:t>
            </w:r>
            <w:r w:rsidR="00A264F5" w:rsidRPr="00551147">
              <w:rPr>
                <w:color w:val="000000" w:themeColor="text1"/>
                <w:spacing w:val="-4"/>
                <w:lang w:val="en-GB"/>
              </w:rPr>
              <w:t xml:space="preserve">0%, </w:t>
            </w:r>
            <w:r w:rsidR="00A264F5">
              <w:rPr>
                <w:color w:val="000000" w:themeColor="text1"/>
                <w:spacing w:val="-4"/>
                <w:lang w:val="en-GB"/>
              </w:rPr>
              <w:t xml:space="preserve">even though sales fell in total by nearly one fifth in years </w:t>
            </w:r>
            <w:r w:rsidR="00A264F5" w:rsidRPr="00551147">
              <w:rPr>
                <w:color w:val="000000" w:themeColor="text1"/>
                <w:spacing w:val="-4"/>
                <w:lang w:val="en-GB"/>
              </w:rPr>
              <w:t xml:space="preserve">2013 </w:t>
            </w:r>
            <w:r w:rsidR="00A264F5">
              <w:rPr>
                <w:color w:val="000000" w:themeColor="text1"/>
                <w:spacing w:val="-4"/>
                <w:lang w:val="en-GB"/>
              </w:rPr>
              <w:t xml:space="preserve">to </w:t>
            </w:r>
            <w:r w:rsidR="00A264F5" w:rsidRPr="00551147">
              <w:rPr>
                <w:color w:val="000000" w:themeColor="text1"/>
                <w:spacing w:val="-4"/>
                <w:lang w:val="en-GB"/>
              </w:rPr>
              <w:t>2016)</w:t>
            </w:r>
            <w:r w:rsidR="00A264F5">
              <w:rPr>
                <w:color w:val="000000" w:themeColor="text1"/>
                <w:spacing w:val="-4"/>
                <w:lang w:val="en-GB"/>
              </w:rPr>
              <w:t xml:space="preserve"> </w:t>
            </w:r>
            <w:r w:rsidR="00A264F5">
              <w:rPr>
                <w:color w:val="0D0D0D" w:themeColor="text1" w:themeTint="F2"/>
                <w:spacing w:val="-4"/>
                <w:lang w:val="en-GB"/>
              </w:rPr>
              <w:t>contributed to the growth of the a</w:t>
            </w:r>
            <w:r w:rsidR="00002F5C">
              <w:rPr>
                <w:color w:val="0D0D0D" w:themeColor="text1" w:themeTint="F2"/>
                <w:spacing w:val="-4"/>
                <w:lang w:val="en-GB"/>
              </w:rPr>
              <w:t>dmini</w:t>
            </w:r>
            <w:r w:rsidR="00A264F5">
              <w:rPr>
                <w:color w:val="0D0D0D" w:themeColor="text1" w:themeTint="F2"/>
                <w:spacing w:val="-4"/>
                <w:lang w:val="en-GB"/>
              </w:rPr>
              <w:t xml:space="preserve">strative and support service activities </w:t>
            </w:r>
            <w:r w:rsidR="00846891" w:rsidRPr="00551147">
              <w:rPr>
                <w:spacing w:val="-4"/>
                <w:lang w:val="en-GB"/>
              </w:rPr>
              <w:t>(+6</w:t>
            </w:r>
            <w:r w:rsidR="00A264F5">
              <w:rPr>
                <w:spacing w:val="-4"/>
                <w:lang w:val="en-GB"/>
              </w:rPr>
              <w:t>.</w:t>
            </w:r>
            <w:r w:rsidR="00846891" w:rsidRPr="00551147">
              <w:rPr>
                <w:spacing w:val="-4"/>
                <w:lang w:val="en-GB"/>
              </w:rPr>
              <w:t>7%)</w:t>
            </w:r>
            <w:r w:rsidR="00A264F5">
              <w:rPr>
                <w:spacing w:val="-4"/>
                <w:lang w:val="en-GB"/>
              </w:rPr>
              <w:t xml:space="preserve">. The </w:t>
            </w:r>
            <w:r w:rsidR="00A03965">
              <w:rPr>
                <w:spacing w:val="-4"/>
                <w:lang w:val="en-GB"/>
              </w:rPr>
              <w:t>double-digit</w:t>
            </w:r>
            <w:r w:rsidR="00A264F5">
              <w:rPr>
                <w:spacing w:val="-4"/>
                <w:lang w:val="en-GB"/>
              </w:rPr>
              <w:t xml:space="preserve"> growth of sales of the job agencies also continued. </w:t>
            </w:r>
            <w:r w:rsidR="00A03965">
              <w:rPr>
                <w:spacing w:val="-4"/>
                <w:lang w:val="en-GB"/>
              </w:rPr>
              <w:t xml:space="preserve">Branch professional, scientific and technical activities strengthened by </w:t>
            </w:r>
            <w:r w:rsidR="00846891" w:rsidRPr="00551147">
              <w:rPr>
                <w:spacing w:val="-4"/>
                <w:lang w:val="en-GB"/>
              </w:rPr>
              <w:t>2</w:t>
            </w:r>
            <w:r w:rsidR="00A03965">
              <w:rPr>
                <w:spacing w:val="-4"/>
                <w:lang w:val="en-GB"/>
              </w:rPr>
              <w:t>.</w:t>
            </w:r>
            <w:r w:rsidR="00846891" w:rsidRPr="00551147">
              <w:rPr>
                <w:spacing w:val="-4"/>
                <w:lang w:val="en-GB"/>
              </w:rPr>
              <w:t>6% a</w:t>
            </w:r>
            <w:r w:rsidR="00A03965">
              <w:rPr>
                <w:spacing w:val="-4"/>
                <w:lang w:val="en-GB"/>
              </w:rPr>
              <w:t>nd recorded only the second year-on-year growth following year 2</w:t>
            </w:r>
            <w:r w:rsidR="00846891" w:rsidRPr="00551147">
              <w:rPr>
                <w:spacing w:val="-4"/>
                <w:lang w:val="en-GB"/>
              </w:rPr>
              <w:t xml:space="preserve">008. </w:t>
            </w:r>
            <w:r w:rsidR="00E16157">
              <w:rPr>
                <w:spacing w:val="-4"/>
                <w:lang w:val="en-GB"/>
              </w:rPr>
              <w:t xml:space="preserve">Revival in the architectural and engineering activities also manifested </w:t>
            </w:r>
            <w:r w:rsidR="00846891" w:rsidRPr="00551147">
              <w:rPr>
                <w:color w:val="000000" w:themeColor="text1"/>
                <w:spacing w:val="-4"/>
                <w:lang w:val="en-GB"/>
              </w:rPr>
              <w:t>(+1</w:t>
            </w:r>
            <w:r w:rsidR="00E16157">
              <w:rPr>
                <w:color w:val="000000" w:themeColor="text1"/>
                <w:spacing w:val="-4"/>
                <w:lang w:val="en-GB"/>
              </w:rPr>
              <w:t>.</w:t>
            </w:r>
            <w:r w:rsidR="00846891" w:rsidRPr="00551147">
              <w:rPr>
                <w:color w:val="000000" w:themeColor="text1"/>
                <w:spacing w:val="-4"/>
                <w:lang w:val="en-GB"/>
              </w:rPr>
              <w:t>2%, -9</w:t>
            </w:r>
            <w:r w:rsidR="00E16157">
              <w:rPr>
                <w:color w:val="000000" w:themeColor="text1"/>
                <w:spacing w:val="-4"/>
                <w:lang w:val="en-GB"/>
              </w:rPr>
              <w:t>.</w:t>
            </w:r>
            <w:r w:rsidR="00846891" w:rsidRPr="00551147">
              <w:rPr>
                <w:color w:val="000000" w:themeColor="text1"/>
                <w:spacing w:val="-4"/>
                <w:lang w:val="en-GB"/>
              </w:rPr>
              <w:t>3%</w:t>
            </w:r>
            <w:r w:rsidR="00E16157">
              <w:rPr>
                <w:color w:val="000000" w:themeColor="text1"/>
                <w:spacing w:val="-4"/>
                <w:lang w:val="en-GB"/>
              </w:rPr>
              <w:t xml:space="preserve"> the year ago</w:t>
            </w:r>
            <w:r w:rsidR="00846891" w:rsidRPr="00551147">
              <w:rPr>
                <w:color w:val="000000" w:themeColor="text1"/>
                <w:spacing w:val="-4"/>
                <w:lang w:val="en-GB"/>
              </w:rPr>
              <w:t>)</w:t>
            </w:r>
            <w:r w:rsidR="00E16157">
              <w:rPr>
                <w:color w:val="000000" w:themeColor="text1"/>
                <w:spacing w:val="-4"/>
                <w:lang w:val="en-GB"/>
              </w:rPr>
              <w:t xml:space="preserve"> and was connected with the better performance of especially the building construction. </w:t>
            </w:r>
            <w:r w:rsidR="00201E7B">
              <w:rPr>
                <w:color w:val="000000" w:themeColor="text1"/>
                <w:spacing w:val="-4"/>
                <w:lang w:val="en-GB"/>
              </w:rPr>
              <w:t xml:space="preserve">Growth of demand for legal and accounting activities continued for already third year. While sales for the market research and public opinion polling were rising, </w:t>
            </w:r>
            <w:r w:rsidR="00563270">
              <w:rPr>
                <w:color w:val="000000" w:themeColor="text1"/>
                <w:spacing w:val="-4"/>
                <w:lang w:val="en-GB"/>
              </w:rPr>
              <w:t>they on the contrary somewhat decreased for the advertising activities.</w:t>
            </w:r>
          </w:p>
        </w:tc>
      </w:tr>
    </w:tbl>
    <w:p w:rsidR="007B0920" w:rsidRPr="00535F78" w:rsidRDefault="007B0920" w:rsidP="007B0920">
      <w:pPr>
        <w:pStyle w:val="Textpoznpodarou"/>
        <w:jc w:val="both"/>
        <w:rPr>
          <w:sz w:val="14"/>
          <w:szCs w:val="14"/>
        </w:rPr>
      </w:pPr>
    </w:p>
    <w:tbl>
      <w:tblPr>
        <w:tblW w:w="4963" w:type="pct"/>
        <w:tblInd w:w="108" w:type="dxa"/>
        <w:tblLayout w:type="fixed"/>
        <w:tblLook w:val="00A0"/>
      </w:tblPr>
      <w:tblGrid>
        <w:gridCol w:w="1997"/>
        <w:gridCol w:w="284"/>
        <w:gridCol w:w="980"/>
        <w:gridCol w:w="6520"/>
      </w:tblGrid>
      <w:tr w:rsidR="007B0920" w:rsidRPr="00AA4A76" w:rsidTr="00CF0826">
        <w:trPr>
          <w:trHeight w:val="145"/>
        </w:trPr>
        <w:tc>
          <w:tcPr>
            <w:tcW w:w="1021"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01" w:type="pct"/>
          </w:tcPr>
          <w:p w:rsidR="007B0920" w:rsidRPr="00E62A33" w:rsidRDefault="00945904" w:rsidP="00945904">
            <w:pPr>
              <w:pStyle w:val="Textpoznpodarou"/>
              <w:jc w:val="both"/>
              <w:rPr>
                <w:spacing w:val="-2"/>
                <w:highlight w:val="yellow"/>
              </w:rPr>
            </w:pPr>
            <w:r>
              <w:rPr>
                <w:color w:val="000000"/>
                <w:spacing w:val="-2"/>
              </w:rPr>
              <w:t>Chart 8</w:t>
            </w:r>
          </w:p>
        </w:tc>
        <w:tc>
          <w:tcPr>
            <w:tcW w:w="3333" w:type="pct"/>
          </w:tcPr>
          <w:p w:rsidR="007B0920" w:rsidRPr="002133D5" w:rsidRDefault="008A6F67" w:rsidP="00CF0826">
            <w:pPr>
              <w:pStyle w:val="Textpoznpodarou"/>
              <w:rPr>
                <w:b/>
                <w:spacing w:val="-2"/>
                <w:lang w:val="en-GB"/>
              </w:rPr>
            </w:pPr>
            <w:r w:rsidRPr="008A6F67">
              <w:rPr>
                <w:b/>
                <w:spacing w:val="-2"/>
                <w:lang w:val="en-GB"/>
              </w:rPr>
              <w:t>Sales in services</w:t>
            </w:r>
            <w:r w:rsidR="007B0920" w:rsidRPr="008A6F67">
              <w:rPr>
                <w:b/>
                <w:spacing w:val="-2"/>
                <w:lang w:val="en-GB"/>
              </w:rPr>
              <w:t>* a</w:t>
            </w:r>
            <w:r w:rsidRPr="008A6F67">
              <w:rPr>
                <w:b/>
                <w:spacing w:val="-2"/>
                <w:lang w:val="en-GB"/>
              </w:rPr>
              <w:t>nd their selected branch sections</w:t>
            </w:r>
            <w:r w:rsidR="007B0920" w:rsidRPr="008A6F67">
              <w:rPr>
                <w:b/>
                <w:spacing w:val="-2"/>
                <w:lang w:val="en-GB"/>
              </w:rPr>
              <w:t xml:space="preserve"> </w:t>
            </w:r>
            <w:r w:rsidR="007B0920" w:rsidRPr="008A6F67">
              <w:rPr>
                <w:bCs/>
                <w:spacing w:val="-2"/>
                <w:lang w:val="en-GB"/>
              </w:rPr>
              <w:t>(</w:t>
            </w:r>
            <w:r>
              <w:rPr>
                <w:bCs/>
                <w:spacing w:val="-2"/>
                <w:lang w:val="en-GB"/>
              </w:rPr>
              <w:t xml:space="preserve">in real terms, adjusted for effects of number of working days, year-on-year in </w:t>
            </w:r>
            <w:r w:rsidR="007B0920" w:rsidRPr="008A6F67">
              <w:rPr>
                <w:bCs/>
                <w:spacing w:val="-2"/>
                <w:lang w:val="en-GB"/>
              </w:rPr>
              <w:t>%)</w:t>
            </w:r>
          </w:p>
        </w:tc>
      </w:tr>
      <w:tr w:rsidR="007B0920" w:rsidRPr="00AA4A76" w:rsidTr="00CF0826">
        <w:trPr>
          <w:trHeight w:val="145"/>
        </w:trPr>
        <w:tc>
          <w:tcPr>
            <w:tcW w:w="1021"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A74192" w:rsidRDefault="007B0920" w:rsidP="00CF0826">
            <w:pPr>
              <w:pStyle w:val="Textpoznpodarou"/>
              <w:jc w:val="both"/>
            </w:pPr>
          </w:p>
        </w:tc>
        <w:tc>
          <w:tcPr>
            <w:tcW w:w="3834" w:type="pct"/>
            <w:gridSpan w:val="2"/>
          </w:tcPr>
          <w:p w:rsidR="00E479D8" w:rsidRPr="002133D5" w:rsidRDefault="00F96E38" w:rsidP="002133D5">
            <w:pPr>
              <w:pStyle w:val="Textpoznpodarou"/>
              <w:ind w:left="-124"/>
              <w:rPr>
                <w:sz w:val="14"/>
                <w:szCs w:val="14"/>
              </w:rPr>
            </w:pPr>
            <w:r>
              <w:rPr>
                <w:noProof/>
                <w:color w:val="0D0D0D" w:themeColor="text1" w:themeTint="F2"/>
                <w:spacing w:val="-4"/>
                <w:sz w:val="14"/>
                <w:szCs w:val="14"/>
              </w:rPr>
              <w:drawing>
                <wp:inline distT="0" distB="0" distL="0" distR="0">
                  <wp:extent cx="4743450" cy="3244850"/>
                  <wp:effectExtent l="19050" t="0" r="0" b="0"/>
                  <wp:docPr id="2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B0920" w:rsidRPr="00612A06">
              <w:rPr>
                <w:color w:val="0D0D0D" w:themeColor="text1" w:themeTint="F2"/>
                <w:spacing w:val="-4"/>
                <w:sz w:val="14"/>
                <w:szCs w:val="14"/>
              </w:rPr>
              <w:t>*</w:t>
            </w:r>
            <w:r w:rsidR="00E479D8" w:rsidRPr="004A59E4">
              <w:rPr>
                <w:color w:val="0D0D0D" w:themeColor="text1" w:themeTint="F2"/>
                <w:spacing w:val="-4"/>
                <w:sz w:val="14"/>
                <w:szCs w:val="14"/>
                <w:lang w:val="en-GB"/>
              </w:rPr>
              <w:t xml:space="preserve"> Excluding trade, financial and insurance activities, science, research and public services</w:t>
            </w:r>
            <w:r w:rsidR="007B0920" w:rsidRPr="00612A06">
              <w:rPr>
                <w:color w:val="0D0D0D" w:themeColor="text1" w:themeTint="F2"/>
                <w:spacing w:val="-4"/>
                <w:sz w:val="14"/>
                <w:szCs w:val="14"/>
              </w:rPr>
              <w:t>.</w:t>
            </w:r>
            <w:r w:rsidR="00E479D8">
              <w:rPr>
                <w:color w:val="0D0D0D" w:themeColor="text1" w:themeTint="F2"/>
                <w:spacing w:val="-4"/>
                <w:sz w:val="14"/>
                <w:szCs w:val="14"/>
              </w:rPr>
              <w:t xml:space="preserve"> </w:t>
            </w:r>
            <w:r w:rsidR="007B0920">
              <w:rPr>
                <w:color w:val="0D0D0D" w:themeColor="text1" w:themeTint="F2"/>
                <w:spacing w:val="-4"/>
                <w:sz w:val="14"/>
                <w:szCs w:val="14"/>
              </w:rPr>
              <w:t xml:space="preserve">                             </w:t>
            </w:r>
            <w:r w:rsidR="00945904">
              <w:rPr>
                <w:color w:val="0D0D0D" w:themeColor="text1" w:themeTint="F2"/>
                <w:spacing w:val="-4"/>
                <w:sz w:val="14"/>
                <w:szCs w:val="14"/>
              </w:rPr>
              <w:t xml:space="preserve">  </w:t>
            </w:r>
            <w:r w:rsidR="007B0920" w:rsidRPr="00612A06">
              <w:rPr>
                <w:color w:val="0D0D0D" w:themeColor="text1" w:themeTint="F2"/>
                <w:spacing w:val="-4"/>
                <w:sz w:val="14"/>
                <w:szCs w:val="14"/>
              </w:rPr>
              <w:t xml:space="preserve">     </w:t>
            </w:r>
            <w:proofErr w:type="spellStart"/>
            <w:r w:rsidR="00945904">
              <w:rPr>
                <w:color w:val="0D0D0D" w:themeColor="text1" w:themeTint="F2"/>
                <w:spacing w:val="-4"/>
                <w:sz w:val="14"/>
                <w:szCs w:val="14"/>
              </w:rPr>
              <w:t>Source</w:t>
            </w:r>
            <w:proofErr w:type="spellEnd"/>
            <w:r w:rsidR="007B0920" w:rsidRPr="00E62A33">
              <w:rPr>
                <w:sz w:val="14"/>
                <w:szCs w:val="14"/>
              </w:rPr>
              <w:t xml:space="preserve">: </w:t>
            </w:r>
            <w:r w:rsidR="00945904">
              <w:rPr>
                <w:sz w:val="14"/>
                <w:szCs w:val="14"/>
              </w:rPr>
              <w:t>CZSO</w:t>
            </w:r>
          </w:p>
        </w:tc>
      </w:tr>
    </w:tbl>
    <w:p w:rsidR="007B0920" w:rsidRPr="00EF66DF" w:rsidRDefault="007B0920" w:rsidP="007B0920">
      <w:pPr>
        <w:pStyle w:val="Textpoznpodarou"/>
        <w:jc w:val="both"/>
        <w:rPr>
          <w:sz w:val="14"/>
          <w:szCs w:val="14"/>
        </w:rPr>
      </w:pPr>
    </w:p>
    <w:tbl>
      <w:tblPr>
        <w:tblW w:w="4986" w:type="pct"/>
        <w:tblInd w:w="107" w:type="dxa"/>
        <w:tblLayout w:type="fixed"/>
        <w:tblLook w:val="00A0"/>
      </w:tblPr>
      <w:tblGrid>
        <w:gridCol w:w="1997"/>
        <w:gridCol w:w="283"/>
        <w:gridCol w:w="7546"/>
      </w:tblGrid>
      <w:tr w:rsidR="007B0920" w:rsidRPr="00DE32DB" w:rsidTr="00CF0826">
        <w:trPr>
          <w:trHeight w:val="145"/>
        </w:trPr>
        <w:tc>
          <w:tcPr>
            <w:tcW w:w="1016" w:type="pct"/>
          </w:tcPr>
          <w:p w:rsidR="007B0920" w:rsidRPr="00F638E6" w:rsidRDefault="00F638E6" w:rsidP="00CF0826">
            <w:pPr>
              <w:spacing w:line="240" w:lineRule="auto"/>
              <w:rPr>
                <w:spacing w:val="-2"/>
                <w:sz w:val="16"/>
                <w:szCs w:val="16"/>
                <w:lang w:val="en-GB"/>
              </w:rPr>
            </w:pPr>
            <w:r w:rsidRPr="00F638E6">
              <w:rPr>
                <w:spacing w:val="-2"/>
                <w:sz w:val="16"/>
                <w:szCs w:val="16"/>
                <w:lang w:val="en-GB"/>
              </w:rPr>
              <w:t xml:space="preserve">High rate of growth of retail sales strengthened further last year and hit the </w:t>
            </w:r>
            <w:r w:rsidR="00DF1328" w:rsidRPr="00F638E6">
              <w:rPr>
                <w:spacing w:val="-2"/>
                <w:sz w:val="16"/>
                <w:szCs w:val="16"/>
                <w:lang w:val="en-GB"/>
              </w:rPr>
              <w:t>ten-year</w:t>
            </w:r>
            <w:r w:rsidRPr="00F638E6">
              <w:rPr>
                <w:spacing w:val="-2"/>
                <w:sz w:val="16"/>
                <w:szCs w:val="16"/>
                <w:lang w:val="en-GB"/>
              </w:rPr>
              <w:t xml:space="preserve"> maximum.</w:t>
            </w:r>
          </w:p>
          <w:p w:rsidR="007B0920" w:rsidRPr="00F638E6" w:rsidRDefault="007B0920" w:rsidP="00CF0826">
            <w:pPr>
              <w:spacing w:line="240" w:lineRule="auto"/>
              <w:rPr>
                <w:spacing w:val="-2"/>
                <w:sz w:val="16"/>
                <w:szCs w:val="16"/>
                <w:lang w:val="en-GB"/>
              </w:rPr>
            </w:pPr>
          </w:p>
          <w:p w:rsidR="007B0920" w:rsidRPr="00F638E6" w:rsidRDefault="007B0920" w:rsidP="00CF0826">
            <w:pPr>
              <w:spacing w:line="240" w:lineRule="auto"/>
              <w:rPr>
                <w:spacing w:val="-2"/>
                <w:sz w:val="16"/>
                <w:szCs w:val="16"/>
                <w:lang w:val="en-GB"/>
              </w:rPr>
            </w:pPr>
          </w:p>
          <w:p w:rsidR="007B0920" w:rsidRDefault="007B0920" w:rsidP="00CF0826">
            <w:pPr>
              <w:spacing w:line="240" w:lineRule="auto"/>
              <w:rPr>
                <w:spacing w:val="-2"/>
                <w:sz w:val="16"/>
                <w:szCs w:val="16"/>
                <w:lang w:val="en-GB"/>
              </w:rPr>
            </w:pPr>
          </w:p>
          <w:p w:rsidR="002133D5" w:rsidRPr="00F638E6" w:rsidRDefault="002133D5" w:rsidP="00CF0826">
            <w:pPr>
              <w:spacing w:line="240" w:lineRule="auto"/>
              <w:rPr>
                <w:spacing w:val="-2"/>
                <w:sz w:val="16"/>
                <w:szCs w:val="16"/>
                <w:lang w:val="en-GB"/>
              </w:rPr>
            </w:pPr>
          </w:p>
          <w:p w:rsidR="007B0920" w:rsidRPr="00F638E6" w:rsidRDefault="00F638E6" w:rsidP="00CF0826">
            <w:pPr>
              <w:spacing w:line="240" w:lineRule="auto"/>
              <w:rPr>
                <w:spacing w:val="-2"/>
                <w:sz w:val="16"/>
                <w:szCs w:val="16"/>
                <w:lang w:val="en-GB"/>
              </w:rPr>
            </w:pPr>
            <w:r>
              <w:rPr>
                <w:spacing w:val="-2"/>
                <w:sz w:val="16"/>
                <w:szCs w:val="16"/>
                <w:lang w:val="en-GB"/>
              </w:rPr>
              <w:lastRenderedPageBreak/>
              <w:t xml:space="preserve">Growth of retail sales placed the </w:t>
            </w:r>
            <w:r w:rsidR="00DF1328">
              <w:rPr>
                <w:spacing w:val="-2"/>
                <w:sz w:val="16"/>
                <w:szCs w:val="16"/>
                <w:lang w:val="en-GB"/>
              </w:rPr>
              <w:t>Czech Republic</w:t>
            </w:r>
            <w:r>
              <w:rPr>
                <w:spacing w:val="-2"/>
                <w:sz w:val="16"/>
                <w:szCs w:val="16"/>
                <w:lang w:val="en-GB"/>
              </w:rPr>
              <w:t xml:space="preserve"> on the sixth rank among the EU states, in case of sales for non-food goods on the fifth best position.</w:t>
            </w:r>
            <w:r w:rsidR="007B0920" w:rsidRPr="00F638E6">
              <w:rPr>
                <w:spacing w:val="-2"/>
                <w:sz w:val="16"/>
                <w:szCs w:val="16"/>
                <w:lang w:val="en-GB"/>
              </w:rPr>
              <w:t xml:space="preserve"> </w:t>
            </w:r>
          </w:p>
          <w:p w:rsidR="007B0920" w:rsidRPr="00F638E6" w:rsidRDefault="007B0920" w:rsidP="00CF0826">
            <w:pPr>
              <w:spacing w:line="240" w:lineRule="auto"/>
              <w:rPr>
                <w:spacing w:val="-2"/>
                <w:sz w:val="16"/>
                <w:szCs w:val="16"/>
                <w:lang w:val="en-GB"/>
              </w:rPr>
            </w:pPr>
          </w:p>
        </w:tc>
        <w:tc>
          <w:tcPr>
            <w:tcW w:w="144" w:type="pct"/>
          </w:tcPr>
          <w:p w:rsidR="007B0920" w:rsidRPr="00F638E6" w:rsidRDefault="007B0920" w:rsidP="00CF0826">
            <w:pPr>
              <w:pStyle w:val="Textpoznpodarou"/>
              <w:jc w:val="both"/>
              <w:rPr>
                <w:lang w:val="en-GB"/>
              </w:rPr>
            </w:pPr>
          </w:p>
        </w:tc>
        <w:tc>
          <w:tcPr>
            <w:tcW w:w="3840" w:type="pct"/>
          </w:tcPr>
          <w:p w:rsidR="007B0920" w:rsidRDefault="00F638E6" w:rsidP="00CF0826">
            <w:pPr>
              <w:pStyle w:val="Textpoznpodarou"/>
              <w:jc w:val="both"/>
              <w:rPr>
                <w:spacing w:val="-5"/>
                <w:lang w:val="en-GB"/>
              </w:rPr>
            </w:pPr>
            <w:r>
              <w:rPr>
                <w:spacing w:val="-4"/>
                <w:lang w:val="en-GB"/>
              </w:rPr>
              <w:t xml:space="preserve">Consumer sentiment </w:t>
            </w:r>
            <w:r w:rsidR="00DF1328">
              <w:rPr>
                <w:spacing w:val="-4"/>
                <w:lang w:val="en-GB"/>
              </w:rPr>
              <w:t>satiated by the favourable situation on the labour market moved near the historica</w:t>
            </w:r>
            <w:r w:rsidR="00B111CA">
              <w:rPr>
                <w:spacing w:val="-4"/>
                <w:lang w:val="en-GB"/>
              </w:rPr>
              <w:t>l maximum</w:t>
            </w:r>
            <w:r w:rsidR="00DF1328">
              <w:rPr>
                <w:spacing w:val="-4"/>
                <w:lang w:val="en-GB"/>
              </w:rPr>
              <w:t xml:space="preserve"> during the year 2017. Retail sales</w:t>
            </w:r>
            <w:r w:rsidR="007B0920" w:rsidRPr="00F638E6">
              <w:rPr>
                <w:rStyle w:val="Znakapoznpodarou"/>
                <w:spacing w:val="-4"/>
                <w:lang w:val="en-GB"/>
              </w:rPr>
              <w:footnoteReference w:id="14"/>
            </w:r>
            <w:r w:rsidR="00AF4B98" w:rsidRPr="00F638E6">
              <w:rPr>
                <w:spacing w:val="-4"/>
                <w:lang w:val="en-GB"/>
              </w:rPr>
              <w:t xml:space="preserve"> </w:t>
            </w:r>
            <w:r w:rsidR="00DF1328">
              <w:rPr>
                <w:spacing w:val="-4"/>
                <w:lang w:val="en-GB"/>
              </w:rPr>
              <w:t xml:space="preserve">rose by 5.9% year-on-year, the highest pace after year 2007. While the pace of retail </w:t>
            </w:r>
            <w:r w:rsidR="008D4F04">
              <w:rPr>
                <w:spacing w:val="-4"/>
                <w:lang w:val="en-GB"/>
              </w:rPr>
              <w:t xml:space="preserve">trade </w:t>
            </w:r>
            <w:r w:rsidR="00DF1328">
              <w:rPr>
                <w:spacing w:val="-4"/>
                <w:lang w:val="en-GB"/>
              </w:rPr>
              <w:t xml:space="preserve">with food remained below the 3% boundary already for the second year, the sales of non-food goods – driven by the dynamical growth of the internet shops – jumped up to 8.8%. </w:t>
            </w:r>
            <w:r w:rsidR="00733C96">
              <w:rPr>
                <w:spacing w:val="-4"/>
                <w:lang w:val="en-GB"/>
              </w:rPr>
              <w:t>Retail with clothes, footwear and leather goods (</w:t>
            </w:r>
            <w:r w:rsidR="00A67641" w:rsidRPr="00F638E6">
              <w:rPr>
                <w:spacing w:val="-4"/>
                <w:lang w:val="en-GB"/>
              </w:rPr>
              <w:t>11</w:t>
            </w:r>
            <w:r w:rsidR="00733C96">
              <w:rPr>
                <w:spacing w:val="-4"/>
                <w:lang w:val="en-GB"/>
              </w:rPr>
              <w:t>.</w:t>
            </w:r>
            <w:r w:rsidR="00A67641" w:rsidRPr="00F638E6">
              <w:rPr>
                <w:spacing w:val="-4"/>
                <w:lang w:val="en-GB"/>
              </w:rPr>
              <w:t>5</w:t>
            </w:r>
            <w:r w:rsidR="007B0920" w:rsidRPr="00F638E6">
              <w:rPr>
                <w:spacing w:val="-4"/>
                <w:lang w:val="en-GB"/>
              </w:rPr>
              <w:t>%)</w:t>
            </w:r>
            <w:r w:rsidR="00733C96">
              <w:rPr>
                <w:spacing w:val="-4"/>
                <w:lang w:val="en-GB"/>
              </w:rPr>
              <w:t xml:space="preserve"> and with a mild distance also the goods for culture and recreation fared well among the specialised shops. The </w:t>
            </w:r>
            <w:r w:rsidR="00733C96">
              <w:rPr>
                <w:spacing w:val="-4"/>
                <w:lang w:val="en-GB"/>
              </w:rPr>
              <w:lastRenderedPageBreak/>
              <w:t xml:space="preserve">strong demand for computer as well as communication equipment renewed with a one-year break. Sellers of fuels received by 5.8% higher sales. Sales in the motorist segment slowed down to exact </w:t>
            </w:r>
            <w:r w:rsidR="00A67641" w:rsidRPr="00F638E6">
              <w:rPr>
                <w:spacing w:val="-4"/>
                <w:lang w:val="en-GB"/>
              </w:rPr>
              <w:t>3</w:t>
            </w:r>
            <w:r w:rsidR="007B0920" w:rsidRPr="00F638E6">
              <w:rPr>
                <w:spacing w:val="-4"/>
                <w:lang w:val="en-GB"/>
              </w:rPr>
              <w:t xml:space="preserve">%, </w:t>
            </w:r>
            <w:r w:rsidR="00733C96">
              <w:rPr>
                <w:spacing w:val="-4"/>
                <w:lang w:val="en-GB"/>
              </w:rPr>
              <w:t xml:space="preserve">signs of saturation were visible after strong years of </w:t>
            </w:r>
            <w:r w:rsidR="007B0920" w:rsidRPr="00F638E6">
              <w:rPr>
                <w:spacing w:val="-4"/>
                <w:lang w:val="en-GB"/>
              </w:rPr>
              <w:t xml:space="preserve">2014 </w:t>
            </w:r>
            <w:r w:rsidR="00733C96">
              <w:rPr>
                <w:spacing w:val="-4"/>
                <w:lang w:val="en-GB"/>
              </w:rPr>
              <w:t>to</w:t>
            </w:r>
            <w:r w:rsidR="007B0920" w:rsidRPr="00F638E6">
              <w:rPr>
                <w:spacing w:val="-4"/>
                <w:lang w:val="en-GB"/>
              </w:rPr>
              <w:t xml:space="preserve"> 2016</w:t>
            </w:r>
            <w:r w:rsidR="00797354">
              <w:rPr>
                <w:spacing w:val="-4"/>
                <w:lang w:val="en-GB"/>
              </w:rPr>
              <w:t>. It concerned sales of motor vehicles</w:t>
            </w:r>
            <w:r w:rsidR="00733C96">
              <w:rPr>
                <w:spacing w:val="-4"/>
                <w:lang w:val="en-GB"/>
              </w:rPr>
              <w:t xml:space="preserve">, </w:t>
            </w:r>
            <w:r w:rsidR="00797354">
              <w:rPr>
                <w:spacing w:val="-4"/>
                <w:lang w:val="en-GB"/>
              </w:rPr>
              <w:t xml:space="preserve">on the contrary </w:t>
            </w:r>
            <w:r w:rsidR="00733C96">
              <w:rPr>
                <w:spacing w:val="-4"/>
                <w:lang w:val="en-GB"/>
              </w:rPr>
              <w:t>the rates kept the same as in the previous years for repairs and maintenance of motor vehicles</w:t>
            </w:r>
            <w:r w:rsidR="007B0920" w:rsidRPr="00F638E6">
              <w:rPr>
                <w:spacing w:val="-4"/>
                <w:lang w:val="en-GB"/>
              </w:rPr>
              <w:t xml:space="preserve">. </w:t>
            </w:r>
            <w:r w:rsidR="006C1CE7">
              <w:rPr>
                <w:spacing w:val="-4"/>
                <w:lang w:val="en-GB"/>
              </w:rPr>
              <w:t>The CR belongs to countries with the fastest growth of the retail sales in the EU</w:t>
            </w:r>
            <w:r w:rsidR="002E31A0" w:rsidRPr="00F638E6">
              <w:rPr>
                <w:rStyle w:val="Znakapoznpodarou"/>
                <w:spacing w:val="-4"/>
                <w:lang w:val="en-GB"/>
              </w:rPr>
              <w:footnoteReference w:id="15"/>
            </w:r>
            <w:r w:rsidR="006C1CE7">
              <w:rPr>
                <w:spacing w:val="-4"/>
                <w:lang w:val="en-GB"/>
              </w:rPr>
              <w:t xml:space="preserve"> in the last three years</w:t>
            </w:r>
            <w:r w:rsidR="007B0920" w:rsidRPr="00F638E6">
              <w:rPr>
                <w:spacing w:val="-4"/>
                <w:lang w:val="en-GB"/>
              </w:rPr>
              <w:t xml:space="preserve">. </w:t>
            </w:r>
            <w:r w:rsidR="006C1CE7">
              <w:rPr>
                <w:spacing w:val="-4"/>
                <w:lang w:val="en-GB"/>
              </w:rPr>
              <w:t xml:space="preserve">Only Romania </w:t>
            </w:r>
            <w:r w:rsidR="007B0920" w:rsidRPr="00F638E6">
              <w:rPr>
                <w:spacing w:val="-4"/>
                <w:lang w:val="en-GB"/>
              </w:rPr>
              <w:t>(+11</w:t>
            </w:r>
            <w:r w:rsidR="008A6720">
              <w:rPr>
                <w:spacing w:val="-4"/>
                <w:lang w:val="en-GB"/>
              </w:rPr>
              <w:t>.</w:t>
            </w:r>
            <w:r w:rsidR="007B0920" w:rsidRPr="00F638E6">
              <w:rPr>
                <w:spacing w:val="-4"/>
                <w:lang w:val="en-GB"/>
              </w:rPr>
              <w:t xml:space="preserve">2%), </w:t>
            </w:r>
            <w:r w:rsidR="007B0920" w:rsidRPr="00F638E6">
              <w:rPr>
                <w:spacing w:val="-5"/>
                <w:lang w:val="en-GB"/>
              </w:rPr>
              <w:t>Slov</w:t>
            </w:r>
            <w:r w:rsidR="008A6720">
              <w:rPr>
                <w:spacing w:val="-5"/>
                <w:lang w:val="en-GB"/>
              </w:rPr>
              <w:t xml:space="preserve">enia </w:t>
            </w:r>
            <w:r w:rsidR="007B0920" w:rsidRPr="00F638E6">
              <w:rPr>
                <w:spacing w:val="-5"/>
                <w:lang w:val="en-GB"/>
              </w:rPr>
              <w:t>(+</w:t>
            </w:r>
            <w:r w:rsidR="00770FA7" w:rsidRPr="00F638E6">
              <w:rPr>
                <w:spacing w:val="-5"/>
                <w:lang w:val="en-GB"/>
              </w:rPr>
              <w:t>8</w:t>
            </w:r>
            <w:r w:rsidR="008A6720">
              <w:rPr>
                <w:spacing w:val="-5"/>
                <w:lang w:val="en-GB"/>
              </w:rPr>
              <w:t>.</w:t>
            </w:r>
            <w:r w:rsidR="007B0920" w:rsidRPr="00F638E6">
              <w:rPr>
                <w:spacing w:val="-5"/>
                <w:lang w:val="en-GB"/>
              </w:rPr>
              <w:t>2%) a</w:t>
            </w:r>
            <w:r w:rsidR="008A6720">
              <w:rPr>
                <w:spacing w:val="-5"/>
                <w:lang w:val="en-GB"/>
              </w:rPr>
              <w:t xml:space="preserve">nd Poland </w:t>
            </w:r>
            <w:r w:rsidR="007B0920" w:rsidRPr="00F638E6">
              <w:rPr>
                <w:spacing w:val="-5"/>
                <w:lang w:val="en-GB"/>
              </w:rPr>
              <w:t>(+6</w:t>
            </w:r>
            <w:r w:rsidR="008A6720">
              <w:rPr>
                <w:spacing w:val="-5"/>
                <w:lang w:val="en-GB"/>
              </w:rPr>
              <w:t>.</w:t>
            </w:r>
            <w:r w:rsidR="007B0920" w:rsidRPr="00F638E6">
              <w:rPr>
                <w:spacing w:val="-5"/>
                <w:lang w:val="en-GB"/>
              </w:rPr>
              <w:t>4</w:t>
            </w:r>
            <w:r w:rsidR="00510428" w:rsidRPr="00F638E6">
              <w:rPr>
                <w:spacing w:val="-5"/>
                <w:lang w:val="en-GB"/>
              </w:rPr>
              <w:t>%), Slov</w:t>
            </w:r>
            <w:r w:rsidR="008A6720">
              <w:rPr>
                <w:spacing w:val="-5"/>
                <w:lang w:val="en-GB"/>
              </w:rPr>
              <w:t xml:space="preserve">akia </w:t>
            </w:r>
            <w:r w:rsidR="00510428" w:rsidRPr="00F638E6">
              <w:rPr>
                <w:spacing w:val="-5"/>
                <w:lang w:val="en-GB"/>
              </w:rPr>
              <w:t>(+6</w:t>
            </w:r>
            <w:r w:rsidR="008A6720">
              <w:rPr>
                <w:spacing w:val="-5"/>
                <w:lang w:val="en-GB"/>
              </w:rPr>
              <w:t>.</w:t>
            </w:r>
            <w:r w:rsidR="00510428" w:rsidRPr="00F638E6">
              <w:rPr>
                <w:spacing w:val="-5"/>
                <w:lang w:val="en-GB"/>
              </w:rPr>
              <w:t xml:space="preserve">1%), </w:t>
            </w:r>
            <w:r w:rsidR="008A6720">
              <w:rPr>
                <w:spacing w:val="-5"/>
                <w:lang w:val="en-GB"/>
              </w:rPr>
              <w:t xml:space="preserve">Cyprus </w:t>
            </w:r>
            <w:r w:rsidR="00510428" w:rsidRPr="00F638E6">
              <w:rPr>
                <w:spacing w:val="-5"/>
                <w:lang w:val="en-GB"/>
              </w:rPr>
              <w:t>(+5</w:t>
            </w:r>
            <w:r w:rsidR="008A6720">
              <w:rPr>
                <w:spacing w:val="-5"/>
                <w:lang w:val="en-GB"/>
              </w:rPr>
              <w:t>.</w:t>
            </w:r>
            <w:r w:rsidR="00510428" w:rsidRPr="00F638E6">
              <w:rPr>
                <w:spacing w:val="-5"/>
                <w:lang w:val="en-GB"/>
              </w:rPr>
              <w:t>9%)</w:t>
            </w:r>
            <w:r w:rsidR="008A6720">
              <w:rPr>
                <w:spacing w:val="-5"/>
                <w:lang w:val="en-GB"/>
              </w:rPr>
              <w:t xml:space="preserve"> showed faster pace last year</w:t>
            </w:r>
            <w:r w:rsidR="00510428" w:rsidRPr="00F638E6">
              <w:rPr>
                <w:spacing w:val="-5"/>
                <w:lang w:val="en-GB"/>
              </w:rPr>
              <w:t xml:space="preserve">. </w:t>
            </w:r>
            <w:r w:rsidR="008A6720">
              <w:rPr>
                <w:spacing w:val="-5"/>
                <w:lang w:val="en-GB"/>
              </w:rPr>
              <w:t xml:space="preserve">The pace was 2.5% in the EU, </w:t>
            </w:r>
            <w:r w:rsidR="00770FA7" w:rsidRPr="00F638E6">
              <w:rPr>
                <w:spacing w:val="-5"/>
                <w:lang w:val="en-GB"/>
              </w:rPr>
              <w:t>1</w:t>
            </w:r>
            <w:r w:rsidR="008A6720">
              <w:rPr>
                <w:spacing w:val="-5"/>
                <w:lang w:val="en-GB"/>
              </w:rPr>
              <w:t>.</w:t>
            </w:r>
            <w:r w:rsidR="00770FA7" w:rsidRPr="00F638E6">
              <w:rPr>
                <w:spacing w:val="-5"/>
                <w:lang w:val="en-GB"/>
              </w:rPr>
              <w:t>9</w:t>
            </w:r>
            <w:r w:rsidR="007B0920" w:rsidRPr="00F638E6">
              <w:rPr>
                <w:spacing w:val="-5"/>
                <w:lang w:val="en-GB"/>
              </w:rPr>
              <w:t>%</w:t>
            </w:r>
            <w:r w:rsidR="008A6720">
              <w:rPr>
                <w:spacing w:val="-5"/>
                <w:lang w:val="en-GB"/>
              </w:rPr>
              <w:t xml:space="preserve"> in Germany</w:t>
            </w:r>
            <w:r w:rsidR="00770FA7" w:rsidRPr="00F638E6">
              <w:rPr>
                <w:spacing w:val="-5"/>
                <w:lang w:val="en-GB"/>
              </w:rPr>
              <w:t xml:space="preserve">, </w:t>
            </w:r>
            <w:r w:rsidR="008A6720">
              <w:rPr>
                <w:spacing w:val="-5"/>
                <w:lang w:val="en-GB"/>
              </w:rPr>
              <w:t xml:space="preserve">0.8% in Spain, sales moderately fell in Italy and Belgium. </w:t>
            </w:r>
          </w:p>
          <w:p w:rsidR="006C1CE7" w:rsidRPr="002133D5" w:rsidRDefault="006C1CE7" w:rsidP="00CF0826">
            <w:pPr>
              <w:pStyle w:val="Textpoznpodarou"/>
              <w:jc w:val="both"/>
              <w:rPr>
                <w:spacing w:val="-4"/>
                <w:sz w:val="16"/>
                <w:szCs w:val="16"/>
                <w:lang w:val="en-GB"/>
              </w:rPr>
            </w:pPr>
          </w:p>
        </w:tc>
      </w:tr>
    </w:tbl>
    <w:p w:rsidR="00813CB4" w:rsidRPr="00654093" w:rsidRDefault="00813CB4" w:rsidP="00492991">
      <w:pPr>
        <w:pStyle w:val="Textpoznpodarou"/>
        <w:jc w:val="both"/>
        <w:rPr>
          <w:sz w:val="2"/>
          <w:szCs w:val="2"/>
        </w:rPr>
      </w:pPr>
    </w:p>
    <w:sectPr w:rsidR="00813CB4" w:rsidRPr="00654093" w:rsidSect="00150635">
      <w:headerReference w:type="even" r:id="rId15"/>
      <w:headerReference w:type="default" r:id="rId16"/>
      <w:footerReference w:type="even" r:id="rId17"/>
      <w:footerReference w:type="default" r:id="rId18"/>
      <w:type w:val="continuous"/>
      <w:pgSz w:w="11906" w:h="16838" w:code="9"/>
      <w:pgMar w:top="1134" w:right="1134" w:bottom="1418" w:left="1134" w:header="680" w:footer="680"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AEE" w:rsidRDefault="00725AEE" w:rsidP="00E71A58">
      <w:r>
        <w:separator/>
      </w:r>
    </w:p>
  </w:endnote>
  <w:endnote w:type="continuationSeparator" w:id="0">
    <w:p w:rsidR="00725AEE" w:rsidRDefault="00725AEE"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22412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9E658B" w:rsidRPr="005A21E0">
      <w:rPr>
        <w:rFonts w:ascii="Arial" w:hAnsi="Arial" w:cs="Arial"/>
        <w:sz w:val="16"/>
        <w:szCs w:val="16"/>
      </w:rPr>
      <w:fldChar w:fldCharType="begin"/>
    </w:r>
    <w:r w:rsidRPr="005A21E0">
      <w:rPr>
        <w:rFonts w:ascii="Arial" w:hAnsi="Arial" w:cs="Arial"/>
        <w:sz w:val="16"/>
        <w:szCs w:val="16"/>
      </w:rPr>
      <w:instrText>PAGE   \* MERGEFORMAT</w:instrText>
    </w:r>
    <w:r w:rsidR="009E658B" w:rsidRPr="005A21E0">
      <w:rPr>
        <w:rFonts w:ascii="Arial" w:hAnsi="Arial" w:cs="Arial"/>
        <w:sz w:val="16"/>
        <w:szCs w:val="16"/>
      </w:rPr>
      <w:fldChar w:fldCharType="separate"/>
    </w:r>
    <w:r w:rsidR="00150635">
      <w:rPr>
        <w:rFonts w:ascii="Arial" w:hAnsi="Arial" w:cs="Arial"/>
        <w:noProof/>
        <w:sz w:val="16"/>
        <w:szCs w:val="16"/>
      </w:rPr>
      <w:t>10</w:t>
    </w:r>
    <w:r w:rsidR="009E658B" w:rsidRPr="005A21E0">
      <w:rPr>
        <w:rFonts w:ascii="Arial" w:hAnsi="Arial" w:cs="Arial"/>
        <w:sz w:val="16"/>
        <w:szCs w:val="16"/>
      </w:rPr>
      <w:fldChar w:fldCharType="end"/>
    </w:r>
    <w:r>
      <w:rPr>
        <w:rFonts w:ascii="Arial" w:hAnsi="Arial" w:cs="Arial"/>
        <w:sz w:val="16"/>
        <w:szCs w:val="16"/>
      </w:rPr>
      <w:tab/>
      <w:t>2018</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B6349B" w:rsidP="00357449">
    <w:pPr>
      <w:pStyle w:val="Zpat"/>
      <w:tabs>
        <w:tab w:val="clear" w:pos="4536"/>
        <w:tab w:val="clear" w:pos="9072"/>
        <w:tab w:val="left" w:pos="1134"/>
        <w:tab w:val="left" w:pos="1920"/>
        <w:tab w:val="center" w:pos="4820"/>
        <w:tab w:val="right" w:pos="9639"/>
      </w:tabs>
    </w:pPr>
    <w:r w:rsidRPr="00B6349B">
      <w:rPr>
        <w:noProof/>
        <w:lang w:eastAsia="cs-CZ"/>
      </w:rPr>
      <w:drawing>
        <wp:anchor distT="0" distB="0" distL="114300" distR="114300" simplePos="0" relativeHeight="251662848" behindDoc="0" locked="0" layoutInCell="1" allowOverlap="1">
          <wp:simplePos x="0" y="0"/>
          <wp:positionH relativeFrom="column">
            <wp:posOffset>-100538</wp:posOffset>
          </wp:positionH>
          <wp:positionV relativeFrom="paragraph">
            <wp:posOffset>183818</wp:posOffset>
          </wp:positionV>
          <wp:extent cx="690633" cy="204716"/>
          <wp:effectExtent l="19050" t="0" r="0" b="0"/>
          <wp:wrapNone/>
          <wp:docPr id="5"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633" cy="204716"/>
                  </a:xfrm>
                  <a:prstGeom prst="rect">
                    <a:avLst/>
                  </a:prstGeom>
                  <a:noFill/>
                  <a:ln w="9525">
                    <a:noFill/>
                    <a:miter lim="800000"/>
                    <a:headEnd/>
                    <a:tailEnd/>
                  </a:ln>
                </pic:spPr>
              </pic:pic>
            </a:graphicData>
          </a:graphic>
        </wp:anchor>
      </w:drawing>
    </w:r>
    <w:r w:rsidR="00224123">
      <w:tab/>
    </w:r>
    <w:r w:rsidR="00224123">
      <w:tab/>
    </w:r>
    <w:r w:rsidR="00224123" w:rsidRPr="00DC5B3B">
      <w:t xml:space="preserve">                              </w:t>
    </w:r>
  </w:p>
  <w:p w:rsidR="00224123" w:rsidRPr="00223E00" w:rsidRDefault="0022412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rPr>
        <w:rFonts w:ascii="Arial" w:hAnsi="Arial" w:cs="Arial"/>
        <w:sz w:val="16"/>
        <w:szCs w:val="16"/>
      </w:rPr>
      <w:tab/>
    </w:r>
    <w:r w:rsidR="009E658B"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9E658B" w:rsidRPr="00223E00">
      <w:rPr>
        <w:rFonts w:ascii="Arial" w:hAnsi="Arial" w:cs="Arial"/>
        <w:sz w:val="16"/>
        <w:szCs w:val="16"/>
      </w:rPr>
      <w:fldChar w:fldCharType="separate"/>
    </w:r>
    <w:r w:rsidR="00150635">
      <w:rPr>
        <w:rFonts w:ascii="Arial" w:hAnsi="Arial" w:cs="Arial"/>
        <w:noProof/>
        <w:sz w:val="16"/>
        <w:szCs w:val="16"/>
      </w:rPr>
      <w:t>9</w:t>
    </w:r>
    <w:r w:rsidR="009E658B"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AEE" w:rsidRDefault="00725AEE" w:rsidP="00E71A58">
      <w:r>
        <w:separator/>
      </w:r>
    </w:p>
  </w:footnote>
  <w:footnote w:type="continuationSeparator" w:id="0">
    <w:p w:rsidR="00725AEE" w:rsidRDefault="00725AEE" w:rsidP="00E71A58">
      <w:r>
        <w:continuationSeparator/>
      </w:r>
    </w:p>
  </w:footnote>
  <w:footnote w:id="1">
    <w:p w:rsidR="00224123" w:rsidRPr="00670182" w:rsidRDefault="00224123" w:rsidP="007B0920">
      <w:pPr>
        <w:pStyle w:val="Textpoznpodarou"/>
        <w:jc w:val="both"/>
        <w:rPr>
          <w:color w:val="0D0D0D" w:themeColor="text1" w:themeTint="F2"/>
          <w:spacing w:val="-2"/>
          <w:sz w:val="16"/>
          <w:szCs w:val="16"/>
        </w:rPr>
      </w:pPr>
      <w:r w:rsidRPr="00670182">
        <w:rPr>
          <w:rStyle w:val="Znakapoznpodarou"/>
          <w:color w:val="0D0D0D" w:themeColor="text1" w:themeTint="F2"/>
          <w:spacing w:val="-2"/>
          <w:sz w:val="16"/>
          <w:szCs w:val="16"/>
        </w:rPr>
        <w:footnoteRef/>
      </w:r>
      <w:r w:rsidRPr="00670182">
        <w:rPr>
          <w:color w:val="0D0D0D" w:themeColor="text1" w:themeTint="F2"/>
          <w:spacing w:val="-2"/>
          <w:sz w:val="16"/>
          <w:szCs w:val="16"/>
        </w:rPr>
        <w:t xml:space="preserve"> </w:t>
      </w:r>
      <w:r w:rsidRPr="00000C43">
        <w:rPr>
          <w:color w:val="0D0D0D" w:themeColor="text1" w:themeTint="F2"/>
          <w:spacing w:val="-2"/>
          <w:sz w:val="16"/>
          <w:szCs w:val="16"/>
          <w:lang w:val="en-GB"/>
        </w:rPr>
        <w:t>Data regarding the GVA are expressed in constant prices and adjusted for seasonal and calendar effects.</w:t>
      </w:r>
    </w:p>
  </w:footnote>
  <w:footnote w:id="2">
    <w:p w:rsidR="00224123" w:rsidRPr="00790164" w:rsidRDefault="00224123" w:rsidP="00DB0870">
      <w:pPr>
        <w:pStyle w:val="Textpoznpodarou"/>
        <w:jc w:val="both"/>
        <w:rPr>
          <w:sz w:val="16"/>
          <w:szCs w:val="16"/>
          <w:lang w:val="en-GB"/>
        </w:rPr>
      </w:pPr>
      <w:r w:rsidRPr="00275F5E">
        <w:rPr>
          <w:rStyle w:val="Znakapoznpodarou"/>
          <w:sz w:val="16"/>
          <w:szCs w:val="16"/>
        </w:rPr>
        <w:footnoteRef/>
      </w:r>
      <w:r w:rsidRPr="00275F5E">
        <w:rPr>
          <w:sz w:val="16"/>
          <w:szCs w:val="16"/>
        </w:rPr>
        <w:t xml:space="preserve"> </w:t>
      </w:r>
      <w:r w:rsidRPr="00790164">
        <w:rPr>
          <w:sz w:val="16"/>
          <w:szCs w:val="16"/>
          <w:lang w:val="en-GB"/>
        </w:rPr>
        <w:t>Includes public administration and defence, education, health and social care and it creates nearly one quarter of the GVA of the whole services sector.</w:t>
      </w:r>
      <w:r>
        <w:rPr>
          <w:sz w:val="16"/>
          <w:szCs w:val="16"/>
        </w:rPr>
        <w:t xml:space="preserve"> </w:t>
      </w:r>
    </w:p>
  </w:footnote>
  <w:footnote w:id="3">
    <w:p w:rsidR="00224123" w:rsidRPr="00766109" w:rsidRDefault="00224123" w:rsidP="00DB0870">
      <w:pPr>
        <w:pStyle w:val="Textpoznpodarou"/>
        <w:jc w:val="both"/>
        <w:rPr>
          <w:color w:val="0D0D0D" w:themeColor="text1" w:themeTint="F2"/>
          <w:spacing w:val="-2"/>
          <w:sz w:val="16"/>
          <w:szCs w:val="16"/>
          <w:lang w:val="en-GB"/>
        </w:rPr>
      </w:pPr>
      <w:r w:rsidRPr="00790164">
        <w:rPr>
          <w:rStyle w:val="Znakapoznpodarou"/>
          <w:color w:val="0D0D0D" w:themeColor="text1" w:themeTint="F2"/>
          <w:spacing w:val="-2"/>
          <w:sz w:val="16"/>
          <w:szCs w:val="16"/>
          <w:lang w:val="en-GB"/>
        </w:rPr>
        <w:footnoteRef/>
      </w:r>
      <w:r w:rsidRPr="00790164">
        <w:rPr>
          <w:color w:val="0D0D0D" w:themeColor="text1" w:themeTint="F2"/>
          <w:spacing w:val="-2"/>
          <w:sz w:val="16"/>
          <w:szCs w:val="16"/>
          <w:lang w:val="en-GB"/>
        </w:rPr>
        <w:t xml:space="preserve"> Included branches: Mining and quarrying, Manufacturing, Energetics. All year-on-year rates of growth of output (at the level of activity</w:t>
      </w:r>
      <w:r w:rsidRPr="00DA3F70">
        <w:rPr>
          <w:color w:val="0D0D0D" w:themeColor="text1" w:themeTint="F2"/>
          <w:spacing w:val="-2"/>
          <w:sz w:val="16"/>
          <w:szCs w:val="16"/>
          <w:lang w:val="en-GB"/>
        </w:rPr>
        <w:t xml:space="preserve"> sections as well as divisions) are adjusted for calendar effects.</w:t>
      </w:r>
      <w:r w:rsidRPr="00766109">
        <w:rPr>
          <w:color w:val="0D0D0D" w:themeColor="text1" w:themeTint="F2"/>
          <w:spacing w:val="-2"/>
          <w:sz w:val="16"/>
          <w:szCs w:val="16"/>
          <w:lang w:val="en-GB"/>
        </w:rPr>
        <w:t xml:space="preserve"> </w:t>
      </w:r>
      <w:r>
        <w:rPr>
          <w:color w:val="0D0D0D" w:themeColor="text1" w:themeTint="F2"/>
          <w:spacing w:val="-2"/>
          <w:sz w:val="16"/>
          <w:szCs w:val="16"/>
          <w:lang w:val="en-GB"/>
        </w:rPr>
        <w:t xml:space="preserve">Not adjusted, the year-on-year growth in industry was 6.5% last year </w:t>
      </w:r>
      <w:r w:rsidRPr="00766109">
        <w:rPr>
          <w:color w:val="0D0D0D" w:themeColor="text1" w:themeTint="F2"/>
          <w:spacing w:val="-2"/>
          <w:sz w:val="16"/>
          <w:szCs w:val="16"/>
          <w:lang w:val="en-GB"/>
        </w:rPr>
        <w:t>(</w:t>
      </w:r>
      <w:r>
        <w:rPr>
          <w:color w:val="0D0D0D" w:themeColor="text1" w:themeTint="F2"/>
          <w:spacing w:val="-2"/>
          <w:sz w:val="16"/>
          <w:szCs w:val="16"/>
          <w:lang w:val="en-GB"/>
        </w:rPr>
        <w:t>there were two calendar days less</w:t>
      </w:r>
      <w:r w:rsidRPr="00766109">
        <w:rPr>
          <w:color w:val="0D0D0D" w:themeColor="text1" w:themeTint="F2"/>
          <w:spacing w:val="-2"/>
          <w:sz w:val="16"/>
          <w:szCs w:val="16"/>
          <w:lang w:val="en-GB"/>
        </w:rPr>
        <w:t>).</w:t>
      </w:r>
    </w:p>
  </w:footnote>
  <w:footnote w:id="4">
    <w:p w:rsidR="00224123" w:rsidRPr="00766109" w:rsidRDefault="00224123" w:rsidP="00DB0870">
      <w:pPr>
        <w:pStyle w:val="Textpoznpodarou"/>
        <w:jc w:val="both"/>
        <w:rPr>
          <w:spacing w:val="-4"/>
          <w:sz w:val="16"/>
          <w:szCs w:val="16"/>
          <w:lang w:val="en-GB"/>
        </w:rPr>
      </w:pPr>
      <w:r w:rsidRPr="00766109">
        <w:rPr>
          <w:rStyle w:val="Znakapoznpodarou"/>
          <w:spacing w:val="-4"/>
          <w:sz w:val="16"/>
          <w:szCs w:val="16"/>
          <w:lang w:val="en-GB"/>
        </w:rPr>
        <w:footnoteRef/>
      </w:r>
      <w:r w:rsidRPr="00766109">
        <w:rPr>
          <w:spacing w:val="-4"/>
          <w:sz w:val="16"/>
          <w:szCs w:val="16"/>
          <w:lang w:val="en-GB"/>
        </w:rPr>
        <w:t xml:space="preserve"> </w:t>
      </w:r>
      <w:r>
        <w:rPr>
          <w:spacing w:val="-4"/>
          <w:sz w:val="16"/>
          <w:szCs w:val="16"/>
          <w:lang w:val="en-GB"/>
        </w:rPr>
        <w:t xml:space="preserve">In quarter-on-quarter expression, the industrial production temporarily slowed down in Q3 (0.0%) after the strong growths in the first half of the year </w:t>
      </w:r>
      <w:r w:rsidRPr="00766109">
        <w:rPr>
          <w:spacing w:val="-4"/>
          <w:sz w:val="16"/>
          <w:szCs w:val="16"/>
          <w:lang w:val="en-GB"/>
        </w:rPr>
        <w:t>(+2</w:t>
      </w:r>
      <w:r>
        <w:rPr>
          <w:spacing w:val="-4"/>
          <w:sz w:val="16"/>
          <w:szCs w:val="16"/>
          <w:lang w:val="en-GB"/>
        </w:rPr>
        <w:t>.</w:t>
      </w:r>
      <w:r w:rsidRPr="00766109">
        <w:rPr>
          <w:spacing w:val="-4"/>
          <w:sz w:val="16"/>
          <w:szCs w:val="16"/>
          <w:lang w:val="en-GB"/>
        </w:rPr>
        <w:t>9%, +2</w:t>
      </w:r>
      <w:r>
        <w:rPr>
          <w:spacing w:val="-4"/>
          <w:sz w:val="16"/>
          <w:szCs w:val="16"/>
          <w:lang w:val="en-GB"/>
        </w:rPr>
        <w:t>.</w:t>
      </w:r>
      <w:r w:rsidRPr="00766109">
        <w:rPr>
          <w:spacing w:val="-4"/>
          <w:sz w:val="16"/>
          <w:szCs w:val="16"/>
          <w:lang w:val="en-GB"/>
        </w:rPr>
        <w:t xml:space="preserve">8%). </w:t>
      </w:r>
      <w:r>
        <w:rPr>
          <w:spacing w:val="-4"/>
          <w:sz w:val="16"/>
          <w:szCs w:val="16"/>
          <w:lang w:val="en-GB"/>
        </w:rPr>
        <w:t xml:space="preserve">However, the growth renewed in Q4 </w:t>
      </w:r>
      <w:r w:rsidRPr="00766109">
        <w:rPr>
          <w:spacing w:val="-4"/>
          <w:sz w:val="16"/>
          <w:szCs w:val="16"/>
          <w:lang w:val="en-GB"/>
        </w:rPr>
        <w:t>(+1</w:t>
      </w:r>
      <w:r>
        <w:rPr>
          <w:spacing w:val="-4"/>
          <w:sz w:val="16"/>
          <w:szCs w:val="16"/>
          <w:lang w:val="en-GB"/>
        </w:rPr>
        <w:t>.</w:t>
      </w:r>
      <w:r w:rsidRPr="00766109">
        <w:rPr>
          <w:spacing w:val="-4"/>
          <w:sz w:val="16"/>
          <w:szCs w:val="16"/>
          <w:lang w:val="en-GB"/>
        </w:rPr>
        <w:t xml:space="preserve">9%). </w:t>
      </w:r>
    </w:p>
  </w:footnote>
  <w:footnote w:id="5">
    <w:p w:rsidR="00224123" w:rsidRPr="00766109" w:rsidRDefault="00224123" w:rsidP="00DB0870">
      <w:pPr>
        <w:pStyle w:val="Textpoznpodarou"/>
        <w:jc w:val="both"/>
        <w:rPr>
          <w:sz w:val="16"/>
          <w:szCs w:val="16"/>
          <w:lang w:val="en-GB"/>
        </w:rPr>
      </w:pPr>
      <w:r w:rsidRPr="00766109">
        <w:rPr>
          <w:rStyle w:val="Znakapoznpodarou"/>
          <w:sz w:val="16"/>
          <w:szCs w:val="16"/>
          <w:lang w:val="en-GB"/>
        </w:rPr>
        <w:footnoteRef/>
      </w:r>
      <w:r>
        <w:rPr>
          <w:sz w:val="16"/>
          <w:szCs w:val="16"/>
          <w:lang w:val="en-GB"/>
        </w:rPr>
        <w:t xml:space="preserve">It involves the manufacture of electrical </w:t>
      </w:r>
      <w:r w:rsidRPr="00B77ABC">
        <w:rPr>
          <w:sz w:val="16"/>
          <w:szCs w:val="16"/>
          <w:lang w:val="en-GB"/>
        </w:rPr>
        <w:t>appliances (with the year-on-year growth of output of 9.1%) and manufacture of rubber and plastic products (+8.3%).</w:t>
      </w:r>
    </w:p>
  </w:footnote>
  <w:footnote w:id="6">
    <w:p w:rsidR="00224123" w:rsidRPr="00766109" w:rsidRDefault="00224123" w:rsidP="00DB0870">
      <w:pPr>
        <w:pStyle w:val="Textpoznpodarou"/>
        <w:jc w:val="both"/>
        <w:rPr>
          <w:color w:val="0D0D0D" w:themeColor="text1" w:themeTint="F2"/>
          <w:sz w:val="16"/>
          <w:szCs w:val="16"/>
          <w:lang w:val="en-GB"/>
        </w:rPr>
      </w:pPr>
      <w:r w:rsidRPr="00766109">
        <w:rPr>
          <w:rStyle w:val="Znakapoznpodarou"/>
          <w:color w:val="0D0D0D" w:themeColor="text1" w:themeTint="F2"/>
          <w:sz w:val="16"/>
          <w:szCs w:val="16"/>
          <w:lang w:val="en-GB"/>
        </w:rPr>
        <w:footnoteRef/>
      </w:r>
      <w:r w:rsidRPr="00766109">
        <w:rPr>
          <w:color w:val="0D0D0D" w:themeColor="text1" w:themeTint="F2"/>
          <w:sz w:val="16"/>
          <w:szCs w:val="16"/>
          <w:lang w:val="en-GB"/>
        </w:rPr>
        <w:t xml:space="preserve"> </w:t>
      </w:r>
      <w:r>
        <w:rPr>
          <w:color w:val="0D0D0D" w:themeColor="text1" w:themeTint="F2"/>
          <w:sz w:val="16"/>
          <w:szCs w:val="16"/>
          <w:lang w:val="en-GB"/>
        </w:rPr>
        <w:t xml:space="preserve">Based on the data of the </w:t>
      </w:r>
      <w:proofErr w:type="gramStart"/>
      <w:r>
        <w:rPr>
          <w:color w:val="0D0D0D" w:themeColor="text1" w:themeTint="F2"/>
          <w:sz w:val="16"/>
          <w:szCs w:val="16"/>
          <w:lang w:val="en-GB"/>
        </w:rPr>
        <w:t>Automotive</w:t>
      </w:r>
      <w:proofErr w:type="gramEnd"/>
      <w:r>
        <w:rPr>
          <w:color w:val="0D0D0D" w:themeColor="text1" w:themeTint="F2"/>
          <w:sz w:val="16"/>
          <w:szCs w:val="16"/>
          <w:lang w:val="en-GB"/>
        </w:rPr>
        <w:t xml:space="preserve"> industry association, there were 1.41 mil private vehicles manufactured in the CR in 2017, by 5.2% more year-on-year</w:t>
      </w:r>
      <w:r w:rsidRPr="00E72FBF">
        <w:rPr>
          <w:color w:val="0D0D0D" w:themeColor="text1" w:themeTint="F2"/>
          <w:sz w:val="16"/>
          <w:szCs w:val="16"/>
          <w:lang w:val="en-GB"/>
        </w:rPr>
        <w:t xml:space="preserve">. </w:t>
      </w:r>
      <w:r>
        <w:rPr>
          <w:color w:val="0D0D0D" w:themeColor="text1" w:themeTint="F2"/>
          <w:sz w:val="16"/>
          <w:szCs w:val="16"/>
          <w:lang w:val="en-GB"/>
        </w:rPr>
        <w:t>Manufacturers of other types of motor vehicles also registered a growth.</w:t>
      </w:r>
    </w:p>
  </w:footnote>
  <w:footnote w:id="7">
    <w:p w:rsidR="00224123" w:rsidRPr="004616F1" w:rsidRDefault="00224123" w:rsidP="004616F1">
      <w:pPr>
        <w:pStyle w:val="Textpoznpodarou"/>
        <w:jc w:val="both"/>
        <w:rPr>
          <w:sz w:val="16"/>
          <w:szCs w:val="16"/>
          <w:lang w:val="en-GB"/>
        </w:rPr>
      </w:pPr>
      <w:r w:rsidRPr="006D2A22">
        <w:rPr>
          <w:rStyle w:val="Znakapoznpodarou"/>
          <w:sz w:val="16"/>
          <w:szCs w:val="16"/>
        </w:rPr>
        <w:footnoteRef/>
      </w:r>
      <w:r w:rsidRPr="006D2A22">
        <w:rPr>
          <w:sz w:val="16"/>
          <w:szCs w:val="16"/>
        </w:rPr>
        <w:t xml:space="preserve"> </w:t>
      </w:r>
      <w:r w:rsidRPr="004616F1">
        <w:rPr>
          <w:sz w:val="16"/>
          <w:szCs w:val="16"/>
          <w:lang w:val="en-GB"/>
        </w:rPr>
        <w:t xml:space="preserve">Output of the chemical industry exceeded the level before </w:t>
      </w:r>
      <w:r w:rsidRPr="001D1383">
        <w:rPr>
          <w:sz w:val="16"/>
          <w:szCs w:val="16"/>
          <w:lang w:val="en-GB"/>
        </w:rPr>
        <w:t>the emergencies (Q2 2015)</w:t>
      </w:r>
      <w:r w:rsidRPr="004616F1">
        <w:rPr>
          <w:sz w:val="16"/>
          <w:szCs w:val="16"/>
          <w:lang w:val="en-GB"/>
        </w:rPr>
        <w:t xml:space="preserve"> already at the beginning of year 2017.</w:t>
      </w:r>
    </w:p>
  </w:footnote>
  <w:footnote w:id="8">
    <w:p w:rsidR="00224123" w:rsidRPr="004616F1" w:rsidRDefault="00224123" w:rsidP="004616F1">
      <w:pPr>
        <w:pStyle w:val="Textpoznpodarou"/>
        <w:jc w:val="both"/>
        <w:rPr>
          <w:sz w:val="16"/>
          <w:szCs w:val="16"/>
          <w:lang w:val="en-GB"/>
        </w:rPr>
      </w:pPr>
      <w:r w:rsidRPr="004616F1">
        <w:rPr>
          <w:rStyle w:val="Znakapoznpodarou"/>
          <w:sz w:val="16"/>
          <w:szCs w:val="16"/>
          <w:lang w:val="en-GB"/>
        </w:rPr>
        <w:footnoteRef/>
      </w:r>
      <w:r w:rsidRPr="004616F1">
        <w:rPr>
          <w:sz w:val="16"/>
          <w:szCs w:val="16"/>
          <w:lang w:val="en-GB"/>
        </w:rPr>
        <w:t xml:space="preserve"> </w:t>
      </w:r>
      <w:r>
        <w:rPr>
          <w:sz w:val="16"/>
          <w:szCs w:val="16"/>
          <w:lang w:val="en-GB"/>
        </w:rPr>
        <w:t xml:space="preserve">Especially the high last year growth of electricity production participated on this </w:t>
      </w:r>
      <w:r w:rsidRPr="004616F1">
        <w:rPr>
          <w:sz w:val="16"/>
          <w:szCs w:val="16"/>
          <w:lang w:val="en-GB"/>
        </w:rPr>
        <w:t>(+4</w:t>
      </w:r>
      <w:r w:rsidRPr="001D1383">
        <w:rPr>
          <w:sz w:val="16"/>
          <w:szCs w:val="16"/>
          <w:lang w:val="en-GB"/>
        </w:rPr>
        <w:t>.5%, to 87 </w:t>
      </w:r>
      <w:proofErr w:type="spellStart"/>
      <w:r w:rsidRPr="001D1383">
        <w:rPr>
          <w:sz w:val="16"/>
          <w:szCs w:val="16"/>
          <w:lang w:val="en-GB"/>
        </w:rPr>
        <w:t>TWh</w:t>
      </w:r>
      <w:proofErr w:type="spellEnd"/>
      <w:r w:rsidRPr="001D1383">
        <w:rPr>
          <w:sz w:val="16"/>
          <w:szCs w:val="16"/>
          <w:lang w:val="en-GB"/>
        </w:rPr>
        <w:t>), in that by</w:t>
      </w:r>
      <w:r>
        <w:rPr>
          <w:sz w:val="16"/>
          <w:szCs w:val="16"/>
          <w:lang w:val="en-GB"/>
        </w:rPr>
        <w:t xml:space="preserve"> 17.6% in nuclear power plants. </w:t>
      </w:r>
    </w:p>
  </w:footnote>
  <w:footnote w:id="9">
    <w:p w:rsidR="00224123" w:rsidRPr="00A375DE" w:rsidRDefault="00224123" w:rsidP="00A375DE">
      <w:pPr>
        <w:pStyle w:val="Textpoznpodarou"/>
        <w:jc w:val="both"/>
        <w:rPr>
          <w:sz w:val="16"/>
          <w:szCs w:val="16"/>
          <w:lang w:val="en-GB"/>
        </w:rPr>
      </w:pPr>
      <w:r w:rsidRPr="00F75025">
        <w:rPr>
          <w:rStyle w:val="Znakapoznpodarou"/>
          <w:sz w:val="16"/>
          <w:szCs w:val="16"/>
        </w:rPr>
        <w:footnoteRef/>
      </w:r>
      <w:r>
        <w:rPr>
          <w:sz w:val="16"/>
          <w:szCs w:val="16"/>
        </w:rPr>
        <w:t xml:space="preserve"> </w:t>
      </w:r>
      <w:r w:rsidRPr="00A375DE">
        <w:rPr>
          <w:sz w:val="16"/>
          <w:szCs w:val="16"/>
          <w:lang w:val="en-GB"/>
        </w:rPr>
        <w:t xml:space="preserve">Last year´s fall was however the mildest in the last six years.  </w:t>
      </w:r>
    </w:p>
  </w:footnote>
  <w:footnote w:id="10">
    <w:p w:rsidR="00224123" w:rsidRPr="00A375DE" w:rsidRDefault="00224123" w:rsidP="00A375DE">
      <w:pPr>
        <w:pStyle w:val="Textpoznpodarou"/>
        <w:jc w:val="both"/>
        <w:rPr>
          <w:spacing w:val="-2"/>
          <w:sz w:val="16"/>
          <w:szCs w:val="16"/>
          <w:lang w:val="en-GB"/>
        </w:rPr>
      </w:pPr>
      <w:r w:rsidRPr="00A375DE">
        <w:rPr>
          <w:rStyle w:val="Znakapoznpodarou"/>
          <w:spacing w:val="-2"/>
          <w:sz w:val="16"/>
          <w:szCs w:val="16"/>
          <w:lang w:val="en-GB"/>
        </w:rPr>
        <w:footnoteRef/>
      </w:r>
      <w:r w:rsidRPr="00A375DE">
        <w:rPr>
          <w:spacing w:val="-2"/>
          <w:sz w:val="16"/>
          <w:szCs w:val="16"/>
          <w:lang w:val="en-GB"/>
        </w:rPr>
        <w:t xml:space="preserve"> </w:t>
      </w:r>
      <w:r>
        <w:rPr>
          <w:spacing w:val="-2"/>
          <w:sz w:val="16"/>
          <w:szCs w:val="16"/>
          <w:lang w:val="en-GB"/>
        </w:rPr>
        <w:t xml:space="preserve">Last year, 10 out of 24 manufacturing branches lagged behind its output level of year 2007. Among the more weight significant activities, it was food industry </w:t>
      </w:r>
      <w:r w:rsidRPr="00A375DE">
        <w:rPr>
          <w:spacing w:val="-2"/>
          <w:sz w:val="16"/>
          <w:szCs w:val="16"/>
          <w:lang w:val="en-GB"/>
        </w:rPr>
        <w:t xml:space="preserve">(-5%), </w:t>
      </w:r>
      <w:r>
        <w:rPr>
          <w:spacing w:val="-2"/>
          <w:sz w:val="16"/>
          <w:szCs w:val="16"/>
          <w:lang w:val="en-GB"/>
        </w:rPr>
        <w:t xml:space="preserve">metallurgy and foundry industry </w:t>
      </w:r>
      <w:r w:rsidRPr="00A375DE">
        <w:rPr>
          <w:spacing w:val="-2"/>
          <w:sz w:val="16"/>
          <w:szCs w:val="16"/>
          <w:lang w:val="en-GB"/>
        </w:rPr>
        <w:t>(-12%) a</w:t>
      </w:r>
      <w:r>
        <w:rPr>
          <w:spacing w:val="-2"/>
          <w:sz w:val="16"/>
          <w:szCs w:val="16"/>
          <w:lang w:val="en-GB"/>
        </w:rPr>
        <w:t xml:space="preserve">nd manufacture of other non-metal mineral products </w:t>
      </w:r>
      <w:r w:rsidRPr="00A375DE">
        <w:rPr>
          <w:spacing w:val="-2"/>
          <w:sz w:val="16"/>
          <w:szCs w:val="16"/>
          <w:lang w:val="en-GB"/>
        </w:rPr>
        <w:t>(-13%).</w:t>
      </w:r>
    </w:p>
  </w:footnote>
  <w:footnote w:id="11">
    <w:p w:rsidR="00224123" w:rsidRPr="006F5693" w:rsidRDefault="00224123" w:rsidP="007B0920">
      <w:pPr>
        <w:pStyle w:val="Textpoznpodarou"/>
        <w:jc w:val="both"/>
        <w:rPr>
          <w:spacing w:val="-4"/>
          <w:sz w:val="16"/>
          <w:szCs w:val="16"/>
          <w:lang w:val="en-US"/>
        </w:rPr>
      </w:pPr>
      <w:r w:rsidRPr="006F5693">
        <w:rPr>
          <w:rStyle w:val="Znakapoznpodarou"/>
          <w:color w:val="0D0D0D" w:themeColor="text1" w:themeTint="F2"/>
          <w:spacing w:val="-4"/>
          <w:sz w:val="16"/>
          <w:szCs w:val="16"/>
          <w:lang w:val="en-US"/>
        </w:rPr>
        <w:footnoteRef/>
      </w:r>
      <w:r w:rsidRPr="006F5693">
        <w:rPr>
          <w:color w:val="0D0D0D" w:themeColor="text1" w:themeTint="F2"/>
          <w:spacing w:val="-4"/>
          <w:sz w:val="16"/>
          <w:szCs w:val="16"/>
          <w:lang w:val="en-US"/>
        </w:rPr>
        <w:t xml:space="preserve"> All year-on-year data related to the construction output are adjusted for calendar effects.</w:t>
      </w:r>
    </w:p>
  </w:footnote>
  <w:footnote w:id="12">
    <w:p w:rsidR="00224123" w:rsidRPr="007E20C0" w:rsidRDefault="00224123" w:rsidP="008963A7">
      <w:pPr>
        <w:spacing w:line="240" w:lineRule="auto"/>
        <w:jc w:val="both"/>
        <w:rPr>
          <w:lang w:val="en-GB"/>
        </w:rPr>
      </w:pPr>
      <w:r w:rsidRPr="004A26AF">
        <w:rPr>
          <w:rStyle w:val="Znakapoznpodarou"/>
          <w:color w:val="0D0D0D" w:themeColor="text1" w:themeTint="F2"/>
          <w:sz w:val="16"/>
          <w:szCs w:val="16"/>
        </w:rPr>
        <w:footnoteRef/>
      </w:r>
      <w:r w:rsidRPr="003E73E7">
        <w:rPr>
          <w:color w:val="0D0D0D" w:themeColor="text1" w:themeTint="F2"/>
          <w:sz w:val="16"/>
          <w:szCs w:val="16"/>
          <w:lang w:val="en-GB"/>
        </w:rPr>
        <w:t xml:space="preserve">Excluding trade, financial and insurance activities, science, research and public services. All data for services are </w:t>
      </w:r>
      <w:r>
        <w:rPr>
          <w:color w:val="0D0D0D" w:themeColor="text1" w:themeTint="F2"/>
          <w:sz w:val="16"/>
          <w:szCs w:val="16"/>
          <w:lang w:val="en-GB"/>
        </w:rPr>
        <w:t xml:space="preserve">in constant prices, year-on-year data are </w:t>
      </w:r>
      <w:r w:rsidRPr="003E73E7">
        <w:rPr>
          <w:color w:val="0D0D0D" w:themeColor="text1" w:themeTint="F2"/>
          <w:sz w:val="16"/>
          <w:szCs w:val="16"/>
          <w:lang w:val="en-GB"/>
        </w:rPr>
        <w:t>adjusted for calendar effects</w:t>
      </w:r>
      <w:r>
        <w:rPr>
          <w:color w:val="0D0D0D" w:themeColor="text1" w:themeTint="F2"/>
          <w:sz w:val="16"/>
          <w:szCs w:val="16"/>
          <w:lang w:val="en-GB"/>
        </w:rPr>
        <w:t xml:space="preserve">, quarter-on-quarter data are adjusted for seasonal </w:t>
      </w:r>
      <w:r w:rsidRPr="007E20C0">
        <w:rPr>
          <w:color w:val="0D0D0D" w:themeColor="text1" w:themeTint="F2"/>
          <w:sz w:val="16"/>
          <w:szCs w:val="16"/>
          <w:lang w:val="en-GB"/>
        </w:rPr>
        <w:t>effects (including the effect of the number of working days).</w:t>
      </w:r>
    </w:p>
  </w:footnote>
  <w:footnote w:id="13">
    <w:p w:rsidR="00224123" w:rsidRPr="00312A00" w:rsidRDefault="00224123" w:rsidP="008963A7">
      <w:pPr>
        <w:pStyle w:val="Textpoznpodarou"/>
        <w:jc w:val="both"/>
        <w:rPr>
          <w:sz w:val="16"/>
          <w:szCs w:val="16"/>
          <w:lang w:val="en-GB"/>
        </w:rPr>
      </w:pPr>
      <w:r w:rsidRPr="00B7677D">
        <w:rPr>
          <w:rStyle w:val="Znakapoznpodarou"/>
          <w:sz w:val="16"/>
          <w:szCs w:val="16"/>
        </w:rPr>
        <w:footnoteRef/>
      </w:r>
      <w:r w:rsidRPr="00B7677D">
        <w:rPr>
          <w:sz w:val="16"/>
          <w:szCs w:val="16"/>
        </w:rPr>
        <w:t xml:space="preserve"> </w:t>
      </w:r>
      <w:r w:rsidRPr="00312A00">
        <w:rPr>
          <w:sz w:val="16"/>
          <w:szCs w:val="16"/>
          <w:lang w:val="en-GB"/>
        </w:rPr>
        <w:t xml:space="preserve">The transfer of some activities from the grey economy </w:t>
      </w:r>
      <w:r>
        <w:rPr>
          <w:sz w:val="16"/>
          <w:szCs w:val="16"/>
          <w:lang w:val="en-GB"/>
        </w:rPr>
        <w:t xml:space="preserve">in connection with the measures introduced in the previous year on the side of tax collection </w:t>
      </w:r>
      <w:r w:rsidRPr="00312A00">
        <w:rPr>
          <w:sz w:val="16"/>
          <w:szCs w:val="16"/>
          <w:lang w:val="en-GB"/>
        </w:rPr>
        <w:t xml:space="preserve">could also </w:t>
      </w:r>
      <w:r>
        <w:rPr>
          <w:sz w:val="16"/>
          <w:szCs w:val="16"/>
          <w:lang w:val="en-GB"/>
        </w:rPr>
        <w:t>be evident in the high pace of sales in 2017</w:t>
      </w:r>
      <w:r w:rsidRPr="00312A00">
        <w:rPr>
          <w:sz w:val="16"/>
          <w:szCs w:val="16"/>
          <w:lang w:val="en-GB"/>
        </w:rPr>
        <w:t xml:space="preserve">. </w:t>
      </w:r>
    </w:p>
  </w:footnote>
  <w:footnote w:id="14">
    <w:p w:rsidR="00224123" w:rsidRPr="004E70ED" w:rsidRDefault="00224123" w:rsidP="004E70ED">
      <w:pPr>
        <w:pStyle w:val="Textpoznpodarou"/>
        <w:jc w:val="both"/>
        <w:rPr>
          <w:sz w:val="16"/>
          <w:szCs w:val="16"/>
          <w:lang w:val="en-GB"/>
        </w:rPr>
      </w:pPr>
      <w:r w:rsidRPr="00544A98">
        <w:rPr>
          <w:rStyle w:val="Znakapoznpodarou"/>
          <w:sz w:val="16"/>
          <w:szCs w:val="16"/>
        </w:rPr>
        <w:footnoteRef/>
      </w:r>
      <w:r w:rsidRPr="00544A98">
        <w:rPr>
          <w:sz w:val="16"/>
          <w:szCs w:val="16"/>
        </w:rPr>
        <w:t xml:space="preserve"> </w:t>
      </w:r>
      <w:r w:rsidRPr="004E70ED">
        <w:rPr>
          <w:sz w:val="16"/>
          <w:szCs w:val="16"/>
          <w:lang w:val="en-GB"/>
        </w:rPr>
        <w:t>Data do not include the motorist segment</w:t>
      </w:r>
      <w:r>
        <w:rPr>
          <w:sz w:val="16"/>
          <w:szCs w:val="16"/>
          <w:lang w:val="en-GB"/>
        </w:rPr>
        <w:t xml:space="preserve"> (CZ-NACE 45)</w:t>
      </w:r>
      <w:r w:rsidRPr="004E70ED">
        <w:rPr>
          <w:sz w:val="16"/>
          <w:szCs w:val="16"/>
          <w:lang w:val="en-GB"/>
        </w:rPr>
        <w:t>. Retail data are adjusted for calendar effects i</w:t>
      </w:r>
      <w:r>
        <w:rPr>
          <w:sz w:val="16"/>
          <w:szCs w:val="16"/>
          <w:lang w:val="en-GB"/>
        </w:rPr>
        <w:t>n constant prices.</w:t>
      </w:r>
    </w:p>
  </w:footnote>
  <w:footnote w:id="15">
    <w:p w:rsidR="00224123" w:rsidRPr="004E70ED" w:rsidRDefault="00224123" w:rsidP="004E70ED">
      <w:pPr>
        <w:pStyle w:val="Textpoznpodarou"/>
        <w:jc w:val="both"/>
        <w:rPr>
          <w:color w:val="0D0D0D" w:themeColor="text1" w:themeTint="F2"/>
          <w:sz w:val="16"/>
          <w:szCs w:val="16"/>
          <w:lang w:val="en-GB"/>
        </w:rPr>
      </w:pPr>
      <w:r w:rsidRPr="004E70ED">
        <w:rPr>
          <w:rStyle w:val="Znakapoznpodarou"/>
          <w:color w:val="0D0D0D" w:themeColor="text1" w:themeTint="F2"/>
          <w:sz w:val="16"/>
          <w:szCs w:val="16"/>
          <w:lang w:val="en-GB"/>
        </w:rPr>
        <w:footnoteRef/>
      </w:r>
      <w:r w:rsidRPr="004E70ED">
        <w:rPr>
          <w:color w:val="0D0D0D" w:themeColor="text1" w:themeTint="F2"/>
          <w:sz w:val="16"/>
          <w:szCs w:val="16"/>
          <w:lang w:val="en-GB"/>
        </w:rPr>
        <w:t xml:space="preserve"> </w:t>
      </w:r>
      <w:r>
        <w:rPr>
          <w:color w:val="0D0D0D" w:themeColor="text1" w:themeTint="F2"/>
          <w:sz w:val="16"/>
          <w:szCs w:val="16"/>
          <w:lang w:val="en-GB"/>
        </w:rPr>
        <w:t xml:space="preserve">International comparison draws on data published on </w:t>
      </w:r>
      <w:r>
        <w:rPr>
          <w:rFonts w:cs="Arial"/>
          <w:color w:val="0D0D0D" w:themeColor="text1" w:themeTint="F2"/>
          <w:sz w:val="16"/>
          <w:szCs w:val="16"/>
          <w:lang w:val="en-GB"/>
        </w:rPr>
        <w:t>20</w:t>
      </w:r>
      <w:r w:rsidRPr="00797354">
        <w:rPr>
          <w:rFonts w:cs="Arial"/>
          <w:color w:val="0D0D0D" w:themeColor="text1" w:themeTint="F2"/>
          <w:sz w:val="16"/>
          <w:szCs w:val="16"/>
          <w:vertAlign w:val="superscript"/>
          <w:lang w:val="en-GB"/>
        </w:rPr>
        <w:t>th</w:t>
      </w:r>
      <w:r>
        <w:rPr>
          <w:rFonts w:cs="Arial"/>
          <w:color w:val="0D0D0D" w:themeColor="text1" w:themeTint="F2"/>
          <w:sz w:val="16"/>
          <w:szCs w:val="16"/>
          <w:lang w:val="en-GB"/>
        </w:rPr>
        <w:t xml:space="preserve"> March of</w:t>
      </w:r>
      <w:r w:rsidRPr="004E70ED">
        <w:rPr>
          <w:rFonts w:cs="Arial"/>
          <w:color w:val="0D0D0D" w:themeColor="text1" w:themeTint="F2"/>
          <w:sz w:val="16"/>
          <w:szCs w:val="16"/>
          <w:lang w:val="en-GB"/>
        </w:rPr>
        <w:t xml:space="preserve">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2473CA" w:rsidRDefault="00224123" w:rsidP="00D766EF">
    <w:pPr>
      <w:pStyle w:val="Zhlav"/>
      <w:tabs>
        <w:tab w:val="clear" w:pos="4536"/>
        <w:tab w:val="clear" w:pos="9072"/>
        <w:tab w:val="left" w:pos="-6379"/>
        <w:tab w:val="center" w:pos="4820"/>
        <w:tab w:val="right" w:pos="9639"/>
      </w:tabs>
      <w:rPr>
        <w:rFonts w:ascii="Arial" w:hAnsi="Arial" w:cs="Arial"/>
        <w:sz w:val="16"/>
        <w:szCs w:val="16"/>
        <w:lang w:val="en-US"/>
      </w:rPr>
    </w:pPr>
    <w:r w:rsidRPr="002473CA">
      <w:rPr>
        <w:rFonts w:ascii="Arial" w:hAnsi="Arial" w:cs="Arial"/>
        <w:sz w:val="16"/>
        <w:szCs w:val="16"/>
        <w:lang w:val="en-US"/>
      </w:rPr>
      <w:t>The Czech Economy Development in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ED0C9B" w:rsidRDefault="00224123" w:rsidP="0030768C">
    <w:pPr>
      <w:pStyle w:val="Zhlav"/>
      <w:tabs>
        <w:tab w:val="clear" w:pos="4536"/>
        <w:tab w:val="clear" w:pos="9072"/>
        <w:tab w:val="left" w:pos="-6379"/>
        <w:tab w:val="center" w:pos="4820"/>
        <w:tab w:val="right" w:pos="9639"/>
      </w:tabs>
      <w:rPr>
        <w:rFonts w:ascii="Arial" w:hAnsi="Arial" w:cs="Arial"/>
        <w:sz w:val="16"/>
        <w:szCs w:val="16"/>
        <w:lang w:val="en-GB"/>
      </w:rPr>
    </w:pPr>
    <w:r w:rsidRPr="00ED0C9B">
      <w:rPr>
        <w:rFonts w:ascii="Arial" w:hAnsi="Arial" w:cs="Arial"/>
        <w:sz w:val="16"/>
        <w:szCs w:val="16"/>
        <w:lang w:val="en-GB"/>
      </w:rPr>
      <w:t>The Czech Economy Development in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FB457C"/>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86057FE"/>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nsid w:val="1A48046E"/>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9B1D4E"/>
    <w:multiLevelType w:val="hybridMultilevel"/>
    <w:tmpl w:val="E962D1E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E20C48"/>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760513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94006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BC47DB"/>
    <w:multiLevelType w:val="hybridMultilevel"/>
    <w:tmpl w:val="AA506508"/>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8"/>
  </w:num>
  <w:num w:numId="2">
    <w:abstractNumId w:val="24"/>
  </w:num>
  <w:num w:numId="3">
    <w:abstractNumId w:val="14"/>
  </w:num>
  <w:num w:numId="4">
    <w:abstractNumId w:val="22"/>
  </w:num>
  <w:num w:numId="5">
    <w:abstractNumId w:val="16"/>
  </w:num>
  <w:num w:numId="6">
    <w:abstractNumId w:val="19"/>
  </w:num>
  <w:num w:numId="7">
    <w:abstractNumId w:val="5"/>
  </w:num>
  <w:num w:numId="8">
    <w:abstractNumId w:val="12"/>
  </w:num>
  <w:num w:numId="9">
    <w:abstractNumId w:val="21"/>
  </w:num>
  <w:num w:numId="10">
    <w:abstractNumId w:val="4"/>
  </w:num>
  <w:num w:numId="11">
    <w:abstractNumId w:val="9"/>
  </w:num>
  <w:num w:numId="12">
    <w:abstractNumId w:val="2"/>
  </w:num>
  <w:num w:numId="13">
    <w:abstractNumId w:val="8"/>
  </w:num>
  <w:num w:numId="14">
    <w:abstractNumId w:val="0"/>
  </w:num>
  <w:num w:numId="15">
    <w:abstractNumId w:val="20"/>
  </w:num>
  <w:num w:numId="16">
    <w:abstractNumId w:val="17"/>
  </w:num>
  <w:num w:numId="17">
    <w:abstractNumId w:val="7"/>
  </w:num>
  <w:num w:numId="18">
    <w:abstractNumId w:val="23"/>
  </w:num>
  <w:num w:numId="19">
    <w:abstractNumId w:val="11"/>
  </w:num>
  <w:num w:numId="20">
    <w:abstractNumId w:val="1"/>
  </w:num>
  <w:num w:numId="21">
    <w:abstractNumId w:val="13"/>
  </w:num>
  <w:num w:numId="22">
    <w:abstractNumId w:val="15"/>
  </w:num>
  <w:num w:numId="23">
    <w:abstractNumId w:val="3"/>
  </w:num>
  <w:num w:numId="24">
    <w:abstractNumId w:val="6"/>
  </w:num>
  <w:num w:numId="25">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9B70BD"/>
    <w:rsid w:val="00000C43"/>
    <w:rsid w:val="00000FA7"/>
    <w:rsid w:val="00001EFF"/>
    <w:rsid w:val="00002F5C"/>
    <w:rsid w:val="00003687"/>
    <w:rsid w:val="00003C43"/>
    <w:rsid w:val="00004C5D"/>
    <w:rsid w:val="00004EB0"/>
    <w:rsid w:val="00004FF9"/>
    <w:rsid w:val="00006AAD"/>
    <w:rsid w:val="00007498"/>
    <w:rsid w:val="0000767A"/>
    <w:rsid w:val="000101F5"/>
    <w:rsid w:val="000104B9"/>
    <w:rsid w:val="00010702"/>
    <w:rsid w:val="00010770"/>
    <w:rsid w:val="00010982"/>
    <w:rsid w:val="00011191"/>
    <w:rsid w:val="0001159B"/>
    <w:rsid w:val="000117CA"/>
    <w:rsid w:val="00012986"/>
    <w:rsid w:val="000129CF"/>
    <w:rsid w:val="00013C75"/>
    <w:rsid w:val="00014028"/>
    <w:rsid w:val="00014690"/>
    <w:rsid w:val="00015195"/>
    <w:rsid w:val="0001519F"/>
    <w:rsid w:val="0001572B"/>
    <w:rsid w:val="0001573E"/>
    <w:rsid w:val="000157DA"/>
    <w:rsid w:val="0001589D"/>
    <w:rsid w:val="00016033"/>
    <w:rsid w:val="000162DB"/>
    <w:rsid w:val="00017F05"/>
    <w:rsid w:val="000202C6"/>
    <w:rsid w:val="00020315"/>
    <w:rsid w:val="000208B1"/>
    <w:rsid w:val="00020946"/>
    <w:rsid w:val="00021B1D"/>
    <w:rsid w:val="00022081"/>
    <w:rsid w:val="0002292C"/>
    <w:rsid w:val="00022983"/>
    <w:rsid w:val="00022B41"/>
    <w:rsid w:val="00022D8D"/>
    <w:rsid w:val="00023FB5"/>
    <w:rsid w:val="0002434F"/>
    <w:rsid w:val="00024887"/>
    <w:rsid w:val="00024CBA"/>
    <w:rsid w:val="00025501"/>
    <w:rsid w:val="00026998"/>
    <w:rsid w:val="00026B06"/>
    <w:rsid w:val="000304C4"/>
    <w:rsid w:val="0003066A"/>
    <w:rsid w:val="00030F14"/>
    <w:rsid w:val="000311C5"/>
    <w:rsid w:val="00032838"/>
    <w:rsid w:val="00032C12"/>
    <w:rsid w:val="00032E0C"/>
    <w:rsid w:val="000341F6"/>
    <w:rsid w:val="00034D3F"/>
    <w:rsid w:val="00035CCF"/>
    <w:rsid w:val="00035FC6"/>
    <w:rsid w:val="0003705E"/>
    <w:rsid w:val="00037667"/>
    <w:rsid w:val="0003780E"/>
    <w:rsid w:val="0004075D"/>
    <w:rsid w:val="000411E1"/>
    <w:rsid w:val="00041E9C"/>
    <w:rsid w:val="00042EC6"/>
    <w:rsid w:val="00043C68"/>
    <w:rsid w:val="00043E05"/>
    <w:rsid w:val="0004442E"/>
    <w:rsid w:val="00044913"/>
    <w:rsid w:val="00045681"/>
    <w:rsid w:val="0004694F"/>
    <w:rsid w:val="00046E43"/>
    <w:rsid w:val="000500DC"/>
    <w:rsid w:val="000509FD"/>
    <w:rsid w:val="000516F5"/>
    <w:rsid w:val="00051ADE"/>
    <w:rsid w:val="00052052"/>
    <w:rsid w:val="00052172"/>
    <w:rsid w:val="0005235A"/>
    <w:rsid w:val="000534FD"/>
    <w:rsid w:val="00053CBA"/>
    <w:rsid w:val="00054E43"/>
    <w:rsid w:val="00055059"/>
    <w:rsid w:val="000553E4"/>
    <w:rsid w:val="00055CE3"/>
    <w:rsid w:val="0005619C"/>
    <w:rsid w:val="000567FA"/>
    <w:rsid w:val="00056B26"/>
    <w:rsid w:val="00057C16"/>
    <w:rsid w:val="00060F26"/>
    <w:rsid w:val="00062D43"/>
    <w:rsid w:val="00062E1E"/>
    <w:rsid w:val="00062EC5"/>
    <w:rsid w:val="00063AF0"/>
    <w:rsid w:val="00064256"/>
    <w:rsid w:val="00065425"/>
    <w:rsid w:val="0006638F"/>
    <w:rsid w:val="00066B7B"/>
    <w:rsid w:val="000673F8"/>
    <w:rsid w:val="00070314"/>
    <w:rsid w:val="000706A4"/>
    <w:rsid w:val="00070A0C"/>
    <w:rsid w:val="00071F80"/>
    <w:rsid w:val="00072118"/>
    <w:rsid w:val="00073173"/>
    <w:rsid w:val="0007324C"/>
    <w:rsid w:val="00073655"/>
    <w:rsid w:val="000777FF"/>
    <w:rsid w:val="000779AC"/>
    <w:rsid w:val="00077C8D"/>
    <w:rsid w:val="000807ED"/>
    <w:rsid w:val="00080A41"/>
    <w:rsid w:val="00080AA8"/>
    <w:rsid w:val="00081851"/>
    <w:rsid w:val="0008376A"/>
    <w:rsid w:val="00083803"/>
    <w:rsid w:val="00083D7F"/>
    <w:rsid w:val="00083FE5"/>
    <w:rsid w:val="00084393"/>
    <w:rsid w:val="00084771"/>
    <w:rsid w:val="00085094"/>
    <w:rsid w:val="0008716A"/>
    <w:rsid w:val="00087634"/>
    <w:rsid w:val="0008769B"/>
    <w:rsid w:val="00091237"/>
    <w:rsid w:val="000916B1"/>
    <w:rsid w:val="0009191B"/>
    <w:rsid w:val="000920EC"/>
    <w:rsid w:val="000921B6"/>
    <w:rsid w:val="00092208"/>
    <w:rsid w:val="00092505"/>
    <w:rsid w:val="000927EB"/>
    <w:rsid w:val="00092832"/>
    <w:rsid w:val="00092C9A"/>
    <w:rsid w:val="00092D0F"/>
    <w:rsid w:val="00093F4B"/>
    <w:rsid w:val="00093FF2"/>
    <w:rsid w:val="0009437C"/>
    <w:rsid w:val="00096747"/>
    <w:rsid w:val="000973B6"/>
    <w:rsid w:val="000977F5"/>
    <w:rsid w:val="00097BFC"/>
    <w:rsid w:val="00097D02"/>
    <w:rsid w:val="000A1183"/>
    <w:rsid w:val="000A1A47"/>
    <w:rsid w:val="000A1B31"/>
    <w:rsid w:val="000A2121"/>
    <w:rsid w:val="000A2484"/>
    <w:rsid w:val="000A2929"/>
    <w:rsid w:val="000A36CE"/>
    <w:rsid w:val="000A4FFD"/>
    <w:rsid w:val="000A59BF"/>
    <w:rsid w:val="000A66C2"/>
    <w:rsid w:val="000A68A7"/>
    <w:rsid w:val="000A6F68"/>
    <w:rsid w:val="000B1CFE"/>
    <w:rsid w:val="000B210A"/>
    <w:rsid w:val="000B2324"/>
    <w:rsid w:val="000B249B"/>
    <w:rsid w:val="000B2729"/>
    <w:rsid w:val="000B27B2"/>
    <w:rsid w:val="000B2ADE"/>
    <w:rsid w:val="000B3B01"/>
    <w:rsid w:val="000B3C13"/>
    <w:rsid w:val="000B3DB9"/>
    <w:rsid w:val="000B3F02"/>
    <w:rsid w:val="000B4550"/>
    <w:rsid w:val="000B48A2"/>
    <w:rsid w:val="000B48E7"/>
    <w:rsid w:val="000B4E9F"/>
    <w:rsid w:val="000B4F41"/>
    <w:rsid w:val="000B5746"/>
    <w:rsid w:val="000B7663"/>
    <w:rsid w:val="000B7A90"/>
    <w:rsid w:val="000C1106"/>
    <w:rsid w:val="000C11D3"/>
    <w:rsid w:val="000C12F5"/>
    <w:rsid w:val="000C2F62"/>
    <w:rsid w:val="000C3408"/>
    <w:rsid w:val="000C4253"/>
    <w:rsid w:val="000C54AF"/>
    <w:rsid w:val="000C57C5"/>
    <w:rsid w:val="000C5C0F"/>
    <w:rsid w:val="000C5D56"/>
    <w:rsid w:val="000C60D8"/>
    <w:rsid w:val="000C6498"/>
    <w:rsid w:val="000C6F88"/>
    <w:rsid w:val="000C70D9"/>
    <w:rsid w:val="000D0B22"/>
    <w:rsid w:val="000D0D51"/>
    <w:rsid w:val="000D14B3"/>
    <w:rsid w:val="000D1BFB"/>
    <w:rsid w:val="000D1F52"/>
    <w:rsid w:val="000D208B"/>
    <w:rsid w:val="000D263E"/>
    <w:rsid w:val="000D2B8D"/>
    <w:rsid w:val="000D2BD3"/>
    <w:rsid w:val="000D2E41"/>
    <w:rsid w:val="000D342A"/>
    <w:rsid w:val="000D434D"/>
    <w:rsid w:val="000D43CB"/>
    <w:rsid w:val="000D5E7A"/>
    <w:rsid w:val="000D5FAA"/>
    <w:rsid w:val="000D65A4"/>
    <w:rsid w:val="000D6AEF"/>
    <w:rsid w:val="000D7414"/>
    <w:rsid w:val="000E025B"/>
    <w:rsid w:val="000E055F"/>
    <w:rsid w:val="000E0ECB"/>
    <w:rsid w:val="000E153A"/>
    <w:rsid w:val="000E19A8"/>
    <w:rsid w:val="000E1EEA"/>
    <w:rsid w:val="000E4241"/>
    <w:rsid w:val="000E4A42"/>
    <w:rsid w:val="000E5549"/>
    <w:rsid w:val="000E6184"/>
    <w:rsid w:val="000E6476"/>
    <w:rsid w:val="000E78D2"/>
    <w:rsid w:val="000F3332"/>
    <w:rsid w:val="000F33EE"/>
    <w:rsid w:val="000F3511"/>
    <w:rsid w:val="000F401E"/>
    <w:rsid w:val="000F45F0"/>
    <w:rsid w:val="000F5445"/>
    <w:rsid w:val="000F5598"/>
    <w:rsid w:val="000F5673"/>
    <w:rsid w:val="000F67B2"/>
    <w:rsid w:val="000F6CFB"/>
    <w:rsid w:val="000F7121"/>
    <w:rsid w:val="000F74B6"/>
    <w:rsid w:val="000F790F"/>
    <w:rsid w:val="000F7C25"/>
    <w:rsid w:val="000F7E1B"/>
    <w:rsid w:val="000F7F49"/>
    <w:rsid w:val="00100014"/>
    <w:rsid w:val="00100224"/>
    <w:rsid w:val="0010039A"/>
    <w:rsid w:val="001012BD"/>
    <w:rsid w:val="0010177A"/>
    <w:rsid w:val="00101E94"/>
    <w:rsid w:val="00101FB2"/>
    <w:rsid w:val="001028CF"/>
    <w:rsid w:val="00102CB8"/>
    <w:rsid w:val="00102F02"/>
    <w:rsid w:val="0010385D"/>
    <w:rsid w:val="00103E41"/>
    <w:rsid w:val="001041B6"/>
    <w:rsid w:val="00104F55"/>
    <w:rsid w:val="001070EA"/>
    <w:rsid w:val="001076CA"/>
    <w:rsid w:val="00107FF4"/>
    <w:rsid w:val="0011002A"/>
    <w:rsid w:val="001107CE"/>
    <w:rsid w:val="001109F0"/>
    <w:rsid w:val="0011110A"/>
    <w:rsid w:val="001118AF"/>
    <w:rsid w:val="00111CA5"/>
    <w:rsid w:val="0011256E"/>
    <w:rsid w:val="0011352E"/>
    <w:rsid w:val="0011365A"/>
    <w:rsid w:val="00114FC0"/>
    <w:rsid w:val="00115496"/>
    <w:rsid w:val="00115BDB"/>
    <w:rsid w:val="00116DB9"/>
    <w:rsid w:val="00116F28"/>
    <w:rsid w:val="00117597"/>
    <w:rsid w:val="00117CE8"/>
    <w:rsid w:val="00117F28"/>
    <w:rsid w:val="001201F0"/>
    <w:rsid w:val="00121961"/>
    <w:rsid w:val="00121C39"/>
    <w:rsid w:val="00123255"/>
    <w:rsid w:val="0012394A"/>
    <w:rsid w:val="00124D2D"/>
    <w:rsid w:val="00124DA1"/>
    <w:rsid w:val="00125326"/>
    <w:rsid w:val="00125CB5"/>
    <w:rsid w:val="001261B3"/>
    <w:rsid w:val="001264C1"/>
    <w:rsid w:val="00127535"/>
    <w:rsid w:val="001305B2"/>
    <w:rsid w:val="001307BE"/>
    <w:rsid w:val="00130C8F"/>
    <w:rsid w:val="001314F2"/>
    <w:rsid w:val="001317DA"/>
    <w:rsid w:val="00131FFA"/>
    <w:rsid w:val="001323BA"/>
    <w:rsid w:val="0013254D"/>
    <w:rsid w:val="00133643"/>
    <w:rsid w:val="00133AAC"/>
    <w:rsid w:val="00133FBD"/>
    <w:rsid w:val="00134DFD"/>
    <w:rsid w:val="001350B3"/>
    <w:rsid w:val="00136168"/>
    <w:rsid w:val="00136561"/>
    <w:rsid w:val="00136AE8"/>
    <w:rsid w:val="00136B6B"/>
    <w:rsid w:val="001400E1"/>
    <w:rsid w:val="001405FA"/>
    <w:rsid w:val="001408DD"/>
    <w:rsid w:val="001413B3"/>
    <w:rsid w:val="00142533"/>
    <w:rsid w:val="001425C3"/>
    <w:rsid w:val="00142F16"/>
    <w:rsid w:val="001432C1"/>
    <w:rsid w:val="00143E03"/>
    <w:rsid w:val="00143E93"/>
    <w:rsid w:val="00143FA3"/>
    <w:rsid w:val="0014428D"/>
    <w:rsid w:val="0014514D"/>
    <w:rsid w:val="00145AF9"/>
    <w:rsid w:val="00146FE4"/>
    <w:rsid w:val="0014731B"/>
    <w:rsid w:val="00147E55"/>
    <w:rsid w:val="00150040"/>
    <w:rsid w:val="001500FC"/>
    <w:rsid w:val="00150635"/>
    <w:rsid w:val="00150CEC"/>
    <w:rsid w:val="00151AC0"/>
    <w:rsid w:val="00151B27"/>
    <w:rsid w:val="00152046"/>
    <w:rsid w:val="001520AF"/>
    <w:rsid w:val="00152488"/>
    <w:rsid w:val="00152E53"/>
    <w:rsid w:val="00152FDD"/>
    <w:rsid w:val="0015323B"/>
    <w:rsid w:val="00153FED"/>
    <w:rsid w:val="00154147"/>
    <w:rsid w:val="001550F3"/>
    <w:rsid w:val="00155746"/>
    <w:rsid w:val="00156318"/>
    <w:rsid w:val="0015639A"/>
    <w:rsid w:val="0016081D"/>
    <w:rsid w:val="00160CF3"/>
    <w:rsid w:val="00160DCA"/>
    <w:rsid w:val="00160E61"/>
    <w:rsid w:val="00161300"/>
    <w:rsid w:val="00161DB6"/>
    <w:rsid w:val="001620FA"/>
    <w:rsid w:val="00162853"/>
    <w:rsid w:val="00162C62"/>
    <w:rsid w:val="00163793"/>
    <w:rsid w:val="00163841"/>
    <w:rsid w:val="00163F4D"/>
    <w:rsid w:val="00164978"/>
    <w:rsid w:val="001663DE"/>
    <w:rsid w:val="00167FB2"/>
    <w:rsid w:val="001707DE"/>
    <w:rsid w:val="00170B04"/>
    <w:rsid w:val="00170F47"/>
    <w:rsid w:val="001711F2"/>
    <w:rsid w:val="001714F2"/>
    <w:rsid w:val="001718C2"/>
    <w:rsid w:val="00171E6C"/>
    <w:rsid w:val="00172B64"/>
    <w:rsid w:val="00173583"/>
    <w:rsid w:val="00173642"/>
    <w:rsid w:val="001736BB"/>
    <w:rsid w:val="00173AF4"/>
    <w:rsid w:val="00173CB0"/>
    <w:rsid w:val="00174CE8"/>
    <w:rsid w:val="00174E7D"/>
    <w:rsid w:val="001752CB"/>
    <w:rsid w:val="00175351"/>
    <w:rsid w:val="00175F60"/>
    <w:rsid w:val="00176050"/>
    <w:rsid w:val="001764D8"/>
    <w:rsid w:val="00176A8F"/>
    <w:rsid w:val="00180D58"/>
    <w:rsid w:val="00181410"/>
    <w:rsid w:val="001814AE"/>
    <w:rsid w:val="00181938"/>
    <w:rsid w:val="001827CE"/>
    <w:rsid w:val="00182981"/>
    <w:rsid w:val="001833E9"/>
    <w:rsid w:val="00184CF9"/>
    <w:rsid w:val="00184DE8"/>
    <w:rsid w:val="00185010"/>
    <w:rsid w:val="001852EC"/>
    <w:rsid w:val="00185D56"/>
    <w:rsid w:val="00186447"/>
    <w:rsid w:val="001874CF"/>
    <w:rsid w:val="00187F91"/>
    <w:rsid w:val="00190214"/>
    <w:rsid w:val="00190D9B"/>
    <w:rsid w:val="0019161A"/>
    <w:rsid w:val="00191BAE"/>
    <w:rsid w:val="001921B5"/>
    <w:rsid w:val="00193432"/>
    <w:rsid w:val="0019346C"/>
    <w:rsid w:val="0019357D"/>
    <w:rsid w:val="00194096"/>
    <w:rsid w:val="0019431C"/>
    <w:rsid w:val="00194AE3"/>
    <w:rsid w:val="00195335"/>
    <w:rsid w:val="00195444"/>
    <w:rsid w:val="0019579E"/>
    <w:rsid w:val="00197806"/>
    <w:rsid w:val="001A1087"/>
    <w:rsid w:val="001A199D"/>
    <w:rsid w:val="001A2855"/>
    <w:rsid w:val="001A2BDB"/>
    <w:rsid w:val="001A30F4"/>
    <w:rsid w:val="001A47AB"/>
    <w:rsid w:val="001A4C0D"/>
    <w:rsid w:val="001A552F"/>
    <w:rsid w:val="001A56F3"/>
    <w:rsid w:val="001A5A2F"/>
    <w:rsid w:val="001A68CA"/>
    <w:rsid w:val="001A737B"/>
    <w:rsid w:val="001A750C"/>
    <w:rsid w:val="001B008E"/>
    <w:rsid w:val="001B05FE"/>
    <w:rsid w:val="001B1D89"/>
    <w:rsid w:val="001B1EFA"/>
    <w:rsid w:val="001B1FE2"/>
    <w:rsid w:val="001B2143"/>
    <w:rsid w:val="001B3110"/>
    <w:rsid w:val="001B4198"/>
    <w:rsid w:val="001B44BC"/>
    <w:rsid w:val="001B5215"/>
    <w:rsid w:val="001B5888"/>
    <w:rsid w:val="001B5A75"/>
    <w:rsid w:val="001B618F"/>
    <w:rsid w:val="001B6277"/>
    <w:rsid w:val="001B6545"/>
    <w:rsid w:val="001B681B"/>
    <w:rsid w:val="001B6A49"/>
    <w:rsid w:val="001B7231"/>
    <w:rsid w:val="001B74FB"/>
    <w:rsid w:val="001B77A1"/>
    <w:rsid w:val="001C0422"/>
    <w:rsid w:val="001C0B1E"/>
    <w:rsid w:val="001C0E0E"/>
    <w:rsid w:val="001C0E66"/>
    <w:rsid w:val="001C0EB9"/>
    <w:rsid w:val="001C1219"/>
    <w:rsid w:val="001C357A"/>
    <w:rsid w:val="001C3657"/>
    <w:rsid w:val="001C3961"/>
    <w:rsid w:val="001C3A37"/>
    <w:rsid w:val="001C4384"/>
    <w:rsid w:val="001C55F5"/>
    <w:rsid w:val="001C65FF"/>
    <w:rsid w:val="001C6747"/>
    <w:rsid w:val="001C677A"/>
    <w:rsid w:val="001D05E6"/>
    <w:rsid w:val="001D12FB"/>
    <w:rsid w:val="001D1383"/>
    <w:rsid w:val="001D1D45"/>
    <w:rsid w:val="001D1E7C"/>
    <w:rsid w:val="001D2583"/>
    <w:rsid w:val="001D3787"/>
    <w:rsid w:val="001D3A7A"/>
    <w:rsid w:val="001D47E5"/>
    <w:rsid w:val="001D4EEB"/>
    <w:rsid w:val="001D53CB"/>
    <w:rsid w:val="001D584C"/>
    <w:rsid w:val="001D5E1B"/>
    <w:rsid w:val="001D66C1"/>
    <w:rsid w:val="001D6EF6"/>
    <w:rsid w:val="001D7C6F"/>
    <w:rsid w:val="001E0024"/>
    <w:rsid w:val="001E0241"/>
    <w:rsid w:val="001E0735"/>
    <w:rsid w:val="001E0C65"/>
    <w:rsid w:val="001E23E3"/>
    <w:rsid w:val="001E29AF"/>
    <w:rsid w:val="001E3731"/>
    <w:rsid w:val="001E387A"/>
    <w:rsid w:val="001E3DA4"/>
    <w:rsid w:val="001E5469"/>
    <w:rsid w:val="001E5830"/>
    <w:rsid w:val="001E5F62"/>
    <w:rsid w:val="001E684C"/>
    <w:rsid w:val="001E701C"/>
    <w:rsid w:val="001E7552"/>
    <w:rsid w:val="001E7C03"/>
    <w:rsid w:val="001F02AF"/>
    <w:rsid w:val="001F0649"/>
    <w:rsid w:val="001F28F4"/>
    <w:rsid w:val="001F2902"/>
    <w:rsid w:val="001F2CC6"/>
    <w:rsid w:val="001F3055"/>
    <w:rsid w:val="001F31BC"/>
    <w:rsid w:val="001F378E"/>
    <w:rsid w:val="001F3C79"/>
    <w:rsid w:val="001F3D52"/>
    <w:rsid w:val="001F3E68"/>
    <w:rsid w:val="001F4597"/>
    <w:rsid w:val="001F56A9"/>
    <w:rsid w:val="001F5C6A"/>
    <w:rsid w:val="001F63A7"/>
    <w:rsid w:val="001F670A"/>
    <w:rsid w:val="001F7C2A"/>
    <w:rsid w:val="00200D15"/>
    <w:rsid w:val="00200D2A"/>
    <w:rsid w:val="00201E7B"/>
    <w:rsid w:val="0020223B"/>
    <w:rsid w:val="0020294A"/>
    <w:rsid w:val="00203074"/>
    <w:rsid w:val="0020340C"/>
    <w:rsid w:val="00203B09"/>
    <w:rsid w:val="00203B46"/>
    <w:rsid w:val="00203FCB"/>
    <w:rsid w:val="002047DA"/>
    <w:rsid w:val="002048E1"/>
    <w:rsid w:val="00205711"/>
    <w:rsid w:val="002070AB"/>
    <w:rsid w:val="00207DB6"/>
    <w:rsid w:val="00210278"/>
    <w:rsid w:val="00210CC2"/>
    <w:rsid w:val="00210F5B"/>
    <w:rsid w:val="00210FFA"/>
    <w:rsid w:val="00211262"/>
    <w:rsid w:val="0021139C"/>
    <w:rsid w:val="002115F5"/>
    <w:rsid w:val="00211AC9"/>
    <w:rsid w:val="00212491"/>
    <w:rsid w:val="0021329E"/>
    <w:rsid w:val="002133D5"/>
    <w:rsid w:val="0021355B"/>
    <w:rsid w:val="002137A1"/>
    <w:rsid w:val="0021396F"/>
    <w:rsid w:val="00215061"/>
    <w:rsid w:val="0021507A"/>
    <w:rsid w:val="0021552C"/>
    <w:rsid w:val="00215A2C"/>
    <w:rsid w:val="00217980"/>
    <w:rsid w:val="002179F9"/>
    <w:rsid w:val="002205F2"/>
    <w:rsid w:val="0022080E"/>
    <w:rsid w:val="00220895"/>
    <w:rsid w:val="00220B20"/>
    <w:rsid w:val="0022139E"/>
    <w:rsid w:val="002224C1"/>
    <w:rsid w:val="0022272B"/>
    <w:rsid w:val="00222A99"/>
    <w:rsid w:val="00223678"/>
    <w:rsid w:val="002236F7"/>
    <w:rsid w:val="00223E00"/>
    <w:rsid w:val="00224048"/>
    <w:rsid w:val="00224123"/>
    <w:rsid w:val="002244CE"/>
    <w:rsid w:val="002250AD"/>
    <w:rsid w:val="002252E0"/>
    <w:rsid w:val="002255F6"/>
    <w:rsid w:val="00225F36"/>
    <w:rsid w:val="00226466"/>
    <w:rsid w:val="002266D0"/>
    <w:rsid w:val="00226887"/>
    <w:rsid w:val="00227991"/>
    <w:rsid w:val="00227A27"/>
    <w:rsid w:val="00230574"/>
    <w:rsid w:val="00230CA7"/>
    <w:rsid w:val="00230DAD"/>
    <w:rsid w:val="0023229C"/>
    <w:rsid w:val="00232A3C"/>
    <w:rsid w:val="0023301B"/>
    <w:rsid w:val="002334DF"/>
    <w:rsid w:val="0023355C"/>
    <w:rsid w:val="00234280"/>
    <w:rsid w:val="00234DD5"/>
    <w:rsid w:val="00235000"/>
    <w:rsid w:val="002350E3"/>
    <w:rsid w:val="00235330"/>
    <w:rsid w:val="00236443"/>
    <w:rsid w:val="00240773"/>
    <w:rsid w:val="00240815"/>
    <w:rsid w:val="00240924"/>
    <w:rsid w:val="00240A5B"/>
    <w:rsid w:val="00240C76"/>
    <w:rsid w:val="002411EF"/>
    <w:rsid w:val="00241446"/>
    <w:rsid w:val="00241FC7"/>
    <w:rsid w:val="00242730"/>
    <w:rsid w:val="002436BA"/>
    <w:rsid w:val="002439C3"/>
    <w:rsid w:val="002444ED"/>
    <w:rsid w:val="00244A15"/>
    <w:rsid w:val="00244D40"/>
    <w:rsid w:val="002452E5"/>
    <w:rsid w:val="0024644F"/>
    <w:rsid w:val="00246AE9"/>
    <w:rsid w:val="002473CA"/>
    <w:rsid w:val="0024799E"/>
    <w:rsid w:val="00250C59"/>
    <w:rsid w:val="00250E0D"/>
    <w:rsid w:val="002518F6"/>
    <w:rsid w:val="00251D59"/>
    <w:rsid w:val="00252602"/>
    <w:rsid w:val="00252609"/>
    <w:rsid w:val="00252FDC"/>
    <w:rsid w:val="002532E2"/>
    <w:rsid w:val="00253E11"/>
    <w:rsid w:val="00254069"/>
    <w:rsid w:val="00254B3B"/>
    <w:rsid w:val="00254C4B"/>
    <w:rsid w:val="002550D8"/>
    <w:rsid w:val="00255A44"/>
    <w:rsid w:val="00257083"/>
    <w:rsid w:val="00257613"/>
    <w:rsid w:val="002609C2"/>
    <w:rsid w:val="00261A0F"/>
    <w:rsid w:val="00261E5B"/>
    <w:rsid w:val="00262EB9"/>
    <w:rsid w:val="00262F34"/>
    <w:rsid w:val="002633E5"/>
    <w:rsid w:val="00263470"/>
    <w:rsid w:val="00263733"/>
    <w:rsid w:val="00264676"/>
    <w:rsid w:val="00264A46"/>
    <w:rsid w:val="00265536"/>
    <w:rsid w:val="0026595E"/>
    <w:rsid w:val="00265E54"/>
    <w:rsid w:val="00266306"/>
    <w:rsid w:val="002664A1"/>
    <w:rsid w:val="00266534"/>
    <w:rsid w:val="00266F3E"/>
    <w:rsid w:val="00270785"/>
    <w:rsid w:val="00271B9B"/>
    <w:rsid w:val="0027224A"/>
    <w:rsid w:val="00272464"/>
    <w:rsid w:val="00272B0B"/>
    <w:rsid w:val="00272CC5"/>
    <w:rsid w:val="00273C60"/>
    <w:rsid w:val="00273DCD"/>
    <w:rsid w:val="00274291"/>
    <w:rsid w:val="00276C09"/>
    <w:rsid w:val="00276CFE"/>
    <w:rsid w:val="00277071"/>
    <w:rsid w:val="002776A5"/>
    <w:rsid w:val="0027786C"/>
    <w:rsid w:val="00277BF7"/>
    <w:rsid w:val="0028019B"/>
    <w:rsid w:val="00280A72"/>
    <w:rsid w:val="00281416"/>
    <w:rsid w:val="00282084"/>
    <w:rsid w:val="00283720"/>
    <w:rsid w:val="00283C61"/>
    <w:rsid w:val="00283D6A"/>
    <w:rsid w:val="00284C6F"/>
    <w:rsid w:val="00285CD3"/>
    <w:rsid w:val="0028633E"/>
    <w:rsid w:val="0028686A"/>
    <w:rsid w:val="00286E66"/>
    <w:rsid w:val="002870B7"/>
    <w:rsid w:val="002919B5"/>
    <w:rsid w:val="002920F5"/>
    <w:rsid w:val="00292D0B"/>
    <w:rsid w:val="00293441"/>
    <w:rsid w:val="00293553"/>
    <w:rsid w:val="00294238"/>
    <w:rsid w:val="00294776"/>
    <w:rsid w:val="0029493E"/>
    <w:rsid w:val="002962E0"/>
    <w:rsid w:val="00296C2E"/>
    <w:rsid w:val="002A04C7"/>
    <w:rsid w:val="002A1B05"/>
    <w:rsid w:val="002A267F"/>
    <w:rsid w:val="002A3354"/>
    <w:rsid w:val="002A35EA"/>
    <w:rsid w:val="002A37B6"/>
    <w:rsid w:val="002A3BD5"/>
    <w:rsid w:val="002A43A2"/>
    <w:rsid w:val="002A44ED"/>
    <w:rsid w:val="002A4612"/>
    <w:rsid w:val="002A4F70"/>
    <w:rsid w:val="002A5263"/>
    <w:rsid w:val="002A5D3F"/>
    <w:rsid w:val="002A5DF2"/>
    <w:rsid w:val="002A63B9"/>
    <w:rsid w:val="002A6821"/>
    <w:rsid w:val="002A6F67"/>
    <w:rsid w:val="002A74D2"/>
    <w:rsid w:val="002A7A78"/>
    <w:rsid w:val="002A7CDA"/>
    <w:rsid w:val="002A7F47"/>
    <w:rsid w:val="002B1544"/>
    <w:rsid w:val="002B1DC1"/>
    <w:rsid w:val="002B36C8"/>
    <w:rsid w:val="002B385B"/>
    <w:rsid w:val="002B4ADE"/>
    <w:rsid w:val="002B6B7A"/>
    <w:rsid w:val="002B71B4"/>
    <w:rsid w:val="002B7240"/>
    <w:rsid w:val="002B725B"/>
    <w:rsid w:val="002B7323"/>
    <w:rsid w:val="002B7937"/>
    <w:rsid w:val="002C0FF4"/>
    <w:rsid w:val="002C125A"/>
    <w:rsid w:val="002C2668"/>
    <w:rsid w:val="002C43BD"/>
    <w:rsid w:val="002C493D"/>
    <w:rsid w:val="002C5261"/>
    <w:rsid w:val="002C5CB7"/>
    <w:rsid w:val="002C6091"/>
    <w:rsid w:val="002C63C1"/>
    <w:rsid w:val="002C6A6E"/>
    <w:rsid w:val="002C6B16"/>
    <w:rsid w:val="002D0562"/>
    <w:rsid w:val="002D1B5A"/>
    <w:rsid w:val="002D2500"/>
    <w:rsid w:val="002D338A"/>
    <w:rsid w:val="002D3E4C"/>
    <w:rsid w:val="002D3F00"/>
    <w:rsid w:val="002D4A1E"/>
    <w:rsid w:val="002D4D59"/>
    <w:rsid w:val="002D50CF"/>
    <w:rsid w:val="002D54BF"/>
    <w:rsid w:val="002D5C3D"/>
    <w:rsid w:val="002D5E94"/>
    <w:rsid w:val="002D632D"/>
    <w:rsid w:val="002D6B01"/>
    <w:rsid w:val="002D6B11"/>
    <w:rsid w:val="002D6FC7"/>
    <w:rsid w:val="002D778C"/>
    <w:rsid w:val="002D7EF4"/>
    <w:rsid w:val="002E02A1"/>
    <w:rsid w:val="002E0982"/>
    <w:rsid w:val="002E0DB9"/>
    <w:rsid w:val="002E10D3"/>
    <w:rsid w:val="002E1BFA"/>
    <w:rsid w:val="002E1C23"/>
    <w:rsid w:val="002E2CE4"/>
    <w:rsid w:val="002E31A0"/>
    <w:rsid w:val="002E34F3"/>
    <w:rsid w:val="002E4217"/>
    <w:rsid w:val="002E435E"/>
    <w:rsid w:val="002E4C1C"/>
    <w:rsid w:val="002E6DB8"/>
    <w:rsid w:val="002E73F2"/>
    <w:rsid w:val="002F0709"/>
    <w:rsid w:val="002F0FDB"/>
    <w:rsid w:val="002F149A"/>
    <w:rsid w:val="002F19CC"/>
    <w:rsid w:val="002F33FB"/>
    <w:rsid w:val="002F36D0"/>
    <w:rsid w:val="002F663A"/>
    <w:rsid w:val="002F68A4"/>
    <w:rsid w:val="002F7594"/>
    <w:rsid w:val="002F7902"/>
    <w:rsid w:val="003003E7"/>
    <w:rsid w:val="003004EB"/>
    <w:rsid w:val="00300D6F"/>
    <w:rsid w:val="00301357"/>
    <w:rsid w:val="0030192C"/>
    <w:rsid w:val="00301D04"/>
    <w:rsid w:val="003035D4"/>
    <w:rsid w:val="00303A3C"/>
    <w:rsid w:val="00303DCB"/>
    <w:rsid w:val="0030464E"/>
    <w:rsid w:val="00304771"/>
    <w:rsid w:val="00304E6C"/>
    <w:rsid w:val="00305736"/>
    <w:rsid w:val="00305C33"/>
    <w:rsid w:val="0030607B"/>
    <w:rsid w:val="00306C5B"/>
    <w:rsid w:val="00306E3B"/>
    <w:rsid w:val="0030768C"/>
    <w:rsid w:val="00310ADB"/>
    <w:rsid w:val="003119B6"/>
    <w:rsid w:val="003124EF"/>
    <w:rsid w:val="00312A00"/>
    <w:rsid w:val="00312C3D"/>
    <w:rsid w:val="003131A6"/>
    <w:rsid w:val="00313F7F"/>
    <w:rsid w:val="00314331"/>
    <w:rsid w:val="00317E31"/>
    <w:rsid w:val="00320214"/>
    <w:rsid w:val="003209D6"/>
    <w:rsid w:val="0032109A"/>
    <w:rsid w:val="0032214F"/>
    <w:rsid w:val="00322164"/>
    <w:rsid w:val="00322719"/>
    <w:rsid w:val="0032330F"/>
    <w:rsid w:val="00323486"/>
    <w:rsid w:val="00323A13"/>
    <w:rsid w:val="00323CF7"/>
    <w:rsid w:val="00323E61"/>
    <w:rsid w:val="00324055"/>
    <w:rsid w:val="0032513D"/>
    <w:rsid w:val="00326251"/>
    <w:rsid w:val="0032739C"/>
    <w:rsid w:val="003273BB"/>
    <w:rsid w:val="00327602"/>
    <w:rsid w:val="003276D1"/>
    <w:rsid w:val="00327DEE"/>
    <w:rsid w:val="003301FD"/>
    <w:rsid w:val="003302DA"/>
    <w:rsid w:val="00330EB0"/>
    <w:rsid w:val="00331574"/>
    <w:rsid w:val="0033229B"/>
    <w:rsid w:val="003329F3"/>
    <w:rsid w:val="00333134"/>
    <w:rsid w:val="0033352E"/>
    <w:rsid w:val="00333690"/>
    <w:rsid w:val="00333D20"/>
    <w:rsid w:val="00333F53"/>
    <w:rsid w:val="003340EF"/>
    <w:rsid w:val="00334A49"/>
    <w:rsid w:val="0033536F"/>
    <w:rsid w:val="00335BB0"/>
    <w:rsid w:val="00335BE6"/>
    <w:rsid w:val="00335E99"/>
    <w:rsid w:val="0033627B"/>
    <w:rsid w:val="003406BD"/>
    <w:rsid w:val="00343474"/>
    <w:rsid w:val="00343F84"/>
    <w:rsid w:val="00344135"/>
    <w:rsid w:val="003450E2"/>
    <w:rsid w:val="00351315"/>
    <w:rsid w:val="00351B63"/>
    <w:rsid w:val="00352482"/>
    <w:rsid w:val="00352E57"/>
    <w:rsid w:val="00352FC0"/>
    <w:rsid w:val="003541B0"/>
    <w:rsid w:val="0035457E"/>
    <w:rsid w:val="00355885"/>
    <w:rsid w:val="00355CAA"/>
    <w:rsid w:val="0035605E"/>
    <w:rsid w:val="00356244"/>
    <w:rsid w:val="00356CAE"/>
    <w:rsid w:val="00356FED"/>
    <w:rsid w:val="00357449"/>
    <w:rsid w:val="00357C28"/>
    <w:rsid w:val="00361F76"/>
    <w:rsid w:val="0036238B"/>
    <w:rsid w:val="00362408"/>
    <w:rsid w:val="003630B0"/>
    <w:rsid w:val="00364087"/>
    <w:rsid w:val="003649FC"/>
    <w:rsid w:val="00364C0E"/>
    <w:rsid w:val="00364EAD"/>
    <w:rsid w:val="003651A4"/>
    <w:rsid w:val="00365680"/>
    <w:rsid w:val="003657F3"/>
    <w:rsid w:val="00366D4D"/>
    <w:rsid w:val="00366F77"/>
    <w:rsid w:val="00367038"/>
    <w:rsid w:val="003670FE"/>
    <w:rsid w:val="0036710C"/>
    <w:rsid w:val="0037040B"/>
    <w:rsid w:val="00370963"/>
    <w:rsid w:val="0037144E"/>
    <w:rsid w:val="00372272"/>
    <w:rsid w:val="0037290D"/>
    <w:rsid w:val="00372B1D"/>
    <w:rsid w:val="003736B5"/>
    <w:rsid w:val="00374546"/>
    <w:rsid w:val="00374DB6"/>
    <w:rsid w:val="00374F1E"/>
    <w:rsid w:val="003750CF"/>
    <w:rsid w:val="003769F0"/>
    <w:rsid w:val="00376DEC"/>
    <w:rsid w:val="00377200"/>
    <w:rsid w:val="00377666"/>
    <w:rsid w:val="00377E93"/>
    <w:rsid w:val="0038034A"/>
    <w:rsid w:val="00380E04"/>
    <w:rsid w:val="00380E6C"/>
    <w:rsid w:val="00381171"/>
    <w:rsid w:val="0038187C"/>
    <w:rsid w:val="00383227"/>
    <w:rsid w:val="003839C9"/>
    <w:rsid w:val="00383FD2"/>
    <w:rsid w:val="0038422D"/>
    <w:rsid w:val="003843B1"/>
    <w:rsid w:val="00384D8F"/>
    <w:rsid w:val="003857A2"/>
    <w:rsid w:val="00385D71"/>
    <w:rsid w:val="00385D98"/>
    <w:rsid w:val="00385EC5"/>
    <w:rsid w:val="0038658E"/>
    <w:rsid w:val="003875C2"/>
    <w:rsid w:val="0039066E"/>
    <w:rsid w:val="00391C95"/>
    <w:rsid w:val="00392110"/>
    <w:rsid w:val="00392B64"/>
    <w:rsid w:val="00392B9E"/>
    <w:rsid w:val="00393D74"/>
    <w:rsid w:val="003948D7"/>
    <w:rsid w:val="00394D49"/>
    <w:rsid w:val="00396DAC"/>
    <w:rsid w:val="003971D0"/>
    <w:rsid w:val="003A0214"/>
    <w:rsid w:val="003A027D"/>
    <w:rsid w:val="003A1D74"/>
    <w:rsid w:val="003A2B4D"/>
    <w:rsid w:val="003A2D2B"/>
    <w:rsid w:val="003A2DD4"/>
    <w:rsid w:val="003A3982"/>
    <w:rsid w:val="003A3B1C"/>
    <w:rsid w:val="003A4088"/>
    <w:rsid w:val="003A478C"/>
    <w:rsid w:val="003A4F82"/>
    <w:rsid w:val="003A5525"/>
    <w:rsid w:val="003A61F5"/>
    <w:rsid w:val="003A6B38"/>
    <w:rsid w:val="003B2142"/>
    <w:rsid w:val="003B2580"/>
    <w:rsid w:val="003B2721"/>
    <w:rsid w:val="003B293F"/>
    <w:rsid w:val="003B2D28"/>
    <w:rsid w:val="003B2E63"/>
    <w:rsid w:val="003B3189"/>
    <w:rsid w:val="003B3A9D"/>
    <w:rsid w:val="003B3DDD"/>
    <w:rsid w:val="003B5031"/>
    <w:rsid w:val="003B5A32"/>
    <w:rsid w:val="003B6105"/>
    <w:rsid w:val="003B769D"/>
    <w:rsid w:val="003B7F20"/>
    <w:rsid w:val="003C03CC"/>
    <w:rsid w:val="003C04C4"/>
    <w:rsid w:val="003C08E2"/>
    <w:rsid w:val="003C0B96"/>
    <w:rsid w:val="003C0CB5"/>
    <w:rsid w:val="003C26F4"/>
    <w:rsid w:val="003C3686"/>
    <w:rsid w:val="003C3E2C"/>
    <w:rsid w:val="003C4852"/>
    <w:rsid w:val="003C5BC7"/>
    <w:rsid w:val="003C5F05"/>
    <w:rsid w:val="003C601E"/>
    <w:rsid w:val="003C66C4"/>
    <w:rsid w:val="003C6DB9"/>
    <w:rsid w:val="003D1FA0"/>
    <w:rsid w:val="003D2393"/>
    <w:rsid w:val="003D2519"/>
    <w:rsid w:val="003D2C4E"/>
    <w:rsid w:val="003D3600"/>
    <w:rsid w:val="003D3825"/>
    <w:rsid w:val="003D3EC4"/>
    <w:rsid w:val="003D3FB2"/>
    <w:rsid w:val="003D44E2"/>
    <w:rsid w:val="003D4760"/>
    <w:rsid w:val="003D49DC"/>
    <w:rsid w:val="003D49E0"/>
    <w:rsid w:val="003D4DD9"/>
    <w:rsid w:val="003D4FB5"/>
    <w:rsid w:val="003D59BE"/>
    <w:rsid w:val="003D5D7A"/>
    <w:rsid w:val="003D5E4B"/>
    <w:rsid w:val="003D653F"/>
    <w:rsid w:val="003D6B55"/>
    <w:rsid w:val="003E0261"/>
    <w:rsid w:val="003E0663"/>
    <w:rsid w:val="003E133F"/>
    <w:rsid w:val="003E1A70"/>
    <w:rsid w:val="003E2469"/>
    <w:rsid w:val="003E49F6"/>
    <w:rsid w:val="003E699C"/>
    <w:rsid w:val="003E69F3"/>
    <w:rsid w:val="003E782E"/>
    <w:rsid w:val="003E7A0B"/>
    <w:rsid w:val="003E7B2B"/>
    <w:rsid w:val="003E7F69"/>
    <w:rsid w:val="003F01D7"/>
    <w:rsid w:val="003F0293"/>
    <w:rsid w:val="003F116D"/>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D19"/>
    <w:rsid w:val="003F7631"/>
    <w:rsid w:val="003F7948"/>
    <w:rsid w:val="004000D5"/>
    <w:rsid w:val="00400244"/>
    <w:rsid w:val="004005C1"/>
    <w:rsid w:val="00400BBD"/>
    <w:rsid w:val="00401716"/>
    <w:rsid w:val="004018F7"/>
    <w:rsid w:val="00401A09"/>
    <w:rsid w:val="0040273A"/>
    <w:rsid w:val="00402C25"/>
    <w:rsid w:val="004036FB"/>
    <w:rsid w:val="00403D65"/>
    <w:rsid w:val="0040501E"/>
    <w:rsid w:val="004050D7"/>
    <w:rsid w:val="004076EE"/>
    <w:rsid w:val="004078BD"/>
    <w:rsid w:val="00407C32"/>
    <w:rsid w:val="00410132"/>
    <w:rsid w:val="004104E4"/>
    <w:rsid w:val="00410A97"/>
    <w:rsid w:val="00410BCD"/>
    <w:rsid w:val="00410DE5"/>
    <w:rsid w:val="0041175D"/>
    <w:rsid w:val="004117CE"/>
    <w:rsid w:val="00412044"/>
    <w:rsid w:val="004120DE"/>
    <w:rsid w:val="004121D6"/>
    <w:rsid w:val="004123BE"/>
    <w:rsid w:val="0041329F"/>
    <w:rsid w:val="00414CE5"/>
    <w:rsid w:val="00416618"/>
    <w:rsid w:val="00416673"/>
    <w:rsid w:val="0041677D"/>
    <w:rsid w:val="00420D92"/>
    <w:rsid w:val="0042160D"/>
    <w:rsid w:val="0042254E"/>
    <w:rsid w:val="00423A3C"/>
    <w:rsid w:val="00423C04"/>
    <w:rsid w:val="00424D9B"/>
    <w:rsid w:val="00424F18"/>
    <w:rsid w:val="00425612"/>
    <w:rsid w:val="0042681B"/>
    <w:rsid w:val="00426B7F"/>
    <w:rsid w:val="00426E44"/>
    <w:rsid w:val="00427193"/>
    <w:rsid w:val="00427332"/>
    <w:rsid w:val="0043068A"/>
    <w:rsid w:val="004306E0"/>
    <w:rsid w:val="00430BD6"/>
    <w:rsid w:val="00431D54"/>
    <w:rsid w:val="00431F98"/>
    <w:rsid w:val="004325CC"/>
    <w:rsid w:val="004329BE"/>
    <w:rsid w:val="00432C38"/>
    <w:rsid w:val="004333B9"/>
    <w:rsid w:val="004342EC"/>
    <w:rsid w:val="00434D5A"/>
    <w:rsid w:val="00435874"/>
    <w:rsid w:val="00436EDB"/>
    <w:rsid w:val="00437C76"/>
    <w:rsid w:val="00437F4A"/>
    <w:rsid w:val="0044105C"/>
    <w:rsid w:val="00441306"/>
    <w:rsid w:val="00442197"/>
    <w:rsid w:val="00442BD1"/>
    <w:rsid w:val="00443293"/>
    <w:rsid w:val="00443CC7"/>
    <w:rsid w:val="00443E95"/>
    <w:rsid w:val="004441A0"/>
    <w:rsid w:val="00444268"/>
    <w:rsid w:val="00444326"/>
    <w:rsid w:val="004443BF"/>
    <w:rsid w:val="00444C19"/>
    <w:rsid w:val="00444EC5"/>
    <w:rsid w:val="00445218"/>
    <w:rsid w:val="00445CDD"/>
    <w:rsid w:val="0044683E"/>
    <w:rsid w:val="00446892"/>
    <w:rsid w:val="00447267"/>
    <w:rsid w:val="004475C7"/>
    <w:rsid w:val="00447E36"/>
    <w:rsid w:val="00450700"/>
    <w:rsid w:val="00450C30"/>
    <w:rsid w:val="004514C2"/>
    <w:rsid w:val="004522AE"/>
    <w:rsid w:val="004529C7"/>
    <w:rsid w:val="004540FF"/>
    <w:rsid w:val="004541F1"/>
    <w:rsid w:val="00454921"/>
    <w:rsid w:val="00454D31"/>
    <w:rsid w:val="00455BB8"/>
    <w:rsid w:val="00455ECA"/>
    <w:rsid w:val="00456EA3"/>
    <w:rsid w:val="0045707D"/>
    <w:rsid w:val="004570DE"/>
    <w:rsid w:val="00457296"/>
    <w:rsid w:val="00457320"/>
    <w:rsid w:val="00457D0F"/>
    <w:rsid w:val="00460164"/>
    <w:rsid w:val="0046039A"/>
    <w:rsid w:val="00460A6B"/>
    <w:rsid w:val="00460F61"/>
    <w:rsid w:val="004616F1"/>
    <w:rsid w:val="00461977"/>
    <w:rsid w:val="00461A3F"/>
    <w:rsid w:val="00461C4C"/>
    <w:rsid w:val="004620C7"/>
    <w:rsid w:val="004629FD"/>
    <w:rsid w:val="00462AD2"/>
    <w:rsid w:val="00463B4B"/>
    <w:rsid w:val="00463F4D"/>
    <w:rsid w:val="00464658"/>
    <w:rsid w:val="0046471F"/>
    <w:rsid w:val="00464BE8"/>
    <w:rsid w:val="00465019"/>
    <w:rsid w:val="00465317"/>
    <w:rsid w:val="00465FA4"/>
    <w:rsid w:val="0046613F"/>
    <w:rsid w:val="0046655D"/>
    <w:rsid w:val="00466808"/>
    <w:rsid w:val="00466AAE"/>
    <w:rsid w:val="0046765E"/>
    <w:rsid w:val="004676E2"/>
    <w:rsid w:val="004703E3"/>
    <w:rsid w:val="00471B64"/>
    <w:rsid w:val="00471EDD"/>
    <w:rsid w:val="00473E94"/>
    <w:rsid w:val="0047400C"/>
    <w:rsid w:val="00474471"/>
    <w:rsid w:val="004745D9"/>
    <w:rsid w:val="00474619"/>
    <w:rsid w:val="0047494A"/>
    <w:rsid w:val="00474B94"/>
    <w:rsid w:val="00475076"/>
    <w:rsid w:val="004761D2"/>
    <w:rsid w:val="004762D8"/>
    <w:rsid w:val="004765B3"/>
    <w:rsid w:val="00476D29"/>
    <w:rsid w:val="00477241"/>
    <w:rsid w:val="0047728F"/>
    <w:rsid w:val="004774F5"/>
    <w:rsid w:val="00477EAF"/>
    <w:rsid w:val="00477EE0"/>
    <w:rsid w:val="00480AB8"/>
    <w:rsid w:val="0048139F"/>
    <w:rsid w:val="00481C00"/>
    <w:rsid w:val="00483053"/>
    <w:rsid w:val="00484874"/>
    <w:rsid w:val="00485230"/>
    <w:rsid w:val="00487127"/>
    <w:rsid w:val="004879E9"/>
    <w:rsid w:val="00487F81"/>
    <w:rsid w:val="00490082"/>
    <w:rsid w:val="00490247"/>
    <w:rsid w:val="00490524"/>
    <w:rsid w:val="00490B20"/>
    <w:rsid w:val="0049104F"/>
    <w:rsid w:val="00491218"/>
    <w:rsid w:val="00491CFD"/>
    <w:rsid w:val="00492991"/>
    <w:rsid w:val="00493362"/>
    <w:rsid w:val="00493F5F"/>
    <w:rsid w:val="00494343"/>
    <w:rsid w:val="00494AAB"/>
    <w:rsid w:val="00494FB8"/>
    <w:rsid w:val="0049548B"/>
    <w:rsid w:val="00496C2F"/>
    <w:rsid w:val="0049740D"/>
    <w:rsid w:val="004978D3"/>
    <w:rsid w:val="004A06A6"/>
    <w:rsid w:val="004A1160"/>
    <w:rsid w:val="004A11F8"/>
    <w:rsid w:val="004A22BD"/>
    <w:rsid w:val="004A22FA"/>
    <w:rsid w:val="004A25E2"/>
    <w:rsid w:val="004A269A"/>
    <w:rsid w:val="004A26AF"/>
    <w:rsid w:val="004A26DB"/>
    <w:rsid w:val="004A30FB"/>
    <w:rsid w:val="004A35DD"/>
    <w:rsid w:val="004A37D3"/>
    <w:rsid w:val="004A3AD6"/>
    <w:rsid w:val="004A3BCE"/>
    <w:rsid w:val="004A4A6D"/>
    <w:rsid w:val="004A4D61"/>
    <w:rsid w:val="004A5155"/>
    <w:rsid w:val="004A56EB"/>
    <w:rsid w:val="004A5865"/>
    <w:rsid w:val="004A7670"/>
    <w:rsid w:val="004A77DF"/>
    <w:rsid w:val="004B0295"/>
    <w:rsid w:val="004B0803"/>
    <w:rsid w:val="004B10A8"/>
    <w:rsid w:val="004B1F58"/>
    <w:rsid w:val="004B1F9D"/>
    <w:rsid w:val="004B2093"/>
    <w:rsid w:val="004B22DA"/>
    <w:rsid w:val="004B314A"/>
    <w:rsid w:val="004B3CB7"/>
    <w:rsid w:val="004B3D55"/>
    <w:rsid w:val="004B41DC"/>
    <w:rsid w:val="004B55B7"/>
    <w:rsid w:val="004B5836"/>
    <w:rsid w:val="004B5E1F"/>
    <w:rsid w:val="004B5F05"/>
    <w:rsid w:val="004C0009"/>
    <w:rsid w:val="004C00A6"/>
    <w:rsid w:val="004C0243"/>
    <w:rsid w:val="004C08F1"/>
    <w:rsid w:val="004C0B46"/>
    <w:rsid w:val="004C0BBB"/>
    <w:rsid w:val="004C1AD6"/>
    <w:rsid w:val="004C1B86"/>
    <w:rsid w:val="004C1DEE"/>
    <w:rsid w:val="004C3382"/>
    <w:rsid w:val="004C3867"/>
    <w:rsid w:val="004C4AB7"/>
    <w:rsid w:val="004C4B88"/>
    <w:rsid w:val="004C4CD0"/>
    <w:rsid w:val="004C5121"/>
    <w:rsid w:val="004C57B5"/>
    <w:rsid w:val="004C5C25"/>
    <w:rsid w:val="004C6717"/>
    <w:rsid w:val="004C6CFF"/>
    <w:rsid w:val="004C7065"/>
    <w:rsid w:val="004C70DC"/>
    <w:rsid w:val="004C7268"/>
    <w:rsid w:val="004C77A8"/>
    <w:rsid w:val="004C7C50"/>
    <w:rsid w:val="004D0211"/>
    <w:rsid w:val="004D1C9C"/>
    <w:rsid w:val="004D2A0E"/>
    <w:rsid w:val="004D2D7A"/>
    <w:rsid w:val="004D3B7D"/>
    <w:rsid w:val="004D458D"/>
    <w:rsid w:val="004D474F"/>
    <w:rsid w:val="004D4F13"/>
    <w:rsid w:val="004D504B"/>
    <w:rsid w:val="004D536E"/>
    <w:rsid w:val="004D58CE"/>
    <w:rsid w:val="004D6307"/>
    <w:rsid w:val="004D70B1"/>
    <w:rsid w:val="004D745A"/>
    <w:rsid w:val="004D76CC"/>
    <w:rsid w:val="004E1415"/>
    <w:rsid w:val="004E1839"/>
    <w:rsid w:val="004E38D2"/>
    <w:rsid w:val="004E4A75"/>
    <w:rsid w:val="004E541A"/>
    <w:rsid w:val="004E5A5C"/>
    <w:rsid w:val="004E7007"/>
    <w:rsid w:val="004E70ED"/>
    <w:rsid w:val="004E76D6"/>
    <w:rsid w:val="004E7F57"/>
    <w:rsid w:val="004F06F5"/>
    <w:rsid w:val="004F0B25"/>
    <w:rsid w:val="004F191F"/>
    <w:rsid w:val="004F2A4D"/>
    <w:rsid w:val="004F2A73"/>
    <w:rsid w:val="004F33A0"/>
    <w:rsid w:val="004F353A"/>
    <w:rsid w:val="004F3B06"/>
    <w:rsid w:val="004F4353"/>
    <w:rsid w:val="004F447D"/>
    <w:rsid w:val="004F4C28"/>
    <w:rsid w:val="004F4E82"/>
    <w:rsid w:val="004F5470"/>
    <w:rsid w:val="004F5950"/>
    <w:rsid w:val="004F5CC5"/>
    <w:rsid w:val="004F5DCC"/>
    <w:rsid w:val="004F6350"/>
    <w:rsid w:val="004F7170"/>
    <w:rsid w:val="00501BFD"/>
    <w:rsid w:val="005028E1"/>
    <w:rsid w:val="00503955"/>
    <w:rsid w:val="005041D8"/>
    <w:rsid w:val="00505989"/>
    <w:rsid w:val="00506309"/>
    <w:rsid w:val="0050692E"/>
    <w:rsid w:val="00507040"/>
    <w:rsid w:val="00507638"/>
    <w:rsid w:val="005079F8"/>
    <w:rsid w:val="00507A87"/>
    <w:rsid w:val="00510189"/>
    <w:rsid w:val="00510428"/>
    <w:rsid w:val="005108C0"/>
    <w:rsid w:val="00510C81"/>
    <w:rsid w:val="00511873"/>
    <w:rsid w:val="00512495"/>
    <w:rsid w:val="00512603"/>
    <w:rsid w:val="00512B54"/>
    <w:rsid w:val="00512CC5"/>
    <w:rsid w:val="0051367B"/>
    <w:rsid w:val="00513A89"/>
    <w:rsid w:val="00513B7E"/>
    <w:rsid w:val="005140DE"/>
    <w:rsid w:val="00514474"/>
    <w:rsid w:val="005147E9"/>
    <w:rsid w:val="0051507D"/>
    <w:rsid w:val="0051593C"/>
    <w:rsid w:val="0051668A"/>
    <w:rsid w:val="00516CF6"/>
    <w:rsid w:val="00516F2B"/>
    <w:rsid w:val="00517567"/>
    <w:rsid w:val="0051778E"/>
    <w:rsid w:val="005177BB"/>
    <w:rsid w:val="005215EF"/>
    <w:rsid w:val="00521CFC"/>
    <w:rsid w:val="00522795"/>
    <w:rsid w:val="00522F36"/>
    <w:rsid w:val="00524637"/>
    <w:rsid w:val="0052495F"/>
    <w:rsid w:val="00524FDD"/>
    <w:rsid w:val="00525137"/>
    <w:rsid w:val="005251DD"/>
    <w:rsid w:val="005257A8"/>
    <w:rsid w:val="00526A54"/>
    <w:rsid w:val="00526D50"/>
    <w:rsid w:val="00526DB6"/>
    <w:rsid w:val="00527F5A"/>
    <w:rsid w:val="005300CB"/>
    <w:rsid w:val="0053017A"/>
    <w:rsid w:val="0053030C"/>
    <w:rsid w:val="00530492"/>
    <w:rsid w:val="005308E4"/>
    <w:rsid w:val="005325A8"/>
    <w:rsid w:val="00532854"/>
    <w:rsid w:val="005350F2"/>
    <w:rsid w:val="00535152"/>
    <w:rsid w:val="00535359"/>
    <w:rsid w:val="005357A2"/>
    <w:rsid w:val="005359E3"/>
    <w:rsid w:val="00535D87"/>
    <w:rsid w:val="00535EF0"/>
    <w:rsid w:val="00535F78"/>
    <w:rsid w:val="005363DF"/>
    <w:rsid w:val="005369CF"/>
    <w:rsid w:val="0053734B"/>
    <w:rsid w:val="005375B1"/>
    <w:rsid w:val="00537AFD"/>
    <w:rsid w:val="00537CB4"/>
    <w:rsid w:val="00540CB3"/>
    <w:rsid w:val="00540D25"/>
    <w:rsid w:val="005412E0"/>
    <w:rsid w:val="00541822"/>
    <w:rsid w:val="00542D19"/>
    <w:rsid w:val="00543989"/>
    <w:rsid w:val="005440E1"/>
    <w:rsid w:val="0054516B"/>
    <w:rsid w:val="0054531C"/>
    <w:rsid w:val="0054559E"/>
    <w:rsid w:val="005459BD"/>
    <w:rsid w:val="00546833"/>
    <w:rsid w:val="0054787A"/>
    <w:rsid w:val="00551147"/>
    <w:rsid w:val="00551259"/>
    <w:rsid w:val="005513D5"/>
    <w:rsid w:val="00551A4F"/>
    <w:rsid w:val="00552112"/>
    <w:rsid w:val="005523B9"/>
    <w:rsid w:val="005538E2"/>
    <w:rsid w:val="00553C88"/>
    <w:rsid w:val="005545E0"/>
    <w:rsid w:val="00554865"/>
    <w:rsid w:val="00554E57"/>
    <w:rsid w:val="00556C12"/>
    <w:rsid w:val="00557E6A"/>
    <w:rsid w:val="00562749"/>
    <w:rsid w:val="00562DE9"/>
    <w:rsid w:val="0056303C"/>
    <w:rsid w:val="00563270"/>
    <w:rsid w:val="005638A5"/>
    <w:rsid w:val="00564137"/>
    <w:rsid w:val="00566381"/>
    <w:rsid w:val="00566A03"/>
    <w:rsid w:val="00571932"/>
    <w:rsid w:val="00573A00"/>
    <w:rsid w:val="00573C97"/>
    <w:rsid w:val="00574240"/>
    <w:rsid w:val="005743B4"/>
    <w:rsid w:val="0057454C"/>
    <w:rsid w:val="005752BD"/>
    <w:rsid w:val="005752EB"/>
    <w:rsid w:val="005755FE"/>
    <w:rsid w:val="0057569E"/>
    <w:rsid w:val="00575CDC"/>
    <w:rsid w:val="005765D5"/>
    <w:rsid w:val="00576A3E"/>
    <w:rsid w:val="0057703D"/>
    <w:rsid w:val="005807D6"/>
    <w:rsid w:val="00581892"/>
    <w:rsid w:val="0058366F"/>
    <w:rsid w:val="00583D5B"/>
    <w:rsid w:val="00583FFD"/>
    <w:rsid w:val="00585EFE"/>
    <w:rsid w:val="00587CCD"/>
    <w:rsid w:val="005908AE"/>
    <w:rsid w:val="00590CDE"/>
    <w:rsid w:val="0059176E"/>
    <w:rsid w:val="00592854"/>
    <w:rsid w:val="00593152"/>
    <w:rsid w:val="005934CE"/>
    <w:rsid w:val="00593CA3"/>
    <w:rsid w:val="00593D14"/>
    <w:rsid w:val="00593ECE"/>
    <w:rsid w:val="00594161"/>
    <w:rsid w:val="00594969"/>
    <w:rsid w:val="00594B91"/>
    <w:rsid w:val="00595035"/>
    <w:rsid w:val="005959ED"/>
    <w:rsid w:val="00595C7C"/>
    <w:rsid w:val="0059649D"/>
    <w:rsid w:val="00596601"/>
    <w:rsid w:val="00596C5E"/>
    <w:rsid w:val="005A038A"/>
    <w:rsid w:val="005A198E"/>
    <w:rsid w:val="005A1FEE"/>
    <w:rsid w:val="005A20D8"/>
    <w:rsid w:val="005A2194"/>
    <w:rsid w:val="005A21E0"/>
    <w:rsid w:val="005A3210"/>
    <w:rsid w:val="005A33A1"/>
    <w:rsid w:val="005A3687"/>
    <w:rsid w:val="005A54EE"/>
    <w:rsid w:val="005A563B"/>
    <w:rsid w:val="005A5F82"/>
    <w:rsid w:val="005A61D1"/>
    <w:rsid w:val="005A6CD0"/>
    <w:rsid w:val="005A6E85"/>
    <w:rsid w:val="005A7500"/>
    <w:rsid w:val="005A77E4"/>
    <w:rsid w:val="005A77F6"/>
    <w:rsid w:val="005A7896"/>
    <w:rsid w:val="005B0262"/>
    <w:rsid w:val="005B0B4C"/>
    <w:rsid w:val="005B0B8F"/>
    <w:rsid w:val="005B1BDB"/>
    <w:rsid w:val="005B22A7"/>
    <w:rsid w:val="005B2BAA"/>
    <w:rsid w:val="005B2D53"/>
    <w:rsid w:val="005B3247"/>
    <w:rsid w:val="005B3409"/>
    <w:rsid w:val="005B498A"/>
    <w:rsid w:val="005B513A"/>
    <w:rsid w:val="005B52AE"/>
    <w:rsid w:val="005B6E77"/>
    <w:rsid w:val="005B75C7"/>
    <w:rsid w:val="005B7B12"/>
    <w:rsid w:val="005C16CB"/>
    <w:rsid w:val="005C21D6"/>
    <w:rsid w:val="005C27C5"/>
    <w:rsid w:val="005C3F9F"/>
    <w:rsid w:val="005C406F"/>
    <w:rsid w:val="005C40BA"/>
    <w:rsid w:val="005C419C"/>
    <w:rsid w:val="005C4A23"/>
    <w:rsid w:val="005C562C"/>
    <w:rsid w:val="005C571E"/>
    <w:rsid w:val="005C5812"/>
    <w:rsid w:val="005C5885"/>
    <w:rsid w:val="005C6400"/>
    <w:rsid w:val="005C76F1"/>
    <w:rsid w:val="005C7F1E"/>
    <w:rsid w:val="005D0341"/>
    <w:rsid w:val="005D073B"/>
    <w:rsid w:val="005D11D2"/>
    <w:rsid w:val="005D1E78"/>
    <w:rsid w:val="005D1EDA"/>
    <w:rsid w:val="005D25B4"/>
    <w:rsid w:val="005D374F"/>
    <w:rsid w:val="005D5802"/>
    <w:rsid w:val="005D6CFC"/>
    <w:rsid w:val="005D73E2"/>
    <w:rsid w:val="005D7503"/>
    <w:rsid w:val="005D757A"/>
    <w:rsid w:val="005D76AE"/>
    <w:rsid w:val="005D7C4B"/>
    <w:rsid w:val="005E1871"/>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06"/>
    <w:rsid w:val="005E75B8"/>
    <w:rsid w:val="005F0976"/>
    <w:rsid w:val="005F26CE"/>
    <w:rsid w:val="005F38D3"/>
    <w:rsid w:val="005F393C"/>
    <w:rsid w:val="005F3F04"/>
    <w:rsid w:val="005F4057"/>
    <w:rsid w:val="005F4088"/>
    <w:rsid w:val="005F42F4"/>
    <w:rsid w:val="005F49ED"/>
    <w:rsid w:val="005F4C83"/>
    <w:rsid w:val="005F5628"/>
    <w:rsid w:val="005F5916"/>
    <w:rsid w:val="005F5A4E"/>
    <w:rsid w:val="005F5F61"/>
    <w:rsid w:val="005F601D"/>
    <w:rsid w:val="005F6119"/>
    <w:rsid w:val="005F7940"/>
    <w:rsid w:val="00600712"/>
    <w:rsid w:val="0060091A"/>
    <w:rsid w:val="0060107A"/>
    <w:rsid w:val="00601AFF"/>
    <w:rsid w:val="00602D1D"/>
    <w:rsid w:val="00603A13"/>
    <w:rsid w:val="00604307"/>
    <w:rsid w:val="0060487F"/>
    <w:rsid w:val="00604CF7"/>
    <w:rsid w:val="00605419"/>
    <w:rsid w:val="00605814"/>
    <w:rsid w:val="00606B93"/>
    <w:rsid w:val="00607727"/>
    <w:rsid w:val="00607934"/>
    <w:rsid w:val="00610BD5"/>
    <w:rsid w:val="00611363"/>
    <w:rsid w:val="00611531"/>
    <w:rsid w:val="006118AA"/>
    <w:rsid w:val="0061196F"/>
    <w:rsid w:val="00611C28"/>
    <w:rsid w:val="006122F3"/>
    <w:rsid w:val="00612E84"/>
    <w:rsid w:val="006139C7"/>
    <w:rsid w:val="00615023"/>
    <w:rsid w:val="006150EA"/>
    <w:rsid w:val="006153E3"/>
    <w:rsid w:val="006155F1"/>
    <w:rsid w:val="006167AB"/>
    <w:rsid w:val="0061718A"/>
    <w:rsid w:val="00617D2D"/>
    <w:rsid w:val="00617D83"/>
    <w:rsid w:val="00620430"/>
    <w:rsid w:val="00620AC5"/>
    <w:rsid w:val="00621575"/>
    <w:rsid w:val="006215FC"/>
    <w:rsid w:val="00624093"/>
    <w:rsid w:val="006260B8"/>
    <w:rsid w:val="00626576"/>
    <w:rsid w:val="00627F1F"/>
    <w:rsid w:val="0063030A"/>
    <w:rsid w:val="006305C4"/>
    <w:rsid w:val="00630E82"/>
    <w:rsid w:val="00630F66"/>
    <w:rsid w:val="00631FC2"/>
    <w:rsid w:val="00632171"/>
    <w:rsid w:val="0063332A"/>
    <w:rsid w:val="00633729"/>
    <w:rsid w:val="00633C64"/>
    <w:rsid w:val="006347F9"/>
    <w:rsid w:val="0063494E"/>
    <w:rsid w:val="00634C90"/>
    <w:rsid w:val="00635818"/>
    <w:rsid w:val="00635E79"/>
    <w:rsid w:val="006365E8"/>
    <w:rsid w:val="00636A55"/>
    <w:rsid w:val="00636A84"/>
    <w:rsid w:val="00636E26"/>
    <w:rsid w:val="00636E5E"/>
    <w:rsid w:val="00637211"/>
    <w:rsid w:val="006379E0"/>
    <w:rsid w:val="00637D0E"/>
    <w:rsid w:val="006404A7"/>
    <w:rsid w:val="006407F3"/>
    <w:rsid w:val="006408EC"/>
    <w:rsid w:val="0064129B"/>
    <w:rsid w:val="00641DF7"/>
    <w:rsid w:val="00643497"/>
    <w:rsid w:val="00643735"/>
    <w:rsid w:val="00643A80"/>
    <w:rsid w:val="00644DFC"/>
    <w:rsid w:val="006451E4"/>
    <w:rsid w:val="006454B4"/>
    <w:rsid w:val="0064574A"/>
    <w:rsid w:val="00645A9C"/>
    <w:rsid w:val="006460B8"/>
    <w:rsid w:val="00646448"/>
    <w:rsid w:val="006467D0"/>
    <w:rsid w:val="00646B41"/>
    <w:rsid w:val="006504A0"/>
    <w:rsid w:val="00650784"/>
    <w:rsid w:val="00650C83"/>
    <w:rsid w:val="006520C7"/>
    <w:rsid w:val="006520D5"/>
    <w:rsid w:val="00652179"/>
    <w:rsid w:val="00652CBB"/>
    <w:rsid w:val="00652CF0"/>
    <w:rsid w:val="006530B8"/>
    <w:rsid w:val="006535D6"/>
    <w:rsid w:val="00654093"/>
    <w:rsid w:val="00654E14"/>
    <w:rsid w:val="006564FB"/>
    <w:rsid w:val="00656716"/>
    <w:rsid w:val="006572ED"/>
    <w:rsid w:val="00657E87"/>
    <w:rsid w:val="0066026B"/>
    <w:rsid w:val="00660457"/>
    <w:rsid w:val="00660CB4"/>
    <w:rsid w:val="00660E1E"/>
    <w:rsid w:val="006637B1"/>
    <w:rsid w:val="00663CFD"/>
    <w:rsid w:val="006647AD"/>
    <w:rsid w:val="00664B64"/>
    <w:rsid w:val="00665691"/>
    <w:rsid w:val="00665B35"/>
    <w:rsid w:val="00665D67"/>
    <w:rsid w:val="00665D77"/>
    <w:rsid w:val="006660CD"/>
    <w:rsid w:val="00666883"/>
    <w:rsid w:val="00666B1D"/>
    <w:rsid w:val="00666EC8"/>
    <w:rsid w:val="00666F4B"/>
    <w:rsid w:val="006676D0"/>
    <w:rsid w:val="0066796E"/>
    <w:rsid w:val="00670FAC"/>
    <w:rsid w:val="006710C9"/>
    <w:rsid w:val="006716A5"/>
    <w:rsid w:val="006717CC"/>
    <w:rsid w:val="006743E8"/>
    <w:rsid w:val="00675E37"/>
    <w:rsid w:val="00675E9B"/>
    <w:rsid w:val="00675F0F"/>
    <w:rsid w:val="006764ED"/>
    <w:rsid w:val="00676AFC"/>
    <w:rsid w:val="00676F11"/>
    <w:rsid w:val="00680079"/>
    <w:rsid w:val="00680ECC"/>
    <w:rsid w:val="00680F68"/>
    <w:rsid w:val="0068260E"/>
    <w:rsid w:val="0068373D"/>
    <w:rsid w:val="00683BFE"/>
    <w:rsid w:val="00683EAB"/>
    <w:rsid w:val="00683EC9"/>
    <w:rsid w:val="0068437D"/>
    <w:rsid w:val="006847C5"/>
    <w:rsid w:val="006857DF"/>
    <w:rsid w:val="00685E66"/>
    <w:rsid w:val="00686B72"/>
    <w:rsid w:val="00686BF1"/>
    <w:rsid w:val="006873E5"/>
    <w:rsid w:val="00687AE5"/>
    <w:rsid w:val="00690A09"/>
    <w:rsid w:val="00690A25"/>
    <w:rsid w:val="00691748"/>
    <w:rsid w:val="00691E14"/>
    <w:rsid w:val="0069340D"/>
    <w:rsid w:val="006936AD"/>
    <w:rsid w:val="00693EA1"/>
    <w:rsid w:val="00693FEA"/>
    <w:rsid w:val="00694930"/>
    <w:rsid w:val="00695170"/>
    <w:rsid w:val="00695BEF"/>
    <w:rsid w:val="006960D6"/>
    <w:rsid w:val="006963FB"/>
    <w:rsid w:val="00696AA5"/>
    <w:rsid w:val="006977F6"/>
    <w:rsid w:val="0069789D"/>
    <w:rsid w:val="00697A13"/>
    <w:rsid w:val="006A109C"/>
    <w:rsid w:val="006A14D5"/>
    <w:rsid w:val="006A1582"/>
    <w:rsid w:val="006A18AE"/>
    <w:rsid w:val="006A23E5"/>
    <w:rsid w:val="006A288C"/>
    <w:rsid w:val="006A2EE8"/>
    <w:rsid w:val="006A3CF3"/>
    <w:rsid w:val="006A4522"/>
    <w:rsid w:val="006A568F"/>
    <w:rsid w:val="006A5B57"/>
    <w:rsid w:val="006A65EF"/>
    <w:rsid w:val="006A672B"/>
    <w:rsid w:val="006A683F"/>
    <w:rsid w:val="006A7257"/>
    <w:rsid w:val="006B1781"/>
    <w:rsid w:val="006B1913"/>
    <w:rsid w:val="006B23A9"/>
    <w:rsid w:val="006B23D8"/>
    <w:rsid w:val="006B281D"/>
    <w:rsid w:val="006B3F8A"/>
    <w:rsid w:val="006B5152"/>
    <w:rsid w:val="006B59D7"/>
    <w:rsid w:val="006B5CA3"/>
    <w:rsid w:val="006B6171"/>
    <w:rsid w:val="006B6B3B"/>
    <w:rsid w:val="006B7248"/>
    <w:rsid w:val="006B7714"/>
    <w:rsid w:val="006B78D8"/>
    <w:rsid w:val="006B797F"/>
    <w:rsid w:val="006B7CCE"/>
    <w:rsid w:val="006C090F"/>
    <w:rsid w:val="006C0935"/>
    <w:rsid w:val="006C0BCE"/>
    <w:rsid w:val="006C0E9E"/>
    <w:rsid w:val="006C113F"/>
    <w:rsid w:val="006C1AA9"/>
    <w:rsid w:val="006C1CE7"/>
    <w:rsid w:val="006C20A0"/>
    <w:rsid w:val="006C2927"/>
    <w:rsid w:val="006C2AED"/>
    <w:rsid w:val="006C38DD"/>
    <w:rsid w:val="006C3DC1"/>
    <w:rsid w:val="006C457F"/>
    <w:rsid w:val="006C53C7"/>
    <w:rsid w:val="006C5577"/>
    <w:rsid w:val="006C559A"/>
    <w:rsid w:val="006C586D"/>
    <w:rsid w:val="006C58FA"/>
    <w:rsid w:val="006C6197"/>
    <w:rsid w:val="006C7A7B"/>
    <w:rsid w:val="006C7D09"/>
    <w:rsid w:val="006D004F"/>
    <w:rsid w:val="006D042D"/>
    <w:rsid w:val="006D06EF"/>
    <w:rsid w:val="006D07EC"/>
    <w:rsid w:val="006D1418"/>
    <w:rsid w:val="006D142E"/>
    <w:rsid w:val="006D231B"/>
    <w:rsid w:val="006D3976"/>
    <w:rsid w:val="006D3B87"/>
    <w:rsid w:val="006D4497"/>
    <w:rsid w:val="006D4E6F"/>
    <w:rsid w:val="006D61F6"/>
    <w:rsid w:val="006D710C"/>
    <w:rsid w:val="006D7297"/>
    <w:rsid w:val="006E0EB0"/>
    <w:rsid w:val="006E182C"/>
    <w:rsid w:val="006E1F4C"/>
    <w:rsid w:val="006E22C8"/>
    <w:rsid w:val="006E279A"/>
    <w:rsid w:val="006E2C28"/>
    <w:rsid w:val="006E2F3F"/>
    <w:rsid w:val="006E2F44"/>
    <w:rsid w:val="006E313B"/>
    <w:rsid w:val="006E394C"/>
    <w:rsid w:val="006E4368"/>
    <w:rsid w:val="006E442A"/>
    <w:rsid w:val="006E4434"/>
    <w:rsid w:val="006E4A1B"/>
    <w:rsid w:val="006E59FC"/>
    <w:rsid w:val="006E5CFD"/>
    <w:rsid w:val="006E5FC4"/>
    <w:rsid w:val="006E635B"/>
    <w:rsid w:val="006E642F"/>
    <w:rsid w:val="006E76BE"/>
    <w:rsid w:val="006E7E2C"/>
    <w:rsid w:val="006F0D32"/>
    <w:rsid w:val="006F0E00"/>
    <w:rsid w:val="006F1326"/>
    <w:rsid w:val="006F1553"/>
    <w:rsid w:val="006F1DDD"/>
    <w:rsid w:val="006F2280"/>
    <w:rsid w:val="006F2BEE"/>
    <w:rsid w:val="006F32FF"/>
    <w:rsid w:val="006F3708"/>
    <w:rsid w:val="006F376C"/>
    <w:rsid w:val="006F3A90"/>
    <w:rsid w:val="006F3E6B"/>
    <w:rsid w:val="006F440D"/>
    <w:rsid w:val="006F4619"/>
    <w:rsid w:val="006F4A59"/>
    <w:rsid w:val="006F5693"/>
    <w:rsid w:val="006F6968"/>
    <w:rsid w:val="00700232"/>
    <w:rsid w:val="00701382"/>
    <w:rsid w:val="007014C7"/>
    <w:rsid w:val="00702100"/>
    <w:rsid w:val="00702358"/>
    <w:rsid w:val="00702D6F"/>
    <w:rsid w:val="007031C6"/>
    <w:rsid w:val="00703B6C"/>
    <w:rsid w:val="00703C6B"/>
    <w:rsid w:val="00703CFE"/>
    <w:rsid w:val="007047D5"/>
    <w:rsid w:val="00705A91"/>
    <w:rsid w:val="00705D98"/>
    <w:rsid w:val="00707891"/>
    <w:rsid w:val="00707D43"/>
    <w:rsid w:val="00710F7C"/>
    <w:rsid w:val="00711398"/>
    <w:rsid w:val="00711970"/>
    <w:rsid w:val="00711EF1"/>
    <w:rsid w:val="0071229A"/>
    <w:rsid w:val="00712572"/>
    <w:rsid w:val="00712691"/>
    <w:rsid w:val="00713495"/>
    <w:rsid w:val="00713EEB"/>
    <w:rsid w:val="007142C1"/>
    <w:rsid w:val="0071479D"/>
    <w:rsid w:val="00715487"/>
    <w:rsid w:val="00715504"/>
    <w:rsid w:val="007159D2"/>
    <w:rsid w:val="00716DCC"/>
    <w:rsid w:val="00717726"/>
    <w:rsid w:val="0072050E"/>
    <w:rsid w:val="00720958"/>
    <w:rsid w:val="00720FA2"/>
    <w:rsid w:val="007211F5"/>
    <w:rsid w:val="00722985"/>
    <w:rsid w:val="007240C5"/>
    <w:rsid w:val="00724666"/>
    <w:rsid w:val="00724E80"/>
    <w:rsid w:val="00725492"/>
    <w:rsid w:val="007256B7"/>
    <w:rsid w:val="00725AEE"/>
    <w:rsid w:val="00726043"/>
    <w:rsid w:val="007260C3"/>
    <w:rsid w:val="007265C6"/>
    <w:rsid w:val="0072671B"/>
    <w:rsid w:val="0072704A"/>
    <w:rsid w:val="007273DC"/>
    <w:rsid w:val="007279B9"/>
    <w:rsid w:val="00727F9F"/>
    <w:rsid w:val="00730AE8"/>
    <w:rsid w:val="00730BBC"/>
    <w:rsid w:val="007315DA"/>
    <w:rsid w:val="00731963"/>
    <w:rsid w:val="00732706"/>
    <w:rsid w:val="0073325D"/>
    <w:rsid w:val="00733C96"/>
    <w:rsid w:val="0073402C"/>
    <w:rsid w:val="00734321"/>
    <w:rsid w:val="00734597"/>
    <w:rsid w:val="00735044"/>
    <w:rsid w:val="0073532E"/>
    <w:rsid w:val="00735B01"/>
    <w:rsid w:val="007367F6"/>
    <w:rsid w:val="00740310"/>
    <w:rsid w:val="00740652"/>
    <w:rsid w:val="00740F02"/>
    <w:rsid w:val="00740FEC"/>
    <w:rsid w:val="0074132E"/>
    <w:rsid w:val="00741493"/>
    <w:rsid w:val="0074240C"/>
    <w:rsid w:val="007426B3"/>
    <w:rsid w:val="007426FD"/>
    <w:rsid w:val="007430AB"/>
    <w:rsid w:val="007430BF"/>
    <w:rsid w:val="0074329D"/>
    <w:rsid w:val="00744376"/>
    <w:rsid w:val="007449EA"/>
    <w:rsid w:val="00744D00"/>
    <w:rsid w:val="00744D2B"/>
    <w:rsid w:val="00745273"/>
    <w:rsid w:val="00745650"/>
    <w:rsid w:val="00745F3C"/>
    <w:rsid w:val="00746DD9"/>
    <w:rsid w:val="00747459"/>
    <w:rsid w:val="0075057A"/>
    <w:rsid w:val="00751771"/>
    <w:rsid w:val="00751C1C"/>
    <w:rsid w:val="00752180"/>
    <w:rsid w:val="007521A1"/>
    <w:rsid w:val="0075274D"/>
    <w:rsid w:val="00752BC3"/>
    <w:rsid w:val="0075315D"/>
    <w:rsid w:val="007538F9"/>
    <w:rsid w:val="00753AFD"/>
    <w:rsid w:val="00754253"/>
    <w:rsid w:val="007552BB"/>
    <w:rsid w:val="007558D3"/>
    <w:rsid w:val="007559D7"/>
    <w:rsid w:val="00755D3A"/>
    <w:rsid w:val="00755EA0"/>
    <w:rsid w:val="00760141"/>
    <w:rsid w:val="007609C6"/>
    <w:rsid w:val="00760C01"/>
    <w:rsid w:val="007610A0"/>
    <w:rsid w:val="00762036"/>
    <w:rsid w:val="007620F2"/>
    <w:rsid w:val="0076290D"/>
    <w:rsid w:val="00762EBA"/>
    <w:rsid w:val="0076359D"/>
    <w:rsid w:val="00763A13"/>
    <w:rsid w:val="00763D86"/>
    <w:rsid w:val="00766109"/>
    <w:rsid w:val="00766F78"/>
    <w:rsid w:val="0076719C"/>
    <w:rsid w:val="0077058D"/>
    <w:rsid w:val="00770931"/>
    <w:rsid w:val="00770FA7"/>
    <w:rsid w:val="00772536"/>
    <w:rsid w:val="00773613"/>
    <w:rsid w:val="0077430F"/>
    <w:rsid w:val="00774782"/>
    <w:rsid w:val="00776476"/>
    <w:rsid w:val="00776527"/>
    <w:rsid w:val="00777DB1"/>
    <w:rsid w:val="007805E1"/>
    <w:rsid w:val="00780DDF"/>
    <w:rsid w:val="0078113E"/>
    <w:rsid w:val="00781834"/>
    <w:rsid w:val="00781EBB"/>
    <w:rsid w:val="007821DB"/>
    <w:rsid w:val="00782235"/>
    <w:rsid w:val="00782818"/>
    <w:rsid w:val="007838F1"/>
    <w:rsid w:val="007841BB"/>
    <w:rsid w:val="00784C4A"/>
    <w:rsid w:val="00784DCA"/>
    <w:rsid w:val="00785C7A"/>
    <w:rsid w:val="00787432"/>
    <w:rsid w:val="00787507"/>
    <w:rsid w:val="0078778C"/>
    <w:rsid w:val="007879F2"/>
    <w:rsid w:val="00790164"/>
    <w:rsid w:val="00790393"/>
    <w:rsid w:val="007904B2"/>
    <w:rsid w:val="00790C15"/>
    <w:rsid w:val="00791804"/>
    <w:rsid w:val="0079197F"/>
    <w:rsid w:val="00791CF8"/>
    <w:rsid w:val="00791EF9"/>
    <w:rsid w:val="00792262"/>
    <w:rsid w:val="00793387"/>
    <w:rsid w:val="00793BAE"/>
    <w:rsid w:val="007941C3"/>
    <w:rsid w:val="00794870"/>
    <w:rsid w:val="00794E0A"/>
    <w:rsid w:val="00795B04"/>
    <w:rsid w:val="0079638B"/>
    <w:rsid w:val="00796642"/>
    <w:rsid w:val="00797354"/>
    <w:rsid w:val="007A11D9"/>
    <w:rsid w:val="007A327B"/>
    <w:rsid w:val="007A36DE"/>
    <w:rsid w:val="007A4048"/>
    <w:rsid w:val="007A45B1"/>
    <w:rsid w:val="007A4606"/>
    <w:rsid w:val="007A4D58"/>
    <w:rsid w:val="007A5039"/>
    <w:rsid w:val="007A6772"/>
    <w:rsid w:val="007A684C"/>
    <w:rsid w:val="007A74B4"/>
    <w:rsid w:val="007A796D"/>
    <w:rsid w:val="007B04E8"/>
    <w:rsid w:val="007B0920"/>
    <w:rsid w:val="007B0D67"/>
    <w:rsid w:val="007B0F90"/>
    <w:rsid w:val="007B1966"/>
    <w:rsid w:val="007B2257"/>
    <w:rsid w:val="007B22E6"/>
    <w:rsid w:val="007B2779"/>
    <w:rsid w:val="007B2AF7"/>
    <w:rsid w:val="007B2F37"/>
    <w:rsid w:val="007B3DCC"/>
    <w:rsid w:val="007B4518"/>
    <w:rsid w:val="007B4EEC"/>
    <w:rsid w:val="007B5031"/>
    <w:rsid w:val="007B573F"/>
    <w:rsid w:val="007B70B8"/>
    <w:rsid w:val="007B72AC"/>
    <w:rsid w:val="007B78F8"/>
    <w:rsid w:val="007C0065"/>
    <w:rsid w:val="007C010B"/>
    <w:rsid w:val="007C29B0"/>
    <w:rsid w:val="007C3289"/>
    <w:rsid w:val="007C32B6"/>
    <w:rsid w:val="007C3AE3"/>
    <w:rsid w:val="007C3C8E"/>
    <w:rsid w:val="007C5363"/>
    <w:rsid w:val="007C5E52"/>
    <w:rsid w:val="007C605B"/>
    <w:rsid w:val="007C6557"/>
    <w:rsid w:val="007C6EA2"/>
    <w:rsid w:val="007C6EBA"/>
    <w:rsid w:val="007C75CA"/>
    <w:rsid w:val="007C7BAC"/>
    <w:rsid w:val="007C7CC5"/>
    <w:rsid w:val="007D0ACF"/>
    <w:rsid w:val="007D2749"/>
    <w:rsid w:val="007D2A5A"/>
    <w:rsid w:val="007D2AD8"/>
    <w:rsid w:val="007D2C47"/>
    <w:rsid w:val="007D2C61"/>
    <w:rsid w:val="007D2DA3"/>
    <w:rsid w:val="007D2F81"/>
    <w:rsid w:val="007D3167"/>
    <w:rsid w:val="007D329F"/>
    <w:rsid w:val="007D3A2C"/>
    <w:rsid w:val="007D3CF7"/>
    <w:rsid w:val="007D4128"/>
    <w:rsid w:val="007D4281"/>
    <w:rsid w:val="007D42F5"/>
    <w:rsid w:val="007D44C3"/>
    <w:rsid w:val="007D5947"/>
    <w:rsid w:val="007D65C1"/>
    <w:rsid w:val="007D7936"/>
    <w:rsid w:val="007E030F"/>
    <w:rsid w:val="007E0D49"/>
    <w:rsid w:val="007E0E59"/>
    <w:rsid w:val="007E0F4B"/>
    <w:rsid w:val="007E12C1"/>
    <w:rsid w:val="007E15E9"/>
    <w:rsid w:val="007E1EF7"/>
    <w:rsid w:val="007E20C0"/>
    <w:rsid w:val="007E34F7"/>
    <w:rsid w:val="007E3715"/>
    <w:rsid w:val="007E4996"/>
    <w:rsid w:val="007E5036"/>
    <w:rsid w:val="007E5880"/>
    <w:rsid w:val="007E5F3D"/>
    <w:rsid w:val="007E61FF"/>
    <w:rsid w:val="007E6588"/>
    <w:rsid w:val="007E7063"/>
    <w:rsid w:val="007E7E61"/>
    <w:rsid w:val="007F0316"/>
    <w:rsid w:val="007F0845"/>
    <w:rsid w:val="007F0DF6"/>
    <w:rsid w:val="007F1092"/>
    <w:rsid w:val="007F16F9"/>
    <w:rsid w:val="007F2801"/>
    <w:rsid w:val="007F2BF6"/>
    <w:rsid w:val="007F3E3E"/>
    <w:rsid w:val="007F42E0"/>
    <w:rsid w:val="007F45FF"/>
    <w:rsid w:val="007F500D"/>
    <w:rsid w:val="007F5F14"/>
    <w:rsid w:val="007F61D3"/>
    <w:rsid w:val="007F646D"/>
    <w:rsid w:val="007F69EE"/>
    <w:rsid w:val="007F7B54"/>
    <w:rsid w:val="007F7C60"/>
    <w:rsid w:val="00800073"/>
    <w:rsid w:val="008001F0"/>
    <w:rsid w:val="008005D7"/>
    <w:rsid w:val="00801547"/>
    <w:rsid w:val="00801D15"/>
    <w:rsid w:val="00801FDD"/>
    <w:rsid w:val="008020C2"/>
    <w:rsid w:val="00802386"/>
    <w:rsid w:val="0080255C"/>
    <w:rsid w:val="008054FB"/>
    <w:rsid w:val="0080585A"/>
    <w:rsid w:val="00806088"/>
    <w:rsid w:val="00806D07"/>
    <w:rsid w:val="0081019B"/>
    <w:rsid w:val="00810971"/>
    <w:rsid w:val="0081187C"/>
    <w:rsid w:val="00811E24"/>
    <w:rsid w:val="008120C5"/>
    <w:rsid w:val="00812386"/>
    <w:rsid w:val="00812E2B"/>
    <w:rsid w:val="00813A70"/>
    <w:rsid w:val="00813CB4"/>
    <w:rsid w:val="00813DB0"/>
    <w:rsid w:val="00813FE6"/>
    <w:rsid w:val="00814833"/>
    <w:rsid w:val="00814965"/>
    <w:rsid w:val="00815B82"/>
    <w:rsid w:val="00815C6E"/>
    <w:rsid w:val="00815DD0"/>
    <w:rsid w:val="00815F10"/>
    <w:rsid w:val="0081645F"/>
    <w:rsid w:val="00816A28"/>
    <w:rsid w:val="00816DDF"/>
    <w:rsid w:val="008174A3"/>
    <w:rsid w:val="00817755"/>
    <w:rsid w:val="00817865"/>
    <w:rsid w:val="008178C2"/>
    <w:rsid w:val="008178CF"/>
    <w:rsid w:val="00817BBE"/>
    <w:rsid w:val="00817C98"/>
    <w:rsid w:val="00820C9F"/>
    <w:rsid w:val="00821AAE"/>
    <w:rsid w:val="00821C4A"/>
    <w:rsid w:val="00821CEB"/>
    <w:rsid w:val="00821FF6"/>
    <w:rsid w:val="00823AAF"/>
    <w:rsid w:val="00824081"/>
    <w:rsid w:val="0082409A"/>
    <w:rsid w:val="00824626"/>
    <w:rsid w:val="008252D7"/>
    <w:rsid w:val="008259CC"/>
    <w:rsid w:val="00825C0F"/>
    <w:rsid w:val="00826376"/>
    <w:rsid w:val="00826ED1"/>
    <w:rsid w:val="00827181"/>
    <w:rsid w:val="0082733C"/>
    <w:rsid w:val="00827746"/>
    <w:rsid w:val="00827D56"/>
    <w:rsid w:val="0083102D"/>
    <w:rsid w:val="0083143E"/>
    <w:rsid w:val="0083159D"/>
    <w:rsid w:val="008318FF"/>
    <w:rsid w:val="00831E95"/>
    <w:rsid w:val="00832187"/>
    <w:rsid w:val="00832493"/>
    <w:rsid w:val="008328C9"/>
    <w:rsid w:val="008329BD"/>
    <w:rsid w:val="008334C3"/>
    <w:rsid w:val="008336D8"/>
    <w:rsid w:val="008339C4"/>
    <w:rsid w:val="00834B56"/>
    <w:rsid w:val="00834F0A"/>
    <w:rsid w:val="00834FAA"/>
    <w:rsid w:val="00835181"/>
    <w:rsid w:val="00835991"/>
    <w:rsid w:val="00836086"/>
    <w:rsid w:val="00837566"/>
    <w:rsid w:val="00837871"/>
    <w:rsid w:val="0084002E"/>
    <w:rsid w:val="00840458"/>
    <w:rsid w:val="00840699"/>
    <w:rsid w:val="00841D9F"/>
    <w:rsid w:val="00842078"/>
    <w:rsid w:val="00842604"/>
    <w:rsid w:val="008434B0"/>
    <w:rsid w:val="00843ECF"/>
    <w:rsid w:val="0084535E"/>
    <w:rsid w:val="00845A11"/>
    <w:rsid w:val="00845AB1"/>
    <w:rsid w:val="00846673"/>
    <w:rsid w:val="00846891"/>
    <w:rsid w:val="008508A9"/>
    <w:rsid w:val="00851087"/>
    <w:rsid w:val="0085188D"/>
    <w:rsid w:val="008518D8"/>
    <w:rsid w:val="0085220C"/>
    <w:rsid w:val="008525F9"/>
    <w:rsid w:val="0085281A"/>
    <w:rsid w:val="00853C0F"/>
    <w:rsid w:val="00853F33"/>
    <w:rsid w:val="008548EA"/>
    <w:rsid w:val="008550EA"/>
    <w:rsid w:val="008559FE"/>
    <w:rsid w:val="0085686D"/>
    <w:rsid w:val="00857339"/>
    <w:rsid w:val="00860706"/>
    <w:rsid w:val="00861C98"/>
    <w:rsid w:val="00862A7A"/>
    <w:rsid w:val="00862FBD"/>
    <w:rsid w:val="00863104"/>
    <w:rsid w:val="008636CD"/>
    <w:rsid w:val="00863702"/>
    <w:rsid w:val="00863D9E"/>
    <w:rsid w:val="00863FDC"/>
    <w:rsid w:val="008642AF"/>
    <w:rsid w:val="00864B5A"/>
    <w:rsid w:val="00864F00"/>
    <w:rsid w:val="00865286"/>
    <w:rsid w:val="00865729"/>
    <w:rsid w:val="0086590D"/>
    <w:rsid w:val="00865EA8"/>
    <w:rsid w:val="00865ED4"/>
    <w:rsid w:val="008669A7"/>
    <w:rsid w:val="00867464"/>
    <w:rsid w:val="00867B8F"/>
    <w:rsid w:val="00867D15"/>
    <w:rsid w:val="00867E29"/>
    <w:rsid w:val="00870F2B"/>
    <w:rsid w:val="00873B2E"/>
    <w:rsid w:val="00874097"/>
    <w:rsid w:val="008746E6"/>
    <w:rsid w:val="0087515D"/>
    <w:rsid w:val="00875740"/>
    <w:rsid w:val="0087594C"/>
    <w:rsid w:val="00876086"/>
    <w:rsid w:val="008765FA"/>
    <w:rsid w:val="008768D6"/>
    <w:rsid w:val="008775D1"/>
    <w:rsid w:val="008777BB"/>
    <w:rsid w:val="00877D68"/>
    <w:rsid w:val="00877E5D"/>
    <w:rsid w:val="00880150"/>
    <w:rsid w:val="00880ABA"/>
    <w:rsid w:val="00880F23"/>
    <w:rsid w:val="008810BB"/>
    <w:rsid w:val="00883A67"/>
    <w:rsid w:val="00883D45"/>
    <w:rsid w:val="00884519"/>
    <w:rsid w:val="00884D69"/>
    <w:rsid w:val="0088503D"/>
    <w:rsid w:val="00885620"/>
    <w:rsid w:val="00885EC6"/>
    <w:rsid w:val="008869D2"/>
    <w:rsid w:val="00886A8F"/>
    <w:rsid w:val="0088733A"/>
    <w:rsid w:val="008901CC"/>
    <w:rsid w:val="0089061C"/>
    <w:rsid w:val="00891251"/>
    <w:rsid w:val="00891BE0"/>
    <w:rsid w:val="008929A0"/>
    <w:rsid w:val="00893269"/>
    <w:rsid w:val="00893302"/>
    <w:rsid w:val="00893648"/>
    <w:rsid w:val="00893D05"/>
    <w:rsid w:val="00893D83"/>
    <w:rsid w:val="00893F0C"/>
    <w:rsid w:val="00893F3C"/>
    <w:rsid w:val="008945A1"/>
    <w:rsid w:val="00894A63"/>
    <w:rsid w:val="00894F71"/>
    <w:rsid w:val="00895A54"/>
    <w:rsid w:val="008963A7"/>
    <w:rsid w:val="00896776"/>
    <w:rsid w:val="00896874"/>
    <w:rsid w:val="00896916"/>
    <w:rsid w:val="00896BDE"/>
    <w:rsid w:val="0089763E"/>
    <w:rsid w:val="008A03DE"/>
    <w:rsid w:val="008A0861"/>
    <w:rsid w:val="008A0BB2"/>
    <w:rsid w:val="008A1AB3"/>
    <w:rsid w:val="008A1D5C"/>
    <w:rsid w:val="008A2890"/>
    <w:rsid w:val="008A3292"/>
    <w:rsid w:val="008A3A85"/>
    <w:rsid w:val="008A43E9"/>
    <w:rsid w:val="008A4CB1"/>
    <w:rsid w:val="008A5F34"/>
    <w:rsid w:val="008A615E"/>
    <w:rsid w:val="008A632B"/>
    <w:rsid w:val="008A6720"/>
    <w:rsid w:val="008A6BFE"/>
    <w:rsid w:val="008A6F21"/>
    <w:rsid w:val="008A6F3F"/>
    <w:rsid w:val="008A6F67"/>
    <w:rsid w:val="008A73DA"/>
    <w:rsid w:val="008B00C2"/>
    <w:rsid w:val="008B04A0"/>
    <w:rsid w:val="008B05E8"/>
    <w:rsid w:val="008B07EF"/>
    <w:rsid w:val="008B16DE"/>
    <w:rsid w:val="008B190E"/>
    <w:rsid w:val="008B1A8A"/>
    <w:rsid w:val="008B1FC9"/>
    <w:rsid w:val="008B4EEA"/>
    <w:rsid w:val="008B531F"/>
    <w:rsid w:val="008B54A3"/>
    <w:rsid w:val="008B5F41"/>
    <w:rsid w:val="008B634C"/>
    <w:rsid w:val="008B6B67"/>
    <w:rsid w:val="008B7306"/>
    <w:rsid w:val="008B775F"/>
    <w:rsid w:val="008B77D1"/>
    <w:rsid w:val="008B7C02"/>
    <w:rsid w:val="008B7D13"/>
    <w:rsid w:val="008B7F9E"/>
    <w:rsid w:val="008C034E"/>
    <w:rsid w:val="008C0E88"/>
    <w:rsid w:val="008C1399"/>
    <w:rsid w:val="008C18A5"/>
    <w:rsid w:val="008C1AA8"/>
    <w:rsid w:val="008C22A8"/>
    <w:rsid w:val="008C4DBA"/>
    <w:rsid w:val="008C5B43"/>
    <w:rsid w:val="008C63FD"/>
    <w:rsid w:val="008C6CB8"/>
    <w:rsid w:val="008C6D92"/>
    <w:rsid w:val="008C777A"/>
    <w:rsid w:val="008C7815"/>
    <w:rsid w:val="008C7A07"/>
    <w:rsid w:val="008C7E90"/>
    <w:rsid w:val="008C7EB3"/>
    <w:rsid w:val="008D0171"/>
    <w:rsid w:val="008D0632"/>
    <w:rsid w:val="008D0A23"/>
    <w:rsid w:val="008D0E3B"/>
    <w:rsid w:val="008D13EA"/>
    <w:rsid w:val="008D21DE"/>
    <w:rsid w:val="008D2671"/>
    <w:rsid w:val="008D2A16"/>
    <w:rsid w:val="008D2ECF"/>
    <w:rsid w:val="008D347D"/>
    <w:rsid w:val="008D3F3D"/>
    <w:rsid w:val="008D4376"/>
    <w:rsid w:val="008D4F04"/>
    <w:rsid w:val="008D51E9"/>
    <w:rsid w:val="008D5BAD"/>
    <w:rsid w:val="008D699D"/>
    <w:rsid w:val="008E0367"/>
    <w:rsid w:val="008E2DCD"/>
    <w:rsid w:val="008E308D"/>
    <w:rsid w:val="008E31FF"/>
    <w:rsid w:val="008E3B0F"/>
    <w:rsid w:val="008E46A3"/>
    <w:rsid w:val="008E5DE6"/>
    <w:rsid w:val="008E5E90"/>
    <w:rsid w:val="008E6113"/>
    <w:rsid w:val="008E6AB3"/>
    <w:rsid w:val="008E6AD3"/>
    <w:rsid w:val="008E6EBD"/>
    <w:rsid w:val="008E71A6"/>
    <w:rsid w:val="008E77B6"/>
    <w:rsid w:val="008E7C55"/>
    <w:rsid w:val="008F032E"/>
    <w:rsid w:val="008F062F"/>
    <w:rsid w:val="008F0F14"/>
    <w:rsid w:val="008F1638"/>
    <w:rsid w:val="008F1723"/>
    <w:rsid w:val="008F2097"/>
    <w:rsid w:val="008F2F44"/>
    <w:rsid w:val="008F352D"/>
    <w:rsid w:val="008F3F1C"/>
    <w:rsid w:val="008F4FCE"/>
    <w:rsid w:val="008F5301"/>
    <w:rsid w:val="008F6967"/>
    <w:rsid w:val="008F6A0C"/>
    <w:rsid w:val="008F6F38"/>
    <w:rsid w:val="008F7721"/>
    <w:rsid w:val="008F7D28"/>
    <w:rsid w:val="009003A8"/>
    <w:rsid w:val="009010A7"/>
    <w:rsid w:val="009010E3"/>
    <w:rsid w:val="00901703"/>
    <w:rsid w:val="00901AF3"/>
    <w:rsid w:val="0090229C"/>
    <w:rsid w:val="00902CBE"/>
    <w:rsid w:val="00902D74"/>
    <w:rsid w:val="00902EFF"/>
    <w:rsid w:val="00902FAC"/>
    <w:rsid w:val="00903E06"/>
    <w:rsid w:val="009045D1"/>
    <w:rsid w:val="00904B9D"/>
    <w:rsid w:val="009057D4"/>
    <w:rsid w:val="00905A11"/>
    <w:rsid w:val="00905FE8"/>
    <w:rsid w:val="009066E1"/>
    <w:rsid w:val="00906F67"/>
    <w:rsid w:val="00907A41"/>
    <w:rsid w:val="00910098"/>
    <w:rsid w:val="009102BD"/>
    <w:rsid w:val="00910F93"/>
    <w:rsid w:val="00910FBC"/>
    <w:rsid w:val="00911E3B"/>
    <w:rsid w:val="0091255A"/>
    <w:rsid w:val="00914426"/>
    <w:rsid w:val="0091561A"/>
    <w:rsid w:val="0091675F"/>
    <w:rsid w:val="00917709"/>
    <w:rsid w:val="00917918"/>
    <w:rsid w:val="00920874"/>
    <w:rsid w:val="00921F14"/>
    <w:rsid w:val="009227C6"/>
    <w:rsid w:val="0092347C"/>
    <w:rsid w:val="00923750"/>
    <w:rsid w:val="009243A5"/>
    <w:rsid w:val="0092465F"/>
    <w:rsid w:val="0092500F"/>
    <w:rsid w:val="009250D2"/>
    <w:rsid w:val="0092519D"/>
    <w:rsid w:val="0092540B"/>
    <w:rsid w:val="009256C5"/>
    <w:rsid w:val="00925A21"/>
    <w:rsid w:val="00926283"/>
    <w:rsid w:val="009306BE"/>
    <w:rsid w:val="00930CD7"/>
    <w:rsid w:val="0093161F"/>
    <w:rsid w:val="009339FD"/>
    <w:rsid w:val="00934836"/>
    <w:rsid w:val="00934963"/>
    <w:rsid w:val="00936ECA"/>
    <w:rsid w:val="00937320"/>
    <w:rsid w:val="00937B11"/>
    <w:rsid w:val="00940F1F"/>
    <w:rsid w:val="00941250"/>
    <w:rsid w:val="00941339"/>
    <w:rsid w:val="0094396E"/>
    <w:rsid w:val="0094427A"/>
    <w:rsid w:val="00944380"/>
    <w:rsid w:val="00945904"/>
    <w:rsid w:val="009459C5"/>
    <w:rsid w:val="009459DE"/>
    <w:rsid w:val="00945E5E"/>
    <w:rsid w:val="0094626C"/>
    <w:rsid w:val="00946552"/>
    <w:rsid w:val="0095013A"/>
    <w:rsid w:val="00953AEF"/>
    <w:rsid w:val="00954FC3"/>
    <w:rsid w:val="009551E2"/>
    <w:rsid w:val="00955783"/>
    <w:rsid w:val="009558A6"/>
    <w:rsid w:val="00955E5F"/>
    <w:rsid w:val="009560B0"/>
    <w:rsid w:val="009564B2"/>
    <w:rsid w:val="00956F23"/>
    <w:rsid w:val="009576AC"/>
    <w:rsid w:val="00957871"/>
    <w:rsid w:val="00960077"/>
    <w:rsid w:val="00960769"/>
    <w:rsid w:val="00960D56"/>
    <w:rsid w:val="00962D2E"/>
    <w:rsid w:val="00963724"/>
    <w:rsid w:val="00963D22"/>
    <w:rsid w:val="00964498"/>
    <w:rsid w:val="0096504D"/>
    <w:rsid w:val="00965795"/>
    <w:rsid w:val="00965A2D"/>
    <w:rsid w:val="009663EB"/>
    <w:rsid w:val="0096650F"/>
    <w:rsid w:val="00967801"/>
    <w:rsid w:val="00967AD2"/>
    <w:rsid w:val="00967AE9"/>
    <w:rsid w:val="009700DB"/>
    <w:rsid w:val="0097040B"/>
    <w:rsid w:val="00971DC6"/>
    <w:rsid w:val="00971DD6"/>
    <w:rsid w:val="00972263"/>
    <w:rsid w:val="0097242E"/>
    <w:rsid w:val="00972502"/>
    <w:rsid w:val="00972D8D"/>
    <w:rsid w:val="00973A9E"/>
    <w:rsid w:val="00973AAE"/>
    <w:rsid w:val="00974236"/>
    <w:rsid w:val="009742F7"/>
    <w:rsid w:val="0097476C"/>
    <w:rsid w:val="00974923"/>
    <w:rsid w:val="00974D48"/>
    <w:rsid w:val="00974D5F"/>
    <w:rsid w:val="00975017"/>
    <w:rsid w:val="009759DF"/>
    <w:rsid w:val="009777B3"/>
    <w:rsid w:val="00977A4D"/>
    <w:rsid w:val="00980373"/>
    <w:rsid w:val="00980621"/>
    <w:rsid w:val="0098095B"/>
    <w:rsid w:val="00982072"/>
    <w:rsid w:val="009821FE"/>
    <w:rsid w:val="009833FA"/>
    <w:rsid w:val="00983ACF"/>
    <w:rsid w:val="00983DBB"/>
    <w:rsid w:val="00983ECF"/>
    <w:rsid w:val="00985157"/>
    <w:rsid w:val="00986208"/>
    <w:rsid w:val="00986745"/>
    <w:rsid w:val="00986746"/>
    <w:rsid w:val="009867BC"/>
    <w:rsid w:val="009869C4"/>
    <w:rsid w:val="009870EF"/>
    <w:rsid w:val="00987109"/>
    <w:rsid w:val="00987309"/>
    <w:rsid w:val="00987351"/>
    <w:rsid w:val="0099012D"/>
    <w:rsid w:val="00990363"/>
    <w:rsid w:val="00991266"/>
    <w:rsid w:val="00991952"/>
    <w:rsid w:val="009928AE"/>
    <w:rsid w:val="00993BE6"/>
    <w:rsid w:val="00993D9C"/>
    <w:rsid w:val="00993F56"/>
    <w:rsid w:val="00994835"/>
    <w:rsid w:val="0099483E"/>
    <w:rsid w:val="009954FF"/>
    <w:rsid w:val="0099571E"/>
    <w:rsid w:val="00995E2F"/>
    <w:rsid w:val="009961BC"/>
    <w:rsid w:val="00996355"/>
    <w:rsid w:val="00997301"/>
    <w:rsid w:val="0099788F"/>
    <w:rsid w:val="00997ADD"/>
    <w:rsid w:val="00997CDD"/>
    <w:rsid w:val="009A05A2"/>
    <w:rsid w:val="009A1374"/>
    <w:rsid w:val="009A13FA"/>
    <w:rsid w:val="009A1EA4"/>
    <w:rsid w:val="009A2014"/>
    <w:rsid w:val="009A2030"/>
    <w:rsid w:val="009A3A87"/>
    <w:rsid w:val="009A4E12"/>
    <w:rsid w:val="009A5003"/>
    <w:rsid w:val="009A5C68"/>
    <w:rsid w:val="009A5DE2"/>
    <w:rsid w:val="009A6EF7"/>
    <w:rsid w:val="009B04D0"/>
    <w:rsid w:val="009B052C"/>
    <w:rsid w:val="009B0676"/>
    <w:rsid w:val="009B0975"/>
    <w:rsid w:val="009B0EF2"/>
    <w:rsid w:val="009B19B8"/>
    <w:rsid w:val="009B23A3"/>
    <w:rsid w:val="009B25CE"/>
    <w:rsid w:val="009B2C0E"/>
    <w:rsid w:val="009B4925"/>
    <w:rsid w:val="009B4B4B"/>
    <w:rsid w:val="009B4BD4"/>
    <w:rsid w:val="009B4CE3"/>
    <w:rsid w:val="009B6342"/>
    <w:rsid w:val="009B6FD3"/>
    <w:rsid w:val="009B70BD"/>
    <w:rsid w:val="009C07A5"/>
    <w:rsid w:val="009C0CD4"/>
    <w:rsid w:val="009C24A3"/>
    <w:rsid w:val="009C3705"/>
    <w:rsid w:val="009C6215"/>
    <w:rsid w:val="009C7388"/>
    <w:rsid w:val="009C74C2"/>
    <w:rsid w:val="009D0CFF"/>
    <w:rsid w:val="009D1551"/>
    <w:rsid w:val="009D2859"/>
    <w:rsid w:val="009D36EC"/>
    <w:rsid w:val="009D3757"/>
    <w:rsid w:val="009D3CD0"/>
    <w:rsid w:val="009D3E88"/>
    <w:rsid w:val="009D4076"/>
    <w:rsid w:val="009D4173"/>
    <w:rsid w:val="009D51CA"/>
    <w:rsid w:val="009D6095"/>
    <w:rsid w:val="009D6306"/>
    <w:rsid w:val="009D6727"/>
    <w:rsid w:val="009E048A"/>
    <w:rsid w:val="009E1124"/>
    <w:rsid w:val="009E1FBA"/>
    <w:rsid w:val="009E2C54"/>
    <w:rsid w:val="009E3710"/>
    <w:rsid w:val="009E658B"/>
    <w:rsid w:val="009E6F65"/>
    <w:rsid w:val="009E72A1"/>
    <w:rsid w:val="009E7340"/>
    <w:rsid w:val="009E7B1F"/>
    <w:rsid w:val="009F07B5"/>
    <w:rsid w:val="009F346F"/>
    <w:rsid w:val="009F371A"/>
    <w:rsid w:val="009F3F25"/>
    <w:rsid w:val="009F3FC3"/>
    <w:rsid w:val="009F41C4"/>
    <w:rsid w:val="009F5846"/>
    <w:rsid w:val="009F63D2"/>
    <w:rsid w:val="009F777A"/>
    <w:rsid w:val="009F7B52"/>
    <w:rsid w:val="009F7D77"/>
    <w:rsid w:val="00A004D2"/>
    <w:rsid w:val="00A015EA"/>
    <w:rsid w:val="00A0172C"/>
    <w:rsid w:val="00A02610"/>
    <w:rsid w:val="00A03343"/>
    <w:rsid w:val="00A03965"/>
    <w:rsid w:val="00A03B8A"/>
    <w:rsid w:val="00A05B91"/>
    <w:rsid w:val="00A06B3D"/>
    <w:rsid w:val="00A07BB0"/>
    <w:rsid w:val="00A10D66"/>
    <w:rsid w:val="00A12BA8"/>
    <w:rsid w:val="00A133F2"/>
    <w:rsid w:val="00A138D7"/>
    <w:rsid w:val="00A13993"/>
    <w:rsid w:val="00A14081"/>
    <w:rsid w:val="00A1420C"/>
    <w:rsid w:val="00A1456C"/>
    <w:rsid w:val="00A14821"/>
    <w:rsid w:val="00A14C9D"/>
    <w:rsid w:val="00A15B39"/>
    <w:rsid w:val="00A17754"/>
    <w:rsid w:val="00A2055B"/>
    <w:rsid w:val="00A20E22"/>
    <w:rsid w:val="00A219FE"/>
    <w:rsid w:val="00A22210"/>
    <w:rsid w:val="00A2253C"/>
    <w:rsid w:val="00A23545"/>
    <w:rsid w:val="00A23A55"/>
    <w:rsid w:val="00A23E43"/>
    <w:rsid w:val="00A23EF0"/>
    <w:rsid w:val="00A243A3"/>
    <w:rsid w:val="00A24F8C"/>
    <w:rsid w:val="00A262BF"/>
    <w:rsid w:val="00A264F5"/>
    <w:rsid w:val="00A271AD"/>
    <w:rsid w:val="00A276D5"/>
    <w:rsid w:val="00A27D2E"/>
    <w:rsid w:val="00A301C5"/>
    <w:rsid w:val="00A30336"/>
    <w:rsid w:val="00A30BB5"/>
    <w:rsid w:val="00A3128F"/>
    <w:rsid w:val="00A326D0"/>
    <w:rsid w:val="00A33C9A"/>
    <w:rsid w:val="00A348DC"/>
    <w:rsid w:val="00A35287"/>
    <w:rsid w:val="00A355F2"/>
    <w:rsid w:val="00A35CB2"/>
    <w:rsid w:val="00A37201"/>
    <w:rsid w:val="00A37229"/>
    <w:rsid w:val="00A375DE"/>
    <w:rsid w:val="00A378F8"/>
    <w:rsid w:val="00A40965"/>
    <w:rsid w:val="00A40B19"/>
    <w:rsid w:val="00A40F56"/>
    <w:rsid w:val="00A41D07"/>
    <w:rsid w:val="00A424F8"/>
    <w:rsid w:val="00A42883"/>
    <w:rsid w:val="00A437B7"/>
    <w:rsid w:val="00A43EA2"/>
    <w:rsid w:val="00A45E2F"/>
    <w:rsid w:val="00A46C70"/>
    <w:rsid w:val="00A46D48"/>
    <w:rsid w:val="00A46DE0"/>
    <w:rsid w:val="00A4778A"/>
    <w:rsid w:val="00A47C94"/>
    <w:rsid w:val="00A504C0"/>
    <w:rsid w:val="00A5067F"/>
    <w:rsid w:val="00A517C1"/>
    <w:rsid w:val="00A518E0"/>
    <w:rsid w:val="00A529C8"/>
    <w:rsid w:val="00A5408A"/>
    <w:rsid w:val="00A5421F"/>
    <w:rsid w:val="00A5430D"/>
    <w:rsid w:val="00A55301"/>
    <w:rsid w:val="00A572FB"/>
    <w:rsid w:val="00A57B3C"/>
    <w:rsid w:val="00A57E77"/>
    <w:rsid w:val="00A57F1B"/>
    <w:rsid w:val="00A600D2"/>
    <w:rsid w:val="00A60383"/>
    <w:rsid w:val="00A6128E"/>
    <w:rsid w:val="00A614EB"/>
    <w:rsid w:val="00A62CE1"/>
    <w:rsid w:val="00A631FA"/>
    <w:rsid w:val="00A63517"/>
    <w:rsid w:val="00A64203"/>
    <w:rsid w:val="00A64348"/>
    <w:rsid w:val="00A644E1"/>
    <w:rsid w:val="00A65A2B"/>
    <w:rsid w:val="00A67641"/>
    <w:rsid w:val="00A6766C"/>
    <w:rsid w:val="00A70765"/>
    <w:rsid w:val="00A711B0"/>
    <w:rsid w:val="00A71279"/>
    <w:rsid w:val="00A721FB"/>
    <w:rsid w:val="00A727BA"/>
    <w:rsid w:val="00A72CA4"/>
    <w:rsid w:val="00A72D4B"/>
    <w:rsid w:val="00A732AE"/>
    <w:rsid w:val="00A738E8"/>
    <w:rsid w:val="00A74192"/>
    <w:rsid w:val="00A750EB"/>
    <w:rsid w:val="00A75837"/>
    <w:rsid w:val="00A75E40"/>
    <w:rsid w:val="00A76B12"/>
    <w:rsid w:val="00A76EF2"/>
    <w:rsid w:val="00A7727E"/>
    <w:rsid w:val="00A77EB2"/>
    <w:rsid w:val="00A803A1"/>
    <w:rsid w:val="00A81094"/>
    <w:rsid w:val="00A827B4"/>
    <w:rsid w:val="00A82B66"/>
    <w:rsid w:val="00A82C52"/>
    <w:rsid w:val="00A83798"/>
    <w:rsid w:val="00A83914"/>
    <w:rsid w:val="00A83B58"/>
    <w:rsid w:val="00A84D59"/>
    <w:rsid w:val="00A84D7D"/>
    <w:rsid w:val="00A84FAF"/>
    <w:rsid w:val="00A85100"/>
    <w:rsid w:val="00A851B6"/>
    <w:rsid w:val="00A851ED"/>
    <w:rsid w:val="00A85729"/>
    <w:rsid w:val="00A8574B"/>
    <w:rsid w:val="00A857C0"/>
    <w:rsid w:val="00A85F5E"/>
    <w:rsid w:val="00A90343"/>
    <w:rsid w:val="00A90B8B"/>
    <w:rsid w:val="00A91336"/>
    <w:rsid w:val="00A9221C"/>
    <w:rsid w:val="00A92277"/>
    <w:rsid w:val="00A92916"/>
    <w:rsid w:val="00A929D1"/>
    <w:rsid w:val="00A92B4C"/>
    <w:rsid w:val="00A9334B"/>
    <w:rsid w:val="00A94628"/>
    <w:rsid w:val="00A94954"/>
    <w:rsid w:val="00A9497A"/>
    <w:rsid w:val="00A949A6"/>
    <w:rsid w:val="00A95545"/>
    <w:rsid w:val="00A95AAE"/>
    <w:rsid w:val="00A95AF3"/>
    <w:rsid w:val="00A96241"/>
    <w:rsid w:val="00A96463"/>
    <w:rsid w:val="00A96F21"/>
    <w:rsid w:val="00A97E3F"/>
    <w:rsid w:val="00A97EC0"/>
    <w:rsid w:val="00AA09D3"/>
    <w:rsid w:val="00AA0CDE"/>
    <w:rsid w:val="00AA1034"/>
    <w:rsid w:val="00AA1356"/>
    <w:rsid w:val="00AA220F"/>
    <w:rsid w:val="00AA23FB"/>
    <w:rsid w:val="00AA34FE"/>
    <w:rsid w:val="00AA42AB"/>
    <w:rsid w:val="00AA4A76"/>
    <w:rsid w:val="00AA50E5"/>
    <w:rsid w:val="00AA559A"/>
    <w:rsid w:val="00AA57A4"/>
    <w:rsid w:val="00AA5F10"/>
    <w:rsid w:val="00AA6FA8"/>
    <w:rsid w:val="00AA7C35"/>
    <w:rsid w:val="00AB0BB9"/>
    <w:rsid w:val="00AB104D"/>
    <w:rsid w:val="00AB1441"/>
    <w:rsid w:val="00AB1653"/>
    <w:rsid w:val="00AB2AF1"/>
    <w:rsid w:val="00AB440B"/>
    <w:rsid w:val="00AB47E3"/>
    <w:rsid w:val="00AB74C5"/>
    <w:rsid w:val="00AB75A7"/>
    <w:rsid w:val="00AB7BEE"/>
    <w:rsid w:val="00AB7DF2"/>
    <w:rsid w:val="00AC0725"/>
    <w:rsid w:val="00AC0B14"/>
    <w:rsid w:val="00AC1E3F"/>
    <w:rsid w:val="00AC20EB"/>
    <w:rsid w:val="00AC219A"/>
    <w:rsid w:val="00AC2CE1"/>
    <w:rsid w:val="00AC3D02"/>
    <w:rsid w:val="00AC49B5"/>
    <w:rsid w:val="00AC4F18"/>
    <w:rsid w:val="00AC5F5B"/>
    <w:rsid w:val="00AC69CA"/>
    <w:rsid w:val="00AC7501"/>
    <w:rsid w:val="00AC79F3"/>
    <w:rsid w:val="00AD0B46"/>
    <w:rsid w:val="00AD1094"/>
    <w:rsid w:val="00AD2565"/>
    <w:rsid w:val="00AD2862"/>
    <w:rsid w:val="00AD306C"/>
    <w:rsid w:val="00AD3111"/>
    <w:rsid w:val="00AD31B8"/>
    <w:rsid w:val="00AD3424"/>
    <w:rsid w:val="00AD3E3F"/>
    <w:rsid w:val="00AD4FEF"/>
    <w:rsid w:val="00AD50D1"/>
    <w:rsid w:val="00AD5414"/>
    <w:rsid w:val="00AD59BB"/>
    <w:rsid w:val="00AD5D68"/>
    <w:rsid w:val="00AD5D71"/>
    <w:rsid w:val="00AD6483"/>
    <w:rsid w:val="00AD675A"/>
    <w:rsid w:val="00AD6A63"/>
    <w:rsid w:val="00AD6BE5"/>
    <w:rsid w:val="00AD6C73"/>
    <w:rsid w:val="00AD7D49"/>
    <w:rsid w:val="00AE06D0"/>
    <w:rsid w:val="00AE1B8A"/>
    <w:rsid w:val="00AE20DF"/>
    <w:rsid w:val="00AE26E1"/>
    <w:rsid w:val="00AE39DC"/>
    <w:rsid w:val="00AE3CDA"/>
    <w:rsid w:val="00AE481D"/>
    <w:rsid w:val="00AE5270"/>
    <w:rsid w:val="00AE608F"/>
    <w:rsid w:val="00AE6734"/>
    <w:rsid w:val="00AE684E"/>
    <w:rsid w:val="00AE7968"/>
    <w:rsid w:val="00AE7B2B"/>
    <w:rsid w:val="00AE7DFF"/>
    <w:rsid w:val="00AF128B"/>
    <w:rsid w:val="00AF13A0"/>
    <w:rsid w:val="00AF1AEA"/>
    <w:rsid w:val="00AF2536"/>
    <w:rsid w:val="00AF2852"/>
    <w:rsid w:val="00AF3225"/>
    <w:rsid w:val="00AF398B"/>
    <w:rsid w:val="00AF4983"/>
    <w:rsid w:val="00AF4A95"/>
    <w:rsid w:val="00AF4B98"/>
    <w:rsid w:val="00AF4CA7"/>
    <w:rsid w:val="00AF518B"/>
    <w:rsid w:val="00AF5275"/>
    <w:rsid w:val="00AF5D62"/>
    <w:rsid w:val="00AF6367"/>
    <w:rsid w:val="00AF6A79"/>
    <w:rsid w:val="00AF6B7C"/>
    <w:rsid w:val="00AF724E"/>
    <w:rsid w:val="00AF73A9"/>
    <w:rsid w:val="00AF7C9B"/>
    <w:rsid w:val="00B013C0"/>
    <w:rsid w:val="00B01436"/>
    <w:rsid w:val="00B0178A"/>
    <w:rsid w:val="00B01C2C"/>
    <w:rsid w:val="00B0231C"/>
    <w:rsid w:val="00B034DC"/>
    <w:rsid w:val="00B05A37"/>
    <w:rsid w:val="00B07372"/>
    <w:rsid w:val="00B079BC"/>
    <w:rsid w:val="00B07C2A"/>
    <w:rsid w:val="00B10100"/>
    <w:rsid w:val="00B1076A"/>
    <w:rsid w:val="00B111CA"/>
    <w:rsid w:val="00B128E5"/>
    <w:rsid w:val="00B13681"/>
    <w:rsid w:val="00B13BCE"/>
    <w:rsid w:val="00B15C1D"/>
    <w:rsid w:val="00B15DCD"/>
    <w:rsid w:val="00B16201"/>
    <w:rsid w:val="00B16796"/>
    <w:rsid w:val="00B17335"/>
    <w:rsid w:val="00B17E71"/>
    <w:rsid w:val="00B17FDE"/>
    <w:rsid w:val="00B208FC"/>
    <w:rsid w:val="00B20C65"/>
    <w:rsid w:val="00B20DF8"/>
    <w:rsid w:val="00B2153E"/>
    <w:rsid w:val="00B21953"/>
    <w:rsid w:val="00B22E17"/>
    <w:rsid w:val="00B2419B"/>
    <w:rsid w:val="00B25567"/>
    <w:rsid w:val="00B25E31"/>
    <w:rsid w:val="00B266C5"/>
    <w:rsid w:val="00B26CDA"/>
    <w:rsid w:val="00B27293"/>
    <w:rsid w:val="00B300E8"/>
    <w:rsid w:val="00B301BB"/>
    <w:rsid w:val="00B30737"/>
    <w:rsid w:val="00B3216D"/>
    <w:rsid w:val="00B321E3"/>
    <w:rsid w:val="00B3229E"/>
    <w:rsid w:val="00B32DDB"/>
    <w:rsid w:val="00B340AD"/>
    <w:rsid w:val="00B3447A"/>
    <w:rsid w:val="00B3448C"/>
    <w:rsid w:val="00B34931"/>
    <w:rsid w:val="00B34FC6"/>
    <w:rsid w:val="00B35174"/>
    <w:rsid w:val="00B35BEA"/>
    <w:rsid w:val="00B365CB"/>
    <w:rsid w:val="00B37915"/>
    <w:rsid w:val="00B3793D"/>
    <w:rsid w:val="00B40879"/>
    <w:rsid w:val="00B41BE6"/>
    <w:rsid w:val="00B42831"/>
    <w:rsid w:val="00B428A4"/>
    <w:rsid w:val="00B428EA"/>
    <w:rsid w:val="00B454B4"/>
    <w:rsid w:val="00B457E7"/>
    <w:rsid w:val="00B45D1B"/>
    <w:rsid w:val="00B45DE5"/>
    <w:rsid w:val="00B461D6"/>
    <w:rsid w:val="00B46248"/>
    <w:rsid w:val="00B46D25"/>
    <w:rsid w:val="00B47430"/>
    <w:rsid w:val="00B4795A"/>
    <w:rsid w:val="00B47AC6"/>
    <w:rsid w:val="00B52D2D"/>
    <w:rsid w:val="00B534EF"/>
    <w:rsid w:val="00B548DA"/>
    <w:rsid w:val="00B54B85"/>
    <w:rsid w:val="00B55BA8"/>
    <w:rsid w:val="00B55F15"/>
    <w:rsid w:val="00B561A6"/>
    <w:rsid w:val="00B56645"/>
    <w:rsid w:val="00B57CC4"/>
    <w:rsid w:val="00B60062"/>
    <w:rsid w:val="00B606B9"/>
    <w:rsid w:val="00B6136C"/>
    <w:rsid w:val="00B62960"/>
    <w:rsid w:val="00B6349B"/>
    <w:rsid w:val="00B63A11"/>
    <w:rsid w:val="00B63FD0"/>
    <w:rsid w:val="00B643EC"/>
    <w:rsid w:val="00B6449F"/>
    <w:rsid w:val="00B6493D"/>
    <w:rsid w:val="00B6553E"/>
    <w:rsid w:val="00B65C84"/>
    <w:rsid w:val="00B6608F"/>
    <w:rsid w:val="00B661F6"/>
    <w:rsid w:val="00B6724D"/>
    <w:rsid w:val="00B67E42"/>
    <w:rsid w:val="00B73180"/>
    <w:rsid w:val="00B74317"/>
    <w:rsid w:val="00B74D75"/>
    <w:rsid w:val="00B75700"/>
    <w:rsid w:val="00B75AAD"/>
    <w:rsid w:val="00B760C1"/>
    <w:rsid w:val="00B76D1E"/>
    <w:rsid w:val="00B77ABC"/>
    <w:rsid w:val="00B77BC8"/>
    <w:rsid w:val="00B77DC3"/>
    <w:rsid w:val="00B77FB7"/>
    <w:rsid w:val="00B800EB"/>
    <w:rsid w:val="00B822D2"/>
    <w:rsid w:val="00B823F1"/>
    <w:rsid w:val="00B831B4"/>
    <w:rsid w:val="00B83CFE"/>
    <w:rsid w:val="00B83D46"/>
    <w:rsid w:val="00B848B8"/>
    <w:rsid w:val="00B84A41"/>
    <w:rsid w:val="00B84D57"/>
    <w:rsid w:val="00B8504B"/>
    <w:rsid w:val="00B853C2"/>
    <w:rsid w:val="00B85689"/>
    <w:rsid w:val="00B8672A"/>
    <w:rsid w:val="00B86748"/>
    <w:rsid w:val="00B86B70"/>
    <w:rsid w:val="00B907EA"/>
    <w:rsid w:val="00B91EC9"/>
    <w:rsid w:val="00B924CA"/>
    <w:rsid w:val="00B92A4B"/>
    <w:rsid w:val="00B92C9D"/>
    <w:rsid w:val="00B93384"/>
    <w:rsid w:val="00B93530"/>
    <w:rsid w:val="00B93616"/>
    <w:rsid w:val="00B94417"/>
    <w:rsid w:val="00B945B0"/>
    <w:rsid w:val="00B945C1"/>
    <w:rsid w:val="00B94DE2"/>
    <w:rsid w:val="00B95566"/>
    <w:rsid w:val="00B95940"/>
    <w:rsid w:val="00B95EF8"/>
    <w:rsid w:val="00B95F50"/>
    <w:rsid w:val="00B96BD9"/>
    <w:rsid w:val="00B979A0"/>
    <w:rsid w:val="00BA094F"/>
    <w:rsid w:val="00BA0DED"/>
    <w:rsid w:val="00BA0F99"/>
    <w:rsid w:val="00BA1EC9"/>
    <w:rsid w:val="00BA622C"/>
    <w:rsid w:val="00BA6D2C"/>
    <w:rsid w:val="00BB0274"/>
    <w:rsid w:val="00BB0B13"/>
    <w:rsid w:val="00BB12AC"/>
    <w:rsid w:val="00BB16AD"/>
    <w:rsid w:val="00BB1CFD"/>
    <w:rsid w:val="00BB2C53"/>
    <w:rsid w:val="00BB32DA"/>
    <w:rsid w:val="00BB3A54"/>
    <w:rsid w:val="00BB4286"/>
    <w:rsid w:val="00BB462A"/>
    <w:rsid w:val="00BB4D26"/>
    <w:rsid w:val="00BB4E21"/>
    <w:rsid w:val="00BB51AF"/>
    <w:rsid w:val="00BB6F86"/>
    <w:rsid w:val="00BB7746"/>
    <w:rsid w:val="00BC10DE"/>
    <w:rsid w:val="00BC22EB"/>
    <w:rsid w:val="00BC26CA"/>
    <w:rsid w:val="00BC6556"/>
    <w:rsid w:val="00BC682B"/>
    <w:rsid w:val="00BC68BA"/>
    <w:rsid w:val="00BC6B04"/>
    <w:rsid w:val="00BC6D27"/>
    <w:rsid w:val="00BD059A"/>
    <w:rsid w:val="00BD08A0"/>
    <w:rsid w:val="00BD0CBB"/>
    <w:rsid w:val="00BD186B"/>
    <w:rsid w:val="00BD1EAC"/>
    <w:rsid w:val="00BD254C"/>
    <w:rsid w:val="00BD3428"/>
    <w:rsid w:val="00BD345F"/>
    <w:rsid w:val="00BD366B"/>
    <w:rsid w:val="00BD5298"/>
    <w:rsid w:val="00BD534C"/>
    <w:rsid w:val="00BD557B"/>
    <w:rsid w:val="00BD55A9"/>
    <w:rsid w:val="00BD56BC"/>
    <w:rsid w:val="00BD5D91"/>
    <w:rsid w:val="00BD6445"/>
    <w:rsid w:val="00BD6526"/>
    <w:rsid w:val="00BD6615"/>
    <w:rsid w:val="00BD6D50"/>
    <w:rsid w:val="00BE0D79"/>
    <w:rsid w:val="00BE0DB0"/>
    <w:rsid w:val="00BE15B9"/>
    <w:rsid w:val="00BE2C15"/>
    <w:rsid w:val="00BE3381"/>
    <w:rsid w:val="00BE3F09"/>
    <w:rsid w:val="00BE670A"/>
    <w:rsid w:val="00BE6906"/>
    <w:rsid w:val="00BE6CA9"/>
    <w:rsid w:val="00BF18F4"/>
    <w:rsid w:val="00BF1907"/>
    <w:rsid w:val="00BF1A69"/>
    <w:rsid w:val="00BF2C67"/>
    <w:rsid w:val="00BF3BC8"/>
    <w:rsid w:val="00BF3DF1"/>
    <w:rsid w:val="00BF3FE5"/>
    <w:rsid w:val="00BF4C31"/>
    <w:rsid w:val="00BF4E57"/>
    <w:rsid w:val="00BF53B8"/>
    <w:rsid w:val="00BF71D5"/>
    <w:rsid w:val="00BF786A"/>
    <w:rsid w:val="00BF7CB8"/>
    <w:rsid w:val="00BF7F08"/>
    <w:rsid w:val="00BF7F28"/>
    <w:rsid w:val="00C00831"/>
    <w:rsid w:val="00C00F20"/>
    <w:rsid w:val="00C01354"/>
    <w:rsid w:val="00C01700"/>
    <w:rsid w:val="00C01B84"/>
    <w:rsid w:val="00C027C8"/>
    <w:rsid w:val="00C034E6"/>
    <w:rsid w:val="00C05715"/>
    <w:rsid w:val="00C05926"/>
    <w:rsid w:val="00C06370"/>
    <w:rsid w:val="00C0784A"/>
    <w:rsid w:val="00C10B28"/>
    <w:rsid w:val="00C10B3B"/>
    <w:rsid w:val="00C10D62"/>
    <w:rsid w:val="00C10FAE"/>
    <w:rsid w:val="00C1135D"/>
    <w:rsid w:val="00C11DAF"/>
    <w:rsid w:val="00C11E1F"/>
    <w:rsid w:val="00C123B4"/>
    <w:rsid w:val="00C12A69"/>
    <w:rsid w:val="00C13150"/>
    <w:rsid w:val="00C13737"/>
    <w:rsid w:val="00C150BE"/>
    <w:rsid w:val="00C158B0"/>
    <w:rsid w:val="00C15A0C"/>
    <w:rsid w:val="00C15CEB"/>
    <w:rsid w:val="00C15DCB"/>
    <w:rsid w:val="00C16208"/>
    <w:rsid w:val="00C1711F"/>
    <w:rsid w:val="00C17AB1"/>
    <w:rsid w:val="00C17BF1"/>
    <w:rsid w:val="00C17E38"/>
    <w:rsid w:val="00C20027"/>
    <w:rsid w:val="00C2038A"/>
    <w:rsid w:val="00C205BF"/>
    <w:rsid w:val="00C20744"/>
    <w:rsid w:val="00C20B1C"/>
    <w:rsid w:val="00C20C4D"/>
    <w:rsid w:val="00C21D46"/>
    <w:rsid w:val="00C21F94"/>
    <w:rsid w:val="00C222A1"/>
    <w:rsid w:val="00C22C59"/>
    <w:rsid w:val="00C23371"/>
    <w:rsid w:val="00C23CBD"/>
    <w:rsid w:val="00C23D22"/>
    <w:rsid w:val="00C2412D"/>
    <w:rsid w:val="00C2463B"/>
    <w:rsid w:val="00C24E77"/>
    <w:rsid w:val="00C2613A"/>
    <w:rsid w:val="00C268AD"/>
    <w:rsid w:val="00C2732D"/>
    <w:rsid w:val="00C273C6"/>
    <w:rsid w:val="00C27913"/>
    <w:rsid w:val="00C3004E"/>
    <w:rsid w:val="00C300C6"/>
    <w:rsid w:val="00C30828"/>
    <w:rsid w:val="00C30924"/>
    <w:rsid w:val="00C31D16"/>
    <w:rsid w:val="00C31DD8"/>
    <w:rsid w:val="00C3271C"/>
    <w:rsid w:val="00C32A35"/>
    <w:rsid w:val="00C336DD"/>
    <w:rsid w:val="00C339DE"/>
    <w:rsid w:val="00C34D57"/>
    <w:rsid w:val="00C34FDE"/>
    <w:rsid w:val="00C35C16"/>
    <w:rsid w:val="00C36EC3"/>
    <w:rsid w:val="00C40E09"/>
    <w:rsid w:val="00C40F81"/>
    <w:rsid w:val="00C41463"/>
    <w:rsid w:val="00C41A06"/>
    <w:rsid w:val="00C41A72"/>
    <w:rsid w:val="00C42D45"/>
    <w:rsid w:val="00C43CB1"/>
    <w:rsid w:val="00C4422D"/>
    <w:rsid w:val="00C44EBB"/>
    <w:rsid w:val="00C466D1"/>
    <w:rsid w:val="00C476C5"/>
    <w:rsid w:val="00C47D7C"/>
    <w:rsid w:val="00C47EB6"/>
    <w:rsid w:val="00C503B0"/>
    <w:rsid w:val="00C511C2"/>
    <w:rsid w:val="00C51D4B"/>
    <w:rsid w:val="00C527C6"/>
    <w:rsid w:val="00C538FC"/>
    <w:rsid w:val="00C53CDB"/>
    <w:rsid w:val="00C53D7B"/>
    <w:rsid w:val="00C53D82"/>
    <w:rsid w:val="00C54748"/>
    <w:rsid w:val="00C553E8"/>
    <w:rsid w:val="00C574CF"/>
    <w:rsid w:val="00C575FB"/>
    <w:rsid w:val="00C60696"/>
    <w:rsid w:val="00C60943"/>
    <w:rsid w:val="00C60EEF"/>
    <w:rsid w:val="00C610C5"/>
    <w:rsid w:val="00C6121D"/>
    <w:rsid w:val="00C615F1"/>
    <w:rsid w:val="00C61627"/>
    <w:rsid w:val="00C6369F"/>
    <w:rsid w:val="00C636C0"/>
    <w:rsid w:val="00C63B1A"/>
    <w:rsid w:val="00C64E60"/>
    <w:rsid w:val="00C6517A"/>
    <w:rsid w:val="00C657A4"/>
    <w:rsid w:val="00C65B84"/>
    <w:rsid w:val="00C66589"/>
    <w:rsid w:val="00C6736C"/>
    <w:rsid w:val="00C7179C"/>
    <w:rsid w:val="00C71A1D"/>
    <w:rsid w:val="00C71EC4"/>
    <w:rsid w:val="00C73ED2"/>
    <w:rsid w:val="00C7410A"/>
    <w:rsid w:val="00C74735"/>
    <w:rsid w:val="00C74791"/>
    <w:rsid w:val="00C7591E"/>
    <w:rsid w:val="00C75C7E"/>
    <w:rsid w:val="00C75C9B"/>
    <w:rsid w:val="00C76425"/>
    <w:rsid w:val="00C76D8E"/>
    <w:rsid w:val="00C77833"/>
    <w:rsid w:val="00C80953"/>
    <w:rsid w:val="00C80C9B"/>
    <w:rsid w:val="00C8180B"/>
    <w:rsid w:val="00C8335E"/>
    <w:rsid w:val="00C83F9C"/>
    <w:rsid w:val="00C844CA"/>
    <w:rsid w:val="00C84CE3"/>
    <w:rsid w:val="00C85614"/>
    <w:rsid w:val="00C86127"/>
    <w:rsid w:val="00C864FB"/>
    <w:rsid w:val="00C86509"/>
    <w:rsid w:val="00C86F39"/>
    <w:rsid w:val="00C9003C"/>
    <w:rsid w:val="00C905B2"/>
    <w:rsid w:val="00C90CF4"/>
    <w:rsid w:val="00C91C19"/>
    <w:rsid w:val="00C92988"/>
    <w:rsid w:val="00C929A0"/>
    <w:rsid w:val="00C930FB"/>
    <w:rsid w:val="00C93389"/>
    <w:rsid w:val="00C937DB"/>
    <w:rsid w:val="00C93F0E"/>
    <w:rsid w:val="00C94519"/>
    <w:rsid w:val="00C94E11"/>
    <w:rsid w:val="00C94E83"/>
    <w:rsid w:val="00C9567E"/>
    <w:rsid w:val="00C9613F"/>
    <w:rsid w:val="00C97038"/>
    <w:rsid w:val="00C9730D"/>
    <w:rsid w:val="00C97D46"/>
    <w:rsid w:val="00CA02B2"/>
    <w:rsid w:val="00CA0883"/>
    <w:rsid w:val="00CA1085"/>
    <w:rsid w:val="00CA140F"/>
    <w:rsid w:val="00CA25C2"/>
    <w:rsid w:val="00CA2BF5"/>
    <w:rsid w:val="00CA37BB"/>
    <w:rsid w:val="00CA37CA"/>
    <w:rsid w:val="00CA39E1"/>
    <w:rsid w:val="00CA5016"/>
    <w:rsid w:val="00CA5724"/>
    <w:rsid w:val="00CA6508"/>
    <w:rsid w:val="00CA6B87"/>
    <w:rsid w:val="00CA6BA1"/>
    <w:rsid w:val="00CA6CD5"/>
    <w:rsid w:val="00CA6D0B"/>
    <w:rsid w:val="00CB158C"/>
    <w:rsid w:val="00CB1910"/>
    <w:rsid w:val="00CB2150"/>
    <w:rsid w:val="00CB289A"/>
    <w:rsid w:val="00CB28EE"/>
    <w:rsid w:val="00CB2B15"/>
    <w:rsid w:val="00CB2EEA"/>
    <w:rsid w:val="00CB39FE"/>
    <w:rsid w:val="00CB43A7"/>
    <w:rsid w:val="00CB49F6"/>
    <w:rsid w:val="00CB4DF1"/>
    <w:rsid w:val="00CB5996"/>
    <w:rsid w:val="00CB6809"/>
    <w:rsid w:val="00CB7452"/>
    <w:rsid w:val="00CC0E10"/>
    <w:rsid w:val="00CC0F96"/>
    <w:rsid w:val="00CC1DAF"/>
    <w:rsid w:val="00CC212E"/>
    <w:rsid w:val="00CC2642"/>
    <w:rsid w:val="00CC2967"/>
    <w:rsid w:val="00CC2A1E"/>
    <w:rsid w:val="00CC2A36"/>
    <w:rsid w:val="00CC2E15"/>
    <w:rsid w:val="00CC30E2"/>
    <w:rsid w:val="00CC3440"/>
    <w:rsid w:val="00CC351B"/>
    <w:rsid w:val="00CC3908"/>
    <w:rsid w:val="00CC4F3D"/>
    <w:rsid w:val="00CC575E"/>
    <w:rsid w:val="00CC62AD"/>
    <w:rsid w:val="00CC6CA2"/>
    <w:rsid w:val="00CC7086"/>
    <w:rsid w:val="00CC7B80"/>
    <w:rsid w:val="00CD0080"/>
    <w:rsid w:val="00CD0779"/>
    <w:rsid w:val="00CD1A5C"/>
    <w:rsid w:val="00CD2B3C"/>
    <w:rsid w:val="00CD2DA6"/>
    <w:rsid w:val="00CD30F6"/>
    <w:rsid w:val="00CD4907"/>
    <w:rsid w:val="00CD4B29"/>
    <w:rsid w:val="00CD5493"/>
    <w:rsid w:val="00CD5FE3"/>
    <w:rsid w:val="00CD6339"/>
    <w:rsid w:val="00CD6607"/>
    <w:rsid w:val="00CD67CA"/>
    <w:rsid w:val="00CD6954"/>
    <w:rsid w:val="00CD6DA3"/>
    <w:rsid w:val="00CD6EF1"/>
    <w:rsid w:val="00CD6FE1"/>
    <w:rsid w:val="00CD7E35"/>
    <w:rsid w:val="00CE0ABC"/>
    <w:rsid w:val="00CE0B0C"/>
    <w:rsid w:val="00CE0CD6"/>
    <w:rsid w:val="00CE1313"/>
    <w:rsid w:val="00CE21C7"/>
    <w:rsid w:val="00CE2682"/>
    <w:rsid w:val="00CE2756"/>
    <w:rsid w:val="00CE29D6"/>
    <w:rsid w:val="00CE31D8"/>
    <w:rsid w:val="00CE442A"/>
    <w:rsid w:val="00CE44CE"/>
    <w:rsid w:val="00CE4DEB"/>
    <w:rsid w:val="00CE57D8"/>
    <w:rsid w:val="00CE5F03"/>
    <w:rsid w:val="00CE617A"/>
    <w:rsid w:val="00CE6E3C"/>
    <w:rsid w:val="00CE7158"/>
    <w:rsid w:val="00CE797F"/>
    <w:rsid w:val="00CF0826"/>
    <w:rsid w:val="00CF107E"/>
    <w:rsid w:val="00CF15BF"/>
    <w:rsid w:val="00CF243E"/>
    <w:rsid w:val="00CF25D2"/>
    <w:rsid w:val="00CF28C2"/>
    <w:rsid w:val="00CF3D3A"/>
    <w:rsid w:val="00CF42BD"/>
    <w:rsid w:val="00CF51EC"/>
    <w:rsid w:val="00CF56A8"/>
    <w:rsid w:val="00CF5BD8"/>
    <w:rsid w:val="00CF6A9D"/>
    <w:rsid w:val="00CF6CD7"/>
    <w:rsid w:val="00CF7276"/>
    <w:rsid w:val="00CF75EC"/>
    <w:rsid w:val="00D002DF"/>
    <w:rsid w:val="00D0037A"/>
    <w:rsid w:val="00D0061E"/>
    <w:rsid w:val="00D00DAF"/>
    <w:rsid w:val="00D017EC"/>
    <w:rsid w:val="00D01CDA"/>
    <w:rsid w:val="00D020FC"/>
    <w:rsid w:val="00D024A1"/>
    <w:rsid w:val="00D03866"/>
    <w:rsid w:val="00D040DD"/>
    <w:rsid w:val="00D04E1B"/>
    <w:rsid w:val="00D0547B"/>
    <w:rsid w:val="00D076DB"/>
    <w:rsid w:val="00D07EFF"/>
    <w:rsid w:val="00D1067C"/>
    <w:rsid w:val="00D110AB"/>
    <w:rsid w:val="00D11102"/>
    <w:rsid w:val="00D11CBB"/>
    <w:rsid w:val="00D132AD"/>
    <w:rsid w:val="00D136D4"/>
    <w:rsid w:val="00D13830"/>
    <w:rsid w:val="00D13ECF"/>
    <w:rsid w:val="00D142E5"/>
    <w:rsid w:val="00D148CD"/>
    <w:rsid w:val="00D14AFA"/>
    <w:rsid w:val="00D155E4"/>
    <w:rsid w:val="00D1611E"/>
    <w:rsid w:val="00D163CC"/>
    <w:rsid w:val="00D16E69"/>
    <w:rsid w:val="00D17F4A"/>
    <w:rsid w:val="00D205A9"/>
    <w:rsid w:val="00D217EE"/>
    <w:rsid w:val="00D24299"/>
    <w:rsid w:val="00D245BA"/>
    <w:rsid w:val="00D248FE"/>
    <w:rsid w:val="00D250C2"/>
    <w:rsid w:val="00D252D6"/>
    <w:rsid w:val="00D2689E"/>
    <w:rsid w:val="00D26923"/>
    <w:rsid w:val="00D26E27"/>
    <w:rsid w:val="00D277FF"/>
    <w:rsid w:val="00D27856"/>
    <w:rsid w:val="00D27D34"/>
    <w:rsid w:val="00D3006B"/>
    <w:rsid w:val="00D301CA"/>
    <w:rsid w:val="00D30740"/>
    <w:rsid w:val="00D309C0"/>
    <w:rsid w:val="00D30DC4"/>
    <w:rsid w:val="00D31075"/>
    <w:rsid w:val="00D31445"/>
    <w:rsid w:val="00D31932"/>
    <w:rsid w:val="00D32AE0"/>
    <w:rsid w:val="00D360DA"/>
    <w:rsid w:val="00D3614A"/>
    <w:rsid w:val="00D369AD"/>
    <w:rsid w:val="00D374B3"/>
    <w:rsid w:val="00D37689"/>
    <w:rsid w:val="00D378CC"/>
    <w:rsid w:val="00D37E80"/>
    <w:rsid w:val="00D4042C"/>
    <w:rsid w:val="00D40B9E"/>
    <w:rsid w:val="00D41281"/>
    <w:rsid w:val="00D41320"/>
    <w:rsid w:val="00D42312"/>
    <w:rsid w:val="00D433F5"/>
    <w:rsid w:val="00D43998"/>
    <w:rsid w:val="00D439C2"/>
    <w:rsid w:val="00D44A1D"/>
    <w:rsid w:val="00D451E0"/>
    <w:rsid w:val="00D4538D"/>
    <w:rsid w:val="00D455F9"/>
    <w:rsid w:val="00D45A1D"/>
    <w:rsid w:val="00D45B52"/>
    <w:rsid w:val="00D4615E"/>
    <w:rsid w:val="00D4651F"/>
    <w:rsid w:val="00D478E2"/>
    <w:rsid w:val="00D51739"/>
    <w:rsid w:val="00D5264C"/>
    <w:rsid w:val="00D53794"/>
    <w:rsid w:val="00D53B5F"/>
    <w:rsid w:val="00D547BA"/>
    <w:rsid w:val="00D55626"/>
    <w:rsid w:val="00D556BC"/>
    <w:rsid w:val="00D5626D"/>
    <w:rsid w:val="00D56631"/>
    <w:rsid w:val="00D56D85"/>
    <w:rsid w:val="00D5759D"/>
    <w:rsid w:val="00D577A4"/>
    <w:rsid w:val="00D57E4B"/>
    <w:rsid w:val="00D60277"/>
    <w:rsid w:val="00D60336"/>
    <w:rsid w:val="00D61B06"/>
    <w:rsid w:val="00D61F88"/>
    <w:rsid w:val="00D623F7"/>
    <w:rsid w:val="00D62688"/>
    <w:rsid w:val="00D62901"/>
    <w:rsid w:val="00D6345E"/>
    <w:rsid w:val="00D6470C"/>
    <w:rsid w:val="00D64853"/>
    <w:rsid w:val="00D64CB5"/>
    <w:rsid w:val="00D66D48"/>
    <w:rsid w:val="00D7162F"/>
    <w:rsid w:val="00D72897"/>
    <w:rsid w:val="00D7305B"/>
    <w:rsid w:val="00D73256"/>
    <w:rsid w:val="00D7383E"/>
    <w:rsid w:val="00D73A30"/>
    <w:rsid w:val="00D73E6F"/>
    <w:rsid w:val="00D73FB6"/>
    <w:rsid w:val="00D74278"/>
    <w:rsid w:val="00D74ABF"/>
    <w:rsid w:val="00D74C65"/>
    <w:rsid w:val="00D74E97"/>
    <w:rsid w:val="00D74F21"/>
    <w:rsid w:val="00D754CE"/>
    <w:rsid w:val="00D758D0"/>
    <w:rsid w:val="00D75DC2"/>
    <w:rsid w:val="00D75DC3"/>
    <w:rsid w:val="00D766EF"/>
    <w:rsid w:val="00D76C03"/>
    <w:rsid w:val="00D77D68"/>
    <w:rsid w:val="00D77E0D"/>
    <w:rsid w:val="00D77F8D"/>
    <w:rsid w:val="00D80A6A"/>
    <w:rsid w:val="00D80E07"/>
    <w:rsid w:val="00D8118B"/>
    <w:rsid w:val="00D8119B"/>
    <w:rsid w:val="00D81B44"/>
    <w:rsid w:val="00D82462"/>
    <w:rsid w:val="00D831C6"/>
    <w:rsid w:val="00D83EF3"/>
    <w:rsid w:val="00D84BD1"/>
    <w:rsid w:val="00D85773"/>
    <w:rsid w:val="00D85886"/>
    <w:rsid w:val="00D85D55"/>
    <w:rsid w:val="00D867A7"/>
    <w:rsid w:val="00D868CE"/>
    <w:rsid w:val="00D86DAE"/>
    <w:rsid w:val="00D875C9"/>
    <w:rsid w:val="00D8776A"/>
    <w:rsid w:val="00D90116"/>
    <w:rsid w:val="00D90C1E"/>
    <w:rsid w:val="00D91BDF"/>
    <w:rsid w:val="00D91F2C"/>
    <w:rsid w:val="00D9266B"/>
    <w:rsid w:val="00D93F09"/>
    <w:rsid w:val="00D94859"/>
    <w:rsid w:val="00D954C2"/>
    <w:rsid w:val="00D95D83"/>
    <w:rsid w:val="00D96368"/>
    <w:rsid w:val="00D9640A"/>
    <w:rsid w:val="00D97AAD"/>
    <w:rsid w:val="00D97BB8"/>
    <w:rsid w:val="00DA1318"/>
    <w:rsid w:val="00DA1382"/>
    <w:rsid w:val="00DA28B7"/>
    <w:rsid w:val="00DA2FE8"/>
    <w:rsid w:val="00DA3F70"/>
    <w:rsid w:val="00DA4AF6"/>
    <w:rsid w:val="00DA649A"/>
    <w:rsid w:val="00DA7AB2"/>
    <w:rsid w:val="00DB016E"/>
    <w:rsid w:val="00DB06E9"/>
    <w:rsid w:val="00DB0870"/>
    <w:rsid w:val="00DB0BF3"/>
    <w:rsid w:val="00DB19BD"/>
    <w:rsid w:val="00DB1D55"/>
    <w:rsid w:val="00DB378E"/>
    <w:rsid w:val="00DB3C0D"/>
    <w:rsid w:val="00DB3E9D"/>
    <w:rsid w:val="00DB47B9"/>
    <w:rsid w:val="00DB4FB8"/>
    <w:rsid w:val="00DB53CE"/>
    <w:rsid w:val="00DB549D"/>
    <w:rsid w:val="00DB5792"/>
    <w:rsid w:val="00DB6A88"/>
    <w:rsid w:val="00DB7BA4"/>
    <w:rsid w:val="00DB7D77"/>
    <w:rsid w:val="00DC08D7"/>
    <w:rsid w:val="00DC08E4"/>
    <w:rsid w:val="00DC176E"/>
    <w:rsid w:val="00DC226A"/>
    <w:rsid w:val="00DC257F"/>
    <w:rsid w:val="00DC2A9F"/>
    <w:rsid w:val="00DC2FA9"/>
    <w:rsid w:val="00DC350B"/>
    <w:rsid w:val="00DC3790"/>
    <w:rsid w:val="00DC408A"/>
    <w:rsid w:val="00DC436D"/>
    <w:rsid w:val="00DC519B"/>
    <w:rsid w:val="00DC53D9"/>
    <w:rsid w:val="00DC5B3B"/>
    <w:rsid w:val="00DC60C2"/>
    <w:rsid w:val="00DC6796"/>
    <w:rsid w:val="00DC68E7"/>
    <w:rsid w:val="00DC6CC6"/>
    <w:rsid w:val="00DC78DF"/>
    <w:rsid w:val="00DC7D4C"/>
    <w:rsid w:val="00DD0726"/>
    <w:rsid w:val="00DD0821"/>
    <w:rsid w:val="00DD0E32"/>
    <w:rsid w:val="00DD1878"/>
    <w:rsid w:val="00DD1DC1"/>
    <w:rsid w:val="00DD20FA"/>
    <w:rsid w:val="00DD21F1"/>
    <w:rsid w:val="00DD2670"/>
    <w:rsid w:val="00DD2872"/>
    <w:rsid w:val="00DD2A62"/>
    <w:rsid w:val="00DD2BB1"/>
    <w:rsid w:val="00DD2BD0"/>
    <w:rsid w:val="00DD2BFE"/>
    <w:rsid w:val="00DD36E7"/>
    <w:rsid w:val="00DD373E"/>
    <w:rsid w:val="00DD3867"/>
    <w:rsid w:val="00DD57AD"/>
    <w:rsid w:val="00DD7435"/>
    <w:rsid w:val="00DD7C6D"/>
    <w:rsid w:val="00DE009B"/>
    <w:rsid w:val="00DE08F8"/>
    <w:rsid w:val="00DE0C31"/>
    <w:rsid w:val="00DE0E40"/>
    <w:rsid w:val="00DE1460"/>
    <w:rsid w:val="00DE2ED9"/>
    <w:rsid w:val="00DE319A"/>
    <w:rsid w:val="00DE5AD3"/>
    <w:rsid w:val="00DE6EAC"/>
    <w:rsid w:val="00DE74A8"/>
    <w:rsid w:val="00DE7B69"/>
    <w:rsid w:val="00DF0615"/>
    <w:rsid w:val="00DF0DC3"/>
    <w:rsid w:val="00DF1328"/>
    <w:rsid w:val="00DF18C6"/>
    <w:rsid w:val="00DF1A2F"/>
    <w:rsid w:val="00DF204C"/>
    <w:rsid w:val="00DF2078"/>
    <w:rsid w:val="00DF21FD"/>
    <w:rsid w:val="00DF2873"/>
    <w:rsid w:val="00DF293C"/>
    <w:rsid w:val="00DF330C"/>
    <w:rsid w:val="00DF34B2"/>
    <w:rsid w:val="00DF3A10"/>
    <w:rsid w:val="00DF4C74"/>
    <w:rsid w:val="00DF52AE"/>
    <w:rsid w:val="00DF5578"/>
    <w:rsid w:val="00DF594F"/>
    <w:rsid w:val="00DF6CF8"/>
    <w:rsid w:val="00DF6F6E"/>
    <w:rsid w:val="00DF78DD"/>
    <w:rsid w:val="00DF7FEC"/>
    <w:rsid w:val="00E00CCA"/>
    <w:rsid w:val="00E01B16"/>
    <w:rsid w:val="00E01B6E"/>
    <w:rsid w:val="00E01C0E"/>
    <w:rsid w:val="00E02086"/>
    <w:rsid w:val="00E023BE"/>
    <w:rsid w:val="00E02740"/>
    <w:rsid w:val="00E03B27"/>
    <w:rsid w:val="00E03B58"/>
    <w:rsid w:val="00E04694"/>
    <w:rsid w:val="00E049F6"/>
    <w:rsid w:val="00E04CA9"/>
    <w:rsid w:val="00E05B2B"/>
    <w:rsid w:val="00E05EAD"/>
    <w:rsid w:val="00E065FC"/>
    <w:rsid w:val="00E06A2A"/>
    <w:rsid w:val="00E07F05"/>
    <w:rsid w:val="00E106A2"/>
    <w:rsid w:val="00E127E1"/>
    <w:rsid w:val="00E12BCE"/>
    <w:rsid w:val="00E1409E"/>
    <w:rsid w:val="00E144D2"/>
    <w:rsid w:val="00E144D6"/>
    <w:rsid w:val="00E14A98"/>
    <w:rsid w:val="00E15346"/>
    <w:rsid w:val="00E15B7D"/>
    <w:rsid w:val="00E16157"/>
    <w:rsid w:val="00E17C5F"/>
    <w:rsid w:val="00E2097E"/>
    <w:rsid w:val="00E215EA"/>
    <w:rsid w:val="00E21CAB"/>
    <w:rsid w:val="00E221FC"/>
    <w:rsid w:val="00E222BB"/>
    <w:rsid w:val="00E22782"/>
    <w:rsid w:val="00E22E78"/>
    <w:rsid w:val="00E24619"/>
    <w:rsid w:val="00E24871"/>
    <w:rsid w:val="00E25223"/>
    <w:rsid w:val="00E25999"/>
    <w:rsid w:val="00E26123"/>
    <w:rsid w:val="00E263A8"/>
    <w:rsid w:val="00E30BEA"/>
    <w:rsid w:val="00E31764"/>
    <w:rsid w:val="00E3288A"/>
    <w:rsid w:val="00E329AB"/>
    <w:rsid w:val="00E32BC2"/>
    <w:rsid w:val="00E32DFC"/>
    <w:rsid w:val="00E33313"/>
    <w:rsid w:val="00E3405E"/>
    <w:rsid w:val="00E34985"/>
    <w:rsid w:val="00E34E4A"/>
    <w:rsid w:val="00E365B3"/>
    <w:rsid w:val="00E366BB"/>
    <w:rsid w:val="00E372FD"/>
    <w:rsid w:val="00E37C45"/>
    <w:rsid w:val="00E40844"/>
    <w:rsid w:val="00E40AAA"/>
    <w:rsid w:val="00E4164E"/>
    <w:rsid w:val="00E41A59"/>
    <w:rsid w:val="00E42444"/>
    <w:rsid w:val="00E427EA"/>
    <w:rsid w:val="00E42C77"/>
    <w:rsid w:val="00E42D52"/>
    <w:rsid w:val="00E438CF"/>
    <w:rsid w:val="00E43B06"/>
    <w:rsid w:val="00E43C41"/>
    <w:rsid w:val="00E4500E"/>
    <w:rsid w:val="00E450CE"/>
    <w:rsid w:val="00E45703"/>
    <w:rsid w:val="00E45A00"/>
    <w:rsid w:val="00E45CE7"/>
    <w:rsid w:val="00E4631F"/>
    <w:rsid w:val="00E46735"/>
    <w:rsid w:val="00E46A4A"/>
    <w:rsid w:val="00E46E03"/>
    <w:rsid w:val="00E46F78"/>
    <w:rsid w:val="00E4793B"/>
    <w:rsid w:val="00E479D8"/>
    <w:rsid w:val="00E47B32"/>
    <w:rsid w:val="00E47CB8"/>
    <w:rsid w:val="00E47FCD"/>
    <w:rsid w:val="00E522BB"/>
    <w:rsid w:val="00E52A3D"/>
    <w:rsid w:val="00E533B7"/>
    <w:rsid w:val="00E539E4"/>
    <w:rsid w:val="00E53C14"/>
    <w:rsid w:val="00E549C7"/>
    <w:rsid w:val="00E569C7"/>
    <w:rsid w:val="00E569D7"/>
    <w:rsid w:val="00E571F2"/>
    <w:rsid w:val="00E57429"/>
    <w:rsid w:val="00E60FCE"/>
    <w:rsid w:val="00E61EA8"/>
    <w:rsid w:val="00E62A33"/>
    <w:rsid w:val="00E63200"/>
    <w:rsid w:val="00E63221"/>
    <w:rsid w:val="00E63960"/>
    <w:rsid w:val="00E63BFD"/>
    <w:rsid w:val="00E63EC6"/>
    <w:rsid w:val="00E64AE4"/>
    <w:rsid w:val="00E64CFF"/>
    <w:rsid w:val="00E64EA1"/>
    <w:rsid w:val="00E6582D"/>
    <w:rsid w:val="00E669C7"/>
    <w:rsid w:val="00E67611"/>
    <w:rsid w:val="00E67859"/>
    <w:rsid w:val="00E70510"/>
    <w:rsid w:val="00E705CD"/>
    <w:rsid w:val="00E71262"/>
    <w:rsid w:val="00E71A58"/>
    <w:rsid w:val="00E71C3A"/>
    <w:rsid w:val="00E72BA7"/>
    <w:rsid w:val="00E737F6"/>
    <w:rsid w:val="00E7568F"/>
    <w:rsid w:val="00E764AE"/>
    <w:rsid w:val="00E76733"/>
    <w:rsid w:val="00E76F80"/>
    <w:rsid w:val="00E7724B"/>
    <w:rsid w:val="00E776DE"/>
    <w:rsid w:val="00E80E31"/>
    <w:rsid w:val="00E81130"/>
    <w:rsid w:val="00E813EF"/>
    <w:rsid w:val="00E81556"/>
    <w:rsid w:val="00E83DAB"/>
    <w:rsid w:val="00E841E3"/>
    <w:rsid w:val="00E84F21"/>
    <w:rsid w:val="00E85720"/>
    <w:rsid w:val="00E8618A"/>
    <w:rsid w:val="00E90A4B"/>
    <w:rsid w:val="00E90D67"/>
    <w:rsid w:val="00E90F73"/>
    <w:rsid w:val="00E910A7"/>
    <w:rsid w:val="00E91607"/>
    <w:rsid w:val="00E921C7"/>
    <w:rsid w:val="00E92995"/>
    <w:rsid w:val="00E92A8C"/>
    <w:rsid w:val="00E93035"/>
    <w:rsid w:val="00E932EA"/>
    <w:rsid w:val="00E9446C"/>
    <w:rsid w:val="00E94612"/>
    <w:rsid w:val="00E94ADB"/>
    <w:rsid w:val="00E95797"/>
    <w:rsid w:val="00E9682F"/>
    <w:rsid w:val="00E96A8D"/>
    <w:rsid w:val="00E96FC2"/>
    <w:rsid w:val="00E970D9"/>
    <w:rsid w:val="00E972BA"/>
    <w:rsid w:val="00E97FA2"/>
    <w:rsid w:val="00EA06CB"/>
    <w:rsid w:val="00EA0AF3"/>
    <w:rsid w:val="00EA0C68"/>
    <w:rsid w:val="00EA19E2"/>
    <w:rsid w:val="00EA1CFB"/>
    <w:rsid w:val="00EA2169"/>
    <w:rsid w:val="00EA3BF6"/>
    <w:rsid w:val="00EA3EBE"/>
    <w:rsid w:val="00EA3FAC"/>
    <w:rsid w:val="00EA4153"/>
    <w:rsid w:val="00EA421A"/>
    <w:rsid w:val="00EA5CD6"/>
    <w:rsid w:val="00EA76FD"/>
    <w:rsid w:val="00EA77CA"/>
    <w:rsid w:val="00EA78FE"/>
    <w:rsid w:val="00EB03D4"/>
    <w:rsid w:val="00EB0555"/>
    <w:rsid w:val="00EB0938"/>
    <w:rsid w:val="00EB0FCC"/>
    <w:rsid w:val="00EB1298"/>
    <w:rsid w:val="00EB20A0"/>
    <w:rsid w:val="00EB29CA"/>
    <w:rsid w:val="00EB2CE9"/>
    <w:rsid w:val="00EB30B6"/>
    <w:rsid w:val="00EB4335"/>
    <w:rsid w:val="00EB4FA4"/>
    <w:rsid w:val="00EB5146"/>
    <w:rsid w:val="00EB514B"/>
    <w:rsid w:val="00EB522B"/>
    <w:rsid w:val="00EB5410"/>
    <w:rsid w:val="00EB55E9"/>
    <w:rsid w:val="00EB5641"/>
    <w:rsid w:val="00EB592C"/>
    <w:rsid w:val="00EB599D"/>
    <w:rsid w:val="00EB5CA9"/>
    <w:rsid w:val="00EB5ED4"/>
    <w:rsid w:val="00EB6537"/>
    <w:rsid w:val="00EB70E1"/>
    <w:rsid w:val="00EB7EB5"/>
    <w:rsid w:val="00EC0860"/>
    <w:rsid w:val="00EC0EC1"/>
    <w:rsid w:val="00EC424C"/>
    <w:rsid w:val="00EC454B"/>
    <w:rsid w:val="00EC4941"/>
    <w:rsid w:val="00EC4D9C"/>
    <w:rsid w:val="00EC6153"/>
    <w:rsid w:val="00EC7F92"/>
    <w:rsid w:val="00ED00A8"/>
    <w:rsid w:val="00ED0A79"/>
    <w:rsid w:val="00ED0C9B"/>
    <w:rsid w:val="00ED2989"/>
    <w:rsid w:val="00ED2B0B"/>
    <w:rsid w:val="00ED2CA5"/>
    <w:rsid w:val="00ED336F"/>
    <w:rsid w:val="00ED390A"/>
    <w:rsid w:val="00ED3A94"/>
    <w:rsid w:val="00ED40F0"/>
    <w:rsid w:val="00ED4AC0"/>
    <w:rsid w:val="00ED54D6"/>
    <w:rsid w:val="00ED5726"/>
    <w:rsid w:val="00ED7AA7"/>
    <w:rsid w:val="00ED7C3C"/>
    <w:rsid w:val="00EE0113"/>
    <w:rsid w:val="00EE0298"/>
    <w:rsid w:val="00EE0384"/>
    <w:rsid w:val="00EE043A"/>
    <w:rsid w:val="00EE0473"/>
    <w:rsid w:val="00EE07DE"/>
    <w:rsid w:val="00EE1057"/>
    <w:rsid w:val="00EE10AA"/>
    <w:rsid w:val="00EE1637"/>
    <w:rsid w:val="00EE208C"/>
    <w:rsid w:val="00EE3547"/>
    <w:rsid w:val="00EE3B7A"/>
    <w:rsid w:val="00EE3CA2"/>
    <w:rsid w:val="00EE3E78"/>
    <w:rsid w:val="00EE450E"/>
    <w:rsid w:val="00EE4534"/>
    <w:rsid w:val="00EE495A"/>
    <w:rsid w:val="00EE5E02"/>
    <w:rsid w:val="00EE617D"/>
    <w:rsid w:val="00EE61BF"/>
    <w:rsid w:val="00EE6538"/>
    <w:rsid w:val="00EE6748"/>
    <w:rsid w:val="00EE6C6B"/>
    <w:rsid w:val="00EF0E75"/>
    <w:rsid w:val="00EF1D92"/>
    <w:rsid w:val="00EF1ED5"/>
    <w:rsid w:val="00EF1F5A"/>
    <w:rsid w:val="00EF303D"/>
    <w:rsid w:val="00EF3486"/>
    <w:rsid w:val="00EF35CA"/>
    <w:rsid w:val="00EF3CF0"/>
    <w:rsid w:val="00EF4685"/>
    <w:rsid w:val="00EF51FE"/>
    <w:rsid w:val="00EF5397"/>
    <w:rsid w:val="00EF63CC"/>
    <w:rsid w:val="00EF6B4F"/>
    <w:rsid w:val="00EF6BE3"/>
    <w:rsid w:val="00F00D0E"/>
    <w:rsid w:val="00F00D3C"/>
    <w:rsid w:val="00F020EA"/>
    <w:rsid w:val="00F02A72"/>
    <w:rsid w:val="00F032C4"/>
    <w:rsid w:val="00F0356B"/>
    <w:rsid w:val="00F04811"/>
    <w:rsid w:val="00F0488C"/>
    <w:rsid w:val="00F0496E"/>
    <w:rsid w:val="00F04D10"/>
    <w:rsid w:val="00F04FAE"/>
    <w:rsid w:val="00F053EA"/>
    <w:rsid w:val="00F0540C"/>
    <w:rsid w:val="00F06158"/>
    <w:rsid w:val="00F0625B"/>
    <w:rsid w:val="00F068A8"/>
    <w:rsid w:val="00F06944"/>
    <w:rsid w:val="00F069AC"/>
    <w:rsid w:val="00F06C6F"/>
    <w:rsid w:val="00F0732D"/>
    <w:rsid w:val="00F101FF"/>
    <w:rsid w:val="00F104DF"/>
    <w:rsid w:val="00F10A33"/>
    <w:rsid w:val="00F10B64"/>
    <w:rsid w:val="00F1186C"/>
    <w:rsid w:val="00F11AD5"/>
    <w:rsid w:val="00F126D0"/>
    <w:rsid w:val="00F12A83"/>
    <w:rsid w:val="00F14ACD"/>
    <w:rsid w:val="00F15309"/>
    <w:rsid w:val="00F15BEF"/>
    <w:rsid w:val="00F160EC"/>
    <w:rsid w:val="00F172BE"/>
    <w:rsid w:val="00F1776C"/>
    <w:rsid w:val="00F2037E"/>
    <w:rsid w:val="00F20D17"/>
    <w:rsid w:val="00F2103E"/>
    <w:rsid w:val="00F214FC"/>
    <w:rsid w:val="00F21837"/>
    <w:rsid w:val="00F21C31"/>
    <w:rsid w:val="00F23825"/>
    <w:rsid w:val="00F2389A"/>
    <w:rsid w:val="00F23F6C"/>
    <w:rsid w:val="00F23FFF"/>
    <w:rsid w:val="00F24115"/>
    <w:rsid w:val="00F243F6"/>
    <w:rsid w:val="00F2441D"/>
    <w:rsid w:val="00F2490D"/>
    <w:rsid w:val="00F24FAA"/>
    <w:rsid w:val="00F25226"/>
    <w:rsid w:val="00F25860"/>
    <w:rsid w:val="00F26197"/>
    <w:rsid w:val="00F273D4"/>
    <w:rsid w:val="00F307DD"/>
    <w:rsid w:val="00F30C2E"/>
    <w:rsid w:val="00F30CB4"/>
    <w:rsid w:val="00F30EBF"/>
    <w:rsid w:val="00F318FC"/>
    <w:rsid w:val="00F31D53"/>
    <w:rsid w:val="00F31F76"/>
    <w:rsid w:val="00F325A3"/>
    <w:rsid w:val="00F3267A"/>
    <w:rsid w:val="00F3364D"/>
    <w:rsid w:val="00F339D0"/>
    <w:rsid w:val="00F353AE"/>
    <w:rsid w:val="00F35ACD"/>
    <w:rsid w:val="00F365BF"/>
    <w:rsid w:val="00F36BB9"/>
    <w:rsid w:val="00F36BF8"/>
    <w:rsid w:val="00F36FC0"/>
    <w:rsid w:val="00F375BA"/>
    <w:rsid w:val="00F37760"/>
    <w:rsid w:val="00F37F3C"/>
    <w:rsid w:val="00F403D1"/>
    <w:rsid w:val="00F40562"/>
    <w:rsid w:val="00F4170B"/>
    <w:rsid w:val="00F43292"/>
    <w:rsid w:val="00F43921"/>
    <w:rsid w:val="00F44E1B"/>
    <w:rsid w:val="00F45222"/>
    <w:rsid w:val="00F4524F"/>
    <w:rsid w:val="00F45530"/>
    <w:rsid w:val="00F4591F"/>
    <w:rsid w:val="00F47321"/>
    <w:rsid w:val="00F4736B"/>
    <w:rsid w:val="00F47804"/>
    <w:rsid w:val="00F47997"/>
    <w:rsid w:val="00F47D05"/>
    <w:rsid w:val="00F50030"/>
    <w:rsid w:val="00F502F5"/>
    <w:rsid w:val="00F50B9D"/>
    <w:rsid w:val="00F51FC9"/>
    <w:rsid w:val="00F529EE"/>
    <w:rsid w:val="00F52AE1"/>
    <w:rsid w:val="00F53243"/>
    <w:rsid w:val="00F541ED"/>
    <w:rsid w:val="00F54B31"/>
    <w:rsid w:val="00F54C70"/>
    <w:rsid w:val="00F54FD3"/>
    <w:rsid w:val="00F554F9"/>
    <w:rsid w:val="00F55605"/>
    <w:rsid w:val="00F56375"/>
    <w:rsid w:val="00F56E04"/>
    <w:rsid w:val="00F57CAD"/>
    <w:rsid w:val="00F57CD7"/>
    <w:rsid w:val="00F6080A"/>
    <w:rsid w:val="00F61BFE"/>
    <w:rsid w:val="00F62F02"/>
    <w:rsid w:val="00F6339F"/>
    <w:rsid w:val="00F638E6"/>
    <w:rsid w:val="00F63DDE"/>
    <w:rsid w:val="00F63FB7"/>
    <w:rsid w:val="00F64726"/>
    <w:rsid w:val="00F64C5B"/>
    <w:rsid w:val="00F64F44"/>
    <w:rsid w:val="00F6561A"/>
    <w:rsid w:val="00F66243"/>
    <w:rsid w:val="00F66CA8"/>
    <w:rsid w:val="00F67BDA"/>
    <w:rsid w:val="00F70309"/>
    <w:rsid w:val="00F7078A"/>
    <w:rsid w:val="00F70C8E"/>
    <w:rsid w:val="00F70E45"/>
    <w:rsid w:val="00F727D5"/>
    <w:rsid w:val="00F72F44"/>
    <w:rsid w:val="00F73150"/>
    <w:rsid w:val="00F73A0C"/>
    <w:rsid w:val="00F7593A"/>
    <w:rsid w:val="00F7593B"/>
    <w:rsid w:val="00F759DC"/>
    <w:rsid w:val="00F76309"/>
    <w:rsid w:val="00F76563"/>
    <w:rsid w:val="00F76F35"/>
    <w:rsid w:val="00F7717C"/>
    <w:rsid w:val="00F771A5"/>
    <w:rsid w:val="00F77387"/>
    <w:rsid w:val="00F80021"/>
    <w:rsid w:val="00F804FA"/>
    <w:rsid w:val="00F80D1E"/>
    <w:rsid w:val="00F817A4"/>
    <w:rsid w:val="00F81C3A"/>
    <w:rsid w:val="00F83573"/>
    <w:rsid w:val="00F835E1"/>
    <w:rsid w:val="00F835FC"/>
    <w:rsid w:val="00F8373A"/>
    <w:rsid w:val="00F83E21"/>
    <w:rsid w:val="00F83FA4"/>
    <w:rsid w:val="00F8410C"/>
    <w:rsid w:val="00F84E18"/>
    <w:rsid w:val="00F852E5"/>
    <w:rsid w:val="00F853A5"/>
    <w:rsid w:val="00F8630A"/>
    <w:rsid w:val="00F86F2E"/>
    <w:rsid w:val="00F90350"/>
    <w:rsid w:val="00F916FB"/>
    <w:rsid w:val="00F91EAF"/>
    <w:rsid w:val="00F9310A"/>
    <w:rsid w:val="00F94681"/>
    <w:rsid w:val="00F95117"/>
    <w:rsid w:val="00F951D6"/>
    <w:rsid w:val="00F96E38"/>
    <w:rsid w:val="00F97ED2"/>
    <w:rsid w:val="00FA05D7"/>
    <w:rsid w:val="00FA16BD"/>
    <w:rsid w:val="00FA1992"/>
    <w:rsid w:val="00FA1C6C"/>
    <w:rsid w:val="00FA23C1"/>
    <w:rsid w:val="00FA2447"/>
    <w:rsid w:val="00FA2A4A"/>
    <w:rsid w:val="00FA2BDE"/>
    <w:rsid w:val="00FA2C2A"/>
    <w:rsid w:val="00FA309A"/>
    <w:rsid w:val="00FA6B3F"/>
    <w:rsid w:val="00FA7644"/>
    <w:rsid w:val="00FA76E1"/>
    <w:rsid w:val="00FB0A9A"/>
    <w:rsid w:val="00FB16AD"/>
    <w:rsid w:val="00FB1BC4"/>
    <w:rsid w:val="00FB1F21"/>
    <w:rsid w:val="00FB332E"/>
    <w:rsid w:val="00FB3763"/>
    <w:rsid w:val="00FB483B"/>
    <w:rsid w:val="00FB56F1"/>
    <w:rsid w:val="00FB5A54"/>
    <w:rsid w:val="00FB5FD4"/>
    <w:rsid w:val="00FB6398"/>
    <w:rsid w:val="00FB67F3"/>
    <w:rsid w:val="00FB6AF4"/>
    <w:rsid w:val="00FB7710"/>
    <w:rsid w:val="00FC0D8A"/>
    <w:rsid w:val="00FC0E5F"/>
    <w:rsid w:val="00FC135D"/>
    <w:rsid w:val="00FC26FB"/>
    <w:rsid w:val="00FC2CF4"/>
    <w:rsid w:val="00FC3C84"/>
    <w:rsid w:val="00FC3EED"/>
    <w:rsid w:val="00FC428D"/>
    <w:rsid w:val="00FC4660"/>
    <w:rsid w:val="00FC56DE"/>
    <w:rsid w:val="00FC5E01"/>
    <w:rsid w:val="00FC6140"/>
    <w:rsid w:val="00FC6DB5"/>
    <w:rsid w:val="00FC740A"/>
    <w:rsid w:val="00FD1261"/>
    <w:rsid w:val="00FD1627"/>
    <w:rsid w:val="00FD1BBD"/>
    <w:rsid w:val="00FD33E5"/>
    <w:rsid w:val="00FD38B2"/>
    <w:rsid w:val="00FD38F7"/>
    <w:rsid w:val="00FD4262"/>
    <w:rsid w:val="00FD43A0"/>
    <w:rsid w:val="00FD473D"/>
    <w:rsid w:val="00FD55BA"/>
    <w:rsid w:val="00FD61C8"/>
    <w:rsid w:val="00FD63CE"/>
    <w:rsid w:val="00FD77BB"/>
    <w:rsid w:val="00FD7D49"/>
    <w:rsid w:val="00FE1251"/>
    <w:rsid w:val="00FE16E6"/>
    <w:rsid w:val="00FE2F3B"/>
    <w:rsid w:val="00FE2F78"/>
    <w:rsid w:val="00FE3510"/>
    <w:rsid w:val="00FE371D"/>
    <w:rsid w:val="00FE375F"/>
    <w:rsid w:val="00FE3D8B"/>
    <w:rsid w:val="00FE4FCB"/>
    <w:rsid w:val="00FE60A8"/>
    <w:rsid w:val="00FE688F"/>
    <w:rsid w:val="00FE6920"/>
    <w:rsid w:val="00FE705E"/>
    <w:rsid w:val="00FF02EB"/>
    <w:rsid w:val="00FF288B"/>
    <w:rsid w:val="00FF28E0"/>
    <w:rsid w:val="00FF2FB4"/>
    <w:rsid w:val="00FF30B3"/>
    <w:rsid w:val="00FF3DF3"/>
    <w:rsid w:val="00FF4027"/>
    <w:rsid w:val="00FF45A2"/>
    <w:rsid w:val="00FF4BD5"/>
    <w:rsid w:val="00FF55B1"/>
    <w:rsid w:val="00FF5A33"/>
    <w:rsid w:val="00FF65DF"/>
    <w:rsid w:val="00FF6B00"/>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 w:type="character" w:customStyle="1" w:styleId="shorttext">
    <w:name w:val="short_text"/>
    <w:basedOn w:val="Standardnpsmoodstavce"/>
    <w:rsid w:val="00F96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2268191">
      <w:bodyDiv w:val="1"/>
      <w:marLeft w:val="0"/>
      <w:marRight w:val="0"/>
      <w:marTop w:val="0"/>
      <w:marBottom w:val="0"/>
      <w:divBdr>
        <w:top w:val="none" w:sz="0" w:space="0" w:color="auto"/>
        <w:left w:val="none" w:sz="0" w:space="0" w:color="auto"/>
        <w:bottom w:val="none" w:sz="0" w:space="0" w:color="auto"/>
        <w:right w:val="none" w:sz="0" w:space="0" w:color="auto"/>
      </w:divBdr>
    </w:div>
    <w:div w:id="858011097">
      <w:bodyDiv w:val="1"/>
      <w:marLeft w:val="50"/>
      <w:marRight w:val="50"/>
      <w:marTop w:val="50"/>
      <w:marBottom w:val="13"/>
      <w:divBdr>
        <w:top w:val="none" w:sz="0" w:space="0" w:color="auto"/>
        <w:left w:val="none" w:sz="0" w:space="0" w:color="auto"/>
        <w:bottom w:val="none" w:sz="0" w:space="0" w:color="auto"/>
        <w:right w:val="none" w:sz="0" w:space="0" w:color="auto"/>
      </w:divBdr>
      <w:divsChild>
        <w:div w:id="727414442">
          <w:marLeft w:val="0"/>
          <w:marRight w:val="0"/>
          <w:marTop w:val="0"/>
          <w:marBottom w:val="0"/>
          <w:divBdr>
            <w:top w:val="none" w:sz="0" w:space="0" w:color="auto"/>
            <w:left w:val="none" w:sz="0" w:space="0" w:color="auto"/>
            <w:bottom w:val="none" w:sz="0" w:space="0" w:color="auto"/>
            <w:right w:val="none" w:sz="0" w:space="0" w:color="auto"/>
          </w:divBdr>
        </w:div>
        <w:div w:id="1946301921">
          <w:marLeft w:val="0"/>
          <w:marRight w:val="0"/>
          <w:marTop w:val="0"/>
          <w:marBottom w:val="0"/>
          <w:divBdr>
            <w:top w:val="none" w:sz="0" w:space="0" w:color="auto"/>
            <w:left w:val="none" w:sz="0" w:space="0" w:color="auto"/>
            <w:bottom w:val="none" w:sz="0" w:space="0" w:color="auto"/>
            <w:right w:val="none" w:sz="0" w:space="0" w:color="auto"/>
          </w:divBdr>
        </w:div>
        <w:div w:id="1820540680">
          <w:marLeft w:val="0"/>
          <w:marRight w:val="0"/>
          <w:marTop w:val="0"/>
          <w:marBottom w:val="0"/>
          <w:divBdr>
            <w:top w:val="none" w:sz="0" w:space="0" w:color="auto"/>
            <w:left w:val="none" w:sz="0" w:space="0" w:color="auto"/>
            <w:bottom w:val="none" w:sz="0" w:space="0" w:color="auto"/>
            <w:right w:val="none" w:sz="0" w:space="0" w:color="auto"/>
          </w:divBdr>
          <w:divsChild>
            <w:div w:id="2134322281">
              <w:marLeft w:val="0"/>
              <w:marRight w:val="0"/>
              <w:marTop w:val="0"/>
              <w:marBottom w:val="0"/>
              <w:divBdr>
                <w:top w:val="none" w:sz="0" w:space="0" w:color="auto"/>
                <w:left w:val="none" w:sz="0" w:space="0" w:color="auto"/>
                <w:bottom w:val="none" w:sz="0" w:space="0" w:color="auto"/>
                <w:right w:val="none" w:sz="0" w:space="0" w:color="auto"/>
              </w:divBdr>
            </w:div>
            <w:div w:id="523054529">
              <w:marLeft w:val="0"/>
              <w:marRight w:val="0"/>
              <w:marTop w:val="0"/>
              <w:marBottom w:val="0"/>
              <w:divBdr>
                <w:top w:val="none" w:sz="0" w:space="0" w:color="auto"/>
                <w:left w:val="none" w:sz="0" w:space="0" w:color="auto"/>
                <w:bottom w:val="none" w:sz="0" w:space="0" w:color="auto"/>
                <w:right w:val="none" w:sz="0" w:space="0" w:color="auto"/>
              </w:divBdr>
              <w:divsChild>
                <w:div w:id="1558934058">
                  <w:marLeft w:val="0"/>
                  <w:marRight w:val="0"/>
                  <w:marTop w:val="0"/>
                  <w:marBottom w:val="0"/>
                  <w:divBdr>
                    <w:top w:val="none" w:sz="0" w:space="0" w:color="auto"/>
                    <w:left w:val="none" w:sz="0" w:space="0" w:color="auto"/>
                    <w:bottom w:val="none" w:sz="0" w:space="0" w:color="auto"/>
                    <w:right w:val="none" w:sz="0" w:space="0" w:color="auto"/>
                  </w:divBdr>
                </w:div>
                <w:div w:id="1850876401">
                  <w:marLeft w:val="0"/>
                  <w:marRight w:val="0"/>
                  <w:marTop w:val="0"/>
                  <w:marBottom w:val="0"/>
                  <w:divBdr>
                    <w:top w:val="none" w:sz="0" w:space="0" w:color="auto"/>
                    <w:left w:val="none" w:sz="0" w:space="0" w:color="auto"/>
                    <w:bottom w:val="none" w:sz="0" w:space="0" w:color="auto"/>
                    <w:right w:val="none" w:sz="0" w:space="0" w:color="auto"/>
                  </w:divBdr>
                </w:div>
                <w:div w:id="797725160">
                  <w:marLeft w:val="0"/>
                  <w:marRight w:val="0"/>
                  <w:marTop w:val="0"/>
                  <w:marBottom w:val="0"/>
                  <w:divBdr>
                    <w:top w:val="none" w:sz="0" w:space="0" w:color="auto"/>
                    <w:left w:val="none" w:sz="0" w:space="0" w:color="auto"/>
                    <w:bottom w:val="none" w:sz="0" w:space="0" w:color="auto"/>
                    <w:right w:val="none" w:sz="0" w:space="0" w:color="auto"/>
                  </w:divBdr>
                </w:div>
                <w:div w:id="1480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847">
          <w:marLeft w:val="0"/>
          <w:marRight w:val="0"/>
          <w:marTop w:val="0"/>
          <w:marBottom w:val="0"/>
          <w:divBdr>
            <w:top w:val="none" w:sz="0" w:space="0" w:color="auto"/>
            <w:left w:val="none" w:sz="0" w:space="0" w:color="auto"/>
            <w:bottom w:val="none" w:sz="0" w:space="0" w:color="auto"/>
            <w:right w:val="none" w:sz="0" w:space="0" w:color="auto"/>
          </w:divBdr>
        </w:div>
      </w:divsChild>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328634465">
      <w:bodyDiv w:val="1"/>
      <w:marLeft w:val="0"/>
      <w:marRight w:val="0"/>
      <w:marTop w:val="0"/>
      <w:marBottom w:val="0"/>
      <w:divBdr>
        <w:top w:val="none" w:sz="0" w:space="0" w:color="auto"/>
        <w:left w:val="none" w:sz="0" w:space="0" w:color="auto"/>
        <w:bottom w:val="none" w:sz="0" w:space="0" w:color="auto"/>
        <w:right w:val="none" w:sz="0" w:space="0" w:color="auto"/>
      </w:divBdr>
    </w:div>
    <w:div w:id="1644196240">
      <w:bodyDiv w:val="1"/>
      <w:marLeft w:val="40"/>
      <w:marRight w:val="40"/>
      <w:marTop w:val="40"/>
      <w:marBottom w:val="10"/>
      <w:divBdr>
        <w:top w:val="none" w:sz="0" w:space="0" w:color="auto"/>
        <w:left w:val="none" w:sz="0" w:space="0" w:color="auto"/>
        <w:bottom w:val="none" w:sz="0" w:space="0" w:color="auto"/>
        <w:right w:val="none" w:sz="0" w:space="0" w:color="auto"/>
      </w:divBdr>
      <w:divsChild>
        <w:div w:id="808862537">
          <w:marLeft w:val="0"/>
          <w:marRight w:val="0"/>
          <w:marTop w:val="0"/>
          <w:marBottom w:val="0"/>
          <w:divBdr>
            <w:top w:val="none" w:sz="0" w:space="0" w:color="auto"/>
            <w:left w:val="none" w:sz="0" w:space="0" w:color="auto"/>
            <w:bottom w:val="none" w:sz="0" w:space="0" w:color="auto"/>
            <w:right w:val="none" w:sz="0" w:space="0" w:color="auto"/>
          </w:divBdr>
        </w:div>
      </w:divsChild>
    </w:div>
    <w:div w:id="1749158053">
      <w:bodyDiv w:val="1"/>
      <w:marLeft w:val="0"/>
      <w:marRight w:val="0"/>
      <w:marTop w:val="0"/>
      <w:marBottom w:val="0"/>
      <w:divBdr>
        <w:top w:val="none" w:sz="0" w:space="0" w:color="auto"/>
        <w:left w:val="none" w:sz="0" w:space="0" w:color="auto"/>
        <w:bottom w:val="none" w:sz="0" w:space="0" w:color="auto"/>
        <w:right w:val="none" w:sz="0" w:space="0" w:color="auto"/>
      </w:divBdr>
    </w:div>
    <w:div w:id="2084790664">
      <w:bodyDiv w:val="1"/>
      <w:marLeft w:val="0"/>
      <w:marRight w:val="0"/>
      <w:marTop w:val="0"/>
      <w:marBottom w:val="0"/>
      <w:divBdr>
        <w:top w:val="none" w:sz="0" w:space="0" w:color="auto"/>
        <w:left w:val="none" w:sz="0" w:space="0" w:color="auto"/>
        <w:bottom w:val="none" w:sz="0" w:space="0" w:color="auto"/>
        <w:right w:val="none" w:sz="0" w:space="0" w:color="auto"/>
      </w:divBdr>
    </w:div>
    <w:div w:id="21453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7\QMakro\Celorok\ENGL\ENGL-Odv&#283;tv&#237;%20grafy-rok-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17\QMakro\Celorok\ENGL\ENGL-Odv&#283;tv&#237;%20grafy-rok-2017.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7\QMakro\Celorok\ENGL\ENGL-Odv&#283;tv&#237;%20grafy-rok-2017.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JKAM%20CSU\PUBLIKACE\PUBLIKACE\2017\QMakro\Celorok\ENGL\ENGL-Odv&#283;tv&#237;%20grafy-rok-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2040029038385493E-2"/>
          <c:y val="1.9513175616352574E-2"/>
          <c:w val="0.92433548575002955"/>
          <c:h val="0.75083417764269234"/>
        </c:manualLayout>
      </c:layout>
      <c:barChart>
        <c:barDir val="col"/>
        <c:grouping val="clustered"/>
        <c:ser>
          <c:idx val="0"/>
          <c:order val="0"/>
          <c:tx>
            <c:strRef>
              <c:f>'výkonnost odvětví 1'!$B$30</c:f>
              <c:strCache>
                <c:ptCount val="1"/>
                <c:pt idx="0">
                  <c:v>Industry total (B+C+D)</c:v>
                </c:pt>
              </c:strCache>
            </c:strRef>
          </c:tx>
          <c:spPr>
            <a:solidFill>
              <a:schemeClr val="bg1">
                <a:lumMod val="65000"/>
              </a:schemeClr>
            </a:solidFill>
            <a:ln w="12700">
              <a:noFill/>
              <a:prstDash val="solid"/>
            </a:ln>
          </c:spP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1'!$C$30:$AH$30</c:f>
              <c:numCache>
                <c:formatCode>#,##0.0</c:formatCode>
                <c:ptCount val="32"/>
                <c:pt idx="0">
                  <c:v>4.7</c:v>
                </c:pt>
                <c:pt idx="1">
                  <c:v>7.9</c:v>
                </c:pt>
                <c:pt idx="2">
                  <c:v>10.4</c:v>
                </c:pt>
                <c:pt idx="3">
                  <c:v>9.5</c:v>
                </c:pt>
                <c:pt idx="4">
                  <c:v>10</c:v>
                </c:pt>
                <c:pt idx="5">
                  <c:v>8.2000000000000011</c:v>
                </c:pt>
                <c:pt idx="6">
                  <c:v>2.2999999999999998</c:v>
                </c:pt>
                <c:pt idx="7">
                  <c:v>3.4</c:v>
                </c:pt>
                <c:pt idx="8">
                  <c:v>1.4</c:v>
                </c:pt>
                <c:pt idx="9">
                  <c:v>0.9</c:v>
                </c:pt>
                <c:pt idx="10">
                  <c:v>0.1</c:v>
                </c:pt>
                <c:pt idx="11">
                  <c:v>-5.2</c:v>
                </c:pt>
                <c:pt idx="12">
                  <c:v>-3.7</c:v>
                </c:pt>
                <c:pt idx="13">
                  <c:v>-2.8</c:v>
                </c:pt>
                <c:pt idx="14">
                  <c:v>0.8</c:v>
                </c:pt>
                <c:pt idx="15">
                  <c:v>6</c:v>
                </c:pt>
                <c:pt idx="16">
                  <c:v>6.9</c:v>
                </c:pt>
                <c:pt idx="17">
                  <c:v>6.1</c:v>
                </c:pt>
                <c:pt idx="18">
                  <c:v>2.8</c:v>
                </c:pt>
                <c:pt idx="19">
                  <c:v>4.0999999999999996</c:v>
                </c:pt>
                <c:pt idx="20">
                  <c:v>4.9000000000000004</c:v>
                </c:pt>
                <c:pt idx="21">
                  <c:v>5.2</c:v>
                </c:pt>
                <c:pt idx="22">
                  <c:v>6</c:v>
                </c:pt>
                <c:pt idx="23">
                  <c:v>2.2999999999999998</c:v>
                </c:pt>
                <c:pt idx="24">
                  <c:v>4.0999999999999996</c:v>
                </c:pt>
                <c:pt idx="25">
                  <c:v>2.2000000000000002</c:v>
                </c:pt>
                <c:pt idx="26">
                  <c:v>1.8</c:v>
                </c:pt>
                <c:pt idx="27">
                  <c:v>3.5</c:v>
                </c:pt>
                <c:pt idx="28">
                  <c:v>4.7</c:v>
                </c:pt>
                <c:pt idx="29">
                  <c:v>8.7000000000000011</c:v>
                </c:pt>
                <c:pt idx="30">
                  <c:v>6.7</c:v>
                </c:pt>
                <c:pt idx="31">
                  <c:v>7.6</c:v>
                </c:pt>
              </c:numCache>
            </c:numRef>
          </c:val>
        </c:ser>
        <c:gapWidth val="30"/>
        <c:axId val="166334848"/>
        <c:axId val="166337152"/>
      </c:barChart>
      <c:lineChart>
        <c:grouping val="standard"/>
        <c:ser>
          <c:idx val="3"/>
          <c:order val="1"/>
          <c:tx>
            <c:strRef>
              <c:f>'výkonnost odvětví 1'!$B$31</c:f>
              <c:strCache>
                <c:ptCount val="1"/>
                <c:pt idx="0">
                  <c:v>Food products and beverages</c:v>
                </c:pt>
              </c:strCache>
            </c:strRef>
          </c:tx>
          <c:spPr>
            <a:ln w="19050">
              <a:solidFill>
                <a:srgbClr val="7DBB2D"/>
              </a:solidFill>
              <a:prstDash val="solid"/>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1'!$C$31:$AH$31</c:f>
              <c:numCache>
                <c:formatCode>#,##0.0</c:formatCode>
                <c:ptCount val="32"/>
                <c:pt idx="0">
                  <c:v>-1.3</c:v>
                </c:pt>
                <c:pt idx="1">
                  <c:v>-4.5</c:v>
                </c:pt>
                <c:pt idx="2">
                  <c:v>-2.9</c:v>
                </c:pt>
                <c:pt idx="3">
                  <c:v>-4</c:v>
                </c:pt>
                <c:pt idx="4">
                  <c:v>-0.30000000000000032</c:v>
                </c:pt>
                <c:pt idx="5">
                  <c:v>-0.4</c:v>
                </c:pt>
                <c:pt idx="6">
                  <c:v>-4</c:v>
                </c:pt>
                <c:pt idx="7">
                  <c:v>-1.8</c:v>
                </c:pt>
                <c:pt idx="8">
                  <c:v>-4.3</c:v>
                </c:pt>
                <c:pt idx="9">
                  <c:v>-1</c:v>
                </c:pt>
                <c:pt idx="10">
                  <c:v>0.1</c:v>
                </c:pt>
                <c:pt idx="11">
                  <c:v>-1.9000000000000001</c:v>
                </c:pt>
                <c:pt idx="12">
                  <c:v>1.2</c:v>
                </c:pt>
                <c:pt idx="13">
                  <c:v>-1.4</c:v>
                </c:pt>
                <c:pt idx="14">
                  <c:v>-1.1000000000000001</c:v>
                </c:pt>
                <c:pt idx="15">
                  <c:v>0.9</c:v>
                </c:pt>
                <c:pt idx="16">
                  <c:v>2.2999999999999998</c:v>
                </c:pt>
                <c:pt idx="17">
                  <c:v>4.4000000000000004</c:v>
                </c:pt>
                <c:pt idx="18">
                  <c:v>0.60000000000000064</c:v>
                </c:pt>
                <c:pt idx="19">
                  <c:v>5.7</c:v>
                </c:pt>
                <c:pt idx="20">
                  <c:v>4.5</c:v>
                </c:pt>
                <c:pt idx="21">
                  <c:v>1.3</c:v>
                </c:pt>
                <c:pt idx="22">
                  <c:v>8.3000000000000007</c:v>
                </c:pt>
                <c:pt idx="23">
                  <c:v>3.9</c:v>
                </c:pt>
                <c:pt idx="24">
                  <c:v>-0.5</c:v>
                </c:pt>
                <c:pt idx="25">
                  <c:v>0.5</c:v>
                </c:pt>
                <c:pt idx="26">
                  <c:v>0.60000000000000064</c:v>
                </c:pt>
                <c:pt idx="27">
                  <c:v>-1.7</c:v>
                </c:pt>
                <c:pt idx="28">
                  <c:v>3</c:v>
                </c:pt>
                <c:pt idx="29">
                  <c:v>5.2</c:v>
                </c:pt>
                <c:pt idx="30">
                  <c:v>-0.70000000000000062</c:v>
                </c:pt>
                <c:pt idx="31">
                  <c:v>2.2000000000000002</c:v>
                </c:pt>
              </c:numCache>
            </c:numRef>
          </c:val>
        </c:ser>
        <c:ser>
          <c:idx val="1"/>
          <c:order val="2"/>
          <c:tx>
            <c:strRef>
              <c:f>'výkonnost odvětví 1'!$B$32</c:f>
              <c:strCache>
                <c:ptCount val="1"/>
                <c:pt idx="0">
                  <c:v>Chemical industry</c:v>
                </c:pt>
              </c:strCache>
            </c:strRef>
          </c:tx>
          <c:spPr>
            <a:ln w="19050">
              <a:solidFill>
                <a:srgbClr val="F8A124"/>
              </a:solidFill>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1'!$C$32:$AH$32</c:f>
              <c:numCache>
                <c:formatCode>#,##0.0</c:formatCode>
                <c:ptCount val="32"/>
                <c:pt idx="0">
                  <c:v>0.1</c:v>
                </c:pt>
                <c:pt idx="1">
                  <c:v>-1.3</c:v>
                </c:pt>
                <c:pt idx="2">
                  <c:v>13.8</c:v>
                </c:pt>
                <c:pt idx="3">
                  <c:v>12</c:v>
                </c:pt>
                <c:pt idx="4">
                  <c:v>2.7</c:v>
                </c:pt>
                <c:pt idx="5">
                  <c:v>-4.7</c:v>
                </c:pt>
                <c:pt idx="6">
                  <c:v>-8.7000000000000011</c:v>
                </c:pt>
                <c:pt idx="7">
                  <c:v>-7.8</c:v>
                </c:pt>
                <c:pt idx="8">
                  <c:v>3.2</c:v>
                </c:pt>
                <c:pt idx="9">
                  <c:v>0.4</c:v>
                </c:pt>
                <c:pt idx="10">
                  <c:v>10.1</c:v>
                </c:pt>
                <c:pt idx="11">
                  <c:v>7</c:v>
                </c:pt>
                <c:pt idx="12">
                  <c:v>-5.3</c:v>
                </c:pt>
                <c:pt idx="13">
                  <c:v>-0.60000000000000064</c:v>
                </c:pt>
                <c:pt idx="14">
                  <c:v>-10</c:v>
                </c:pt>
                <c:pt idx="15">
                  <c:v>3.8</c:v>
                </c:pt>
                <c:pt idx="16">
                  <c:v>8.8000000000000007</c:v>
                </c:pt>
                <c:pt idx="17">
                  <c:v>9.7000000000000011</c:v>
                </c:pt>
                <c:pt idx="18">
                  <c:v>16.100000000000001</c:v>
                </c:pt>
                <c:pt idx="19">
                  <c:v>4.2</c:v>
                </c:pt>
                <c:pt idx="20">
                  <c:v>2.8</c:v>
                </c:pt>
                <c:pt idx="21">
                  <c:v>3.4</c:v>
                </c:pt>
                <c:pt idx="22">
                  <c:v>-7.8</c:v>
                </c:pt>
                <c:pt idx="23">
                  <c:v>-16.3</c:v>
                </c:pt>
                <c:pt idx="24">
                  <c:v>-13.3</c:v>
                </c:pt>
                <c:pt idx="25">
                  <c:v>-16.899999999999999</c:v>
                </c:pt>
                <c:pt idx="26">
                  <c:v>-5.8</c:v>
                </c:pt>
                <c:pt idx="27">
                  <c:v>11.1</c:v>
                </c:pt>
                <c:pt idx="28">
                  <c:v>16.5</c:v>
                </c:pt>
                <c:pt idx="29">
                  <c:v>24.4</c:v>
                </c:pt>
                <c:pt idx="30">
                  <c:v>19.2</c:v>
                </c:pt>
                <c:pt idx="31">
                  <c:v>17.5</c:v>
                </c:pt>
              </c:numCache>
            </c:numRef>
          </c:val>
        </c:ser>
        <c:ser>
          <c:idx val="7"/>
          <c:order val="3"/>
          <c:tx>
            <c:strRef>
              <c:f>'výkonnost odvětví 1'!$B$33</c:f>
              <c:strCache>
                <c:ptCount val="1"/>
                <c:pt idx="0">
                  <c:v>PC, electronics, optical appliances</c:v>
                </c:pt>
              </c:strCache>
            </c:strRef>
          </c:tx>
          <c:spPr>
            <a:ln w="19050">
              <a:solidFill>
                <a:srgbClr val="48AEE7"/>
              </a:solidFill>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1'!$C$33:$AH$33</c:f>
              <c:numCache>
                <c:formatCode>#,##0.0</c:formatCode>
                <c:ptCount val="32"/>
                <c:pt idx="0">
                  <c:v>13.6</c:v>
                </c:pt>
                <c:pt idx="1">
                  <c:v>36.9</c:v>
                </c:pt>
                <c:pt idx="2">
                  <c:v>39.200000000000003</c:v>
                </c:pt>
                <c:pt idx="3">
                  <c:v>27.3</c:v>
                </c:pt>
                <c:pt idx="4">
                  <c:v>12.5</c:v>
                </c:pt>
                <c:pt idx="5">
                  <c:v>6</c:v>
                </c:pt>
                <c:pt idx="6">
                  <c:v>-6</c:v>
                </c:pt>
                <c:pt idx="7">
                  <c:v>-18.399999999999999</c:v>
                </c:pt>
                <c:pt idx="8">
                  <c:v>-18.899999999999999</c:v>
                </c:pt>
                <c:pt idx="9">
                  <c:v>-22.7</c:v>
                </c:pt>
                <c:pt idx="10">
                  <c:v>-19.100000000000001</c:v>
                </c:pt>
                <c:pt idx="11">
                  <c:v>-13.7</c:v>
                </c:pt>
                <c:pt idx="12">
                  <c:v>10.8</c:v>
                </c:pt>
                <c:pt idx="13">
                  <c:v>13.4</c:v>
                </c:pt>
                <c:pt idx="14">
                  <c:v>17.399999999999999</c:v>
                </c:pt>
                <c:pt idx="15">
                  <c:v>22.3</c:v>
                </c:pt>
                <c:pt idx="16">
                  <c:v>17.8</c:v>
                </c:pt>
                <c:pt idx="17">
                  <c:v>20</c:v>
                </c:pt>
                <c:pt idx="18">
                  <c:v>13.1</c:v>
                </c:pt>
                <c:pt idx="19">
                  <c:v>22.4</c:v>
                </c:pt>
                <c:pt idx="20">
                  <c:v>4.9000000000000004</c:v>
                </c:pt>
                <c:pt idx="21">
                  <c:v>0.70000000000000062</c:v>
                </c:pt>
                <c:pt idx="22">
                  <c:v>2.1</c:v>
                </c:pt>
                <c:pt idx="23">
                  <c:v>-3.3</c:v>
                </c:pt>
                <c:pt idx="24">
                  <c:v>-0.1</c:v>
                </c:pt>
                <c:pt idx="25">
                  <c:v>2.6</c:v>
                </c:pt>
                <c:pt idx="26">
                  <c:v>2.6</c:v>
                </c:pt>
                <c:pt idx="27">
                  <c:v>7.5</c:v>
                </c:pt>
                <c:pt idx="28">
                  <c:v>7</c:v>
                </c:pt>
                <c:pt idx="29">
                  <c:v>19.3</c:v>
                </c:pt>
                <c:pt idx="30">
                  <c:v>11.7</c:v>
                </c:pt>
                <c:pt idx="31">
                  <c:v>11</c:v>
                </c:pt>
              </c:numCache>
            </c:numRef>
          </c:val>
        </c:ser>
        <c:ser>
          <c:idx val="2"/>
          <c:order val="4"/>
          <c:tx>
            <c:strRef>
              <c:f>'výkonnost odvětví 1'!$B$34</c:f>
              <c:strCache>
                <c:ptCount val="1"/>
                <c:pt idx="0">
                  <c:v>Motor vehicles</c:v>
                </c:pt>
              </c:strCache>
            </c:strRef>
          </c:tx>
          <c:spPr>
            <a:ln w="19050">
              <a:solidFill>
                <a:srgbClr val="BD1B21"/>
              </a:solidFill>
              <a:prstDash val="solid"/>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1'!$C$34:$AH$34</c:f>
              <c:numCache>
                <c:formatCode>#,##0.0</c:formatCode>
                <c:ptCount val="32"/>
                <c:pt idx="0">
                  <c:v>36.800000000000004</c:v>
                </c:pt>
                <c:pt idx="1">
                  <c:v>18.399999999999999</c:v>
                </c:pt>
                <c:pt idx="2">
                  <c:v>13.3</c:v>
                </c:pt>
                <c:pt idx="3">
                  <c:v>21.5</c:v>
                </c:pt>
                <c:pt idx="4">
                  <c:v>26.9</c:v>
                </c:pt>
                <c:pt idx="5">
                  <c:v>22</c:v>
                </c:pt>
                <c:pt idx="6">
                  <c:v>20.8</c:v>
                </c:pt>
                <c:pt idx="7">
                  <c:v>15.9</c:v>
                </c:pt>
                <c:pt idx="8">
                  <c:v>9.7000000000000011</c:v>
                </c:pt>
                <c:pt idx="9">
                  <c:v>4</c:v>
                </c:pt>
                <c:pt idx="10">
                  <c:v>-3.2</c:v>
                </c:pt>
                <c:pt idx="11">
                  <c:v>-6.7</c:v>
                </c:pt>
                <c:pt idx="12">
                  <c:v>-14.2</c:v>
                </c:pt>
                <c:pt idx="13">
                  <c:v>-7.7</c:v>
                </c:pt>
                <c:pt idx="14">
                  <c:v>4.5</c:v>
                </c:pt>
                <c:pt idx="15">
                  <c:v>8.1</c:v>
                </c:pt>
                <c:pt idx="16">
                  <c:v>19.5</c:v>
                </c:pt>
                <c:pt idx="17">
                  <c:v>14.8</c:v>
                </c:pt>
                <c:pt idx="18">
                  <c:v>10.8</c:v>
                </c:pt>
                <c:pt idx="19">
                  <c:v>8.8000000000000007</c:v>
                </c:pt>
                <c:pt idx="20">
                  <c:v>7.6</c:v>
                </c:pt>
                <c:pt idx="21">
                  <c:v>12.2</c:v>
                </c:pt>
                <c:pt idx="22">
                  <c:v>13.8</c:v>
                </c:pt>
                <c:pt idx="23">
                  <c:v>16.3</c:v>
                </c:pt>
                <c:pt idx="24">
                  <c:v>17.7</c:v>
                </c:pt>
                <c:pt idx="25">
                  <c:v>14.3</c:v>
                </c:pt>
                <c:pt idx="26">
                  <c:v>6.3</c:v>
                </c:pt>
                <c:pt idx="27">
                  <c:v>7</c:v>
                </c:pt>
                <c:pt idx="28">
                  <c:v>9.8000000000000007</c:v>
                </c:pt>
                <c:pt idx="29">
                  <c:v>10.4</c:v>
                </c:pt>
                <c:pt idx="30">
                  <c:v>9.4</c:v>
                </c:pt>
                <c:pt idx="31">
                  <c:v>9.3000000000000007</c:v>
                </c:pt>
              </c:numCache>
            </c:numRef>
          </c:val>
        </c:ser>
        <c:ser>
          <c:idx val="5"/>
          <c:order val="5"/>
          <c:tx>
            <c:strRef>
              <c:f>'výkonnost odvětví 1'!$B$35</c:f>
              <c:strCache>
                <c:ptCount val="1"/>
                <c:pt idx="0">
                  <c:v>Energy industry</c:v>
                </c:pt>
              </c:strCache>
            </c:strRef>
          </c:tx>
          <c:spPr>
            <a:ln w="19050">
              <a:noFill/>
            </a:ln>
          </c:spPr>
          <c:marker>
            <c:symbol val="diamond"/>
            <c:size val="5"/>
            <c:spPr>
              <a:solidFill>
                <a:schemeClr val="tx1">
                  <a:lumMod val="95000"/>
                  <a:lumOff val="5000"/>
                </a:schemeClr>
              </a:solidFill>
              <a:ln>
                <a:noFill/>
              </a:ln>
            </c:spPr>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1'!$C$35:$AH$35</c:f>
              <c:numCache>
                <c:formatCode>#,##0.0</c:formatCode>
                <c:ptCount val="32"/>
                <c:pt idx="0">
                  <c:v>3.3</c:v>
                </c:pt>
                <c:pt idx="1">
                  <c:v>5</c:v>
                </c:pt>
                <c:pt idx="2">
                  <c:v>8.3000000000000007</c:v>
                </c:pt>
                <c:pt idx="3">
                  <c:v>2.6</c:v>
                </c:pt>
                <c:pt idx="4">
                  <c:v>-3.9</c:v>
                </c:pt>
                <c:pt idx="5">
                  <c:v>0.4</c:v>
                </c:pt>
                <c:pt idx="6">
                  <c:v>-5</c:v>
                </c:pt>
                <c:pt idx="7">
                  <c:v>2.4</c:v>
                </c:pt>
                <c:pt idx="8">
                  <c:v>1.8</c:v>
                </c:pt>
                <c:pt idx="9">
                  <c:v>4.4000000000000004</c:v>
                </c:pt>
                <c:pt idx="10">
                  <c:v>1</c:v>
                </c:pt>
                <c:pt idx="11">
                  <c:v>-7.8</c:v>
                </c:pt>
                <c:pt idx="12">
                  <c:v>-3.4</c:v>
                </c:pt>
                <c:pt idx="13">
                  <c:v>-4.0999999999999996</c:v>
                </c:pt>
                <c:pt idx="14">
                  <c:v>-3.1</c:v>
                </c:pt>
                <c:pt idx="15">
                  <c:v>4.0999999999999996</c:v>
                </c:pt>
                <c:pt idx="16">
                  <c:v>-3.7</c:v>
                </c:pt>
                <c:pt idx="17">
                  <c:v>-2.2999999999999998</c:v>
                </c:pt>
                <c:pt idx="18">
                  <c:v>-1.5</c:v>
                </c:pt>
                <c:pt idx="19">
                  <c:v>-4.0999999999999996</c:v>
                </c:pt>
                <c:pt idx="20">
                  <c:v>2.6</c:v>
                </c:pt>
                <c:pt idx="21">
                  <c:v>-1.5</c:v>
                </c:pt>
                <c:pt idx="22">
                  <c:v>-4.5999999999999996</c:v>
                </c:pt>
                <c:pt idx="23">
                  <c:v>-7.9</c:v>
                </c:pt>
                <c:pt idx="24">
                  <c:v>-4.2</c:v>
                </c:pt>
                <c:pt idx="25">
                  <c:v>3.6</c:v>
                </c:pt>
                <c:pt idx="26">
                  <c:v>-2.2000000000000002</c:v>
                </c:pt>
                <c:pt idx="27">
                  <c:v>7.2</c:v>
                </c:pt>
                <c:pt idx="28">
                  <c:v>5.0999999999999996</c:v>
                </c:pt>
                <c:pt idx="29">
                  <c:v>-0.60000000000000064</c:v>
                </c:pt>
                <c:pt idx="30">
                  <c:v>8.8000000000000007</c:v>
                </c:pt>
                <c:pt idx="31">
                  <c:v>5.7</c:v>
                </c:pt>
              </c:numCache>
            </c:numRef>
          </c:val>
        </c:ser>
        <c:marker val="1"/>
        <c:axId val="166334848"/>
        <c:axId val="166337152"/>
      </c:lineChart>
      <c:catAx>
        <c:axId val="166334848"/>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66337152"/>
        <c:crossesAt val="0"/>
        <c:lblAlgn val="ctr"/>
        <c:lblOffset val="0"/>
        <c:tickLblSkip val="1"/>
        <c:tickMarkSkip val="4"/>
      </c:catAx>
      <c:valAx>
        <c:axId val="166337152"/>
        <c:scaling>
          <c:orientation val="minMax"/>
          <c:max val="40"/>
          <c:min val="-2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66334848"/>
        <c:crosses val="autoZero"/>
        <c:crossBetween val="between"/>
        <c:majorUnit val="5"/>
      </c:valAx>
      <c:spPr>
        <a:noFill/>
        <a:ln w="9525">
          <a:solidFill>
            <a:schemeClr val="tx1"/>
          </a:solidFill>
        </a:ln>
      </c:spPr>
    </c:plotArea>
    <c:legend>
      <c:legendPos val="b"/>
      <c:layout>
        <c:manualLayout>
          <c:xMode val="edge"/>
          <c:yMode val="edge"/>
          <c:x val="6.0825137685827264E-2"/>
          <c:y val="0.87213891703253565"/>
          <c:w val="0.9258012889558157"/>
          <c:h val="0.1207125970955758"/>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2277854581154255E-2"/>
          <c:y val="1.9008475080329133E-2"/>
          <c:w val="0.92988062751698064"/>
          <c:h val="0.73477372509287464"/>
        </c:manualLayout>
      </c:layout>
      <c:barChart>
        <c:barDir val="col"/>
        <c:grouping val="clustered"/>
        <c:ser>
          <c:idx val="0"/>
          <c:order val="0"/>
          <c:tx>
            <c:strRef>
              <c:f>'výkonnost odvětví 2'!$B$31</c:f>
              <c:strCache>
                <c:ptCount val="1"/>
                <c:pt idx="0">
                  <c:v>Total industry orders</c:v>
                </c:pt>
              </c:strCache>
            </c:strRef>
          </c:tx>
          <c:spPr>
            <a:solidFill>
              <a:schemeClr val="bg1">
                <a:lumMod val="65000"/>
              </a:schemeClr>
            </a:solidFill>
            <a:ln w="12700">
              <a:noFill/>
              <a:prstDash val="solid"/>
            </a:ln>
          </c:spP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2'!$C$31:$AH$31</c:f>
              <c:numCache>
                <c:formatCode>#,##0__</c:formatCode>
                <c:ptCount val="32"/>
                <c:pt idx="0">
                  <c:v>12.055391895765812</c:v>
                </c:pt>
                <c:pt idx="1">
                  <c:v>18.791783051344336</c:v>
                </c:pt>
                <c:pt idx="2">
                  <c:v>17.444097402471726</c:v>
                </c:pt>
                <c:pt idx="3">
                  <c:v>13.26089792662915</c:v>
                </c:pt>
                <c:pt idx="4" formatCode="#,##0.0__">
                  <c:v>12.043107093421796</c:v>
                </c:pt>
                <c:pt idx="5" formatCode="#,##0.0__">
                  <c:v>5.3292904020963094</c:v>
                </c:pt>
                <c:pt idx="6" formatCode="#,##0.0__">
                  <c:v>-1.5038236293274396</c:v>
                </c:pt>
                <c:pt idx="7" formatCode="#,##0.0__">
                  <c:v>0.49985199872995273</c:v>
                </c:pt>
                <c:pt idx="8" formatCode="#,##0.0__">
                  <c:v>7.8919882289544265</c:v>
                </c:pt>
                <c:pt idx="9" formatCode="#,##0.0__">
                  <c:v>0.24363263911027391</c:v>
                </c:pt>
                <c:pt idx="10" formatCode="#,##0.0__">
                  <c:v>2.6780600325356119</c:v>
                </c:pt>
                <c:pt idx="11" formatCode="#,##0.0__">
                  <c:v>-2.2927798243121345</c:v>
                </c:pt>
                <c:pt idx="12" formatCode="#,##0.0__">
                  <c:v>-6.7566875441004868</c:v>
                </c:pt>
                <c:pt idx="13" formatCode="#,##0.0__">
                  <c:v>-0.77743908810788365</c:v>
                </c:pt>
                <c:pt idx="14" formatCode="#,##0.0__">
                  <c:v>12.110592029586021</c:v>
                </c:pt>
                <c:pt idx="15" formatCode="#,##0.0__">
                  <c:v>12.611542535334834</c:v>
                </c:pt>
                <c:pt idx="16" formatCode="#,##0.0__">
                  <c:v>18.45457625725863</c:v>
                </c:pt>
                <c:pt idx="17" formatCode="#,##0.0__">
                  <c:v>13.812603337719345</c:v>
                </c:pt>
                <c:pt idx="18" formatCode="#,##0.0__">
                  <c:v>11.164927309703883</c:v>
                </c:pt>
                <c:pt idx="19" formatCode="#,##0.0__">
                  <c:v>7.3250322249586759</c:v>
                </c:pt>
                <c:pt idx="20" formatCode="#,##0.0__">
                  <c:v>8.5397251010390214</c:v>
                </c:pt>
                <c:pt idx="21" formatCode="#,##0.0__">
                  <c:v>6.4894834031568394</c:v>
                </c:pt>
                <c:pt idx="22" formatCode="#,##0.0__">
                  <c:v>4.1045761314248068</c:v>
                </c:pt>
                <c:pt idx="23" formatCode="#,##0.0__">
                  <c:v>6.0151063810169205</c:v>
                </c:pt>
                <c:pt idx="24" formatCode="#,##0.0__">
                  <c:v>1.3550678522953064</c:v>
                </c:pt>
                <c:pt idx="25" formatCode="#,##0.0__">
                  <c:v>10.856046878525477</c:v>
                </c:pt>
                <c:pt idx="26" formatCode="#,##0.0__">
                  <c:v>1.6431282237439291</c:v>
                </c:pt>
                <c:pt idx="27" formatCode="#,##0.0__">
                  <c:v>6.7220844736941086</c:v>
                </c:pt>
                <c:pt idx="28" formatCode="#,##0.0__">
                  <c:v>10.796220308501118</c:v>
                </c:pt>
                <c:pt idx="29" formatCode="#,##0.0__">
                  <c:v>4.4943696379203164</c:v>
                </c:pt>
                <c:pt idx="30" formatCode="#,##0.0__">
                  <c:v>6.8721659235657091</c:v>
                </c:pt>
                <c:pt idx="31" formatCode="#,##0.0__">
                  <c:v>7.1495707500021304</c:v>
                </c:pt>
              </c:numCache>
            </c:numRef>
          </c:val>
        </c:ser>
        <c:gapWidth val="34"/>
        <c:overlap val="28"/>
        <c:axId val="102809600"/>
        <c:axId val="102811520"/>
      </c:barChart>
      <c:lineChart>
        <c:grouping val="standard"/>
        <c:ser>
          <c:idx val="2"/>
          <c:order val="1"/>
          <c:tx>
            <c:strRef>
              <c:f>'výkonnost odvětví 2'!$B$32</c:f>
              <c:strCache>
                <c:ptCount val="1"/>
                <c:pt idx="0">
                  <c:v>Domestic industry orders</c:v>
                </c:pt>
              </c:strCache>
            </c:strRef>
          </c:tx>
          <c:spPr>
            <a:ln w="19050">
              <a:solidFill>
                <a:srgbClr val="0071BC"/>
              </a:solidFill>
              <a:prstDash val="solid"/>
            </a:ln>
          </c:spPr>
          <c:marker>
            <c:symbol val="none"/>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2'!$C$32:$AH$32</c:f>
              <c:numCache>
                <c:formatCode>#,##0__</c:formatCode>
                <c:ptCount val="32"/>
                <c:pt idx="0">
                  <c:v>9.3690304814095526</c:v>
                </c:pt>
                <c:pt idx="1">
                  <c:v>20.682184629381226</c:v>
                </c:pt>
                <c:pt idx="2">
                  <c:v>16.573478365504201</c:v>
                </c:pt>
                <c:pt idx="3">
                  <c:v>7.6006914518984274</c:v>
                </c:pt>
                <c:pt idx="4" formatCode="#,##0.0__">
                  <c:v>2.8145814762462464</c:v>
                </c:pt>
                <c:pt idx="5" formatCode="#,##0.0__">
                  <c:v>-0.65160361804250244</c:v>
                </c:pt>
                <c:pt idx="6" formatCode="#,##0.0__">
                  <c:v>-11.671782921579478</c:v>
                </c:pt>
                <c:pt idx="7" formatCode="#,##0.0__">
                  <c:v>-10.696553890943122</c:v>
                </c:pt>
                <c:pt idx="8" formatCode="#,##0.0__">
                  <c:v>2.6214056871317126</c:v>
                </c:pt>
                <c:pt idx="9" formatCode="#,##0.0__">
                  <c:v>-9.2467743432498679</c:v>
                </c:pt>
                <c:pt idx="10" formatCode="#,##0.0__">
                  <c:v>-2.8571545096936277</c:v>
                </c:pt>
                <c:pt idx="11" formatCode="#,##0.0__">
                  <c:v>-4.0487324448534139</c:v>
                </c:pt>
                <c:pt idx="12" formatCode="#,##0.0__">
                  <c:v>-7.112663177047466</c:v>
                </c:pt>
                <c:pt idx="13" formatCode="#,##0.0__">
                  <c:v>-0.59561460542927591</c:v>
                </c:pt>
                <c:pt idx="14" formatCode="#,##0.0__">
                  <c:v>9.3847374388735147</c:v>
                </c:pt>
                <c:pt idx="15" formatCode="#,##0.0__">
                  <c:v>7.0782158358476011</c:v>
                </c:pt>
                <c:pt idx="16" formatCode="#,##0.0__">
                  <c:v>14.183839645941402</c:v>
                </c:pt>
                <c:pt idx="17" formatCode="#,##0.0__">
                  <c:v>7.7929541685002039</c:v>
                </c:pt>
                <c:pt idx="18" formatCode="#,##0.0__">
                  <c:v>16.845115352064926</c:v>
                </c:pt>
                <c:pt idx="19" formatCode="#,##0.0__">
                  <c:v>9.6787104542652713</c:v>
                </c:pt>
                <c:pt idx="20" formatCode="#,##0.0__">
                  <c:v>4.3419613010107314</c:v>
                </c:pt>
                <c:pt idx="21" formatCode="#,##0.0__">
                  <c:v>10.024449168168022</c:v>
                </c:pt>
                <c:pt idx="22" formatCode="#,##0.0__">
                  <c:v>-4.7604240586837046</c:v>
                </c:pt>
                <c:pt idx="23" formatCode="#,##0.0__">
                  <c:v>0.56107209694786753</c:v>
                </c:pt>
                <c:pt idx="24" formatCode="#,##0.0__">
                  <c:v>0.20304376106223324</c:v>
                </c:pt>
                <c:pt idx="25" formatCode="#,##0.0__">
                  <c:v>4.9376200007964304</c:v>
                </c:pt>
                <c:pt idx="26" formatCode="#,##0.0__">
                  <c:v>-0.65834656713856565</c:v>
                </c:pt>
                <c:pt idx="27" formatCode="#,##0.0__">
                  <c:v>2.873089889380704</c:v>
                </c:pt>
                <c:pt idx="28" formatCode="#,##0.0__">
                  <c:v>13.155899673321025</c:v>
                </c:pt>
                <c:pt idx="29" formatCode="#,##0.0__">
                  <c:v>8.5400143228763579</c:v>
                </c:pt>
                <c:pt idx="30" formatCode="#,##0.0__">
                  <c:v>10.396668475893662</c:v>
                </c:pt>
                <c:pt idx="31" formatCode="#,##0.0__">
                  <c:v>12.144384502936768</c:v>
                </c:pt>
              </c:numCache>
            </c:numRef>
          </c:val>
        </c:ser>
        <c:ser>
          <c:idx val="5"/>
          <c:order val="2"/>
          <c:tx>
            <c:strRef>
              <c:f>'výkonnost odvětví 2'!$B$33</c:f>
              <c:strCache>
                <c:ptCount val="1"/>
                <c:pt idx="0">
                  <c:v>Foreign industry orders</c:v>
                </c:pt>
              </c:strCache>
            </c:strRef>
          </c:tx>
          <c:spPr>
            <a:ln w="19050">
              <a:solidFill>
                <a:srgbClr val="BD1B21"/>
              </a:solidFill>
              <a:prstDash val="solid"/>
            </a:ln>
          </c:spPr>
          <c:marker>
            <c:symbol val="none"/>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2'!$C$33:$AH$33</c:f>
              <c:numCache>
                <c:formatCode>#,##0__</c:formatCode>
                <c:ptCount val="32"/>
                <c:pt idx="0">
                  <c:v>13.967989413829434</c:v>
                </c:pt>
                <c:pt idx="1">
                  <c:v>17.501947519030608</c:v>
                </c:pt>
                <c:pt idx="2">
                  <c:v>18.066387266026329</c:v>
                </c:pt>
                <c:pt idx="3">
                  <c:v>17.763796211422473</c:v>
                </c:pt>
                <c:pt idx="4" formatCode="#,##0.0__">
                  <c:v>18.348366232182013</c:v>
                </c:pt>
                <c:pt idx="5" formatCode="#,##0.0__">
                  <c:v>9.5205491734487566</c:v>
                </c:pt>
                <c:pt idx="6" formatCode="#,##0.0__">
                  <c:v>5.6720014781022305</c:v>
                </c:pt>
                <c:pt idx="7" formatCode="#,##0.0__">
                  <c:v>8.6383031975398499</c:v>
                </c:pt>
                <c:pt idx="8" formatCode="#,##0.0__">
                  <c:v>11.020383939537369</c:v>
                </c:pt>
                <c:pt idx="9" formatCode="#,##0.0__">
                  <c:v>6.2765650038583463</c:v>
                </c:pt>
                <c:pt idx="10" formatCode="#,##0.0__">
                  <c:v>5.9432769293397172</c:v>
                </c:pt>
                <c:pt idx="11" formatCode="#,##0.0__">
                  <c:v>-1.2435728368122061</c:v>
                </c:pt>
                <c:pt idx="12" formatCode="#,##0.0__">
                  <c:v>-6.5613801859878391</c:v>
                </c:pt>
                <c:pt idx="13" formatCode="#,##0.0__">
                  <c:v>-0.87613985904688874</c:v>
                </c:pt>
                <c:pt idx="14" formatCode="#,##0.0__">
                  <c:v>13.585000036266131</c:v>
                </c:pt>
                <c:pt idx="15" formatCode="#,##0.0__">
                  <c:v>15.823871636824705</c:v>
                </c:pt>
                <c:pt idx="16" formatCode="#,##0.0__">
                  <c:v>20.558652721652525</c:v>
                </c:pt>
                <c:pt idx="17" formatCode="#,##0.0__">
                  <c:v>16.687921882537509</c:v>
                </c:pt>
                <c:pt idx="18" formatCode="#,##0.0__">
                  <c:v>8.5531225813094967</c:v>
                </c:pt>
                <c:pt idx="19" formatCode="#,##0.0__">
                  <c:v>6.3161284689543784</c:v>
                </c:pt>
                <c:pt idx="20" formatCode="#,##0.0__">
                  <c:v>10.348522192193441</c:v>
                </c:pt>
                <c:pt idx="21" formatCode="#,##0.0__">
                  <c:v>5.0066840085656965</c:v>
                </c:pt>
                <c:pt idx="22" formatCode="#,##0.0__">
                  <c:v>8.2506299270615511</c:v>
                </c:pt>
                <c:pt idx="23" formatCode="#,##0.0__">
                  <c:v>8.5340301032502452</c:v>
                </c:pt>
                <c:pt idx="24" formatCode="#,##0.0__">
                  <c:v>1.8244492596639788</c:v>
                </c:pt>
                <c:pt idx="25" formatCode="#,##0.0__">
                  <c:v>13.457258781079091</c:v>
                </c:pt>
                <c:pt idx="26" formatCode="#,##0.0__">
                  <c:v>2.5901270212493452</c:v>
                </c:pt>
                <c:pt idx="27" formatCode="#,##0.0__">
                  <c:v>8.3691406681191598</c:v>
                </c:pt>
                <c:pt idx="28" formatCode="#,##0.0__">
                  <c:v>9.8501004383929178</c:v>
                </c:pt>
                <c:pt idx="29" formatCode="#,##0.0__">
                  <c:v>2.8497854565056429</c:v>
                </c:pt>
                <c:pt idx="30" formatCode="#,##0.0__">
                  <c:v>5.4678434338349797</c:v>
                </c:pt>
                <c:pt idx="31" formatCode="#,##0.0__">
                  <c:v>5.1205963333871685</c:v>
                </c:pt>
              </c:numCache>
            </c:numRef>
          </c:val>
        </c:ser>
        <c:ser>
          <c:idx val="3"/>
          <c:order val="3"/>
          <c:tx>
            <c:strRef>
              <c:f>'výkonnost odvětví 2'!$B$34</c:f>
              <c:strCache>
                <c:ptCount val="1"/>
                <c:pt idx="0">
                  <c:v>Total orders (motor vehicles)</c:v>
                </c:pt>
              </c:strCache>
            </c:strRef>
          </c:tx>
          <c:spPr>
            <a:ln w="19050">
              <a:solidFill>
                <a:srgbClr val="7DBB2D"/>
              </a:solidFill>
              <a:prstDash val="sysDash"/>
            </a:ln>
          </c:spPr>
          <c:marker>
            <c:symbol val="none"/>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2'!$C$34:$AH$34</c:f>
              <c:numCache>
                <c:formatCode>#,##0__</c:formatCode>
                <c:ptCount val="32"/>
                <c:pt idx="0">
                  <c:v>22.397283511257044</c:v>
                </c:pt>
                <c:pt idx="1">
                  <c:v>13.97319087928496</c:v>
                </c:pt>
                <c:pt idx="2">
                  <c:v>7.1944739378557756</c:v>
                </c:pt>
                <c:pt idx="3">
                  <c:v>11.191670681843235</c:v>
                </c:pt>
                <c:pt idx="4" formatCode="#,##0.0__">
                  <c:v>11.429400379513879</c:v>
                </c:pt>
                <c:pt idx="5" formatCode="#,##0.0__">
                  <c:v>9.2048286805520885</c:v>
                </c:pt>
                <c:pt idx="6" formatCode="#,##0.0__">
                  <c:v>4.4139955552265207</c:v>
                </c:pt>
                <c:pt idx="7" formatCode="#,##0.0__">
                  <c:v>5.3718735076924125</c:v>
                </c:pt>
                <c:pt idx="8" formatCode="#,##0.0__">
                  <c:v>19.54636851917148</c:v>
                </c:pt>
                <c:pt idx="9" formatCode="#,##0.0__">
                  <c:v>4.6887564118292016</c:v>
                </c:pt>
                <c:pt idx="10" formatCode="#,##0.0__">
                  <c:v>1.3322326875189248</c:v>
                </c:pt>
                <c:pt idx="11" formatCode="#,##0.0__">
                  <c:v>-2.0219087809167182</c:v>
                </c:pt>
                <c:pt idx="12" formatCode="#,##0.0__">
                  <c:v>-15.423726227988514</c:v>
                </c:pt>
                <c:pt idx="13" formatCode="#,##0.0__">
                  <c:v>-3.0233686336023182</c:v>
                </c:pt>
                <c:pt idx="14" formatCode="#,##0.0__">
                  <c:v>24.654149056071926</c:v>
                </c:pt>
                <c:pt idx="15" formatCode="#,##0.0__">
                  <c:v>18.47099648902336</c:v>
                </c:pt>
                <c:pt idx="16" formatCode="#,##0.0__">
                  <c:v>33.791068906341536</c:v>
                </c:pt>
                <c:pt idx="17" formatCode="#,##0.0__">
                  <c:v>22.392943648551348</c:v>
                </c:pt>
                <c:pt idx="18" formatCode="#,##0.0__">
                  <c:v>16.969041222835095</c:v>
                </c:pt>
                <c:pt idx="19" formatCode="#,##0.0__">
                  <c:v>12.211301534151112</c:v>
                </c:pt>
                <c:pt idx="20" formatCode="#,##0.0__">
                  <c:v>15.316352438277947</c:v>
                </c:pt>
                <c:pt idx="21" formatCode="#,##0.0__">
                  <c:v>5.5843434565174555</c:v>
                </c:pt>
                <c:pt idx="22" formatCode="#,##0.0__">
                  <c:v>13.898535777390734</c:v>
                </c:pt>
                <c:pt idx="23" formatCode="#,##0.0__">
                  <c:v>18.975191723154538</c:v>
                </c:pt>
                <c:pt idx="24" formatCode="#,##0.0__">
                  <c:v>11.460497347422466</c:v>
                </c:pt>
                <c:pt idx="25" formatCode="#,##0.0__">
                  <c:v>33.085131031292171</c:v>
                </c:pt>
                <c:pt idx="26" formatCode="#,##0.0__">
                  <c:v>5.912380139380474</c:v>
                </c:pt>
                <c:pt idx="27" formatCode="#,##0.0__">
                  <c:v>12.001000805244416</c:v>
                </c:pt>
                <c:pt idx="28" formatCode="#,##0.0__">
                  <c:v>7.9823395684182881</c:v>
                </c:pt>
                <c:pt idx="29" formatCode="#,##0.0__">
                  <c:v>-1.8020707588304248</c:v>
                </c:pt>
                <c:pt idx="30" formatCode="#,##0.0__">
                  <c:v>3.793156707246629</c:v>
                </c:pt>
                <c:pt idx="31" formatCode="#,##0.0__">
                  <c:v>0.31765189807586641</c:v>
                </c:pt>
              </c:numCache>
            </c:numRef>
          </c:val>
        </c:ser>
        <c:marker val="1"/>
        <c:axId val="102809600"/>
        <c:axId val="102811520"/>
      </c:lineChart>
      <c:lineChart>
        <c:grouping val="standard"/>
        <c:ser>
          <c:idx val="4"/>
          <c:order val="4"/>
          <c:tx>
            <c:strRef>
              <c:f>'výkonnost odvětví 2'!$B$35</c:f>
              <c:strCache>
                <c:ptCount val="1"/>
                <c:pt idx="0">
                  <c:v>Balance of confidence indicator in industry</c:v>
                </c:pt>
              </c:strCache>
            </c:strRef>
          </c:tx>
          <c:spPr>
            <a:ln w="19050">
              <a:noFill/>
            </a:ln>
          </c:spPr>
          <c:marker>
            <c:symbol val="dash"/>
            <c:size val="9"/>
            <c:spPr>
              <a:solidFill>
                <a:srgbClr val="984807"/>
              </a:solidFill>
              <a:ln>
                <a:noFill/>
              </a:ln>
            </c:spPr>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2'!$C$35:$AH$35</c:f>
              <c:numCache>
                <c:formatCode>0.0</c:formatCode>
                <c:ptCount val="32"/>
                <c:pt idx="0">
                  <c:v>-5.4444444444444464</c:v>
                </c:pt>
                <c:pt idx="1">
                  <c:v>2.4333333333333331</c:v>
                </c:pt>
                <c:pt idx="2">
                  <c:v>5.5666666666666664</c:v>
                </c:pt>
                <c:pt idx="3">
                  <c:v>10</c:v>
                </c:pt>
                <c:pt idx="4">
                  <c:v>12.200000000000001</c:v>
                </c:pt>
                <c:pt idx="5">
                  <c:v>5.8999999999999995</c:v>
                </c:pt>
                <c:pt idx="6">
                  <c:v>2.4333333333333331</c:v>
                </c:pt>
                <c:pt idx="7">
                  <c:v>1.8</c:v>
                </c:pt>
                <c:pt idx="8">
                  <c:v>1.5666666666666667</c:v>
                </c:pt>
                <c:pt idx="9">
                  <c:v>-2.5666666666666669</c:v>
                </c:pt>
                <c:pt idx="10">
                  <c:v>-8.9</c:v>
                </c:pt>
                <c:pt idx="11">
                  <c:v>-10.200000000000001</c:v>
                </c:pt>
                <c:pt idx="12">
                  <c:v>-8.9</c:v>
                </c:pt>
                <c:pt idx="13">
                  <c:v>-10</c:v>
                </c:pt>
                <c:pt idx="14">
                  <c:v>-6.2333333333333458</c:v>
                </c:pt>
                <c:pt idx="15">
                  <c:v>1.7000000000000002</c:v>
                </c:pt>
                <c:pt idx="16">
                  <c:v>2.3333333333333335</c:v>
                </c:pt>
                <c:pt idx="17">
                  <c:v>3.6333333333333342</c:v>
                </c:pt>
                <c:pt idx="18">
                  <c:v>2.5333333333333332</c:v>
                </c:pt>
                <c:pt idx="19">
                  <c:v>2.6666666666666665</c:v>
                </c:pt>
                <c:pt idx="20">
                  <c:v>3</c:v>
                </c:pt>
                <c:pt idx="21">
                  <c:v>3.7666666666666671</c:v>
                </c:pt>
                <c:pt idx="22">
                  <c:v>3.7666666666666671</c:v>
                </c:pt>
                <c:pt idx="23">
                  <c:v>0.76666666666666661</c:v>
                </c:pt>
                <c:pt idx="24">
                  <c:v>3.5666666666666664</c:v>
                </c:pt>
                <c:pt idx="25">
                  <c:v>1.9000000000000001</c:v>
                </c:pt>
                <c:pt idx="26">
                  <c:v>3.7666666666666671</c:v>
                </c:pt>
                <c:pt idx="27">
                  <c:v>5.3333333333333428</c:v>
                </c:pt>
                <c:pt idx="28">
                  <c:v>3.3333333333333335</c:v>
                </c:pt>
                <c:pt idx="29">
                  <c:v>0.8333333333333337</c:v>
                </c:pt>
                <c:pt idx="30">
                  <c:v>3.8666666666666667</c:v>
                </c:pt>
                <c:pt idx="31">
                  <c:v>5.8</c:v>
                </c:pt>
              </c:numCache>
            </c:numRef>
          </c:val>
        </c:ser>
        <c:marker val="1"/>
        <c:axId val="102813056"/>
        <c:axId val="103031936"/>
      </c:lineChart>
      <c:catAx>
        <c:axId val="102809600"/>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02811520"/>
        <c:crossesAt val="0"/>
        <c:lblAlgn val="ctr"/>
        <c:lblOffset val="0"/>
        <c:tickLblSkip val="1"/>
        <c:tickMarkSkip val="4"/>
      </c:catAx>
      <c:valAx>
        <c:axId val="102811520"/>
        <c:scaling>
          <c:orientation val="minMax"/>
          <c:max val="35"/>
          <c:min val="-1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02809600"/>
        <c:crosses val="autoZero"/>
        <c:crossBetween val="between"/>
        <c:majorUnit val="5"/>
      </c:valAx>
      <c:catAx>
        <c:axId val="102813056"/>
        <c:scaling>
          <c:orientation val="minMax"/>
        </c:scaling>
        <c:delete val="1"/>
        <c:axPos val="b"/>
        <c:numFmt formatCode="General" sourceLinked="1"/>
        <c:tickLblPos val="none"/>
        <c:crossAx val="103031936"/>
        <c:crosses val="autoZero"/>
        <c:auto val="1"/>
        <c:lblAlgn val="ctr"/>
        <c:lblOffset val="100"/>
      </c:catAx>
      <c:valAx>
        <c:axId val="103031936"/>
        <c:scaling>
          <c:orientation val="minMax"/>
          <c:max val="40"/>
          <c:min val="-30"/>
        </c:scaling>
        <c:delete val="1"/>
        <c:axPos val="r"/>
        <c:numFmt formatCode="0" sourceLinked="0"/>
        <c:majorTickMark val="in"/>
        <c:tickLblPos val="none"/>
        <c:crossAx val="102813056"/>
        <c:crosses val="max"/>
        <c:crossBetween val="between"/>
        <c:majorUnit val="10"/>
      </c:valAx>
      <c:spPr>
        <a:solidFill>
          <a:srgbClr val="FFFFFF"/>
        </a:solidFill>
        <a:ln w="9525">
          <a:solidFill>
            <a:schemeClr val="tx1"/>
          </a:solidFill>
        </a:ln>
      </c:spPr>
    </c:plotArea>
    <c:legend>
      <c:legendPos val="b"/>
      <c:layout>
        <c:manualLayout>
          <c:xMode val="edge"/>
          <c:yMode val="edge"/>
          <c:x val="5.2455734960497123E-2"/>
          <c:y val="0.8432185072610604"/>
          <c:w val="0.930694994406851"/>
          <c:h val="0.14977062929190588"/>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6155778692800765E-2"/>
          <c:y val="1.6563187842952794E-2"/>
          <c:w val="0.92847707700101312"/>
          <c:h val="0.7424859718789365"/>
        </c:manualLayout>
      </c:layout>
      <c:barChart>
        <c:barDir val="col"/>
        <c:grouping val="clustered"/>
        <c:ser>
          <c:idx val="0"/>
          <c:order val="0"/>
          <c:tx>
            <c:strRef>
              <c:f>'výkonnost odvětví 3'!$C$10</c:f>
              <c:strCache>
                <c:ptCount val="1"/>
                <c:pt idx="0">
                  <c:v>Construction production index (CPI)*</c:v>
                </c:pt>
              </c:strCache>
            </c:strRef>
          </c:tx>
          <c:spPr>
            <a:solidFill>
              <a:schemeClr val="bg1">
                <a:lumMod val="65000"/>
              </a:schemeClr>
            </a:solidFill>
            <a:ln w="12700">
              <a:noFill/>
              <a:prstDash val="solid"/>
            </a:ln>
          </c:spP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3'!$C$11:$C$42</c:f>
              <c:numCache>
                <c:formatCode>0.0</c:formatCode>
                <c:ptCount val="32"/>
                <c:pt idx="0">
                  <c:v>-23.120057013701128</c:v>
                </c:pt>
                <c:pt idx="1">
                  <c:v>-9.2766748828576624</c:v>
                </c:pt>
                <c:pt idx="2">
                  <c:v>-2.4888564673362477</c:v>
                </c:pt>
                <c:pt idx="3">
                  <c:v>-2.4862725914601347</c:v>
                </c:pt>
                <c:pt idx="4">
                  <c:v>5.4340778294487455</c:v>
                </c:pt>
                <c:pt idx="5">
                  <c:v>-5.1748712012492808</c:v>
                </c:pt>
                <c:pt idx="6">
                  <c:v>-9.0626115502138447</c:v>
                </c:pt>
                <c:pt idx="7">
                  <c:v>-0.48958026109285568</c:v>
                </c:pt>
                <c:pt idx="8">
                  <c:v>-9.8039253584432675</c:v>
                </c:pt>
                <c:pt idx="9">
                  <c:v>-4.8949878342740947</c:v>
                </c:pt>
                <c:pt idx="10">
                  <c:v>-5.6301862364878614</c:v>
                </c:pt>
                <c:pt idx="11">
                  <c:v>-9.5592571582062842</c:v>
                </c:pt>
                <c:pt idx="12">
                  <c:v>-10.557390500959514</c:v>
                </c:pt>
                <c:pt idx="13">
                  <c:v>-11.621960728760948</c:v>
                </c:pt>
                <c:pt idx="14">
                  <c:v>-4.9875986813230124</c:v>
                </c:pt>
                <c:pt idx="15">
                  <c:v>-2.5771236924786791</c:v>
                </c:pt>
                <c:pt idx="16">
                  <c:v>13.055882416024403</c:v>
                </c:pt>
                <c:pt idx="17">
                  <c:v>5.5522563313626314</c:v>
                </c:pt>
                <c:pt idx="18">
                  <c:v>2.423953246572943</c:v>
                </c:pt>
                <c:pt idx="19">
                  <c:v>1.1675822183680111</c:v>
                </c:pt>
                <c:pt idx="20">
                  <c:v>9.1898098937331447</c:v>
                </c:pt>
                <c:pt idx="21">
                  <c:v>11.978202281299883</c:v>
                </c:pt>
                <c:pt idx="22">
                  <c:v>7.8876200193737294</c:v>
                </c:pt>
                <c:pt idx="23">
                  <c:v>0.9205709578468485</c:v>
                </c:pt>
                <c:pt idx="24">
                  <c:v>-6.2603694688651714</c:v>
                </c:pt>
                <c:pt idx="25">
                  <c:v>-10.294428232222614</c:v>
                </c:pt>
                <c:pt idx="26">
                  <c:v>-5.8903976249557957</c:v>
                </c:pt>
                <c:pt idx="27">
                  <c:v>-1.6623714276334169</c:v>
                </c:pt>
                <c:pt idx="28">
                  <c:v>-0.8577886514383708</c:v>
                </c:pt>
                <c:pt idx="29">
                  <c:v>9.0654811780721367</c:v>
                </c:pt>
                <c:pt idx="30">
                  <c:v>2.0668982046535791</c:v>
                </c:pt>
                <c:pt idx="31">
                  <c:v>2.9174000105613382</c:v>
                </c:pt>
              </c:numCache>
            </c:numRef>
          </c:val>
        </c:ser>
        <c:gapWidth val="31"/>
        <c:axId val="103099776"/>
        <c:axId val="103114240"/>
      </c:barChart>
      <c:lineChart>
        <c:grouping val="standard"/>
        <c:ser>
          <c:idx val="1"/>
          <c:order val="1"/>
          <c:tx>
            <c:strRef>
              <c:f>'výkonnost odvětví 3'!$D$10</c:f>
              <c:strCache>
                <c:ptCount val="1"/>
                <c:pt idx="0">
                  <c:v>CPI in the building construction*</c:v>
                </c:pt>
              </c:strCache>
            </c:strRef>
          </c:tx>
          <c:spPr>
            <a:ln w="19050">
              <a:solidFill>
                <a:srgbClr val="0071BC"/>
              </a:solidFill>
              <a:prstDash val="solid"/>
            </a:ln>
          </c:spPr>
          <c:marker>
            <c:symbol val="none"/>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3'!$D$11:$D$42</c:f>
              <c:numCache>
                <c:formatCode>0.0</c:formatCode>
                <c:ptCount val="32"/>
                <c:pt idx="0">
                  <c:v>-27.38404916065743</c:v>
                </c:pt>
                <c:pt idx="1">
                  <c:v>-10.195992697308444</c:v>
                </c:pt>
                <c:pt idx="2">
                  <c:v>-0.64343623113745707</c:v>
                </c:pt>
                <c:pt idx="3">
                  <c:v>0.29978055449471697</c:v>
                </c:pt>
                <c:pt idx="4">
                  <c:v>8.6526478667478894</c:v>
                </c:pt>
                <c:pt idx="5">
                  <c:v>-1.7614370247424347</c:v>
                </c:pt>
                <c:pt idx="6">
                  <c:v>-6.4083918595574065</c:v>
                </c:pt>
                <c:pt idx="7">
                  <c:v>2.1035102297167798</c:v>
                </c:pt>
                <c:pt idx="8">
                  <c:v>-7.1548131307015765</c:v>
                </c:pt>
                <c:pt idx="9">
                  <c:v>-2.3712353376447841</c:v>
                </c:pt>
                <c:pt idx="10">
                  <c:v>-5.1617070035522516</c:v>
                </c:pt>
                <c:pt idx="11">
                  <c:v>-9.6630462840948006</c:v>
                </c:pt>
                <c:pt idx="12">
                  <c:v>-9.8130296116849411</c:v>
                </c:pt>
                <c:pt idx="13">
                  <c:v>-11.080802607385953</c:v>
                </c:pt>
                <c:pt idx="14">
                  <c:v>-1.5213831370150928</c:v>
                </c:pt>
                <c:pt idx="15">
                  <c:v>-2.8931169864251558</c:v>
                </c:pt>
                <c:pt idx="16">
                  <c:v>16.319420069804831</c:v>
                </c:pt>
                <c:pt idx="17">
                  <c:v>5.2637982676477781</c:v>
                </c:pt>
                <c:pt idx="18">
                  <c:v>-0.62576498771889633</c:v>
                </c:pt>
                <c:pt idx="19">
                  <c:v>-0.54116675262584124</c:v>
                </c:pt>
                <c:pt idx="20">
                  <c:v>7.7304014967667598</c:v>
                </c:pt>
                <c:pt idx="21">
                  <c:v>7.3259613448281442</c:v>
                </c:pt>
                <c:pt idx="22">
                  <c:v>1.1826668967685101</c:v>
                </c:pt>
                <c:pt idx="23">
                  <c:v>-2.6365096586846732</c:v>
                </c:pt>
                <c:pt idx="24">
                  <c:v>-6.4726786227348914</c:v>
                </c:pt>
                <c:pt idx="25">
                  <c:v>-7.5106169785110755</c:v>
                </c:pt>
                <c:pt idx="26">
                  <c:v>1.2256141641178857</c:v>
                </c:pt>
                <c:pt idx="27">
                  <c:v>6.1460266155788634</c:v>
                </c:pt>
                <c:pt idx="28">
                  <c:v>3.0553761353927871</c:v>
                </c:pt>
                <c:pt idx="29">
                  <c:v>14.538604789084518</c:v>
                </c:pt>
                <c:pt idx="30">
                  <c:v>4.9878854079947805</c:v>
                </c:pt>
                <c:pt idx="31">
                  <c:v>3.8242463339978152</c:v>
                </c:pt>
              </c:numCache>
            </c:numRef>
          </c:val>
        </c:ser>
        <c:ser>
          <c:idx val="2"/>
          <c:order val="2"/>
          <c:tx>
            <c:strRef>
              <c:f>'výkonnost odvětví 3'!$E$10</c:f>
              <c:strCache>
                <c:ptCount val="1"/>
                <c:pt idx="0">
                  <c:v>CPI in the civil engineering construction*</c:v>
                </c:pt>
              </c:strCache>
            </c:strRef>
          </c:tx>
          <c:spPr>
            <a:ln w="19050">
              <a:solidFill>
                <a:srgbClr val="BD1B21"/>
              </a:solidFill>
              <a:prstDash val="solid"/>
            </a:ln>
          </c:spPr>
          <c:marker>
            <c:symbol val="none"/>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3'!$E$11:$E$42</c:f>
              <c:numCache>
                <c:formatCode>0.0</c:formatCode>
                <c:ptCount val="32"/>
                <c:pt idx="0">
                  <c:v>-9.3609474123944096</c:v>
                </c:pt>
                <c:pt idx="1">
                  <c:v>-7.4365082947044625</c:v>
                </c:pt>
                <c:pt idx="2">
                  <c:v>-5.9953599408458302</c:v>
                </c:pt>
                <c:pt idx="3">
                  <c:v>-7.8142777205149088</c:v>
                </c:pt>
                <c:pt idx="4">
                  <c:v>-2.8865015654222645</c:v>
                </c:pt>
                <c:pt idx="5">
                  <c:v>-11.803733312358366</c:v>
                </c:pt>
                <c:pt idx="6">
                  <c:v>-14.393052464894637</c:v>
                </c:pt>
                <c:pt idx="7">
                  <c:v>-5.8850496166696189</c:v>
                </c:pt>
                <c:pt idx="8">
                  <c:v>-17.466093486468566</c:v>
                </c:pt>
                <c:pt idx="9">
                  <c:v>-10.354150226448574</c:v>
                </c:pt>
                <c:pt idx="10">
                  <c:v>-6.658781473186167</c:v>
                </c:pt>
                <c:pt idx="11">
                  <c:v>-9.3249716276757031</c:v>
                </c:pt>
                <c:pt idx="12">
                  <c:v>-12.979322019417509</c:v>
                </c:pt>
                <c:pt idx="13">
                  <c:v>-12.896787097441946</c:v>
                </c:pt>
                <c:pt idx="14">
                  <c:v>-12.720099822530548</c:v>
                </c:pt>
                <c:pt idx="15">
                  <c:v>-1.8664843938729092</c:v>
                </c:pt>
                <c:pt idx="16">
                  <c:v>2.0509272811968486</c:v>
                </c:pt>
                <c:pt idx="17">
                  <c:v>6.2459550633356287</c:v>
                </c:pt>
                <c:pt idx="18">
                  <c:v>10.100251547211048</c:v>
                </c:pt>
                <c:pt idx="19">
                  <c:v>4.9701965176452845</c:v>
                </c:pt>
                <c:pt idx="20">
                  <c:v>14.799149860959844</c:v>
                </c:pt>
                <c:pt idx="21">
                  <c:v>23.06272625625251</c:v>
                </c:pt>
                <c:pt idx="22">
                  <c:v>23.120196233560485</c:v>
                </c:pt>
                <c:pt idx="23">
                  <c:v>8.4208093742625323</c:v>
                </c:pt>
                <c:pt idx="24">
                  <c:v>-5.494590830303224</c:v>
                </c:pt>
                <c:pt idx="25">
                  <c:v>-16.079022329328087</c:v>
                </c:pt>
                <c:pt idx="26">
                  <c:v>-19.17630118981101</c:v>
                </c:pt>
                <c:pt idx="27">
                  <c:v>-16.447557487670625</c:v>
                </c:pt>
                <c:pt idx="28">
                  <c:v>-14.826118900558113</c:v>
                </c:pt>
                <c:pt idx="29">
                  <c:v>-3.4685193424940093</c:v>
                </c:pt>
                <c:pt idx="30">
                  <c:v>-4.7633390586119155</c:v>
                </c:pt>
                <c:pt idx="31">
                  <c:v>0.73596068359900479</c:v>
                </c:pt>
              </c:numCache>
            </c:numRef>
          </c:val>
        </c:ser>
        <c:ser>
          <c:idx val="3"/>
          <c:order val="3"/>
          <c:tx>
            <c:strRef>
              <c:f>'výkonnost odvětví 3'!$F$10</c:f>
              <c:strCache>
                <c:ptCount val="1"/>
                <c:pt idx="0">
                  <c:v>Total new orders in construction</c:v>
                </c:pt>
              </c:strCache>
            </c:strRef>
          </c:tx>
          <c:spPr>
            <a:ln w="19050">
              <a:solidFill>
                <a:srgbClr val="7DBB2D"/>
              </a:solidFill>
              <a:prstDash val="sysDash"/>
            </a:ln>
          </c:spPr>
          <c:marker>
            <c:symbol val="none"/>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3'!$F$11:$F$42</c:f>
              <c:numCache>
                <c:formatCode>0.0</c:formatCode>
                <c:ptCount val="32"/>
                <c:pt idx="0">
                  <c:v>0.82757088505651666</c:v>
                </c:pt>
                <c:pt idx="1">
                  <c:v>8.7687755178484537</c:v>
                </c:pt>
                <c:pt idx="2">
                  <c:v>30.894711890703743</c:v>
                </c:pt>
                <c:pt idx="3">
                  <c:v>-13.415413805192944</c:v>
                </c:pt>
                <c:pt idx="4">
                  <c:v>37.795405718063208</c:v>
                </c:pt>
                <c:pt idx="5">
                  <c:v>-23.565672566981142</c:v>
                </c:pt>
                <c:pt idx="6">
                  <c:v>-23.360716461156017</c:v>
                </c:pt>
                <c:pt idx="7">
                  <c:v>-9.1653963414634205</c:v>
                </c:pt>
                <c:pt idx="8">
                  <c:v>-46.322059646597964</c:v>
                </c:pt>
                <c:pt idx="9">
                  <c:v>-13.714800630772698</c:v>
                </c:pt>
                <c:pt idx="10">
                  <c:v>-7.6729748888363698</c:v>
                </c:pt>
                <c:pt idx="11">
                  <c:v>7.5624082232011753</c:v>
                </c:pt>
                <c:pt idx="12">
                  <c:v>-17.695687793252439</c:v>
                </c:pt>
                <c:pt idx="13">
                  <c:v>-1.584773641063137</c:v>
                </c:pt>
                <c:pt idx="14">
                  <c:v>-1.3308205951467045</c:v>
                </c:pt>
                <c:pt idx="15">
                  <c:v>16.153096050706978</c:v>
                </c:pt>
                <c:pt idx="16">
                  <c:v>67.509727626458968</c:v>
                </c:pt>
                <c:pt idx="17">
                  <c:v>18.978644382544054</c:v>
                </c:pt>
                <c:pt idx="18">
                  <c:v>34.050931384107542</c:v>
                </c:pt>
                <c:pt idx="19">
                  <c:v>-1</c:v>
                </c:pt>
                <c:pt idx="20">
                  <c:v>-3.1547956675580053</c:v>
                </c:pt>
                <c:pt idx="21">
                  <c:v>9.7504961091663382</c:v>
                </c:pt>
                <c:pt idx="22">
                  <c:v>-1.0976060227612561</c:v>
                </c:pt>
                <c:pt idx="23">
                  <c:v>-2.3987783410040464</c:v>
                </c:pt>
                <c:pt idx="24">
                  <c:v>-6.6406358945753805</c:v>
                </c:pt>
                <c:pt idx="25">
                  <c:v>-0.49977652269311085</c:v>
                </c:pt>
                <c:pt idx="26">
                  <c:v>-7.0322087253454839</c:v>
                </c:pt>
                <c:pt idx="27">
                  <c:v>10.122126124559955</c:v>
                </c:pt>
                <c:pt idx="28">
                  <c:v>16.177217458847476</c:v>
                </c:pt>
                <c:pt idx="29">
                  <c:v>9.5350878984013239</c:v>
                </c:pt>
                <c:pt idx="30">
                  <c:v>-1.2817324431350698</c:v>
                </c:pt>
                <c:pt idx="31">
                  <c:v>15.620806693503823</c:v>
                </c:pt>
              </c:numCache>
            </c:numRef>
          </c:val>
        </c:ser>
        <c:ser>
          <c:idx val="4"/>
          <c:order val="4"/>
          <c:tx>
            <c:strRef>
              <c:f>'výkonnost odvětví 3'!$G$10</c:f>
              <c:strCache>
                <c:ptCount val="1"/>
                <c:pt idx="0">
                  <c:v>Balance of confidence indicator in construction</c:v>
                </c:pt>
              </c:strCache>
            </c:strRef>
          </c:tx>
          <c:spPr>
            <a:ln w="19050">
              <a:noFill/>
              <a:prstDash val="solid"/>
            </a:ln>
          </c:spPr>
          <c:marker>
            <c:symbol val="dash"/>
            <c:size val="9"/>
            <c:spPr>
              <a:solidFill>
                <a:srgbClr val="984807"/>
              </a:solidFill>
              <a:ln>
                <a:noFill/>
              </a:ln>
            </c:spPr>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3'!$G$11:$G$42</c:f>
              <c:numCache>
                <c:formatCode>0.0</c:formatCode>
                <c:ptCount val="32"/>
                <c:pt idx="0">
                  <c:v>-32.166666666666536</c:v>
                </c:pt>
                <c:pt idx="1">
                  <c:v>-32.5</c:v>
                </c:pt>
                <c:pt idx="2">
                  <c:v>-37</c:v>
                </c:pt>
                <c:pt idx="3">
                  <c:v>-42.5</c:v>
                </c:pt>
                <c:pt idx="4">
                  <c:v>-40</c:v>
                </c:pt>
                <c:pt idx="5">
                  <c:v>-40.333333333333336</c:v>
                </c:pt>
                <c:pt idx="6">
                  <c:v>-39.166666666666536</c:v>
                </c:pt>
                <c:pt idx="7">
                  <c:v>-39.333333333333336</c:v>
                </c:pt>
                <c:pt idx="8">
                  <c:v>-46</c:v>
                </c:pt>
                <c:pt idx="9">
                  <c:v>-45.333333333333336</c:v>
                </c:pt>
                <c:pt idx="10">
                  <c:v>-43.5</c:v>
                </c:pt>
                <c:pt idx="11">
                  <c:v>-44.666666666666536</c:v>
                </c:pt>
                <c:pt idx="12">
                  <c:v>-46</c:v>
                </c:pt>
                <c:pt idx="13">
                  <c:v>-53.333333333333336</c:v>
                </c:pt>
                <c:pt idx="14">
                  <c:v>-49.5</c:v>
                </c:pt>
                <c:pt idx="15">
                  <c:v>-50.833333333333336</c:v>
                </c:pt>
                <c:pt idx="16">
                  <c:v>-45.166666666666536</c:v>
                </c:pt>
                <c:pt idx="17">
                  <c:v>-38.333333333333336</c:v>
                </c:pt>
                <c:pt idx="18">
                  <c:v>-32</c:v>
                </c:pt>
                <c:pt idx="19">
                  <c:v>-25.166666666666668</c:v>
                </c:pt>
                <c:pt idx="20">
                  <c:v>-20.833333333333275</c:v>
                </c:pt>
                <c:pt idx="21">
                  <c:v>-16.333333333333275</c:v>
                </c:pt>
                <c:pt idx="22">
                  <c:v>-18.666666666666668</c:v>
                </c:pt>
                <c:pt idx="23">
                  <c:v>-15.666666666666684</c:v>
                </c:pt>
                <c:pt idx="24">
                  <c:v>-17.166666666666668</c:v>
                </c:pt>
                <c:pt idx="25">
                  <c:v>-24</c:v>
                </c:pt>
                <c:pt idx="26">
                  <c:v>-26.666666666666668</c:v>
                </c:pt>
                <c:pt idx="27">
                  <c:v>-25.833333333333275</c:v>
                </c:pt>
                <c:pt idx="28">
                  <c:v>-24.5</c:v>
                </c:pt>
                <c:pt idx="29">
                  <c:v>-22.666666666666668</c:v>
                </c:pt>
                <c:pt idx="30">
                  <c:v>-19.833333333333275</c:v>
                </c:pt>
                <c:pt idx="31">
                  <c:v>-15.166666666666684</c:v>
                </c:pt>
              </c:numCache>
            </c:numRef>
          </c:val>
        </c:ser>
        <c:marker val="1"/>
        <c:axId val="103099776"/>
        <c:axId val="103114240"/>
      </c:lineChart>
      <c:catAx>
        <c:axId val="103099776"/>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03114240"/>
        <c:crossesAt val="0"/>
        <c:lblAlgn val="ctr"/>
        <c:lblOffset val="0"/>
        <c:tickLblSkip val="1"/>
        <c:tickMarkSkip val="4"/>
      </c:catAx>
      <c:valAx>
        <c:axId val="103114240"/>
        <c:scaling>
          <c:orientation val="minMax"/>
          <c:max val="50"/>
          <c:min val="-60"/>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03099776"/>
        <c:crosses val="autoZero"/>
        <c:crossBetween val="between"/>
        <c:majorUnit val="10"/>
      </c:valAx>
      <c:spPr>
        <a:solidFill>
          <a:srgbClr val="FFFFFF"/>
        </a:solidFill>
        <a:ln w="9525">
          <a:solidFill>
            <a:schemeClr val="tx1"/>
          </a:solidFill>
        </a:ln>
      </c:spPr>
    </c:plotArea>
    <c:legend>
      <c:legendPos val="b"/>
      <c:layout>
        <c:manualLayout>
          <c:xMode val="edge"/>
          <c:yMode val="edge"/>
          <c:x val="5.4756708056613493E-2"/>
          <c:y val="0.8414048694701306"/>
          <c:w val="0.92878036619250925"/>
          <c:h val="0.15044599701823225"/>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3337294494629933E-2"/>
          <c:y val="1.7176305711648222E-2"/>
          <c:w val="0.91372590696101663"/>
          <c:h val="0.69983885078665409"/>
        </c:manualLayout>
      </c:layout>
      <c:barChart>
        <c:barDir val="col"/>
        <c:grouping val="clustered"/>
        <c:ser>
          <c:idx val="0"/>
          <c:order val="0"/>
          <c:tx>
            <c:strRef>
              <c:f>'výkonnost odvětví 4'!$C$10</c:f>
              <c:strCache>
                <c:ptCount val="1"/>
                <c:pt idx="0">
                  <c:v>Total services*</c:v>
                </c:pt>
              </c:strCache>
            </c:strRef>
          </c:tx>
          <c:spPr>
            <a:solidFill>
              <a:schemeClr val="bg1">
                <a:lumMod val="65000"/>
              </a:schemeClr>
            </a:solidFill>
            <a:ln w="12700">
              <a:noFill/>
              <a:prstDash val="solid"/>
            </a:ln>
          </c:spP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4'!$C$11:$C$42</c:f>
              <c:numCache>
                <c:formatCode>#,##0.0</c:formatCode>
                <c:ptCount val="32"/>
                <c:pt idx="0">
                  <c:v>-4.5096006623606364</c:v>
                </c:pt>
                <c:pt idx="1">
                  <c:v>-0.3407933727576733</c:v>
                </c:pt>
                <c:pt idx="2">
                  <c:v>0.7460992536505876</c:v>
                </c:pt>
                <c:pt idx="3">
                  <c:v>-2.5213834317328718</c:v>
                </c:pt>
                <c:pt idx="4">
                  <c:v>0.27784654942253439</c:v>
                </c:pt>
                <c:pt idx="5">
                  <c:v>-0.70815472300641602</c:v>
                </c:pt>
                <c:pt idx="6">
                  <c:v>-4.5201442135076348</c:v>
                </c:pt>
                <c:pt idx="7">
                  <c:v>-2.258914343213978</c:v>
                </c:pt>
                <c:pt idx="8">
                  <c:v>0.41378236940359181</c:v>
                </c:pt>
                <c:pt idx="9">
                  <c:v>-1.1743332862113647</c:v>
                </c:pt>
                <c:pt idx="10">
                  <c:v>1.1300274392948231</c:v>
                </c:pt>
                <c:pt idx="11">
                  <c:v>-1.379575945904236</c:v>
                </c:pt>
                <c:pt idx="12">
                  <c:v>-0.16973409749459759</c:v>
                </c:pt>
                <c:pt idx="13">
                  <c:v>-0.88264073450076863</c:v>
                </c:pt>
                <c:pt idx="14">
                  <c:v>-1.4107904536963218</c:v>
                </c:pt>
                <c:pt idx="15">
                  <c:v>1.6419922984547788</c:v>
                </c:pt>
                <c:pt idx="16">
                  <c:v>-0.76539331504619779</c:v>
                </c:pt>
                <c:pt idx="17">
                  <c:v>1.6194658531601918</c:v>
                </c:pt>
                <c:pt idx="18">
                  <c:v>2.4392246258479142</c:v>
                </c:pt>
                <c:pt idx="19">
                  <c:v>0.45185880131751427</c:v>
                </c:pt>
                <c:pt idx="20">
                  <c:v>3.3495040705582237</c:v>
                </c:pt>
                <c:pt idx="21">
                  <c:v>2.6978910345402625</c:v>
                </c:pt>
                <c:pt idx="22">
                  <c:v>3.4292872838003632</c:v>
                </c:pt>
                <c:pt idx="23">
                  <c:v>2.1644881087331798</c:v>
                </c:pt>
                <c:pt idx="24">
                  <c:v>1.1293189132450581</c:v>
                </c:pt>
                <c:pt idx="25">
                  <c:v>-1.0923188796519443</c:v>
                </c:pt>
                <c:pt idx="26">
                  <c:v>1.5336791273072659</c:v>
                </c:pt>
                <c:pt idx="27">
                  <c:v>1.6116134073725306</c:v>
                </c:pt>
                <c:pt idx="28">
                  <c:v>5.6873734454673723</c:v>
                </c:pt>
                <c:pt idx="29">
                  <c:v>5.6775030081736304</c:v>
                </c:pt>
                <c:pt idx="30">
                  <c:v>3.4237422050211141</c:v>
                </c:pt>
                <c:pt idx="31">
                  <c:v>2.3921783779407937</c:v>
                </c:pt>
              </c:numCache>
            </c:numRef>
          </c:val>
        </c:ser>
        <c:gapWidth val="31"/>
        <c:axId val="103174912"/>
        <c:axId val="103176832"/>
      </c:barChart>
      <c:lineChart>
        <c:grouping val="standard"/>
        <c:ser>
          <c:idx val="1"/>
          <c:order val="1"/>
          <c:tx>
            <c:strRef>
              <c:f>'výkonnost odvětví 4'!$D$10</c:f>
              <c:strCache>
                <c:ptCount val="1"/>
                <c:pt idx="0">
                  <c:v>Transportation and storage</c:v>
                </c:pt>
              </c:strCache>
            </c:strRef>
          </c:tx>
          <c:spPr>
            <a:ln w="19050">
              <a:solidFill>
                <a:schemeClr val="tx1">
                  <a:lumMod val="95000"/>
                  <a:lumOff val="5000"/>
                </a:schemeClr>
              </a:solidFill>
              <a:prstDash val="solid"/>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4'!$D$11:$D$42</c:f>
              <c:numCache>
                <c:formatCode>#,##0.0</c:formatCode>
                <c:ptCount val="32"/>
                <c:pt idx="0">
                  <c:v>1.1931031452931506</c:v>
                </c:pt>
                <c:pt idx="1">
                  <c:v>6.1417709032681964</c:v>
                </c:pt>
                <c:pt idx="2">
                  <c:v>3.8418205280418221</c:v>
                </c:pt>
                <c:pt idx="3">
                  <c:v>1.9341810747854304</c:v>
                </c:pt>
                <c:pt idx="4">
                  <c:v>3.9822259217620513</c:v>
                </c:pt>
                <c:pt idx="5">
                  <c:v>0.66835824123350696</c:v>
                </c:pt>
                <c:pt idx="6">
                  <c:v>-0.96964643016703289</c:v>
                </c:pt>
                <c:pt idx="7">
                  <c:v>1.5453219752766778</c:v>
                </c:pt>
                <c:pt idx="8">
                  <c:v>0.83205725972403854</c:v>
                </c:pt>
                <c:pt idx="9">
                  <c:v>1.8395272136614538</c:v>
                </c:pt>
                <c:pt idx="10">
                  <c:v>3.5080948551137832</c:v>
                </c:pt>
                <c:pt idx="11">
                  <c:v>-1.8161977525328439</c:v>
                </c:pt>
                <c:pt idx="12">
                  <c:v>3.4369574098321167</c:v>
                </c:pt>
                <c:pt idx="13">
                  <c:v>2.7612524909773555</c:v>
                </c:pt>
                <c:pt idx="14">
                  <c:v>2.1918868778682827</c:v>
                </c:pt>
                <c:pt idx="15">
                  <c:v>10.127849073544894</c:v>
                </c:pt>
                <c:pt idx="16">
                  <c:v>3.4570939496305186</c:v>
                </c:pt>
                <c:pt idx="17">
                  <c:v>2.3688974798375284</c:v>
                </c:pt>
                <c:pt idx="18">
                  <c:v>3.6329187567511552</c:v>
                </c:pt>
                <c:pt idx="19">
                  <c:v>4.4470637499444042E-2</c:v>
                </c:pt>
                <c:pt idx="20">
                  <c:v>0.62168572663049082</c:v>
                </c:pt>
                <c:pt idx="21">
                  <c:v>-0.15576948433512497</c:v>
                </c:pt>
                <c:pt idx="22">
                  <c:v>0.63903867236922596</c:v>
                </c:pt>
                <c:pt idx="23">
                  <c:v>0.19185042976501165</c:v>
                </c:pt>
                <c:pt idx="24">
                  <c:v>0.43661654208769174</c:v>
                </c:pt>
                <c:pt idx="25">
                  <c:v>0.84199186688548133</c:v>
                </c:pt>
                <c:pt idx="26">
                  <c:v>0.46254876698559194</c:v>
                </c:pt>
                <c:pt idx="27">
                  <c:v>2.9324708305767286</c:v>
                </c:pt>
                <c:pt idx="28">
                  <c:v>5.9953528358142734</c:v>
                </c:pt>
                <c:pt idx="29">
                  <c:v>3.5228567067738368</c:v>
                </c:pt>
                <c:pt idx="30">
                  <c:v>3.6384150797589987</c:v>
                </c:pt>
                <c:pt idx="31">
                  <c:v>2.3419061629460032</c:v>
                </c:pt>
              </c:numCache>
            </c:numRef>
          </c:val>
        </c:ser>
        <c:ser>
          <c:idx val="2"/>
          <c:order val="2"/>
          <c:tx>
            <c:strRef>
              <c:f>'výkonnost odvětví 4'!$E$10</c:f>
              <c:strCache>
                <c:ptCount val="1"/>
                <c:pt idx="0">
                  <c:v>Accommodation, food service and restaurants</c:v>
                </c:pt>
              </c:strCache>
            </c:strRef>
          </c:tx>
          <c:spPr>
            <a:ln w="19050">
              <a:solidFill>
                <a:schemeClr val="accent6">
                  <a:lumMod val="75000"/>
                </a:schemeClr>
              </a:solidFill>
              <a:prstDash val="solid"/>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4'!$E$11:$E$42</c:f>
              <c:numCache>
                <c:formatCode>#,##0.0</c:formatCode>
                <c:ptCount val="32"/>
                <c:pt idx="0">
                  <c:v>-5.6982042872953755</c:v>
                </c:pt>
                <c:pt idx="1">
                  <c:v>-6.4712099927930291</c:v>
                </c:pt>
                <c:pt idx="2">
                  <c:v>-2.354289679258081</c:v>
                </c:pt>
                <c:pt idx="3">
                  <c:v>-4.3847499177807236</c:v>
                </c:pt>
                <c:pt idx="4">
                  <c:v>-0.46265416127074938</c:v>
                </c:pt>
                <c:pt idx="5">
                  <c:v>2.8715285291729344</c:v>
                </c:pt>
                <c:pt idx="6">
                  <c:v>-2.0592789510926637</c:v>
                </c:pt>
                <c:pt idx="7">
                  <c:v>-1.7188428059753562</c:v>
                </c:pt>
                <c:pt idx="8">
                  <c:v>-2.0781598790357378</c:v>
                </c:pt>
                <c:pt idx="9">
                  <c:v>-2.6956182684811552</c:v>
                </c:pt>
                <c:pt idx="10">
                  <c:v>-1.7724597664581421</c:v>
                </c:pt>
                <c:pt idx="11">
                  <c:v>-3.5559447300754954</c:v>
                </c:pt>
                <c:pt idx="12">
                  <c:v>0.90426709036874797</c:v>
                </c:pt>
                <c:pt idx="13">
                  <c:v>0.22967464431653167</c:v>
                </c:pt>
                <c:pt idx="14">
                  <c:v>1.6316433695049852</c:v>
                </c:pt>
                <c:pt idx="15">
                  <c:v>0.77668708206628989</c:v>
                </c:pt>
                <c:pt idx="16">
                  <c:v>-0.87016218392601152</c:v>
                </c:pt>
                <c:pt idx="17">
                  <c:v>-0.30143062396048564</c:v>
                </c:pt>
                <c:pt idx="18">
                  <c:v>-1.0510472095787711</c:v>
                </c:pt>
                <c:pt idx="19">
                  <c:v>7.5929290959894074</c:v>
                </c:pt>
                <c:pt idx="20">
                  <c:v>2.8159396102953593</c:v>
                </c:pt>
                <c:pt idx="21">
                  <c:v>7.717438334667122</c:v>
                </c:pt>
                <c:pt idx="22">
                  <c:v>7.7500565284452616</c:v>
                </c:pt>
                <c:pt idx="23">
                  <c:v>4.9077723190360985</c:v>
                </c:pt>
                <c:pt idx="24">
                  <c:v>5.5021909192252458</c:v>
                </c:pt>
                <c:pt idx="25">
                  <c:v>1.921052217732381</c:v>
                </c:pt>
                <c:pt idx="26">
                  <c:v>6.9401686800438238</c:v>
                </c:pt>
                <c:pt idx="27">
                  <c:v>7.6944792139289477</c:v>
                </c:pt>
                <c:pt idx="28">
                  <c:v>11.826210972157085</c:v>
                </c:pt>
                <c:pt idx="29">
                  <c:v>14.901389159900674</c:v>
                </c:pt>
                <c:pt idx="30">
                  <c:v>6.626286678768512</c:v>
                </c:pt>
                <c:pt idx="31">
                  <c:v>4.9349917595877155</c:v>
                </c:pt>
              </c:numCache>
            </c:numRef>
          </c:val>
        </c:ser>
        <c:ser>
          <c:idx val="3"/>
          <c:order val="3"/>
          <c:tx>
            <c:strRef>
              <c:f>'výkonnost odvětví 4'!$F$10</c:f>
              <c:strCache>
                <c:ptCount val="1"/>
                <c:pt idx="0">
                  <c:v>Professional, scientific and technical activities</c:v>
                </c:pt>
              </c:strCache>
            </c:strRef>
          </c:tx>
          <c:spPr>
            <a:ln w="19050">
              <a:solidFill>
                <a:srgbClr val="48AEE7"/>
              </a:solidFill>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4'!$F$11:$F$42</c:f>
              <c:numCache>
                <c:formatCode>#,##0.0</c:formatCode>
                <c:ptCount val="32"/>
                <c:pt idx="0">
                  <c:v>-12.290814732473081</c:v>
                </c:pt>
                <c:pt idx="1">
                  <c:v>-4.232917477451954</c:v>
                </c:pt>
                <c:pt idx="2">
                  <c:v>-1.2101265952728801</c:v>
                </c:pt>
                <c:pt idx="3">
                  <c:v>-7.4280319670195549</c:v>
                </c:pt>
                <c:pt idx="4">
                  <c:v>-5.3317943806041397</c:v>
                </c:pt>
                <c:pt idx="5">
                  <c:v>-4.4158534503724525</c:v>
                </c:pt>
                <c:pt idx="6">
                  <c:v>-16.037761612617988</c:v>
                </c:pt>
                <c:pt idx="7">
                  <c:v>-8.5920427388460805</c:v>
                </c:pt>
                <c:pt idx="8">
                  <c:v>1.7790041034699564</c:v>
                </c:pt>
                <c:pt idx="9">
                  <c:v>-5.9996553604536924</c:v>
                </c:pt>
                <c:pt idx="10">
                  <c:v>-0.73110405317373894</c:v>
                </c:pt>
                <c:pt idx="11">
                  <c:v>0.13717329113313781</c:v>
                </c:pt>
                <c:pt idx="12">
                  <c:v>-4.5819504834105764</c:v>
                </c:pt>
                <c:pt idx="13">
                  <c:v>-7.3606822388459685</c:v>
                </c:pt>
                <c:pt idx="14">
                  <c:v>-9.2460383944530999</c:v>
                </c:pt>
                <c:pt idx="15">
                  <c:v>-5.113870169368127</c:v>
                </c:pt>
                <c:pt idx="16">
                  <c:v>-6.538003701129548</c:v>
                </c:pt>
                <c:pt idx="17">
                  <c:v>0.33860224698662528</c:v>
                </c:pt>
                <c:pt idx="18">
                  <c:v>4.1005475624141354</c:v>
                </c:pt>
                <c:pt idx="19">
                  <c:v>-5.3838954481346724</c:v>
                </c:pt>
                <c:pt idx="20">
                  <c:v>4.9781654515617104</c:v>
                </c:pt>
                <c:pt idx="21">
                  <c:v>3.5951121139233595</c:v>
                </c:pt>
                <c:pt idx="22">
                  <c:v>5.748380951148909</c:v>
                </c:pt>
                <c:pt idx="23">
                  <c:v>-0.31685681601646892</c:v>
                </c:pt>
                <c:pt idx="24">
                  <c:v>-1.5053066841219038</c:v>
                </c:pt>
                <c:pt idx="25">
                  <c:v>-7.135921480650893</c:v>
                </c:pt>
                <c:pt idx="26">
                  <c:v>0.18542988497220894</c:v>
                </c:pt>
                <c:pt idx="27">
                  <c:v>-1.4930451088308281</c:v>
                </c:pt>
                <c:pt idx="28">
                  <c:v>4.1219039624636622</c:v>
                </c:pt>
                <c:pt idx="29">
                  <c:v>3.2420814999732062</c:v>
                </c:pt>
                <c:pt idx="30">
                  <c:v>1.3521493116212064</c:v>
                </c:pt>
                <c:pt idx="31">
                  <c:v>1.8736864219952623</c:v>
                </c:pt>
              </c:numCache>
            </c:numRef>
          </c:val>
        </c:ser>
        <c:ser>
          <c:idx val="4"/>
          <c:order val="4"/>
          <c:tx>
            <c:strRef>
              <c:f>'výkonnost odvětví 4'!$G$10</c:f>
              <c:strCache>
                <c:ptCount val="1"/>
                <c:pt idx="0">
                  <c:v>Administrative and support service activities</c:v>
                </c:pt>
              </c:strCache>
            </c:strRef>
          </c:tx>
          <c:spPr>
            <a:ln w="19050">
              <a:solidFill>
                <a:srgbClr val="7DBB2D"/>
              </a:solidFill>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4'!$G$11:$G$42</c:f>
              <c:numCache>
                <c:formatCode>#,##0.0</c:formatCode>
                <c:ptCount val="32"/>
                <c:pt idx="0">
                  <c:v>-1.6544875737618885</c:v>
                </c:pt>
                <c:pt idx="1">
                  <c:v>-2.3534412457178746</c:v>
                </c:pt>
                <c:pt idx="2">
                  <c:v>1.0654284656697257</c:v>
                </c:pt>
                <c:pt idx="3">
                  <c:v>1.8051246036166739</c:v>
                </c:pt>
                <c:pt idx="4">
                  <c:v>4.5747765081088261</c:v>
                </c:pt>
                <c:pt idx="5">
                  <c:v>5.6147164173834367</c:v>
                </c:pt>
                <c:pt idx="6">
                  <c:v>5.0768403047078241</c:v>
                </c:pt>
                <c:pt idx="7">
                  <c:v>3.1212636054366953</c:v>
                </c:pt>
                <c:pt idx="8">
                  <c:v>4.945077216307638</c:v>
                </c:pt>
                <c:pt idx="9">
                  <c:v>2.4070453802546723</c:v>
                </c:pt>
                <c:pt idx="10">
                  <c:v>4.1591498172451855</c:v>
                </c:pt>
                <c:pt idx="11">
                  <c:v>-1.7715231328513994</c:v>
                </c:pt>
                <c:pt idx="12">
                  <c:v>-0.46025646665529507</c:v>
                </c:pt>
                <c:pt idx="13">
                  <c:v>0.99331558069717119</c:v>
                </c:pt>
                <c:pt idx="14">
                  <c:v>0.74616588702987641</c:v>
                </c:pt>
                <c:pt idx="15">
                  <c:v>3.5105053359900587</c:v>
                </c:pt>
                <c:pt idx="16">
                  <c:v>-1.3893557020296328</c:v>
                </c:pt>
                <c:pt idx="17">
                  <c:v>4.847160926162644</c:v>
                </c:pt>
                <c:pt idx="18">
                  <c:v>3.2819050323606982</c:v>
                </c:pt>
                <c:pt idx="19">
                  <c:v>4.6729340943630859</c:v>
                </c:pt>
                <c:pt idx="20">
                  <c:v>4.5522874784487533</c:v>
                </c:pt>
                <c:pt idx="21">
                  <c:v>4.9218167638030925</c:v>
                </c:pt>
                <c:pt idx="22">
                  <c:v>3.6318539238633556</c:v>
                </c:pt>
                <c:pt idx="23">
                  <c:v>4.4568122255123939</c:v>
                </c:pt>
                <c:pt idx="24">
                  <c:v>4.1495977172566541</c:v>
                </c:pt>
                <c:pt idx="25">
                  <c:v>1.3820291151999118</c:v>
                </c:pt>
                <c:pt idx="26">
                  <c:v>2.4526753314027117</c:v>
                </c:pt>
                <c:pt idx="27">
                  <c:v>4.5702816404105988</c:v>
                </c:pt>
                <c:pt idx="28">
                  <c:v>9.9795978193994621</c:v>
                </c:pt>
                <c:pt idx="29">
                  <c:v>9.5826790396278536</c:v>
                </c:pt>
                <c:pt idx="30">
                  <c:v>5.6083581636031372</c:v>
                </c:pt>
                <c:pt idx="31">
                  <c:v>2.4237629624133792</c:v>
                </c:pt>
              </c:numCache>
            </c:numRef>
          </c:val>
        </c:ser>
        <c:ser>
          <c:idx val="5"/>
          <c:order val="5"/>
          <c:tx>
            <c:strRef>
              <c:f>'výkonnost odvětví 4'!$H$10</c:f>
              <c:strCache>
                <c:ptCount val="1"/>
                <c:pt idx="0">
                  <c:v>Information and communication</c:v>
                </c:pt>
              </c:strCache>
            </c:strRef>
          </c:tx>
          <c:spPr>
            <a:ln>
              <a:noFill/>
            </a:ln>
          </c:spPr>
          <c:marker>
            <c:symbol val="diamond"/>
            <c:size val="5"/>
            <c:spPr>
              <a:solidFill>
                <a:srgbClr val="984807"/>
              </a:solidFill>
            </c:spPr>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4'!$H$11:$H$42</c:f>
              <c:numCache>
                <c:formatCode>#,##0.0</c:formatCode>
                <c:ptCount val="32"/>
                <c:pt idx="0">
                  <c:v>-1.7579837505306111</c:v>
                </c:pt>
                <c:pt idx="1">
                  <c:v>-0.11642123818683117</c:v>
                </c:pt>
                <c:pt idx="2">
                  <c:v>1.8880874350386587</c:v>
                </c:pt>
                <c:pt idx="3">
                  <c:v>-1.0473915045593418</c:v>
                </c:pt>
                <c:pt idx="4">
                  <c:v>-1.9079404026669525E-2</c:v>
                </c:pt>
                <c:pt idx="5">
                  <c:v>-1.157826031810288</c:v>
                </c:pt>
                <c:pt idx="6">
                  <c:v>-2.7986335027271205</c:v>
                </c:pt>
                <c:pt idx="7">
                  <c:v>-0.55634396031879874</c:v>
                </c:pt>
                <c:pt idx="8">
                  <c:v>0.65346966254679884</c:v>
                </c:pt>
                <c:pt idx="9">
                  <c:v>1.046349622883727E-2</c:v>
                </c:pt>
                <c:pt idx="10">
                  <c:v>1.5353993933410357</c:v>
                </c:pt>
                <c:pt idx="11">
                  <c:v>-0.56386472541095056</c:v>
                </c:pt>
                <c:pt idx="12">
                  <c:v>-1.8885037612261064</c:v>
                </c:pt>
                <c:pt idx="13">
                  <c:v>0.34209026986297947</c:v>
                </c:pt>
                <c:pt idx="14">
                  <c:v>-2.1041958696599052</c:v>
                </c:pt>
                <c:pt idx="15">
                  <c:v>0.45818403560684884</c:v>
                </c:pt>
                <c:pt idx="16">
                  <c:v>9.7799519869965934E-2</c:v>
                </c:pt>
                <c:pt idx="17">
                  <c:v>0.77027947344869829</c:v>
                </c:pt>
                <c:pt idx="18">
                  <c:v>2.1848791405802785</c:v>
                </c:pt>
                <c:pt idx="19">
                  <c:v>2.9373599515681827</c:v>
                </c:pt>
                <c:pt idx="20">
                  <c:v>6.9384777058039333</c:v>
                </c:pt>
                <c:pt idx="21">
                  <c:v>4.3336634039012445</c:v>
                </c:pt>
                <c:pt idx="22">
                  <c:v>4.4560552194438401</c:v>
                </c:pt>
                <c:pt idx="23">
                  <c:v>6.8435433093621709</c:v>
                </c:pt>
                <c:pt idx="24">
                  <c:v>2.0505147382366209</c:v>
                </c:pt>
                <c:pt idx="25">
                  <c:v>0.40901106071846982</c:v>
                </c:pt>
                <c:pt idx="26">
                  <c:v>1.8178506894557529</c:v>
                </c:pt>
                <c:pt idx="27">
                  <c:v>0.91779626143366499</c:v>
                </c:pt>
                <c:pt idx="28">
                  <c:v>3.3647118220049812</c:v>
                </c:pt>
                <c:pt idx="29">
                  <c:v>5.7164336375577847</c:v>
                </c:pt>
                <c:pt idx="30">
                  <c:v>4.2537575179759335</c:v>
                </c:pt>
                <c:pt idx="31">
                  <c:v>2.5333768879854692</c:v>
                </c:pt>
              </c:numCache>
            </c:numRef>
          </c:val>
        </c:ser>
        <c:marker val="1"/>
        <c:axId val="103174912"/>
        <c:axId val="103176832"/>
      </c:lineChart>
      <c:catAx>
        <c:axId val="103174912"/>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03176832"/>
        <c:crosses val="autoZero"/>
        <c:lblAlgn val="ctr"/>
        <c:lblOffset val="0"/>
        <c:tickLblSkip val="1"/>
        <c:tickMarkSkip val="4"/>
      </c:catAx>
      <c:valAx>
        <c:axId val="103176832"/>
        <c:scaling>
          <c:orientation val="minMax"/>
          <c:max val="15"/>
          <c:min val="-14"/>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03174912"/>
        <c:crosses val="autoZero"/>
        <c:crossBetween val="between"/>
        <c:majorUnit val="2"/>
      </c:valAx>
      <c:spPr>
        <a:solidFill>
          <a:srgbClr val="FFFFFF"/>
        </a:solidFill>
        <a:ln w="9525">
          <a:solidFill>
            <a:schemeClr val="tx1"/>
          </a:solidFill>
        </a:ln>
      </c:spPr>
    </c:plotArea>
    <c:legend>
      <c:legendPos val="b"/>
      <c:layout>
        <c:manualLayout>
          <c:xMode val="edge"/>
          <c:yMode val="edge"/>
          <c:x val="5.0503730461652213E-2"/>
          <c:y val="0.81000690135185249"/>
          <c:w val="0.91497470579305717"/>
          <c:h val="0.1830952768983575"/>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0.58947</cdr:x>
      <cdr:y>0.01868</cdr:y>
    </cdr:from>
    <cdr:to>
      <cdr:x>0.6376</cdr:x>
      <cdr:y>0.05626</cdr:y>
    </cdr:to>
    <cdr:sp macro="" textlink="">
      <cdr:nvSpPr>
        <cdr:cNvPr id="2" name="Přímá spojovací šipka 1"/>
        <cdr:cNvSpPr/>
      </cdr:nvSpPr>
      <cdr:spPr>
        <a:xfrm xmlns:a="http://schemas.openxmlformats.org/drawingml/2006/main" flipH="1" flipV="1">
          <a:off x="2799499" y="66271"/>
          <a:ext cx="228579" cy="133342"/>
        </a:xfrm>
        <a:prstGeom xmlns:a="http://schemas.openxmlformats.org/drawingml/2006/main" prst="straightConnector1">
          <a:avLst/>
        </a:prstGeom>
        <a:noFill xmlns:a="http://schemas.openxmlformats.org/drawingml/2006/main"/>
        <a:ln xmlns:a="http://schemas.openxmlformats.org/drawingml/2006/main" w="6350" cap="flat" cmpd="sng" algn="ctr">
          <a:solidFill>
            <a:srgbClr val="7DBB2D"/>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0.64912</cdr:x>
      <cdr:y>0.04249</cdr:y>
    </cdr:from>
    <cdr:to>
      <cdr:x>0.72324</cdr:x>
      <cdr:y>0.09724</cdr:y>
    </cdr:to>
    <cdr:sp macro="" textlink="">
      <cdr:nvSpPr>
        <cdr:cNvPr id="3" name="TextovéPole 2"/>
        <cdr:cNvSpPr txBox="1"/>
      </cdr:nvSpPr>
      <cdr:spPr>
        <a:xfrm xmlns:a="http://schemas.openxmlformats.org/drawingml/2006/main">
          <a:off x="3082788" y="150770"/>
          <a:ext cx="352011" cy="19426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7DBB2D"/>
              </a:solidFill>
              <a:latin typeface="Arial" pitchFamily="34" charset="0"/>
              <a:cs typeface="Arial" pitchFamily="34" charset="0"/>
            </a:rPr>
            <a:t>67,5</a:t>
          </a:r>
        </a:p>
      </cdr:txBody>
    </cdr:sp>
  </cdr:relSizeAnchor>
</c:userShapes>
</file>

<file path=word/drawings/drawing2.xml><?xml version="1.0" encoding="utf-8"?>
<c:userShapes xmlns:c="http://schemas.openxmlformats.org/drawingml/2006/chart">
  <cdr:relSizeAnchor xmlns:cdr="http://schemas.openxmlformats.org/drawingml/2006/chartDrawing">
    <cdr:from>
      <cdr:x>0.25338</cdr:x>
      <cdr:y>0.68012</cdr:y>
    </cdr:from>
    <cdr:to>
      <cdr:x>0.29928</cdr:x>
      <cdr:y>0.69404</cdr:y>
    </cdr:to>
    <cdr:sp macro="" textlink="">
      <cdr:nvSpPr>
        <cdr:cNvPr id="2" name="Přímá spojovací šipka 1"/>
        <cdr:cNvSpPr/>
      </cdr:nvSpPr>
      <cdr:spPr>
        <a:xfrm xmlns:a="http://schemas.openxmlformats.org/drawingml/2006/main" flipH="1">
          <a:off x="1201624" y="2311967"/>
          <a:ext cx="217675" cy="47319"/>
        </a:xfrm>
        <a:prstGeom xmlns:a="http://schemas.openxmlformats.org/drawingml/2006/main" prst="straightConnector1">
          <a:avLst/>
        </a:prstGeom>
        <a:noFill xmlns:a="http://schemas.openxmlformats.org/drawingml/2006/main"/>
        <a:ln xmlns:a="http://schemas.openxmlformats.org/drawingml/2006/main" w="6350" cap="flat" cmpd="sng" algn="ctr">
          <a:solidFill>
            <a:srgbClr val="00B0F0"/>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0.29766</cdr:x>
      <cdr:y>0.63701</cdr:y>
    </cdr:from>
    <cdr:to>
      <cdr:x>0.35644</cdr:x>
      <cdr:y>0.69197</cdr:y>
    </cdr:to>
    <cdr:sp macro="" textlink="">
      <cdr:nvSpPr>
        <cdr:cNvPr id="3" name="TextovéPole 2"/>
        <cdr:cNvSpPr txBox="1"/>
      </cdr:nvSpPr>
      <cdr:spPr>
        <a:xfrm xmlns:a="http://schemas.openxmlformats.org/drawingml/2006/main">
          <a:off x="1411617" y="2165424"/>
          <a:ext cx="278757" cy="18682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00B0F0"/>
              </a:solidFill>
              <a:latin typeface="Arial" pitchFamily="34" charset="0"/>
              <a:cs typeface="Arial" pitchFamily="34" charset="0"/>
            </a:rPr>
            <a:t>-16,0</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94EA0-C52B-47AF-B482-6DDA897E0A9C}">
  <ds:schemaRefs>
    <ds:schemaRef ds:uri="http://schemas.openxmlformats.org/officeDocument/2006/bibliography"/>
  </ds:schemaRefs>
</ds:datastoreItem>
</file>

<file path=customXml/itemProps2.xml><?xml version="1.0" encoding="utf-8"?>
<ds:datastoreItem xmlns:ds="http://schemas.openxmlformats.org/officeDocument/2006/customXml" ds:itemID="{299FAA8D-4E71-4F4E-B1ED-3C4076B13C6B}">
  <ds:schemaRefs>
    <ds:schemaRef ds:uri="http://schemas.openxmlformats.org/officeDocument/2006/bibliography"/>
  </ds:schemaRefs>
</ds:datastoreItem>
</file>

<file path=customXml/itemProps3.xml><?xml version="1.0" encoding="utf-8"?>
<ds:datastoreItem xmlns:ds="http://schemas.openxmlformats.org/officeDocument/2006/customXml" ds:itemID="{FEFF605D-0961-476B-AC04-B378B5AF42BE}">
  <ds:schemaRefs>
    <ds:schemaRef ds:uri="http://schemas.openxmlformats.org/officeDocument/2006/bibliography"/>
  </ds:schemaRefs>
</ds:datastoreItem>
</file>

<file path=customXml/itemProps4.xml><?xml version="1.0" encoding="utf-8"?>
<ds:datastoreItem xmlns:ds="http://schemas.openxmlformats.org/officeDocument/2006/customXml" ds:itemID="{4504904E-A3CE-43E1-9B32-6D191556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2</TotalTime>
  <Pages>7</Pages>
  <Words>2856</Words>
  <Characters>16856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19673</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2018-03-14T17:02:00Z</cp:lastPrinted>
  <dcterms:created xsi:type="dcterms:W3CDTF">2018-04-23T12:11:00Z</dcterms:created>
  <dcterms:modified xsi:type="dcterms:W3CDTF">2018-04-23T12:13:00Z</dcterms:modified>
</cp:coreProperties>
</file>