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EE88C" w14:textId="0C3707E0" w:rsidR="00867569" w:rsidRPr="00AE6D5B" w:rsidRDefault="00717ED5" w:rsidP="00AE6D5B">
      <w:pPr>
        <w:pStyle w:val="Datum"/>
      </w:pPr>
      <w:r>
        <w:t>2</w:t>
      </w:r>
      <w:r w:rsidR="001942ED">
        <w:t>1</w:t>
      </w:r>
      <w:r w:rsidR="00CC5069">
        <w:t>.</w:t>
      </w:r>
      <w:r w:rsidR="005D704F">
        <w:t xml:space="preserve"> </w:t>
      </w:r>
      <w:r w:rsidR="001942ED">
        <w:t>října</w:t>
      </w:r>
      <w:r w:rsidR="00BB3C4C">
        <w:t xml:space="preserve"> 202</w:t>
      </w:r>
      <w:r w:rsidR="00AD5577">
        <w:t>2</w:t>
      </w:r>
    </w:p>
    <w:p w14:paraId="56EC0A31" w14:textId="0B3EB528" w:rsidR="00867569" w:rsidRPr="00AE6D5B" w:rsidRDefault="001942ED" w:rsidP="00CC5069">
      <w:pPr>
        <w:pStyle w:val="Nzev"/>
      </w:pPr>
      <w:r>
        <w:t>Podnikové investice výrazně rostly</w:t>
      </w:r>
    </w:p>
    <w:p w14:paraId="4530D7B3" w14:textId="3EDDE38B" w:rsidR="001745E7" w:rsidRPr="0044761A" w:rsidRDefault="0044761A" w:rsidP="00F37BF4">
      <w:pPr>
        <w:pStyle w:val="Perex"/>
      </w:pPr>
      <w:r>
        <w:t>V</w:t>
      </w:r>
      <w:r w:rsidR="00044511">
        <w:t>e 2</w:t>
      </w:r>
      <w:r>
        <w:t>. čtvrtletí</w:t>
      </w:r>
      <w:r w:rsidR="00607544">
        <w:t xml:space="preserve"> 202</w:t>
      </w:r>
      <w:r w:rsidR="00571F04">
        <w:t>2</w:t>
      </w:r>
      <w:r>
        <w:t xml:space="preserve"> </w:t>
      </w:r>
      <w:r w:rsidR="00044511">
        <w:t xml:space="preserve">dál reálně rostla hrubá přidaná hodnota nefinančních podniků a také jejich investiční aktivita. </w:t>
      </w:r>
      <w:r w:rsidR="00E46777">
        <w:t>Domácnost</w:t>
      </w:r>
      <w:r w:rsidR="007E7779">
        <w:t>i ovlivňoval</w:t>
      </w:r>
      <w:r w:rsidR="00044511">
        <w:t xml:space="preserve"> prudký reálný pokles </w:t>
      </w:r>
      <w:r w:rsidR="007E7779">
        <w:t xml:space="preserve">jejich </w:t>
      </w:r>
      <w:r w:rsidR="00044511">
        <w:t>příjmů</w:t>
      </w:r>
      <w:r w:rsidR="005A0EB4">
        <w:t xml:space="preserve">, </w:t>
      </w:r>
      <w:r w:rsidR="003D4032">
        <w:t>s</w:t>
      </w:r>
      <w:r w:rsidR="007E7779">
        <w:t xml:space="preserve">potřeba reálně stagnovala. </w:t>
      </w:r>
      <w:r w:rsidR="00044511">
        <w:t>Po více než dvou letech dosáhlo hospodaření vládních institucí přebytku</w:t>
      </w:r>
      <w:r w:rsidR="00E46777">
        <w:t>.</w:t>
      </w:r>
    </w:p>
    <w:p w14:paraId="4BC994FE" w14:textId="5DBBC3B2" w:rsidR="0054001C" w:rsidRDefault="00717ED5" w:rsidP="0067797E">
      <w:pPr>
        <w:spacing w:after="240"/>
        <w:rPr>
          <w:rFonts w:cs="Arial"/>
          <w:szCs w:val="18"/>
        </w:rPr>
      </w:pPr>
      <w:r w:rsidRPr="00717ED5">
        <w:rPr>
          <w:rFonts w:cs="Arial"/>
          <w:szCs w:val="18"/>
        </w:rPr>
        <w:t>Hrubá přidaná hodnota nefinančních podniků</w:t>
      </w:r>
      <w:r w:rsidR="00105439">
        <w:rPr>
          <w:rFonts w:cs="Arial"/>
          <w:szCs w:val="18"/>
        </w:rPr>
        <w:t xml:space="preserve"> </w:t>
      </w:r>
      <w:r w:rsidR="00284CF7">
        <w:rPr>
          <w:rFonts w:cs="Arial"/>
          <w:szCs w:val="18"/>
        </w:rPr>
        <w:t xml:space="preserve">se </w:t>
      </w:r>
      <w:r w:rsidR="00473FFC">
        <w:rPr>
          <w:rFonts w:cs="Arial"/>
          <w:szCs w:val="18"/>
        </w:rPr>
        <w:t>v</w:t>
      </w:r>
      <w:r w:rsidR="00284CF7">
        <w:rPr>
          <w:rFonts w:cs="Arial"/>
          <w:szCs w:val="18"/>
        </w:rPr>
        <w:t>e</w:t>
      </w:r>
      <w:r w:rsidR="00473FFC">
        <w:rPr>
          <w:rFonts w:cs="Arial"/>
          <w:szCs w:val="18"/>
        </w:rPr>
        <w:t xml:space="preserve"> </w:t>
      </w:r>
      <w:r w:rsidR="00284CF7">
        <w:rPr>
          <w:rFonts w:cs="Arial"/>
          <w:szCs w:val="18"/>
        </w:rPr>
        <w:t>2</w:t>
      </w:r>
      <w:r w:rsidR="00473FFC">
        <w:rPr>
          <w:rFonts w:cs="Arial"/>
          <w:szCs w:val="18"/>
        </w:rPr>
        <w:t>. čtvrtletí 202</w:t>
      </w:r>
      <w:r w:rsidR="00697492">
        <w:rPr>
          <w:rFonts w:cs="Arial"/>
          <w:szCs w:val="18"/>
        </w:rPr>
        <w:t>2</w:t>
      </w:r>
      <w:r w:rsidR="00473FFC">
        <w:rPr>
          <w:rFonts w:cs="Arial"/>
          <w:szCs w:val="18"/>
        </w:rPr>
        <w:t xml:space="preserve"> </w:t>
      </w:r>
      <w:r w:rsidR="0071303E">
        <w:rPr>
          <w:rFonts w:cs="Arial"/>
          <w:szCs w:val="18"/>
        </w:rPr>
        <w:t xml:space="preserve">meziročně </w:t>
      </w:r>
      <w:r w:rsidR="00284CF7">
        <w:rPr>
          <w:rFonts w:cs="Arial"/>
          <w:szCs w:val="18"/>
        </w:rPr>
        <w:t>zvýšila</w:t>
      </w:r>
      <w:r w:rsidR="00697492">
        <w:rPr>
          <w:rFonts w:cs="Arial"/>
          <w:szCs w:val="18"/>
        </w:rPr>
        <w:t xml:space="preserve"> o 76,5</w:t>
      </w:r>
      <w:r w:rsidR="00473FFC">
        <w:rPr>
          <w:rFonts w:cs="Arial"/>
          <w:szCs w:val="18"/>
        </w:rPr>
        <w:t> </w:t>
      </w:r>
      <w:r w:rsidR="0071303E">
        <w:rPr>
          <w:rFonts w:cs="Arial"/>
          <w:szCs w:val="18"/>
        </w:rPr>
        <w:t>mld. korun</w:t>
      </w:r>
      <w:r w:rsidR="00697492">
        <w:rPr>
          <w:rFonts w:cs="Arial"/>
          <w:szCs w:val="18"/>
        </w:rPr>
        <w:t xml:space="preserve"> a</w:t>
      </w:r>
      <w:r w:rsidR="0071303E">
        <w:rPr>
          <w:rFonts w:cs="Arial"/>
          <w:szCs w:val="18"/>
        </w:rPr>
        <w:t xml:space="preserve"> </w:t>
      </w:r>
      <w:r w:rsidR="00697492">
        <w:rPr>
          <w:rFonts w:cs="Arial"/>
          <w:szCs w:val="18"/>
        </w:rPr>
        <w:t xml:space="preserve">reálně se zvýšila o </w:t>
      </w:r>
      <w:r w:rsidR="00284CF7">
        <w:rPr>
          <w:rFonts w:cs="Arial"/>
          <w:szCs w:val="18"/>
        </w:rPr>
        <w:t>3,6</w:t>
      </w:r>
      <w:r w:rsidR="00697492">
        <w:rPr>
          <w:rFonts w:cs="Arial"/>
          <w:szCs w:val="18"/>
        </w:rPr>
        <w:t xml:space="preserve"> %. </w:t>
      </w:r>
      <w:r w:rsidR="00284CF7">
        <w:rPr>
          <w:rFonts w:cs="Arial"/>
          <w:szCs w:val="18"/>
        </w:rPr>
        <w:t>Také v</w:t>
      </w:r>
      <w:r w:rsidR="00473FFC">
        <w:rPr>
          <w:rFonts w:cs="Arial"/>
          <w:szCs w:val="18"/>
        </w:rPr>
        <w:t xml:space="preserve">e srovnání s </w:t>
      </w:r>
      <w:r w:rsidR="00284CF7">
        <w:rPr>
          <w:rFonts w:cs="Arial"/>
          <w:szCs w:val="18"/>
        </w:rPr>
        <w:t>1</w:t>
      </w:r>
      <w:r w:rsidR="00697492">
        <w:rPr>
          <w:rFonts w:cs="Arial"/>
          <w:szCs w:val="18"/>
        </w:rPr>
        <w:t xml:space="preserve">. kvartálem byla </w:t>
      </w:r>
      <w:r w:rsidR="00284CF7">
        <w:rPr>
          <w:rFonts w:cs="Arial"/>
          <w:szCs w:val="18"/>
        </w:rPr>
        <w:t xml:space="preserve">HPH </w:t>
      </w:r>
      <w:r w:rsidR="00697492">
        <w:rPr>
          <w:rFonts w:cs="Arial"/>
          <w:szCs w:val="18"/>
        </w:rPr>
        <w:t>vyšší o</w:t>
      </w:r>
      <w:r w:rsidR="00284CF7">
        <w:rPr>
          <w:rFonts w:cs="Arial"/>
          <w:szCs w:val="18"/>
        </w:rPr>
        <w:t xml:space="preserve"> 37,3</w:t>
      </w:r>
      <w:r w:rsidR="00697492">
        <w:rPr>
          <w:rFonts w:cs="Arial"/>
          <w:szCs w:val="18"/>
        </w:rPr>
        <w:t xml:space="preserve"> </w:t>
      </w:r>
      <w:r w:rsidR="00473FFC">
        <w:rPr>
          <w:rFonts w:cs="Arial"/>
          <w:szCs w:val="18"/>
        </w:rPr>
        <w:t>mld.</w:t>
      </w:r>
      <w:r w:rsidR="00697492">
        <w:rPr>
          <w:rFonts w:cs="Arial"/>
          <w:szCs w:val="18"/>
        </w:rPr>
        <w:t xml:space="preserve"> korun</w:t>
      </w:r>
      <w:r w:rsidR="00284CF7">
        <w:rPr>
          <w:rFonts w:cs="Arial"/>
          <w:szCs w:val="18"/>
        </w:rPr>
        <w:t>, což představovalo reálný přírůstek ve výši 2,1 %</w:t>
      </w:r>
      <w:r w:rsidR="00697492">
        <w:rPr>
          <w:rFonts w:cs="Arial"/>
          <w:szCs w:val="18"/>
        </w:rPr>
        <w:t>.</w:t>
      </w:r>
      <w:r w:rsidR="00473FFC">
        <w:rPr>
          <w:rFonts w:cs="Arial"/>
          <w:szCs w:val="18"/>
        </w:rPr>
        <w:t xml:space="preserve"> </w:t>
      </w:r>
      <w:r w:rsidR="00284CF7">
        <w:rPr>
          <w:rFonts w:cs="Arial"/>
          <w:szCs w:val="18"/>
        </w:rPr>
        <w:t xml:space="preserve">Ziskovost nefinančních podniků se mezičtvrtletně neměnila. Investice nefinančních podniků byly meziročně výrazně vyšší a posilovaly i ve srovnání s 1. čtvrtletím. </w:t>
      </w:r>
      <w:r w:rsidR="005514FC" w:rsidRPr="0067797E">
        <w:rPr>
          <w:rFonts w:cs="Arial"/>
          <w:i/>
          <w:szCs w:val="18"/>
        </w:rPr>
        <w:t>„</w:t>
      </w:r>
      <w:r w:rsidR="0067797E" w:rsidRPr="0067797E">
        <w:rPr>
          <w:rFonts w:cs="Arial"/>
          <w:i/>
          <w:szCs w:val="18"/>
        </w:rPr>
        <w:t xml:space="preserve">Vývoj investiční aktivity podniků navázal na předchozí oživení. Meziroční navýšení investic podniků o více než 40 miliard korun bylo zčásti ovlivněno růstem cenové hladiny, ale </w:t>
      </w:r>
      <w:r w:rsidR="0067797E">
        <w:rPr>
          <w:rFonts w:cs="Arial"/>
          <w:i/>
          <w:szCs w:val="18"/>
        </w:rPr>
        <w:t xml:space="preserve">jejich </w:t>
      </w:r>
      <w:r w:rsidR="0067797E" w:rsidRPr="0067797E">
        <w:rPr>
          <w:rFonts w:cs="Arial"/>
          <w:i/>
          <w:szCs w:val="18"/>
        </w:rPr>
        <w:t xml:space="preserve">míra investic se zvýšila a </w:t>
      </w:r>
      <w:r w:rsidR="00284CF7" w:rsidRPr="0067797E">
        <w:rPr>
          <w:rFonts w:cs="Arial"/>
          <w:i/>
          <w:szCs w:val="18"/>
        </w:rPr>
        <w:t xml:space="preserve">dostala </w:t>
      </w:r>
      <w:r w:rsidR="0067797E" w:rsidRPr="0067797E">
        <w:rPr>
          <w:rFonts w:cs="Arial"/>
          <w:i/>
          <w:szCs w:val="18"/>
        </w:rPr>
        <w:t xml:space="preserve">se </w:t>
      </w:r>
      <w:r w:rsidR="00284CF7" w:rsidRPr="0067797E">
        <w:rPr>
          <w:rFonts w:cs="Arial"/>
          <w:i/>
          <w:szCs w:val="18"/>
        </w:rPr>
        <w:t xml:space="preserve">na úroveň, kterou </w:t>
      </w:r>
      <w:r w:rsidR="005514FC" w:rsidRPr="0067797E">
        <w:rPr>
          <w:rFonts w:cs="Arial"/>
          <w:i/>
          <w:szCs w:val="18"/>
        </w:rPr>
        <w:t>měla před rokem 2020</w:t>
      </w:r>
      <w:r w:rsidR="0067797E" w:rsidRPr="0067797E">
        <w:rPr>
          <w:rFonts w:cs="Arial"/>
          <w:i/>
          <w:szCs w:val="18"/>
        </w:rPr>
        <w:t>,“</w:t>
      </w:r>
      <w:r w:rsidR="0067797E">
        <w:rPr>
          <w:rFonts w:cs="Arial"/>
          <w:szCs w:val="18"/>
        </w:rPr>
        <w:t xml:space="preserve"> </w:t>
      </w:r>
      <w:r w:rsidR="0026051B">
        <w:rPr>
          <w:rFonts w:cs="Arial"/>
          <w:szCs w:val="18"/>
        </w:rPr>
        <w:t>upřesňuje Karolína Zábojníková, analytička Českého statistického úřadu.</w:t>
      </w:r>
      <w:r w:rsidR="0054001C">
        <w:rPr>
          <w:rFonts w:cs="Arial"/>
          <w:szCs w:val="18"/>
        </w:rPr>
        <w:t xml:space="preserve"> </w:t>
      </w:r>
      <w:r w:rsidR="0067797E">
        <w:rPr>
          <w:rFonts w:cs="Arial"/>
          <w:szCs w:val="18"/>
        </w:rPr>
        <w:t xml:space="preserve">Míra </w:t>
      </w:r>
      <w:r w:rsidR="0026051B">
        <w:rPr>
          <w:rFonts w:cs="Arial"/>
          <w:szCs w:val="18"/>
        </w:rPr>
        <w:t>investic</w:t>
      </w:r>
      <w:r w:rsidR="0067797E">
        <w:rPr>
          <w:rFonts w:cs="Arial"/>
          <w:szCs w:val="18"/>
        </w:rPr>
        <w:t xml:space="preserve"> </w:t>
      </w:r>
      <w:r w:rsidR="007E7779">
        <w:rPr>
          <w:rFonts w:cs="Arial"/>
          <w:szCs w:val="18"/>
        </w:rPr>
        <w:t xml:space="preserve">nefinančních podniků </w:t>
      </w:r>
      <w:r w:rsidR="0067797E">
        <w:rPr>
          <w:rFonts w:cs="Arial"/>
          <w:szCs w:val="18"/>
        </w:rPr>
        <w:t>dosáhla</w:t>
      </w:r>
      <w:r w:rsidR="007022E4">
        <w:rPr>
          <w:rFonts w:cs="Arial"/>
          <w:szCs w:val="18"/>
        </w:rPr>
        <w:t xml:space="preserve"> 29,8</w:t>
      </w:r>
      <w:bookmarkStart w:id="0" w:name="_GoBack"/>
      <w:bookmarkEnd w:id="0"/>
      <w:r w:rsidR="0026051B">
        <w:rPr>
          <w:rFonts w:cs="Arial"/>
          <w:szCs w:val="18"/>
        </w:rPr>
        <w:t xml:space="preserve"> %.</w:t>
      </w:r>
    </w:p>
    <w:p w14:paraId="67B3168F" w14:textId="12DF2C74" w:rsidR="00105439" w:rsidRPr="00B12744" w:rsidRDefault="006A2217" w:rsidP="00717ED5">
      <w:pPr>
        <w:rPr>
          <w:rFonts w:cs="Arial"/>
          <w:i/>
          <w:szCs w:val="18"/>
        </w:rPr>
      </w:pPr>
      <w:r>
        <w:rPr>
          <w:rFonts w:cs="Arial"/>
          <w:szCs w:val="18"/>
        </w:rPr>
        <w:t xml:space="preserve">Ačkoli </w:t>
      </w:r>
      <w:r w:rsidR="001A110A">
        <w:rPr>
          <w:rFonts w:cs="Arial"/>
          <w:szCs w:val="18"/>
        </w:rPr>
        <w:t>p</w:t>
      </w:r>
      <w:r w:rsidR="00AE52AC">
        <w:rPr>
          <w:rFonts w:cs="Arial"/>
          <w:szCs w:val="18"/>
        </w:rPr>
        <w:t xml:space="preserve">říjmy domácností </w:t>
      </w:r>
      <w:r w:rsidR="001A110A">
        <w:rPr>
          <w:rFonts w:cs="Arial"/>
          <w:szCs w:val="18"/>
        </w:rPr>
        <w:t>meziročně</w:t>
      </w:r>
      <w:r>
        <w:rPr>
          <w:rFonts w:cs="Arial"/>
          <w:szCs w:val="18"/>
        </w:rPr>
        <w:t xml:space="preserve"> vzrostly </w:t>
      </w:r>
      <w:r w:rsidR="00AE52AC">
        <w:rPr>
          <w:rFonts w:cs="Arial"/>
          <w:szCs w:val="18"/>
        </w:rPr>
        <w:t xml:space="preserve">o </w:t>
      </w:r>
      <w:r>
        <w:rPr>
          <w:rFonts w:cs="Arial"/>
          <w:szCs w:val="18"/>
        </w:rPr>
        <w:t>73,3</w:t>
      </w:r>
      <w:r w:rsidR="00AE52AC">
        <w:rPr>
          <w:rFonts w:cs="Arial"/>
          <w:szCs w:val="18"/>
        </w:rPr>
        <w:t xml:space="preserve"> mld. korun</w:t>
      </w:r>
      <w:r>
        <w:rPr>
          <w:rFonts w:cs="Arial"/>
          <w:szCs w:val="18"/>
        </w:rPr>
        <w:t>, pokračující p</w:t>
      </w:r>
      <w:r w:rsidR="00C82D3A">
        <w:rPr>
          <w:rFonts w:cs="Arial"/>
          <w:szCs w:val="18"/>
        </w:rPr>
        <w:t xml:space="preserve">rudký růst cenové hladiny </w:t>
      </w:r>
      <w:r>
        <w:rPr>
          <w:rFonts w:cs="Arial"/>
          <w:szCs w:val="18"/>
        </w:rPr>
        <w:t>způsobil</w:t>
      </w:r>
      <w:r w:rsidR="00166B9A">
        <w:rPr>
          <w:rFonts w:cs="Arial"/>
          <w:szCs w:val="18"/>
        </w:rPr>
        <w:t xml:space="preserve"> jejich reálný propad</w:t>
      </w:r>
      <w:r>
        <w:rPr>
          <w:rFonts w:cs="Arial"/>
          <w:szCs w:val="18"/>
        </w:rPr>
        <w:t xml:space="preserve"> o 6,4 %.</w:t>
      </w:r>
      <w:r w:rsidR="001A110A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Také spotřeba byla ovlivněna </w:t>
      </w:r>
      <w:r w:rsidR="00042968">
        <w:rPr>
          <w:rFonts w:cs="Arial"/>
          <w:szCs w:val="18"/>
        </w:rPr>
        <w:t xml:space="preserve">reálným poklesem příjmů domácností a obavami o další vývoj. Reálně tak spotřeba meziročně i mezičtvrtletně stagnovala. Hrubé </w:t>
      </w:r>
      <w:r w:rsidR="009C54AB">
        <w:rPr>
          <w:rFonts w:cs="Arial"/>
          <w:szCs w:val="18"/>
        </w:rPr>
        <w:t>úspory</w:t>
      </w:r>
      <w:r w:rsidR="00042968">
        <w:rPr>
          <w:rFonts w:cs="Arial"/>
          <w:szCs w:val="18"/>
        </w:rPr>
        <w:t xml:space="preserve"> domácností </w:t>
      </w:r>
      <w:r w:rsidR="007E7779">
        <w:rPr>
          <w:rFonts w:cs="Arial"/>
          <w:szCs w:val="18"/>
        </w:rPr>
        <w:t xml:space="preserve">se </w:t>
      </w:r>
      <w:r w:rsidR="00042968">
        <w:rPr>
          <w:rFonts w:cs="Arial"/>
          <w:szCs w:val="18"/>
        </w:rPr>
        <w:t xml:space="preserve">opět </w:t>
      </w:r>
      <w:r w:rsidR="007E7779">
        <w:rPr>
          <w:rFonts w:cs="Arial"/>
          <w:szCs w:val="18"/>
        </w:rPr>
        <w:t>snížily</w:t>
      </w:r>
      <w:r w:rsidR="00042968">
        <w:rPr>
          <w:rFonts w:cs="Arial"/>
          <w:szCs w:val="18"/>
        </w:rPr>
        <w:t xml:space="preserve"> a dostaly se na úroveň, kterou měly před rokem 2020. </w:t>
      </w:r>
      <w:r w:rsidR="009C54AB">
        <w:rPr>
          <w:rFonts w:cs="Arial"/>
          <w:szCs w:val="18"/>
        </w:rPr>
        <w:t>Investi</w:t>
      </w:r>
      <w:r w:rsidR="00042968">
        <w:rPr>
          <w:rFonts w:cs="Arial"/>
          <w:szCs w:val="18"/>
        </w:rPr>
        <w:t>ce d</w:t>
      </w:r>
      <w:r w:rsidR="009C54AB">
        <w:rPr>
          <w:rFonts w:cs="Arial"/>
          <w:szCs w:val="18"/>
        </w:rPr>
        <w:t xml:space="preserve">omácností </w:t>
      </w:r>
      <w:r w:rsidR="00C66C1B">
        <w:rPr>
          <w:rFonts w:cs="Arial"/>
          <w:szCs w:val="18"/>
        </w:rPr>
        <w:t xml:space="preserve">silně </w:t>
      </w:r>
      <w:r w:rsidR="00042968">
        <w:rPr>
          <w:rFonts w:cs="Arial"/>
          <w:szCs w:val="18"/>
        </w:rPr>
        <w:t>rostly a míra investic se zvýšila na 10,2 %, což bylo nejvíce od 1. čtv</w:t>
      </w:r>
      <w:r w:rsidR="00C66C1B">
        <w:rPr>
          <w:rFonts w:cs="Arial"/>
          <w:szCs w:val="18"/>
        </w:rPr>
        <w:t>r</w:t>
      </w:r>
      <w:r w:rsidR="00042968">
        <w:rPr>
          <w:rFonts w:cs="Arial"/>
          <w:szCs w:val="18"/>
        </w:rPr>
        <w:t>tletí 2011.</w:t>
      </w:r>
    </w:p>
    <w:p w14:paraId="5788BF68" w14:textId="77777777" w:rsidR="00105439" w:rsidRDefault="00105439" w:rsidP="00717ED5">
      <w:pPr>
        <w:rPr>
          <w:rFonts w:cs="Arial"/>
          <w:szCs w:val="18"/>
        </w:rPr>
      </w:pPr>
    </w:p>
    <w:p w14:paraId="128FA39E" w14:textId="67787512" w:rsidR="00B91138" w:rsidRDefault="00D70662" w:rsidP="00717ED5">
      <w:pPr>
        <w:rPr>
          <w:rFonts w:cs="Arial"/>
          <w:szCs w:val="18"/>
        </w:rPr>
      </w:pPr>
      <w:r>
        <w:rPr>
          <w:rFonts w:cs="Arial"/>
          <w:szCs w:val="18"/>
        </w:rPr>
        <w:t>V</w:t>
      </w:r>
      <w:r w:rsidR="00607544">
        <w:rPr>
          <w:rFonts w:cs="Arial"/>
          <w:szCs w:val="18"/>
        </w:rPr>
        <w:t>ládní instituc</w:t>
      </w:r>
      <w:r>
        <w:rPr>
          <w:rFonts w:cs="Arial"/>
          <w:szCs w:val="18"/>
        </w:rPr>
        <w:t>e</w:t>
      </w:r>
      <w:r w:rsidR="004F669E">
        <w:rPr>
          <w:rFonts w:cs="Arial"/>
          <w:szCs w:val="18"/>
        </w:rPr>
        <w:t xml:space="preserve"> v</w:t>
      </w:r>
      <w:r>
        <w:rPr>
          <w:rFonts w:cs="Arial"/>
          <w:szCs w:val="18"/>
        </w:rPr>
        <w:t>e</w:t>
      </w:r>
      <w:r w:rsidR="004F669E">
        <w:rPr>
          <w:rFonts w:cs="Arial"/>
          <w:szCs w:val="18"/>
        </w:rPr>
        <w:t> </w:t>
      </w:r>
      <w:r>
        <w:rPr>
          <w:rFonts w:cs="Arial"/>
          <w:szCs w:val="18"/>
        </w:rPr>
        <w:t>2</w:t>
      </w:r>
      <w:r w:rsidR="004F669E">
        <w:rPr>
          <w:rFonts w:cs="Arial"/>
          <w:szCs w:val="18"/>
        </w:rPr>
        <w:t>. čtvrtletí</w:t>
      </w:r>
      <w:r>
        <w:rPr>
          <w:rFonts w:cs="Arial"/>
          <w:szCs w:val="18"/>
        </w:rPr>
        <w:t xml:space="preserve"> hospodařily s přebytkem 0,5 mld. korun. Za zlepšením salda o 40,8 mld. korun stál především výrazný nárůst příjmů, zejména přijatých daní a sociálních příspěvků. Posílil ale také růst výdajů v</w:t>
      </w:r>
      <w:r w:rsidR="006211BC">
        <w:rPr>
          <w:rFonts w:cs="Arial"/>
          <w:szCs w:val="18"/>
        </w:rPr>
        <w:t>ládních institucí</w:t>
      </w:r>
      <w:r>
        <w:rPr>
          <w:rFonts w:cs="Arial"/>
          <w:szCs w:val="18"/>
        </w:rPr>
        <w:t>, především sociálních dávek a naturálních sociálních transferů.</w:t>
      </w:r>
      <w:r w:rsidR="004F669E">
        <w:rPr>
          <w:rFonts w:cs="Arial"/>
          <w:szCs w:val="18"/>
        </w:rPr>
        <w:t xml:space="preserve"> </w:t>
      </w:r>
      <w:r w:rsidR="00607544">
        <w:rPr>
          <w:rFonts w:cs="Arial"/>
          <w:szCs w:val="18"/>
        </w:rPr>
        <w:t>Dl</w:t>
      </w:r>
      <w:r w:rsidR="005330F5">
        <w:rPr>
          <w:rFonts w:cs="Arial"/>
          <w:szCs w:val="18"/>
        </w:rPr>
        <w:t>uh</w:t>
      </w:r>
      <w:r w:rsidR="00A02B9A">
        <w:rPr>
          <w:rFonts w:cs="Arial"/>
          <w:szCs w:val="18"/>
        </w:rPr>
        <w:t xml:space="preserve"> vládních institucí</w:t>
      </w:r>
      <w:r w:rsidR="005330F5">
        <w:rPr>
          <w:rFonts w:cs="Arial"/>
          <w:szCs w:val="18"/>
        </w:rPr>
        <w:t xml:space="preserve"> dosáhl </w:t>
      </w:r>
      <w:r w:rsidR="001669F5">
        <w:rPr>
          <w:rFonts w:cs="Arial"/>
          <w:szCs w:val="18"/>
        </w:rPr>
        <w:t>2</w:t>
      </w:r>
      <w:r>
        <w:rPr>
          <w:rFonts w:cs="Arial"/>
          <w:szCs w:val="18"/>
        </w:rPr>
        <w:t> 827,7</w:t>
      </w:r>
      <w:r w:rsidR="005330F5">
        <w:rPr>
          <w:rFonts w:cs="Arial"/>
          <w:szCs w:val="18"/>
        </w:rPr>
        <w:t xml:space="preserve"> </w:t>
      </w:r>
      <w:r w:rsidR="001669F5">
        <w:rPr>
          <w:rFonts w:cs="Arial"/>
          <w:szCs w:val="18"/>
        </w:rPr>
        <w:t>mld</w:t>
      </w:r>
      <w:r w:rsidR="00717ED5" w:rsidRPr="00717ED5">
        <w:rPr>
          <w:rFonts w:cs="Arial"/>
          <w:szCs w:val="18"/>
        </w:rPr>
        <w:t>.</w:t>
      </w:r>
      <w:r w:rsidR="005330F5">
        <w:rPr>
          <w:rFonts w:cs="Arial"/>
          <w:szCs w:val="18"/>
        </w:rPr>
        <w:t xml:space="preserve"> korun</w:t>
      </w:r>
      <w:r w:rsidR="00AA0AF9">
        <w:rPr>
          <w:rFonts w:cs="Arial"/>
          <w:szCs w:val="18"/>
        </w:rPr>
        <w:t xml:space="preserve"> a byl meziročně vyšší o </w:t>
      </w:r>
      <w:r>
        <w:rPr>
          <w:rFonts w:cs="Arial"/>
          <w:szCs w:val="18"/>
        </w:rPr>
        <w:t>310,2</w:t>
      </w:r>
      <w:r w:rsidR="004F669E">
        <w:rPr>
          <w:rFonts w:cs="Arial"/>
          <w:szCs w:val="18"/>
        </w:rPr>
        <w:t xml:space="preserve"> ml</w:t>
      </w:r>
      <w:r w:rsidR="00042F31">
        <w:rPr>
          <w:rFonts w:cs="Arial"/>
          <w:szCs w:val="18"/>
        </w:rPr>
        <w:t>d</w:t>
      </w:r>
      <w:r w:rsidR="005330F5">
        <w:rPr>
          <w:rFonts w:cs="Arial"/>
          <w:szCs w:val="18"/>
        </w:rPr>
        <w:t>.</w:t>
      </w:r>
    </w:p>
    <w:p w14:paraId="01AC0987" w14:textId="77777777" w:rsidR="00B91138" w:rsidRDefault="00B91138" w:rsidP="00717ED5">
      <w:pPr>
        <w:rPr>
          <w:rFonts w:cs="Arial"/>
          <w:szCs w:val="18"/>
        </w:rPr>
      </w:pPr>
    </w:p>
    <w:p w14:paraId="6DC13022" w14:textId="5A4550A0" w:rsidR="00B91138" w:rsidRDefault="00B91138" w:rsidP="00B91138">
      <w:r>
        <w:t xml:space="preserve">Další detaily přináší aktuální </w:t>
      </w:r>
      <w:hyperlink r:id="rId7" w:history="1">
        <w:r w:rsidRPr="00C300E4">
          <w:rPr>
            <w:rStyle w:val="Hypertextovodkaz"/>
            <w:i/>
          </w:rPr>
          <w:t>Analýza sektorových účtů</w:t>
        </w:r>
      </w:hyperlink>
      <w:r>
        <w:t>.</w:t>
      </w:r>
    </w:p>
    <w:p w14:paraId="5C6A2EE1" w14:textId="551E81C4" w:rsidR="005D704F" w:rsidRDefault="005D704F" w:rsidP="00717ED5">
      <w:pPr>
        <w:rPr>
          <w:rFonts w:cs="Arial"/>
          <w:szCs w:val="18"/>
        </w:rPr>
      </w:pPr>
    </w:p>
    <w:p w14:paraId="74CE9993" w14:textId="77777777" w:rsidR="005D704F" w:rsidRDefault="005D704F" w:rsidP="005D704F">
      <w:pPr>
        <w:spacing w:line="240" w:lineRule="auto"/>
        <w:rPr>
          <w:rFonts w:cs="Arial"/>
          <w:szCs w:val="18"/>
        </w:rPr>
      </w:pPr>
    </w:p>
    <w:p w14:paraId="4F89A053" w14:textId="77777777" w:rsidR="00FE7928" w:rsidRDefault="00FE7928" w:rsidP="00FE7928">
      <w:pPr>
        <w:rPr>
          <w:b/>
        </w:rPr>
      </w:pPr>
      <w:r>
        <w:rPr>
          <w:b/>
        </w:rPr>
        <w:t>Kontakt:</w:t>
      </w:r>
    </w:p>
    <w:p w14:paraId="6DD87A9F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24E52A3D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06921F09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2EBD4A94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FE7928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B8E1E" w14:textId="77777777" w:rsidR="000D71FA" w:rsidRDefault="000D71FA" w:rsidP="00BA6370">
      <w:r>
        <w:separator/>
      </w:r>
    </w:p>
  </w:endnote>
  <w:endnote w:type="continuationSeparator" w:id="0">
    <w:p w14:paraId="1D33AC09" w14:textId="77777777" w:rsidR="000D71FA" w:rsidRDefault="000D71FA" w:rsidP="00BA6370">
      <w:r>
        <w:continuationSeparator/>
      </w:r>
    </w:p>
  </w:endnote>
  <w:endnote w:type="continuationNotice" w:id="1">
    <w:p w14:paraId="6FA7B5E1" w14:textId="77777777" w:rsidR="000D71FA" w:rsidRDefault="000D71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EFDF8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AA9B12" wp14:editId="1E0BC294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39961" w14:textId="77777777" w:rsidR="00D018F0" w:rsidRPr="000842D2" w:rsidRDefault="0039723A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14:paraId="0FEFF8C1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426C7C7" w14:textId="4941444E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7022E4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A9B1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49139961" w14:textId="77777777" w:rsidR="00D018F0" w:rsidRPr="000842D2" w:rsidRDefault="0039723A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14:paraId="0FEFF8C1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426C7C7" w14:textId="4941444E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7022E4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43474B8" wp14:editId="2B6E7F3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D2427" w14:textId="77777777" w:rsidR="000D71FA" w:rsidRDefault="000D71FA" w:rsidP="00BA6370">
      <w:r>
        <w:separator/>
      </w:r>
    </w:p>
  </w:footnote>
  <w:footnote w:type="continuationSeparator" w:id="0">
    <w:p w14:paraId="1BB80317" w14:textId="77777777" w:rsidR="000D71FA" w:rsidRDefault="000D71FA" w:rsidP="00BA6370">
      <w:r>
        <w:continuationSeparator/>
      </w:r>
    </w:p>
  </w:footnote>
  <w:footnote w:type="continuationNotice" w:id="1">
    <w:p w14:paraId="31AF383D" w14:textId="77777777" w:rsidR="000D71FA" w:rsidRDefault="000D71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6A7DF" w14:textId="77777777"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8E58C58" wp14:editId="4945ED3A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05256"/>
    <w:rsid w:val="00014485"/>
    <w:rsid w:val="00016115"/>
    <w:rsid w:val="00030703"/>
    <w:rsid w:val="0003763A"/>
    <w:rsid w:val="00037927"/>
    <w:rsid w:val="00042968"/>
    <w:rsid w:val="00042F31"/>
    <w:rsid w:val="000433CA"/>
    <w:rsid w:val="00043BF4"/>
    <w:rsid w:val="00044153"/>
    <w:rsid w:val="00044511"/>
    <w:rsid w:val="00053837"/>
    <w:rsid w:val="00056C04"/>
    <w:rsid w:val="000728BA"/>
    <w:rsid w:val="00082C58"/>
    <w:rsid w:val="000842D2"/>
    <w:rsid w:val="000843A5"/>
    <w:rsid w:val="000A3624"/>
    <w:rsid w:val="000B5CA4"/>
    <w:rsid w:val="000B6F63"/>
    <w:rsid w:val="000C1AAC"/>
    <w:rsid w:val="000C435D"/>
    <w:rsid w:val="000D71FA"/>
    <w:rsid w:val="000E119A"/>
    <w:rsid w:val="000E3422"/>
    <w:rsid w:val="000E74E0"/>
    <w:rsid w:val="000F35F5"/>
    <w:rsid w:val="000F7B29"/>
    <w:rsid w:val="00105439"/>
    <w:rsid w:val="00110748"/>
    <w:rsid w:val="00116D24"/>
    <w:rsid w:val="00125C4F"/>
    <w:rsid w:val="001404AB"/>
    <w:rsid w:val="00140E1E"/>
    <w:rsid w:val="00146745"/>
    <w:rsid w:val="001658A9"/>
    <w:rsid w:val="001669F5"/>
    <w:rsid w:val="00166B9A"/>
    <w:rsid w:val="0017054E"/>
    <w:rsid w:val="0017231D"/>
    <w:rsid w:val="0017244E"/>
    <w:rsid w:val="001745E7"/>
    <w:rsid w:val="001776E2"/>
    <w:rsid w:val="001810DC"/>
    <w:rsid w:val="00181A6A"/>
    <w:rsid w:val="00183282"/>
    <w:rsid w:val="001836D3"/>
    <w:rsid w:val="00183C7E"/>
    <w:rsid w:val="00183E9E"/>
    <w:rsid w:val="001942ED"/>
    <w:rsid w:val="00196BE7"/>
    <w:rsid w:val="00197485"/>
    <w:rsid w:val="001A110A"/>
    <w:rsid w:val="001A214A"/>
    <w:rsid w:val="001A59BF"/>
    <w:rsid w:val="001B33F6"/>
    <w:rsid w:val="001B607F"/>
    <w:rsid w:val="001C596C"/>
    <w:rsid w:val="001D369A"/>
    <w:rsid w:val="001E4A0D"/>
    <w:rsid w:val="001F1152"/>
    <w:rsid w:val="00205138"/>
    <w:rsid w:val="002070FB"/>
    <w:rsid w:val="00207910"/>
    <w:rsid w:val="00213729"/>
    <w:rsid w:val="002272A6"/>
    <w:rsid w:val="00234618"/>
    <w:rsid w:val="002406FA"/>
    <w:rsid w:val="00244F60"/>
    <w:rsid w:val="002460EA"/>
    <w:rsid w:val="00251CF9"/>
    <w:rsid w:val="0025675D"/>
    <w:rsid w:val="0026051B"/>
    <w:rsid w:val="002626BF"/>
    <w:rsid w:val="00265596"/>
    <w:rsid w:val="00265D71"/>
    <w:rsid w:val="00270E51"/>
    <w:rsid w:val="0027140A"/>
    <w:rsid w:val="00274FA1"/>
    <w:rsid w:val="00283B88"/>
    <w:rsid w:val="002848DA"/>
    <w:rsid w:val="00284CF7"/>
    <w:rsid w:val="00290A3C"/>
    <w:rsid w:val="00291EB7"/>
    <w:rsid w:val="00292EDC"/>
    <w:rsid w:val="002964A1"/>
    <w:rsid w:val="002A01B9"/>
    <w:rsid w:val="002A6F5C"/>
    <w:rsid w:val="002B1651"/>
    <w:rsid w:val="002B1FE3"/>
    <w:rsid w:val="002B2179"/>
    <w:rsid w:val="002B2E47"/>
    <w:rsid w:val="002C06AD"/>
    <w:rsid w:val="002C1127"/>
    <w:rsid w:val="002C261A"/>
    <w:rsid w:val="002D311E"/>
    <w:rsid w:val="002D6A6C"/>
    <w:rsid w:val="002E443D"/>
    <w:rsid w:val="002F102F"/>
    <w:rsid w:val="00302BDE"/>
    <w:rsid w:val="00305A85"/>
    <w:rsid w:val="003067E2"/>
    <w:rsid w:val="003169B9"/>
    <w:rsid w:val="00322412"/>
    <w:rsid w:val="003264B1"/>
    <w:rsid w:val="003265E9"/>
    <w:rsid w:val="003270C6"/>
    <w:rsid w:val="00327578"/>
    <w:rsid w:val="003301A3"/>
    <w:rsid w:val="0033142E"/>
    <w:rsid w:val="00333DC7"/>
    <w:rsid w:val="00337456"/>
    <w:rsid w:val="0034373F"/>
    <w:rsid w:val="00344C0B"/>
    <w:rsid w:val="0035578A"/>
    <w:rsid w:val="0036446E"/>
    <w:rsid w:val="00366CDF"/>
    <w:rsid w:val="00367165"/>
    <w:rsid w:val="0036777B"/>
    <w:rsid w:val="003677A4"/>
    <w:rsid w:val="003726BD"/>
    <w:rsid w:val="0038282A"/>
    <w:rsid w:val="0038349B"/>
    <w:rsid w:val="00386309"/>
    <w:rsid w:val="00393626"/>
    <w:rsid w:val="00396732"/>
    <w:rsid w:val="0039723A"/>
    <w:rsid w:val="00397580"/>
    <w:rsid w:val="003A1794"/>
    <w:rsid w:val="003A45C8"/>
    <w:rsid w:val="003A6ED5"/>
    <w:rsid w:val="003B0487"/>
    <w:rsid w:val="003B3C66"/>
    <w:rsid w:val="003B42F9"/>
    <w:rsid w:val="003C2DCF"/>
    <w:rsid w:val="003C4044"/>
    <w:rsid w:val="003C7FE7"/>
    <w:rsid w:val="003D02AA"/>
    <w:rsid w:val="003D0499"/>
    <w:rsid w:val="003D09B9"/>
    <w:rsid w:val="003D4032"/>
    <w:rsid w:val="003E0D20"/>
    <w:rsid w:val="003F09E0"/>
    <w:rsid w:val="003F4D79"/>
    <w:rsid w:val="003F526A"/>
    <w:rsid w:val="004023A5"/>
    <w:rsid w:val="00405244"/>
    <w:rsid w:val="00405CEA"/>
    <w:rsid w:val="00407212"/>
    <w:rsid w:val="004128F1"/>
    <w:rsid w:val="00413A9D"/>
    <w:rsid w:val="00414AAB"/>
    <w:rsid w:val="00422778"/>
    <w:rsid w:val="0042764B"/>
    <w:rsid w:val="00430307"/>
    <w:rsid w:val="00433162"/>
    <w:rsid w:val="00434CCE"/>
    <w:rsid w:val="004436EE"/>
    <w:rsid w:val="00446234"/>
    <w:rsid w:val="0044761A"/>
    <w:rsid w:val="0045547F"/>
    <w:rsid w:val="00456F17"/>
    <w:rsid w:val="0047152A"/>
    <w:rsid w:val="00473FFC"/>
    <w:rsid w:val="004800CF"/>
    <w:rsid w:val="004815A5"/>
    <w:rsid w:val="00485CA3"/>
    <w:rsid w:val="004920AD"/>
    <w:rsid w:val="00494AD2"/>
    <w:rsid w:val="004A061A"/>
    <w:rsid w:val="004A0946"/>
    <w:rsid w:val="004A47BC"/>
    <w:rsid w:val="004B0B2F"/>
    <w:rsid w:val="004C48C6"/>
    <w:rsid w:val="004C4AF2"/>
    <w:rsid w:val="004D05B3"/>
    <w:rsid w:val="004E479E"/>
    <w:rsid w:val="004E583B"/>
    <w:rsid w:val="004E770E"/>
    <w:rsid w:val="004F669E"/>
    <w:rsid w:val="004F78E6"/>
    <w:rsid w:val="00503490"/>
    <w:rsid w:val="00512D03"/>
    <w:rsid w:val="00512D99"/>
    <w:rsid w:val="005212AD"/>
    <w:rsid w:val="0052429F"/>
    <w:rsid w:val="00524D35"/>
    <w:rsid w:val="0052753B"/>
    <w:rsid w:val="00531DBB"/>
    <w:rsid w:val="005330F5"/>
    <w:rsid w:val="00533CE2"/>
    <w:rsid w:val="0054001C"/>
    <w:rsid w:val="005432DB"/>
    <w:rsid w:val="00544FE5"/>
    <w:rsid w:val="005514FC"/>
    <w:rsid w:val="005515A2"/>
    <w:rsid w:val="00565B25"/>
    <w:rsid w:val="00571F04"/>
    <w:rsid w:val="0057552B"/>
    <w:rsid w:val="00580128"/>
    <w:rsid w:val="00581910"/>
    <w:rsid w:val="00582FE3"/>
    <w:rsid w:val="00590FAD"/>
    <w:rsid w:val="005A093B"/>
    <w:rsid w:val="005A0EB4"/>
    <w:rsid w:val="005C230B"/>
    <w:rsid w:val="005D45F8"/>
    <w:rsid w:val="005D652C"/>
    <w:rsid w:val="005D704F"/>
    <w:rsid w:val="005D7B81"/>
    <w:rsid w:val="005E0CC7"/>
    <w:rsid w:val="005E21B3"/>
    <w:rsid w:val="005F18B5"/>
    <w:rsid w:val="005F2266"/>
    <w:rsid w:val="005F3FB7"/>
    <w:rsid w:val="005F43BE"/>
    <w:rsid w:val="005F699D"/>
    <w:rsid w:val="005F79FB"/>
    <w:rsid w:val="006002C1"/>
    <w:rsid w:val="00604406"/>
    <w:rsid w:val="00605F4A"/>
    <w:rsid w:val="00607544"/>
    <w:rsid w:val="00607822"/>
    <w:rsid w:val="00607C3E"/>
    <w:rsid w:val="006103AA"/>
    <w:rsid w:val="006113AB"/>
    <w:rsid w:val="00613BBF"/>
    <w:rsid w:val="00613DDC"/>
    <w:rsid w:val="00614994"/>
    <w:rsid w:val="00616122"/>
    <w:rsid w:val="006211BC"/>
    <w:rsid w:val="00622B80"/>
    <w:rsid w:val="00632AF7"/>
    <w:rsid w:val="0064139A"/>
    <w:rsid w:val="006448BA"/>
    <w:rsid w:val="00654CFF"/>
    <w:rsid w:val="00657847"/>
    <w:rsid w:val="00672A99"/>
    <w:rsid w:val="00675D16"/>
    <w:rsid w:val="0067797E"/>
    <w:rsid w:val="00677E4B"/>
    <w:rsid w:val="0069291B"/>
    <w:rsid w:val="00697492"/>
    <w:rsid w:val="006A2217"/>
    <w:rsid w:val="006B745F"/>
    <w:rsid w:val="006B7C96"/>
    <w:rsid w:val="006C1484"/>
    <w:rsid w:val="006C3CE8"/>
    <w:rsid w:val="006D2F17"/>
    <w:rsid w:val="006E024F"/>
    <w:rsid w:val="006E20F4"/>
    <w:rsid w:val="006E274A"/>
    <w:rsid w:val="006E2E54"/>
    <w:rsid w:val="006E4E81"/>
    <w:rsid w:val="006F0ADD"/>
    <w:rsid w:val="006F2938"/>
    <w:rsid w:val="007010DC"/>
    <w:rsid w:val="007020EA"/>
    <w:rsid w:val="007022E4"/>
    <w:rsid w:val="00702B03"/>
    <w:rsid w:val="00706DB3"/>
    <w:rsid w:val="00707F7D"/>
    <w:rsid w:val="0071303E"/>
    <w:rsid w:val="00717EC5"/>
    <w:rsid w:val="00717ED5"/>
    <w:rsid w:val="00721129"/>
    <w:rsid w:val="00722958"/>
    <w:rsid w:val="00725EAF"/>
    <w:rsid w:val="00727525"/>
    <w:rsid w:val="00730D0F"/>
    <w:rsid w:val="00737B80"/>
    <w:rsid w:val="00737CEF"/>
    <w:rsid w:val="00740691"/>
    <w:rsid w:val="00742E86"/>
    <w:rsid w:val="0074330A"/>
    <w:rsid w:val="00745B38"/>
    <w:rsid w:val="007535B3"/>
    <w:rsid w:val="007543D9"/>
    <w:rsid w:val="00754CD4"/>
    <w:rsid w:val="0076648F"/>
    <w:rsid w:val="00777DF3"/>
    <w:rsid w:val="00786B99"/>
    <w:rsid w:val="00791616"/>
    <w:rsid w:val="0079648B"/>
    <w:rsid w:val="00797BCA"/>
    <w:rsid w:val="007A3E08"/>
    <w:rsid w:val="007A57F2"/>
    <w:rsid w:val="007A7E26"/>
    <w:rsid w:val="007B1333"/>
    <w:rsid w:val="007B7FA9"/>
    <w:rsid w:val="007E6D79"/>
    <w:rsid w:val="007E7779"/>
    <w:rsid w:val="007F0BDD"/>
    <w:rsid w:val="007F4AEB"/>
    <w:rsid w:val="007F75B2"/>
    <w:rsid w:val="00800842"/>
    <w:rsid w:val="0080193F"/>
    <w:rsid w:val="008043C4"/>
    <w:rsid w:val="0081608B"/>
    <w:rsid w:val="0081699A"/>
    <w:rsid w:val="00831B1B"/>
    <w:rsid w:val="0084400A"/>
    <w:rsid w:val="00850D0D"/>
    <w:rsid w:val="00854E24"/>
    <w:rsid w:val="00854EF8"/>
    <w:rsid w:val="0085742D"/>
    <w:rsid w:val="00861D0E"/>
    <w:rsid w:val="00862504"/>
    <w:rsid w:val="0086345B"/>
    <w:rsid w:val="008644C8"/>
    <w:rsid w:val="00867569"/>
    <w:rsid w:val="00883708"/>
    <w:rsid w:val="008A750A"/>
    <w:rsid w:val="008C29FF"/>
    <w:rsid w:val="008C384C"/>
    <w:rsid w:val="008D0F11"/>
    <w:rsid w:val="008D24E4"/>
    <w:rsid w:val="008F35B4"/>
    <w:rsid w:val="008F6838"/>
    <w:rsid w:val="008F73B4"/>
    <w:rsid w:val="009047D2"/>
    <w:rsid w:val="00906A0E"/>
    <w:rsid w:val="00910489"/>
    <w:rsid w:val="00916BFD"/>
    <w:rsid w:val="0094402F"/>
    <w:rsid w:val="009505FD"/>
    <w:rsid w:val="009510E2"/>
    <w:rsid w:val="00952E96"/>
    <w:rsid w:val="00963BA3"/>
    <w:rsid w:val="009668FF"/>
    <w:rsid w:val="00974C31"/>
    <w:rsid w:val="0098038D"/>
    <w:rsid w:val="00990BB3"/>
    <w:rsid w:val="00991FE7"/>
    <w:rsid w:val="00997BDF"/>
    <w:rsid w:val="009A1B01"/>
    <w:rsid w:val="009A3911"/>
    <w:rsid w:val="009A511D"/>
    <w:rsid w:val="009A572A"/>
    <w:rsid w:val="009B0BD0"/>
    <w:rsid w:val="009B55B1"/>
    <w:rsid w:val="009B6438"/>
    <w:rsid w:val="009C54AB"/>
    <w:rsid w:val="009C70A9"/>
    <w:rsid w:val="009D0F68"/>
    <w:rsid w:val="009D5751"/>
    <w:rsid w:val="009D5AED"/>
    <w:rsid w:val="009E3740"/>
    <w:rsid w:val="009E4E85"/>
    <w:rsid w:val="009F5037"/>
    <w:rsid w:val="00A00672"/>
    <w:rsid w:val="00A02B9A"/>
    <w:rsid w:val="00A034F8"/>
    <w:rsid w:val="00A04C58"/>
    <w:rsid w:val="00A278C8"/>
    <w:rsid w:val="00A30B9B"/>
    <w:rsid w:val="00A33407"/>
    <w:rsid w:val="00A419EA"/>
    <w:rsid w:val="00A4343D"/>
    <w:rsid w:val="00A44012"/>
    <w:rsid w:val="00A4554C"/>
    <w:rsid w:val="00A502F1"/>
    <w:rsid w:val="00A65191"/>
    <w:rsid w:val="00A70A83"/>
    <w:rsid w:val="00A7635E"/>
    <w:rsid w:val="00A77ACA"/>
    <w:rsid w:val="00A77F20"/>
    <w:rsid w:val="00A804CB"/>
    <w:rsid w:val="00A81EB3"/>
    <w:rsid w:val="00A82052"/>
    <w:rsid w:val="00A842CF"/>
    <w:rsid w:val="00A853A7"/>
    <w:rsid w:val="00A918C5"/>
    <w:rsid w:val="00A91987"/>
    <w:rsid w:val="00AA0AF9"/>
    <w:rsid w:val="00AA43EA"/>
    <w:rsid w:val="00AD53CD"/>
    <w:rsid w:val="00AD5577"/>
    <w:rsid w:val="00AE52AC"/>
    <w:rsid w:val="00AE6D5B"/>
    <w:rsid w:val="00AF01DF"/>
    <w:rsid w:val="00B00C1D"/>
    <w:rsid w:val="00B03E21"/>
    <w:rsid w:val="00B12744"/>
    <w:rsid w:val="00B162C8"/>
    <w:rsid w:val="00B174F6"/>
    <w:rsid w:val="00B1786C"/>
    <w:rsid w:val="00B22797"/>
    <w:rsid w:val="00B22916"/>
    <w:rsid w:val="00B27A6F"/>
    <w:rsid w:val="00B31381"/>
    <w:rsid w:val="00B4271A"/>
    <w:rsid w:val="00B466B3"/>
    <w:rsid w:val="00B572BB"/>
    <w:rsid w:val="00B62CA1"/>
    <w:rsid w:val="00B633EC"/>
    <w:rsid w:val="00B91138"/>
    <w:rsid w:val="00BA1697"/>
    <w:rsid w:val="00BA1A08"/>
    <w:rsid w:val="00BA1D73"/>
    <w:rsid w:val="00BA439F"/>
    <w:rsid w:val="00BA5841"/>
    <w:rsid w:val="00BA6370"/>
    <w:rsid w:val="00BB3C4C"/>
    <w:rsid w:val="00BB6F70"/>
    <w:rsid w:val="00BD2D57"/>
    <w:rsid w:val="00BD4284"/>
    <w:rsid w:val="00BE11D8"/>
    <w:rsid w:val="00BE26BF"/>
    <w:rsid w:val="00BE2A1E"/>
    <w:rsid w:val="00BE3077"/>
    <w:rsid w:val="00BE3DEA"/>
    <w:rsid w:val="00BF1399"/>
    <w:rsid w:val="00BF242E"/>
    <w:rsid w:val="00C03387"/>
    <w:rsid w:val="00C048E8"/>
    <w:rsid w:val="00C10160"/>
    <w:rsid w:val="00C11E95"/>
    <w:rsid w:val="00C23DFF"/>
    <w:rsid w:val="00C269D4"/>
    <w:rsid w:val="00C300E4"/>
    <w:rsid w:val="00C31413"/>
    <w:rsid w:val="00C31F08"/>
    <w:rsid w:val="00C36CC1"/>
    <w:rsid w:val="00C4160D"/>
    <w:rsid w:val="00C52466"/>
    <w:rsid w:val="00C54669"/>
    <w:rsid w:val="00C5651B"/>
    <w:rsid w:val="00C57518"/>
    <w:rsid w:val="00C66C1B"/>
    <w:rsid w:val="00C71F98"/>
    <w:rsid w:val="00C77B21"/>
    <w:rsid w:val="00C814E9"/>
    <w:rsid w:val="00C82D3A"/>
    <w:rsid w:val="00C83A3E"/>
    <w:rsid w:val="00C8406E"/>
    <w:rsid w:val="00C84A55"/>
    <w:rsid w:val="00C9110B"/>
    <w:rsid w:val="00C9686E"/>
    <w:rsid w:val="00CA33BC"/>
    <w:rsid w:val="00CB12DC"/>
    <w:rsid w:val="00CB2709"/>
    <w:rsid w:val="00CB6F89"/>
    <w:rsid w:val="00CC46C7"/>
    <w:rsid w:val="00CC5069"/>
    <w:rsid w:val="00CC7859"/>
    <w:rsid w:val="00CD1D29"/>
    <w:rsid w:val="00CE0156"/>
    <w:rsid w:val="00CE03DC"/>
    <w:rsid w:val="00CE228C"/>
    <w:rsid w:val="00CE40D1"/>
    <w:rsid w:val="00CE6921"/>
    <w:rsid w:val="00CF287D"/>
    <w:rsid w:val="00CF545B"/>
    <w:rsid w:val="00CF7DA7"/>
    <w:rsid w:val="00D014A1"/>
    <w:rsid w:val="00D018F0"/>
    <w:rsid w:val="00D1065F"/>
    <w:rsid w:val="00D20FEE"/>
    <w:rsid w:val="00D22EC7"/>
    <w:rsid w:val="00D27074"/>
    <w:rsid w:val="00D27D69"/>
    <w:rsid w:val="00D27ED5"/>
    <w:rsid w:val="00D448C2"/>
    <w:rsid w:val="00D44E0A"/>
    <w:rsid w:val="00D52B0C"/>
    <w:rsid w:val="00D666C3"/>
    <w:rsid w:val="00D70662"/>
    <w:rsid w:val="00D80054"/>
    <w:rsid w:val="00D95602"/>
    <w:rsid w:val="00DB3587"/>
    <w:rsid w:val="00DB4A37"/>
    <w:rsid w:val="00DC181E"/>
    <w:rsid w:val="00DD1B71"/>
    <w:rsid w:val="00DD4220"/>
    <w:rsid w:val="00DD5C97"/>
    <w:rsid w:val="00DE4AD8"/>
    <w:rsid w:val="00DF47FE"/>
    <w:rsid w:val="00E01610"/>
    <w:rsid w:val="00E063E4"/>
    <w:rsid w:val="00E13751"/>
    <w:rsid w:val="00E23056"/>
    <w:rsid w:val="00E23464"/>
    <w:rsid w:val="00E2374E"/>
    <w:rsid w:val="00E26704"/>
    <w:rsid w:val="00E27C40"/>
    <w:rsid w:val="00E31980"/>
    <w:rsid w:val="00E323A1"/>
    <w:rsid w:val="00E46777"/>
    <w:rsid w:val="00E46AD7"/>
    <w:rsid w:val="00E573ED"/>
    <w:rsid w:val="00E62D97"/>
    <w:rsid w:val="00E6423C"/>
    <w:rsid w:val="00E65B40"/>
    <w:rsid w:val="00E863CB"/>
    <w:rsid w:val="00E86D92"/>
    <w:rsid w:val="00E91508"/>
    <w:rsid w:val="00E935F4"/>
    <w:rsid w:val="00E93830"/>
    <w:rsid w:val="00E93E0E"/>
    <w:rsid w:val="00EA49E1"/>
    <w:rsid w:val="00EA79AC"/>
    <w:rsid w:val="00EB1D5B"/>
    <w:rsid w:val="00EB1ED3"/>
    <w:rsid w:val="00EB5CD2"/>
    <w:rsid w:val="00EB759D"/>
    <w:rsid w:val="00EC2D51"/>
    <w:rsid w:val="00EC4F00"/>
    <w:rsid w:val="00ED4391"/>
    <w:rsid w:val="00EE31C9"/>
    <w:rsid w:val="00EF168C"/>
    <w:rsid w:val="00EF2115"/>
    <w:rsid w:val="00F1586E"/>
    <w:rsid w:val="00F17E44"/>
    <w:rsid w:val="00F24470"/>
    <w:rsid w:val="00F26395"/>
    <w:rsid w:val="00F300FD"/>
    <w:rsid w:val="00F31052"/>
    <w:rsid w:val="00F31310"/>
    <w:rsid w:val="00F3248C"/>
    <w:rsid w:val="00F37BF4"/>
    <w:rsid w:val="00F46F18"/>
    <w:rsid w:val="00F4712F"/>
    <w:rsid w:val="00F5040B"/>
    <w:rsid w:val="00F51774"/>
    <w:rsid w:val="00F56E57"/>
    <w:rsid w:val="00F61028"/>
    <w:rsid w:val="00F7411B"/>
    <w:rsid w:val="00F82191"/>
    <w:rsid w:val="00F9224C"/>
    <w:rsid w:val="00F9237E"/>
    <w:rsid w:val="00F92A57"/>
    <w:rsid w:val="00FA0364"/>
    <w:rsid w:val="00FB005B"/>
    <w:rsid w:val="00FB0F2F"/>
    <w:rsid w:val="00FB687C"/>
    <w:rsid w:val="00FC78A1"/>
    <w:rsid w:val="00FE5424"/>
    <w:rsid w:val="00FE7928"/>
    <w:rsid w:val="00FF0D26"/>
    <w:rsid w:val="00FF25A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5E3A9AE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116D24"/>
    <w:pPr>
      <w:spacing w:before="57" w:line="240" w:lineRule="exact"/>
      <w:jc w:val="both"/>
    </w:pPr>
    <w:rPr>
      <w:sz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116D24"/>
    <w:rPr>
      <w:rFonts w:ascii="Arial" w:hAnsi="Arial"/>
      <w:sz w:val="18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0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34F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34F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4F8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533CE2"/>
    <w:rPr>
      <w:rFonts w:ascii="Arial" w:hAnsi="Arial"/>
      <w:szCs w:val="22"/>
      <w:lang w:eastAsia="en-US"/>
    </w:rPr>
  </w:style>
  <w:style w:type="character" w:customStyle="1" w:styleId="spelle">
    <w:name w:val="spelle"/>
    <w:basedOn w:val="Standardnpsmoodstavce"/>
    <w:rsid w:val="00B466B3"/>
  </w:style>
  <w:style w:type="character" w:styleId="Sledovanodkaz">
    <w:name w:val="FollowedHyperlink"/>
    <w:basedOn w:val="Standardnpsmoodstavce"/>
    <w:uiPriority w:val="99"/>
    <w:semiHidden/>
    <w:unhideWhenUsed/>
    <w:rsid w:val="007664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i/analyza-ctvrtletnich-sektorovych-uctu-2-ctvrtleti-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52C8-1E0E-4EBD-A411-F1142DC8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2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2298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Cieslar Jan</cp:lastModifiedBy>
  <cp:revision>5</cp:revision>
  <cp:lastPrinted>2021-03-30T15:08:00Z</cp:lastPrinted>
  <dcterms:created xsi:type="dcterms:W3CDTF">2022-10-18T08:36:00Z</dcterms:created>
  <dcterms:modified xsi:type="dcterms:W3CDTF">2022-10-24T07:23:00Z</dcterms:modified>
</cp:coreProperties>
</file>