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Default="00EE38E0" w:rsidP="009D1BD7">
      <w:pPr>
        <w:pStyle w:val="Nadpis1"/>
        <w:numPr>
          <w:ilvl w:val="0"/>
          <w:numId w:val="39"/>
        </w:numPr>
      </w:pPr>
      <w:r>
        <w:rPr>
          <w:lang w:val="cs-CZ"/>
        </w:rPr>
        <w:t>Časová variace dopravních nehodovosti</w:t>
      </w:r>
    </w:p>
    <w:p w:rsidR="00EE38E0" w:rsidRDefault="00EE38E0">
      <w:pPr>
        <w:rPr>
          <w:lang/>
        </w:rPr>
      </w:pPr>
    </w:p>
    <w:p w:rsidR="00EE38E0" w:rsidRDefault="00EE38E0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B2264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Nehody s následky na zdraví jsou nejčetnější na začátku a na konci pracovního týdne…</w:t>
            </w:r>
          </w:p>
          <w:p w:rsidR="00EE38E0" w:rsidRDefault="00EE38E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color w:val="000000"/>
                <w:lang w:val="cs-CZ" w:eastAsia="cs-CZ"/>
              </w:rPr>
            </w:pPr>
          </w:p>
        </w:tc>
        <w:tc>
          <w:tcPr>
            <w:tcW w:w="3804" w:type="pct"/>
          </w:tcPr>
          <w:p w:rsidR="00B22640" w:rsidRDefault="00870DB2" w:rsidP="001B5961">
            <w:r>
              <w:t>Nejvíce nehod s následky</w:t>
            </w:r>
            <w:r w:rsidR="00D8144F">
              <w:t xml:space="preserve"> na zdraví evidovala v roce 2013</w:t>
            </w:r>
            <w:r>
              <w:t xml:space="preserve"> doprav</w:t>
            </w:r>
            <w:r w:rsidR="00D8144F">
              <w:t>ní policie ve dnech na konci (15,2</w:t>
            </w:r>
            <w:r>
              <w:t xml:space="preserve"> % všech váž</w:t>
            </w:r>
            <w:r w:rsidR="00D8144F">
              <w:t>ných nehod), resp. začátku (17,0</w:t>
            </w:r>
            <w:r>
              <w:t xml:space="preserve"> %) pracovního týdne. Naopak menší četnost vážných nehod</w:t>
            </w:r>
            <w:r w:rsidR="00D8144F">
              <w:t xml:space="preserve"> byla zaznamenána v neděli (11,0</w:t>
            </w:r>
            <w:r>
              <w:t xml:space="preserve"> %) a v rámci p</w:t>
            </w:r>
            <w:r w:rsidR="00D8144F">
              <w:t>racovních dnů ve středu (14,3</w:t>
            </w:r>
            <w:r>
              <w:t xml:space="preserve"> %). </w:t>
            </w:r>
          </w:p>
          <w:p w:rsidR="00B22640" w:rsidRDefault="00B22640" w:rsidP="001B5961"/>
          <w:p w:rsidR="00EE38E0" w:rsidRPr="001B5961" w:rsidRDefault="00870DB2" w:rsidP="001B5961">
            <w:r>
              <w:t>Rozložení nehod s následky na zdraví v rámci týdne se v dlouhodobém pohledu m</w:t>
            </w:r>
            <w:r w:rsidR="00B22640">
              <w:t>í</w:t>
            </w:r>
            <w:r>
              <w:t xml:space="preserve">rně proměňuje, zvyšuje se četnost ve dnech na počátku i konci pracovního týdne v neprospěch nehod o víkendech. Příčinou by mohl být dlouhodobě mírný posun těžiště dopravních výkonů (a tudíž i nehod) do prostředí velkých měst. Tomu by napovídala i závažnost nehod, měřená proporcí počtu usmrcených ke všem nehodám. Ta byla nejnižší právě v pondělky a pátky (8,5-8,6 zemřelí na tis. nehod v letech 2010-2011), nejvyšší o nedělích (13,2), resp. sobotách (11,8). </w:t>
            </w:r>
          </w:p>
        </w:tc>
      </w:tr>
    </w:tbl>
    <w:p w:rsidR="00870DB2" w:rsidRDefault="00870DB2" w:rsidP="00870DB2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931"/>
      </w:tblGrid>
      <w:tr w:rsidR="00870DB2" w:rsidTr="00870DB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870DB2" w:rsidRPr="007D49C2" w:rsidRDefault="007D49C2" w:rsidP="007D49C2">
            <w:pPr>
              <w:pStyle w:val="Nadpis5"/>
              <w:numPr>
                <w:ilvl w:val="0"/>
                <w:numId w:val="0"/>
              </w:numPr>
              <w:spacing w:before="0"/>
              <w:rPr>
                <w:rFonts w:ascii="Arial" w:hAnsi="Arial"/>
                <w:b w:val="0"/>
                <w:i w:val="0"/>
                <w:iCs w:val="0"/>
                <w:sz w:val="20"/>
                <w:szCs w:val="24"/>
                <w:lang w:val="cs-CZ"/>
              </w:rPr>
            </w:pPr>
            <w:r w:rsidRPr="007D49C2">
              <w:rPr>
                <w:rFonts w:ascii="Arial" w:hAnsi="Arial"/>
                <w:b w:val="0"/>
                <w:i w:val="0"/>
                <w:iCs w:val="0"/>
                <w:sz w:val="20"/>
                <w:szCs w:val="24"/>
              </w:rPr>
              <w:t>Graf</w:t>
            </w:r>
            <w:r w:rsidRPr="007D49C2">
              <w:rPr>
                <w:rFonts w:ascii="Arial" w:hAnsi="Arial"/>
                <w:b w:val="0"/>
                <w:i w:val="0"/>
                <w:iCs w:val="0"/>
                <w:sz w:val="20"/>
                <w:szCs w:val="24"/>
                <w:lang w:val="cs-CZ"/>
              </w:rPr>
              <w:t xml:space="preserve"> č.</w:t>
            </w:r>
            <w:r w:rsidRPr="007D49C2">
              <w:rPr>
                <w:rFonts w:ascii="Arial" w:hAnsi="Arial"/>
                <w:b w:val="0"/>
                <w:i w:val="0"/>
                <w:iCs w:val="0"/>
                <w:sz w:val="20"/>
                <w:szCs w:val="24"/>
              </w:rPr>
              <w:t xml:space="preserve"> </w:t>
            </w:r>
            <w:r w:rsidR="0086691A">
              <w:rPr>
                <w:rFonts w:ascii="Arial" w:hAnsi="Arial"/>
                <w:b w:val="0"/>
                <w:i w:val="0"/>
                <w:iCs w:val="0"/>
                <w:sz w:val="20"/>
                <w:szCs w:val="24"/>
                <w:lang w:val="cs-CZ"/>
              </w:rPr>
              <w:t>20</w:t>
            </w:r>
          </w:p>
        </w:tc>
        <w:tc>
          <w:tcPr>
            <w:tcW w:w="4599" w:type="pct"/>
            <w:tcBorders>
              <w:top w:val="nil"/>
              <w:left w:val="nil"/>
              <w:bottom w:val="nil"/>
              <w:right w:val="nil"/>
            </w:tcBorders>
          </w:tcPr>
          <w:p w:rsidR="00870DB2" w:rsidRDefault="00870DB2" w:rsidP="007D49C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Doprav</w:t>
            </w:r>
            <w:r w:rsidR="007D49C2">
              <w:rPr>
                <w:b/>
                <w:bCs/>
                <w:iCs/>
              </w:rPr>
              <w:t>ní nehody s následky na zdraví - srovnání</w:t>
            </w:r>
            <w:r>
              <w:rPr>
                <w:b/>
                <w:bCs/>
                <w:iCs/>
              </w:rPr>
              <w:t xml:space="preserve"> týdenní</w:t>
            </w:r>
            <w:r w:rsidR="007D49C2">
              <w:rPr>
                <w:b/>
                <w:bCs/>
                <w:iCs/>
              </w:rPr>
              <w:t>ch</w:t>
            </w:r>
            <w:r>
              <w:rPr>
                <w:b/>
                <w:bCs/>
                <w:iCs/>
              </w:rPr>
              <w:t xml:space="preserve"> a měsíční</w:t>
            </w:r>
            <w:r w:rsidR="007D49C2">
              <w:rPr>
                <w:b/>
                <w:bCs/>
                <w:iCs/>
              </w:rPr>
              <w:t>ch variací v ČR</w:t>
            </w:r>
          </w:p>
          <w:p w:rsidR="007D49C2" w:rsidRPr="007D49C2" w:rsidRDefault="00B56A51" w:rsidP="007D49C2">
            <w:pPr>
              <w:rPr>
                <w:bCs/>
              </w:rPr>
            </w:pPr>
            <w:r>
              <w:rPr>
                <w:bCs/>
                <w:iCs/>
              </w:rPr>
              <w:t>(porovnání vybraných let</w:t>
            </w:r>
            <w:r w:rsidR="007D49C2" w:rsidRPr="007D49C2">
              <w:rPr>
                <w:bCs/>
                <w:iCs/>
              </w:rPr>
              <w:t>)</w:t>
            </w:r>
          </w:p>
        </w:tc>
      </w:tr>
    </w:tbl>
    <w:p w:rsidR="00870DB2" w:rsidRDefault="00B56A51" w:rsidP="00870DB2">
      <w:r w:rsidRPr="00B56A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75pt;height:196.4pt">
            <v:imagedata r:id="rId8" o:title=""/>
          </v:shape>
        </w:pict>
      </w:r>
      <w:r w:rsidRPr="00B56A51">
        <w:pict>
          <v:shape id="_x0000_i1026" type="#_x0000_t75" style="width:228.1pt;height:197.55pt">
            <v:imagedata r:id="rId9" o:title=""/>
          </v:shape>
        </w:pict>
      </w:r>
    </w:p>
    <w:p w:rsidR="00870DB2" w:rsidRDefault="00870DB2" w:rsidP="00870DB2">
      <w:r>
        <w:rPr>
          <w:sz w:val="18"/>
        </w:rPr>
        <w:t>Pramen: Policejní prezidium ČR, vlastní výpočty</w:t>
      </w:r>
    </w:p>
    <w:p w:rsidR="00EE38E0" w:rsidRDefault="00EE38E0"/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B226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 a z pohledu jednotlivých měsíců roku pak v říjnu, listopadu a prosinci 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B22640" w:rsidRDefault="00B041C4" w:rsidP="00B041C4">
            <w:r>
              <w:t>Rozložení všech nehod podle měsíců vykazuje také dlouhodobé nerovnoměrnosti s tradičně vyšším zastoupením v období říjen-prosinec, kdy bývá v průměru o desetinu více nehod než v průměrném měsíci. Nižší četnost je naopak typická pro konec zimního období a počátku jara. Závažnost nehod však uka</w:t>
            </w:r>
            <w:r w:rsidR="00D8144F">
              <w:t>zuje na jiný obrázek (viz graf 20</w:t>
            </w:r>
            <w:r>
              <w:t xml:space="preserve">). </w:t>
            </w:r>
          </w:p>
          <w:p w:rsidR="00B22640" w:rsidRDefault="00B22640" w:rsidP="00B041C4"/>
          <w:p w:rsidR="00B22640" w:rsidRDefault="00B041C4" w:rsidP="00B041C4">
            <w:r>
              <w:t>Prodloužené letní období (červen-září) se dlouhodobě na silnicích Č</w:t>
            </w:r>
            <w:r w:rsidR="00B22640">
              <w:t>eské republiky</w:t>
            </w:r>
            <w:r>
              <w:t xml:space="preserve"> vyznačuje o 15-20 % vyšším počtu usmrcených i zraněných než průměrným měsíc v roce. </w:t>
            </w:r>
          </w:p>
          <w:p w:rsidR="00B22640" w:rsidRDefault="00B22640" w:rsidP="00B041C4"/>
          <w:p w:rsidR="00B22640" w:rsidRDefault="00B041C4" w:rsidP="00B041C4">
            <w:r>
              <w:t xml:space="preserve">Počty zraněných osob bývají tradičně vyšší také v časném jarním období (duben-květen), v případě usmrcených naopak přetrvávají do pozdního podzimu (říjen listopad). Vysvětlení může v prvním případě souviset se zahájením dopravné sezóny u cyklistů a motocyklistů, v druhém případě s horšími přírodními podmínkami (zhoršená viditelnost, mokrá vozovka aj.). </w:t>
            </w:r>
          </w:p>
          <w:p w:rsidR="00B22640" w:rsidRDefault="00B22640" w:rsidP="00B041C4"/>
          <w:p w:rsidR="00EE38E0" w:rsidRDefault="00EE38E0" w:rsidP="00B22640"/>
        </w:tc>
      </w:tr>
      <w:tr w:rsidR="00B22640">
        <w:tc>
          <w:tcPr>
            <w:tcW w:w="1054" w:type="pct"/>
          </w:tcPr>
          <w:p w:rsidR="00B22640" w:rsidRDefault="00B22640" w:rsidP="00B226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posledních pěti letech více nehod s následky na zdraví na jaře, během prázdnin jich mírně ubylo</w:t>
            </w:r>
          </w:p>
        </w:tc>
        <w:tc>
          <w:tcPr>
            <w:tcW w:w="142" w:type="pct"/>
          </w:tcPr>
          <w:p w:rsidR="00B22640" w:rsidRDefault="00B2264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B22640" w:rsidRDefault="00B22640" w:rsidP="00B22640">
            <w:r>
              <w:t xml:space="preserve">Na rozdíl od týdenních variací nenacházíme měsíčním v rozložení nehod s následky na zdraví významnější posuny v čase. V posledním pětiletí bylo oproti stavu z druhé poloviny 90. let nepatrně více vážných nehod soustředěno do jarního období (především dubna), lehce naopak ubylo nehod v rámci roku v prázdninovém období. </w:t>
            </w:r>
          </w:p>
          <w:p w:rsidR="00B22640" w:rsidRDefault="00B22640" w:rsidP="00B041C4"/>
        </w:tc>
      </w:tr>
    </w:tbl>
    <w:p w:rsidR="00B041C4" w:rsidRDefault="00B041C4" w:rsidP="00B041C4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4111"/>
        <w:gridCol w:w="709"/>
        <w:gridCol w:w="4253"/>
      </w:tblGrid>
      <w:tr w:rsidR="00B041C4" w:rsidTr="001A6A2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:rsidR="00B041C4" w:rsidRPr="007D49C2" w:rsidRDefault="007D49C2" w:rsidP="00B041C4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</w:pP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lastRenderedPageBreak/>
              <w:t xml:space="preserve">Graf 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č. 2</w:t>
            </w:r>
            <w:r w:rsidR="0086691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B041C4" w:rsidRPr="005154B4" w:rsidRDefault="005154B4" w:rsidP="00B041C4">
            <w:pPr>
              <w:jc w:val="left"/>
              <w:rPr>
                <w:rFonts w:cs="Arial"/>
                <w:b/>
                <w:szCs w:val="20"/>
              </w:rPr>
            </w:pPr>
            <w:r w:rsidRPr="005154B4">
              <w:rPr>
                <w:rFonts w:cs="Arial"/>
                <w:b/>
                <w:szCs w:val="20"/>
              </w:rPr>
              <w:t>Měsíční variace nehod a jejich následků v</w:t>
            </w:r>
            <w:r>
              <w:rPr>
                <w:rFonts w:cs="Arial"/>
                <w:b/>
                <w:szCs w:val="20"/>
              </w:rPr>
              <w:t> </w:t>
            </w:r>
            <w:r w:rsidRPr="005154B4">
              <w:rPr>
                <w:rFonts w:cs="Arial"/>
                <w:b/>
                <w:szCs w:val="20"/>
              </w:rPr>
              <w:t>ČR</w:t>
            </w:r>
            <w:r w:rsidRPr="005154B4">
              <w:rPr>
                <w:rFonts w:cs="Arial"/>
                <w:szCs w:val="20"/>
              </w:rPr>
              <w:t xml:space="preserve"> (odchylky od průměrného měsíce)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B041C4" w:rsidRPr="00B041C4" w:rsidRDefault="007D49C2" w:rsidP="00B041C4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č. 2</w:t>
            </w:r>
            <w:r w:rsidR="0086691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</w:tcPr>
          <w:p w:rsidR="004C313C" w:rsidRPr="001A6A25" w:rsidRDefault="005154B4" w:rsidP="00B041C4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b w:val="0"/>
                <w:sz w:val="20"/>
                <w:szCs w:val="20"/>
                <w:lang w:val="cs-CZ"/>
              </w:rPr>
            </w:pPr>
            <w:r w:rsidRPr="001A6A25">
              <w:rPr>
                <w:rFonts w:cs="Arial"/>
                <w:sz w:val="20"/>
                <w:szCs w:val="20"/>
              </w:rPr>
              <w:t>Měsíční</w:t>
            </w:r>
            <w:r w:rsidR="001A6A25" w:rsidRPr="001A6A25">
              <w:rPr>
                <w:rFonts w:cs="Arial"/>
                <w:sz w:val="20"/>
                <w:szCs w:val="20"/>
              </w:rPr>
              <w:t xml:space="preserve"> variace</w:t>
            </w:r>
            <w:r w:rsidR="0001070A" w:rsidRPr="001A6A25">
              <w:rPr>
                <w:rFonts w:cs="Arial"/>
                <w:sz w:val="20"/>
                <w:szCs w:val="20"/>
                <w:lang w:val="cs-CZ"/>
              </w:rPr>
              <w:t xml:space="preserve"> usmrcených a těžce zraněných osob</w:t>
            </w:r>
            <w:r w:rsidRPr="001A6A25">
              <w:rPr>
                <w:rFonts w:cs="Arial"/>
                <w:sz w:val="20"/>
                <w:szCs w:val="20"/>
              </w:rPr>
              <w:t xml:space="preserve"> v</w:t>
            </w:r>
            <w:r w:rsidR="0001070A" w:rsidRPr="001A6A25">
              <w:rPr>
                <w:rFonts w:cs="Arial"/>
                <w:sz w:val="20"/>
                <w:szCs w:val="20"/>
                <w:lang w:val="cs-CZ"/>
              </w:rPr>
              <w:t xml:space="preserve">e vybraných </w:t>
            </w:r>
            <w:r w:rsidRPr="001A6A25">
              <w:rPr>
                <w:rFonts w:cs="Arial"/>
                <w:sz w:val="20"/>
                <w:szCs w:val="20"/>
                <w:lang w:val="cs-CZ"/>
              </w:rPr>
              <w:t>krajích</w:t>
            </w:r>
            <w:r w:rsidR="004C313C" w:rsidRPr="001A6A25">
              <w:rPr>
                <w:rFonts w:cs="Arial"/>
                <w:sz w:val="20"/>
                <w:szCs w:val="20"/>
                <w:lang w:val="cs-CZ"/>
              </w:rPr>
              <w:t xml:space="preserve"> v období 2010-2012</w:t>
            </w:r>
            <w:r w:rsidRPr="001A6A25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B041C4" w:rsidRPr="005154B4" w:rsidRDefault="005154B4" w:rsidP="00B041C4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r w:rsidRPr="005154B4">
              <w:rPr>
                <w:rFonts w:cs="Arial"/>
                <w:b w:val="0"/>
                <w:sz w:val="20"/>
                <w:szCs w:val="20"/>
              </w:rPr>
              <w:t>(odchylky od průměrného měsíce</w:t>
            </w:r>
            <w:r w:rsidRPr="005154B4">
              <w:rPr>
                <w:rFonts w:cs="Arial"/>
                <w:b w:val="0"/>
                <w:sz w:val="20"/>
                <w:szCs w:val="20"/>
                <w:lang w:val="cs-CZ"/>
              </w:rPr>
              <w:t xml:space="preserve"> v kraji)</w:t>
            </w:r>
          </w:p>
        </w:tc>
      </w:tr>
    </w:tbl>
    <w:p w:rsidR="00B041C4" w:rsidRDefault="0001070A" w:rsidP="00B041C4">
      <w:pPr>
        <w:pStyle w:val="Zpat"/>
        <w:tabs>
          <w:tab w:val="clear" w:pos="4536"/>
          <w:tab w:val="clear" w:pos="9072"/>
        </w:tabs>
      </w:pPr>
      <w:r w:rsidRPr="00775A37">
        <w:pict>
          <v:shape id="_x0000_i1027" type="#_x0000_t75" style="width:235.6pt;height:195.85pt">
            <v:imagedata r:id="rId10" o:title=""/>
          </v:shape>
        </w:pict>
      </w:r>
      <w:r w:rsidRPr="00F312E7">
        <w:rPr>
          <w:noProof/>
        </w:rPr>
        <w:pict>
          <v:shape id="Graf 2" o:spid="_x0000_i1028" type="#_x0000_t75" style="width:240.75pt;height:195.8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">
            <v:imagedata r:id="rId11" o:title=""/>
            <o:lock v:ext="edit" aspectratio="f"/>
          </v:shape>
        </w:pict>
      </w:r>
    </w:p>
    <w:p w:rsidR="00B041C4" w:rsidRDefault="00B041C4" w:rsidP="00B041C4">
      <w:r>
        <w:rPr>
          <w:sz w:val="18"/>
        </w:rPr>
        <w:t>Pramen: Policejní prezidium ČR, vlastní výpočty</w:t>
      </w:r>
    </w:p>
    <w:p w:rsidR="00B041C4" w:rsidRDefault="00B041C4">
      <w:pPr>
        <w:pStyle w:val="Textpoznpodarou"/>
        <w:jc w:val="both"/>
        <w:rPr>
          <w:rFonts w:cs="Arial"/>
          <w:sz w:val="22"/>
          <w:lang w:val="cs-CZ" w:eastAsia="ar-SA"/>
        </w:rPr>
      </w:pPr>
    </w:p>
    <w:tbl>
      <w:tblPr>
        <w:tblW w:w="5022" w:type="pct"/>
        <w:tblInd w:w="-42" w:type="dxa"/>
        <w:tblCellMar>
          <w:left w:w="28" w:type="dxa"/>
          <w:right w:w="28" w:type="dxa"/>
        </w:tblCellMar>
        <w:tblLook w:val="04A0"/>
      </w:tblPr>
      <w:tblGrid>
        <w:gridCol w:w="42"/>
        <w:gridCol w:w="738"/>
        <w:gridCol w:w="1307"/>
        <w:gridCol w:w="275"/>
        <w:gridCol w:w="2672"/>
        <w:gridCol w:w="849"/>
        <w:gridCol w:w="3829"/>
        <w:gridCol w:w="25"/>
      </w:tblGrid>
      <w:tr w:rsidR="00B041C4" w:rsidTr="00B22640">
        <w:trPr>
          <w:gridBefore w:val="1"/>
          <w:wBefore w:w="22" w:type="pct"/>
        </w:trPr>
        <w:tc>
          <w:tcPr>
            <w:tcW w:w="1050" w:type="pct"/>
            <w:gridSpan w:val="2"/>
          </w:tcPr>
          <w:p w:rsidR="00B041C4" w:rsidRDefault="00B22640" w:rsidP="00E615D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Faktory ovlivňující časové rozložení nehod a jejich následků</w:t>
            </w:r>
          </w:p>
        </w:tc>
        <w:tc>
          <w:tcPr>
            <w:tcW w:w="141" w:type="pct"/>
          </w:tcPr>
          <w:p w:rsidR="00B041C4" w:rsidRDefault="00B041C4" w:rsidP="00E615DF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787" w:type="pct"/>
            <w:gridSpan w:val="4"/>
          </w:tcPr>
          <w:p w:rsidR="00B041C4" w:rsidRDefault="002F70E5" w:rsidP="00B041C4">
            <w:r>
              <w:t>Variace časového rozložení četnosti nehod a jejich následků jsou ovlivněny několika faktory. Předně odráží rozdíly v intenzitě dopravy (např. tradičně nižší dopravní výkony o víkendech). Důležitou roli hrají také klimatické podmínky (větš</w:t>
            </w:r>
            <w:r w:rsidR="00D8144F">
              <w:t>í rizikovost nehod při zhoršených</w:t>
            </w:r>
            <w:r>
              <w:t xml:space="preserve"> podmínkách v zimním období). Nepřímo se promítá také vliv posunu těžiště dopravních výkonů (město-venkov, silnice vyšších resp. nižších tříd), neboť nehodovost, vč</w:t>
            </w:r>
            <w:r w:rsidR="00D8144F">
              <w:t>.</w:t>
            </w:r>
            <w:r>
              <w:t xml:space="preserve"> vážných následků, se odlišuje dle typu urbanizace (více nehod </w:t>
            </w:r>
            <w:r w:rsidR="00D8144F">
              <w:t xml:space="preserve">ve </w:t>
            </w:r>
            <w:r>
              <w:t>velkých městech, ale i jejich menší závažnost) i druhu komunikace (vyšší nehodovost i závažnost nehod na silnicích nižších tříd). Konečně roli hraje i změny ve struktuře řidičů (např. typicky pouze víkendoví řidiči, sváteční řidiči, sezóny motocyklistů aj.).</w:t>
            </w:r>
          </w:p>
          <w:p w:rsidR="00B22640" w:rsidRDefault="00B22640" w:rsidP="00B041C4"/>
        </w:tc>
      </w:tr>
      <w:tr w:rsidR="002F70E5" w:rsidTr="00B22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pct"/>
          <w:trHeight w:val="479"/>
        </w:trPr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0E5" w:rsidRPr="002F70E5" w:rsidRDefault="007D49C2" w:rsidP="002F70E5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č. 2</w:t>
            </w:r>
            <w:r w:rsidR="0086691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3</w:t>
            </w:r>
          </w:p>
        </w:tc>
        <w:tc>
          <w:tcPr>
            <w:tcW w:w="21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0E5" w:rsidRPr="007D49C2" w:rsidRDefault="007D49C2" w:rsidP="002F70E5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cs-CZ"/>
              </w:rPr>
              <w:t xml:space="preserve">Závažnost nehod 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(u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smrce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né osoby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na 1000 nehod</w:t>
            </w:r>
            <w:r w:rsidRPr="007D49C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)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cs-CZ"/>
              </w:rPr>
              <w:t xml:space="preserve"> dle </w:t>
            </w:r>
            <w:r w:rsidRPr="007D49C2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denních hodin v ČR a Praze</w:t>
            </w:r>
            <w:r w:rsidRPr="002F70E5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</w:p>
          <w:p w:rsidR="002F70E5" w:rsidRPr="00E01837" w:rsidRDefault="007D49C2" w:rsidP="002F70E5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(</w:t>
            </w:r>
            <w:r w:rsidR="00E018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období 2010-20</w:t>
            </w:r>
            <w:r w:rsidR="002F70E5" w:rsidRPr="002F70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E018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2F70E5" w:rsidRPr="002F70E5" w:rsidRDefault="007D49C2" w:rsidP="002F70E5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7D49C2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č. 2</w:t>
            </w:r>
            <w:r w:rsidR="0086691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4</w:t>
            </w: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</w:tcPr>
          <w:p w:rsidR="002F70E5" w:rsidRPr="002F70E5" w:rsidRDefault="002F70E5" w:rsidP="002F70E5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iCs w:val="0"/>
                <w:sz w:val="20"/>
                <w:szCs w:val="20"/>
              </w:rPr>
            </w:pPr>
            <w:r w:rsidRPr="002F70E5">
              <w:rPr>
                <w:rFonts w:cs="Arial"/>
                <w:iCs w:val="0"/>
                <w:sz w:val="20"/>
                <w:szCs w:val="20"/>
              </w:rPr>
              <w:t>Rozložení celkového počtu nehod během denních hodin v ČR a Praze</w:t>
            </w:r>
          </w:p>
          <w:p w:rsidR="002F70E5" w:rsidRPr="00E01837" w:rsidRDefault="00E01837" w:rsidP="00E01837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(</w:t>
            </w:r>
            <w:r w:rsidR="002F70E5" w:rsidRPr="002F70E5">
              <w:rPr>
                <w:rFonts w:cs="Arial"/>
                <w:b w:val="0"/>
                <w:bCs w:val="0"/>
                <w:sz w:val="20"/>
                <w:szCs w:val="20"/>
              </w:rPr>
              <w:t xml:space="preserve">srovnání let </w:t>
            </w:r>
            <w: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>1995, 2003 a 2012)</w:t>
            </w:r>
          </w:p>
        </w:tc>
      </w:tr>
    </w:tbl>
    <w:p w:rsidR="002F70E5" w:rsidRDefault="005C1B29" w:rsidP="002F70E5">
      <w:pPr>
        <w:pStyle w:val="Zpat"/>
        <w:tabs>
          <w:tab w:val="clear" w:pos="4536"/>
          <w:tab w:val="clear" w:pos="9072"/>
        </w:tabs>
      </w:pPr>
      <w:r w:rsidRPr="005C1B29">
        <w:pict>
          <v:shape id="_x0000_i1029" type="#_x0000_t75" style="width:245.95pt;height:223.5pt">
            <v:imagedata r:id="rId12" o:title=""/>
          </v:shape>
        </w:pict>
      </w:r>
      <w:r w:rsidRPr="005C1B29">
        <w:pict>
          <v:shape id="_x0000_i1030" type="#_x0000_t75" style="width:235pt;height:222.9pt">
            <v:imagedata r:id="rId13" o:title=""/>
          </v:shape>
        </w:pict>
      </w:r>
    </w:p>
    <w:p w:rsidR="002F70E5" w:rsidRPr="005B5E1F" w:rsidRDefault="002F70E5" w:rsidP="002F70E5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 w:rsidRPr="005B5E1F">
        <w:rPr>
          <w:rFonts w:ascii="Arial" w:hAnsi="Arial" w:cs="Arial"/>
          <w:sz w:val="18"/>
        </w:rPr>
        <w:t>Pramen: Policejní</w:t>
      </w:r>
      <w:r w:rsidR="00C83D48">
        <w:rPr>
          <w:rFonts w:ascii="Arial" w:hAnsi="Arial" w:cs="Arial"/>
          <w:sz w:val="18"/>
        </w:rPr>
        <w:t xml:space="preserve"> prezidium ČR, vlastní výpočty</w:t>
      </w:r>
    </w:p>
    <w:p w:rsidR="00B041C4" w:rsidRDefault="00B041C4">
      <w:pPr>
        <w:pStyle w:val="Textpoznpodarou"/>
        <w:jc w:val="both"/>
        <w:rPr>
          <w:rFonts w:cs="Arial"/>
          <w:sz w:val="22"/>
          <w:lang w:val="cs-CZ" w:eastAsia="ar-S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B041C4" w:rsidTr="00E615DF">
        <w:tc>
          <w:tcPr>
            <w:tcW w:w="1054" w:type="pct"/>
          </w:tcPr>
          <w:p w:rsidR="00B041C4" w:rsidRDefault="00B22640" w:rsidP="00B226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Během dne dochází nejvíce k nehodám v období dopravních špiček, tj. mezi 8-11 hodinou a dále mezi 15-18 hodinou</w:t>
            </w:r>
          </w:p>
        </w:tc>
        <w:tc>
          <w:tcPr>
            <w:tcW w:w="142" w:type="pct"/>
          </w:tcPr>
          <w:p w:rsidR="00B041C4" w:rsidRDefault="00B041C4" w:rsidP="00E615DF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2F70E5" w:rsidRDefault="002F70E5" w:rsidP="002F70E5">
            <w:r>
              <w:t>Rozložení dopravních neho</w:t>
            </w:r>
            <w:r w:rsidR="00D8144F">
              <w:t>d v rámci denního cyklu (graf 23</w:t>
            </w:r>
            <w:r>
              <w:t xml:space="preserve">) ukazuje na typické rozvrstvení do dvou vrcholů – mezi 8.-11. hodnou dopolední a mezi 15. až 18. hodinou odpolední. V tomto rozmezí evidovala v roce 2011 policie v celé ČR 37,5 % nehod (před deseti lety 40,5 %). Zatímco v roce 2000 byl podíl dopolední a </w:t>
            </w:r>
            <w:r>
              <w:lastRenderedPageBreak/>
              <w:t>odpolední špičky na celkové nehodovosti prakticky shodný (obě ukrojily pětiny denních nehod), o desetiletí později oslabil vliv dopolední špičky (17 %) a odpolední zůstal zachován. Mírně odlišná situace panovala v Praze, kde soustředění veškerých nehod do obou špiček dosahuje stabilně 42,5 %, při téměř rovnoměrném rozdělení na dopolední a odpolední část. Pražská doprava se od republikové odlišuje jiným denním rytmem vázaným mj. i na specifickou strukturu zaměstnanosti i jiné možnosti trávení volného času. Méně nehod zde bylo v rámci dne soustředěno od půlnoci do časných ranních hodin (především mezi 5.-7.hodinou) a v roce 2011 také trochu překvapivě ve večerních hodinách (od osmi do půlnoci). Větší váhu měly ve srovnání v ČR naopak v metropoli nehody v dopoledních hodinách (především mezi 8. a 9. hodinou) a kolem poledne, odlišné bylo také načasování odpolední špičky (mezi 16.-19.hodinu, zatímco v ČR s vyšším podílem nehod mezi 14.-16.hod.).</w:t>
            </w:r>
          </w:p>
          <w:p w:rsidR="00B041C4" w:rsidRDefault="00B041C4" w:rsidP="00E615DF"/>
        </w:tc>
      </w:tr>
      <w:tr w:rsidR="00B041C4" w:rsidTr="00E615DF">
        <w:tc>
          <w:tcPr>
            <w:tcW w:w="1054" w:type="pct"/>
          </w:tcPr>
          <w:p w:rsidR="00B041C4" w:rsidRDefault="00B22640" w:rsidP="00B226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 největšímu počtu usmrcení</w:t>
            </w:r>
            <w:r w:rsidR="00AE7B7B">
              <w:rPr>
                <w:sz w:val="16"/>
                <w:szCs w:val="16"/>
              </w:rPr>
              <w:t xml:space="preserve"> na jednu </w:t>
            </w:r>
            <w:r>
              <w:rPr>
                <w:sz w:val="16"/>
                <w:szCs w:val="16"/>
              </w:rPr>
              <w:t xml:space="preserve">dopravní nehodou dochází na samém počátku dne, tj. mezi 4-5 hodinou ranní </w:t>
            </w:r>
          </w:p>
        </w:tc>
        <w:tc>
          <w:tcPr>
            <w:tcW w:w="142" w:type="pct"/>
          </w:tcPr>
          <w:p w:rsidR="00B041C4" w:rsidRDefault="00B041C4" w:rsidP="00E615DF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2F70E5" w:rsidRDefault="002F70E5" w:rsidP="002F70E5">
            <w:r>
              <w:t xml:space="preserve">Jiný pohled na denní časové variace poskytuje závažnost nehod. V letech 2010-2011 připadalo nejvíce usmrcených na nehodu shodně v Praze i ČR mezi 4.a 5. hod. ranní, vysoká závažnost nehod tradičně přetrvává po celou noční dobu, v ČR s tendencí pokračovat až do časných ranních hodin. Nehody mezi půlnoci a sedmou ranní hodinou si v ČR i Praze vyžádaly každou pátou </w:t>
            </w:r>
            <w:proofErr w:type="spellStart"/>
            <w:r>
              <w:t>obět</w:t>
            </w:r>
            <w:proofErr w:type="spellEnd"/>
            <w:r>
              <w:t xml:space="preserve"> ze všech dopravních nehod. U viníků těchto nehod se velmi pravděpodobně uplatňuje vliv návykových látek.</w:t>
            </w:r>
          </w:p>
          <w:p w:rsidR="00B041C4" w:rsidRDefault="00B041C4" w:rsidP="00E615DF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B041C4" w:rsidTr="00E615DF">
        <w:tc>
          <w:tcPr>
            <w:tcW w:w="1054" w:type="pct"/>
          </w:tcPr>
          <w:p w:rsidR="00B041C4" w:rsidRDefault="00B041C4" w:rsidP="00E615D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B041C4" w:rsidRDefault="00B041C4" w:rsidP="00E615DF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B041C4" w:rsidRDefault="00B041C4" w:rsidP="00E615DF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B041C4" w:rsidRPr="00B041C4" w:rsidRDefault="00B041C4">
      <w:pPr>
        <w:pStyle w:val="Textpoznpodarou"/>
        <w:jc w:val="both"/>
        <w:rPr>
          <w:rFonts w:cs="Arial"/>
          <w:sz w:val="22"/>
          <w:lang w:val="cs-CZ" w:eastAsia="ar-SA"/>
        </w:rPr>
      </w:pPr>
    </w:p>
    <w:p w:rsidR="00EE38E0" w:rsidRDefault="00D8777D" w:rsidP="009D1BD7">
      <w:pPr>
        <w:pStyle w:val="Nadpis1"/>
        <w:numPr>
          <w:ilvl w:val="0"/>
          <w:numId w:val="0"/>
        </w:numPr>
      </w:pPr>
      <w:r>
        <w:t xml:space="preserve"> </w:t>
      </w:r>
    </w:p>
    <w:sectPr w:rsidR="00EE38E0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4D" w:rsidRDefault="0046274D">
      <w:r>
        <w:separator/>
      </w:r>
    </w:p>
  </w:endnote>
  <w:endnote w:type="continuationSeparator" w:id="0">
    <w:p w:rsidR="0046274D" w:rsidRDefault="0046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tab/>
    </w:r>
    <w:r w:rsidR="0086691A">
      <w:rPr>
        <w:rFonts w:ascii="Arial" w:hAnsi="Arial" w:cs="Arial"/>
        <w:sz w:val="16"/>
        <w:szCs w:val="16"/>
      </w:rPr>
      <w:t>říjen 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>
      <w:tab/>
    </w:r>
    <w:r>
      <w:tab/>
    </w:r>
  </w:p>
  <w:p w:rsidR="00685B94" w:rsidRDefault="0086691A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říjen</w:t>
    </w:r>
    <w:r w:rsidR="00685B94">
      <w:rPr>
        <w:rFonts w:ascii="Arial" w:hAnsi="Arial" w:cs="Arial"/>
        <w:sz w:val="16"/>
        <w:szCs w:val="16"/>
      </w:rPr>
      <w:t xml:space="preserve"> 2014</w:t>
    </w:r>
    <w:r w:rsidR="00685B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4D" w:rsidRDefault="0046274D">
      <w:r>
        <w:separator/>
      </w:r>
    </w:p>
  </w:footnote>
  <w:footnote w:type="continuationSeparator" w:id="0">
    <w:p w:rsidR="0046274D" w:rsidRDefault="00462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>
      <w:tc>
        <w:tcPr>
          <w:tcW w:w="6518" w:type="dxa"/>
        </w:tcPr>
        <w:p w:rsidR="00685B94" w:rsidRDefault="00685B94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 w:rsidRPr="0086691A">
      <w:tc>
        <w:tcPr>
          <w:tcW w:w="6518" w:type="dxa"/>
        </w:tcPr>
        <w:p w:rsidR="00685B94" w:rsidRDefault="00685B94" w:rsidP="00B75BBF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  <w:lang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4F43100"/>
    <w:multiLevelType w:val="hybridMultilevel"/>
    <w:tmpl w:val="A34643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23"/>
    <w:multiLevelType w:val="hybridMultilevel"/>
    <w:tmpl w:val="F96E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4B7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D4816"/>
    <w:multiLevelType w:val="multilevel"/>
    <w:tmpl w:val="0B6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EB0369"/>
    <w:multiLevelType w:val="hybridMultilevel"/>
    <w:tmpl w:val="E92012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9423F"/>
    <w:multiLevelType w:val="hybridMultilevel"/>
    <w:tmpl w:val="80D04F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67461"/>
    <w:multiLevelType w:val="hybridMultilevel"/>
    <w:tmpl w:val="61845866"/>
    <w:lvl w:ilvl="0" w:tplc="69566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AC7CE2"/>
    <w:multiLevelType w:val="hybridMultilevel"/>
    <w:tmpl w:val="5DE0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34C17"/>
    <w:multiLevelType w:val="hybridMultilevel"/>
    <w:tmpl w:val="F490C5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5BEF31DE"/>
    <w:multiLevelType w:val="hybridMultilevel"/>
    <w:tmpl w:val="280C9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A591A"/>
    <w:multiLevelType w:val="hybridMultilevel"/>
    <w:tmpl w:val="605AD6D0"/>
    <w:lvl w:ilvl="0" w:tplc="1974D2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06567"/>
    <w:multiLevelType w:val="hybridMultilevel"/>
    <w:tmpl w:val="213C4E38"/>
    <w:lvl w:ilvl="0" w:tplc="9D96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5127D"/>
    <w:multiLevelType w:val="hybridMultilevel"/>
    <w:tmpl w:val="08F4CD1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636F2"/>
    <w:multiLevelType w:val="hybridMultilevel"/>
    <w:tmpl w:val="DFB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50A0F"/>
    <w:multiLevelType w:val="hybridMultilevel"/>
    <w:tmpl w:val="5A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16"/>
  </w:num>
  <w:num w:numId="6">
    <w:abstractNumId w:val="22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21"/>
  </w:num>
  <w:num w:numId="18">
    <w:abstractNumId w:val="2"/>
  </w:num>
  <w:num w:numId="19">
    <w:abstractNumId w:val="3"/>
  </w:num>
  <w:num w:numId="20">
    <w:abstractNumId w:val="0"/>
  </w:num>
  <w:num w:numId="21">
    <w:abstractNumId w:val="0"/>
  </w:num>
  <w:num w:numId="22">
    <w:abstractNumId w:val="0"/>
  </w:num>
  <w:num w:numId="23">
    <w:abstractNumId w:val="16"/>
  </w:num>
  <w:num w:numId="24">
    <w:abstractNumId w:val="0"/>
  </w:num>
  <w:num w:numId="25">
    <w:abstractNumId w:val="0"/>
  </w:num>
  <w:num w:numId="26">
    <w:abstractNumId w:val="0"/>
  </w:num>
  <w:num w:numId="27">
    <w:abstractNumId w:val="18"/>
  </w:num>
  <w:num w:numId="28">
    <w:abstractNumId w:val="12"/>
  </w:num>
  <w:num w:numId="29">
    <w:abstractNumId w:val="19"/>
  </w:num>
  <w:num w:numId="30">
    <w:abstractNumId w:val="7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  <w:num w:numId="35">
    <w:abstractNumId w:val="0"/>
  </w:num>
  <w:num w:numId="36">
    <w:abstractNumId w:val="0"/>
  </w:num>
  <w:num w:numId="37">
    <w:abstractNumId w:val="8"/>
  </w:num>
  <w:num w:numId="38">
    <w:abstractNumId w:val="14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AB"/>
    <w:rsid w:val="00001DD7"/>
    <w:rsid w:val="0000373F"/>
    <w:rsid w:val="00005800"/>
    <w:rsid w:val="0001070A"/>
    <w:rsid w:val="000124A7"/>
    <w:rsid w:val="00014521"/>
    <w:rsid w:val="0001612E"/>
    <w:rsid w:val="000162DA"/>
    <w:rsid w:val="00016E79"/>
    <w:rsid w:val="00020310"/>
    <w:rsid w:val="00020843"/>
    <w:rsid w:val="000217A8"/>
    <w:rsid w:val="00022498"/>
    <w:rsid w:val="0002336E"/>
    <w:rsid w:val="00030A7A"/>
    <w:rsid w:val="00032F16"/>
    <w:rsid w:val="00040F48"/>
    <w:rsid w:val="000421B1"/>
    <w:rsid w:val="00043998"/>
    <w:rsid w:val="00045D51"/>
    <w:rsid w:val="00051290"/>
    <w:rsid w:val="00053458"/>
    <w:rsid w:val="00054809"/>
    <w:rsid w:val="00054B25"/>
    <w:rsid w:val="00054D5B"/>
    <w:rsid w:val="0005570C"/>
    <w:rsid w:val="00055719"/>
    <w:rsid w:val="00056F9B"/>
    <w:rsid w:val="00057357"/>
    <w:rsid w:val="00060D72"/>
    <w:rsid w:val="000616DD"/>
    <w:rsid w:val="000630F4"/>
    <w:rsid w:val="00063196"/>
    <w:rsid w:val="000705C4"/>
    <w:rsid w:val="00071465"/>
    <w:rsid w:val="00074EB7"/>
    <w:rsid w:val="00074ED6"/>
    <w:rsid w:val="00080BC0"/>
    <w:rsid w:val="00081687"/>
    <w:rsid w:val="00083E44"/>
    <w:rsid w:val="000862A6"/>
    <w:rsid w:val="00087E95"/>
    <w:rsid w:val="000905B3"/>
    <w:rsid w:val="00090E50"/>
    <w:rsid w:val="00092F94"/>
    <w:rsid w:val="00094786"/>
    <w:rsid w:val="0009665E"/>
    <w:rsid w:val="00097BAA"/>
    <w:rsid w:val="000A03AF"/>
    <w:rsid w:val="000A2679"/>
    <w:rsid w:val="000B0A1A"/>
    <w:rsid w:val="000B1272"/>
    <w:rsid w:val="000B1A54"/>
    <w:rsid w:val="000B6A1C"/>
    <w:rsid w:val="000B7F7B"/>
    <w:rsid w:val="000C126C"/>
    <w:rsid w:val="000C44D3"/>
    <w:rsid w:val="000C46AC"/>
    <w:rsid w:val="000C7133"/>
    <w:rsid w:val="000D222D"/>
    <w:rsid w:val="000D2717"/>
    <w:rsid w:val="000D3038"/>
    <w:rsid w:val="000D3A1D"/>
    <w:rsid w:val="000D56D3"/>
    <w:rsid w:val="000E0F6F"/>
    <w:rsid w:val="000E21C6"/>
    <w:rsid w:val="000E3FAF"/>
    <w:rsid w:val="000E4BA2"/>
    <w:rsid w:val="000E54EF"/>
    <w:rsid w:val="000F1280"/>
    <w:rsid w:val="000F1499"/>
    <w:rsid w:val="001000EA"/>
    <w:rsid w:val="00100E80"/>
    <w:rsid w:val="00101017"/>
    <w:rsid w:val="00103AE8"/>
    <w:rsid w:val="00106185"/>
    <w:rsid w:val="00107C20"/>
    <w:rsid w:val="0011597C"/>
    <w:rsid w:val="00116DE8"/>
    <w:rsid w:val="00120887"/>
    <w:rsid w:val="00131152"/>
    <w:rsid w:val="00131AE5"/>
    <w:rsid w:val="001324DB"/>
    <w:rsid w:val="001328B8"/>
    <w:rsid w:val="00136973"/>
    <w:rsid w:val="00140349"/>
    <w:rsid w:val="001406A6"/>
    <w:rsid w:val="00141D9C"/>
    <w:rsid w:val="001429DB"/>
    <w:rsid w:val="00142D85"/>
    <w:rsid w:val="001463C5"/>
    <w:rsid w:val="0015495A"/>
    <w:rsid w:val="001549E6"/>
    <w:rsid w:val="00160668"/>
    <w:rsid w:val="001642DB"/>
    <w:rsid w:val="001649F5"/>
    <w:rsid w:val="00164B15"/>
    <w:rsid w:val="00170306"/>
    <w:rsid w:val="00175609"/>
    <w:rsid w:val="001764CB"/>
    <w:rsid w:val="001768D4"/>
    <w:rsid w:val="001779B6"/>
    <w:rsid w:val="001843E0"/>
    <w:rsid w:val="00184967"/>
    <w:rsid w:val="00184B9C"/>
    <w:rsid w:val="00185232"/>
    <w:rsid w:val="00194858"/>
    <w:rsid w:val="001972EE"/>
    <w:rsid w:val="001A0112"/>
    <w:rsid w:val="001A0382"/>
    <w:rsid w:val="001A6A25"/>
    <w:rsid w:val="001B11BB"/>
    <w:rsid w:val="001B30E3"/>
    <w:rsid w:val="001B38C6"/>
    <w:rsid w:val="001B497C"/>
    <w:rsid w:val="001B5961"/>
    <w:rsid w:val="001B7668"/>
    <w:rsid w:val="001B7D59"/>
    <w:rsid w:val="001C6A8E"/>
    <w:rsid w:val="001D0EA9"/>
    <w:rsid w:val="001D433E"/>
    <w:rsid w:val="001D4BFC"/>
    <w:rsid w:val="001D5E35"/>
    <w:rsid w:val="001D7367"/>
    <w:rsid w:val="001E4717"/>
    <w:rsid w:val="001E5CAB"/>
    <w:rsid w:val="001F1E91"/>
    <w:rsid w:val="001F1EF2"/>
    <w:rsid w:val="001F1F74"/>
    <w:rsid w:val="001F4705"/>
    <w:rsid w:val="00203FF4"/>
    <w:rsid w:val="00205BAC"/>
    <w:rsid w:val="00205DEC"/>
    <w:rsid w:val="002062BD"/>
    <w:rsid w:val="00213FE7"/>
    <w:rsid w:val="00214A41"/>
    <w:rsid w:val="00217B11"/>
    <w:rsid w:val="00220C0E"/>
    <w:rsid w:val="00222C70"/>
    <w:rsid w:val="00224F57"/>
    <w:rsid w:val="00225892"/>
    <w:rsid w:val="00226758"/>
    <w:rsid w:val="0023076D"/>
    <w:rsid w:val="002329D5"/>
    <w:rsid w:val="00233029"/>
    <w:rsid w:val="002335A9"/>
    <w:rsid w:val="0023708F"/>
    <w:rsid w:val="0024140C"/>
    <w:rsid w:val="0024249F"/>
    <w:rsid w:val="00244340"/>
    <w:rsid w:val="00245159"/>
    <w:rsid w:val="00257C4F"/>
    <w:rsid w:val="00265D38"/>
    <w:rsid w:val="002706D0"/>
    <w:rsid w:val="002802C9"/>
    <w:rsid w:val="00281A9A"/>
    <w:rsid w:val="00284B2E"/>
    <w:rsid w:val="00286F00"/>
    <w:rsid w:val="00287D8E"/>
    <w:rsid w:val="002915E0"/>
    <w:rsid w:val="0029731D"/>
    <w:rsid w:val="002A7920"/>
    <w:rsid w:val="002B13EC"/>
    <w:rsid w:val="002B1C65"/>
    <w:rsid w:val="002B4B5F"/>
    <w:rsid w:val="002C4EA8"/>
    <w:rsid w:val="002C6ED9"/>
    <w:rsid w:val="002C75DC"/>
    <w:rsid w:val="002C7F6E"/>
    <w:rsid w:val="002D1957"/>
    <w:rsid w:val="002D1D14"/>
    <w:rsid w:val="002D1D44"/>
    <w:rsid w:val="002D32BC"/>
    <w:rsid w:val="002D5139"/>
    <w:rsid w:val="002D786E"/>
    <w:rsid w:val="002E0962"/>
    <w:rsid w:val="002E2960"/>
    <w:rsid w:val="002E2B63"/>
    <w:rsid w:val="002E5831"/>
    <w:rsid w:val="002E5F5C"/>
    <w:rsid w:val="002F2741"/>
    <w:rsid w:val="002F60B4"/>
    <w:rsid w:val="002F6845"/>
    <w:rsid w:val="002F70E5"/>
    <w:rsid w:val="0030074E"/>
    <w:rsid w:val="00300C48"/>
    <w:rsid w:val="003024D4"/>
    <w:rsid w:val="003026CD"/>
    <w:rsid w:val="00304881"/>
    <w:rsid w:val="00306810"/>
    <w:rsid w:val="00311401"/>
    <w:rsid w:val="00311BF5"/>
    <w:rsid w:val="00316C37"/>
    <w:rsid w:val="003175FF"/>
    <w:rsid w:val="00322507"/>
    <w:rsid w:val="003266F3"/>
    <w:rsid w:val="00326794"/>
    <w:rsid w:val="003270C2"/>
    <w:rsid w:val="003279AA"/>
    <w:rsid w:val="003304FF"/>
    <w:rsid w:val="00331834"/>
    <w:rsid w:val="003321B5"/>
    <w:rsid w:val="00334A30"/>
    <w:rsid w:val="00334F6C"/>
    <w:rsid w:val="00336BAF"/>
    <w:rsid w:val="00337330"/>
    <w:rsid w:val="00342A90"/>
    <w:rsid w:val="00343A08"/>
    <w:rsid w:val="00346F3E"/>
    <w:rsid w:val="00350C31"/>
    <w:rsid w:val="00352B50"/>
    <w:rsid w:val="00353088"/>
    <w:rsid w:val="003557B5"/>
    <w:rsid w:val="00355DEB"/>
    <w:rsid w:val="003611E9"/>
    <w:rsid w:val="00364A29"/>
    <w:rsid w:val="00365894"/>
    <w:rsid w:val="00366A7A"/>
    <w:rsid w:val="0036731C"/>
    <w:rsid w:val="00370CCC"/>
    <w:rsid w:val="003710FC"/>
    <w:rsid w:val="00371BEE"/>
    <w:rsid w:val="003722A4"/>
    <w:rsid w:val="00372502"/>
    <w:rsid w:val="00375009"/>
    <w:rsid w:val="00376262"/>
    <w:rsid w:val="00380CDD"/>
    <w:rsid w:val="0038416B"/>
    <w:rsid w:val="003876A7"/>
    <w:rsid w:val="00387B5E"/>
    <w:rsid w:val="003921B0"/>
    <w:rsid w:val="0039431A"/>
    <w:rsid w:val="00394840"/>
    <w:rsid w:val="00395C0E"/>
    <w:rsid w:val="0039614C"/>
    <w:rsid w:val="003A1872"/>
    <w:rsid w:val="003A1E81"/>
    <w:rsid w:val="003A21A8"/>
    <w:rsid w:val="003A328F"/>
    <w:rsid w:val="003B2F98"/>
    <w:rsid w:val="003B3FD1"/>
    <w:rsid w:val="003B5C56"/>
    <w:rsid w:val="003C2C27"/>
    <w:rsid w:val="003C2E72"/>
    <w:rsid w:val="003C331A"/>
    <w:rsid w:val="003C5C58"/>
    <w:rsid w:val="003C648B"/>
    <w:rsid w:val="003C719F"/>
    <w:rsid w:val="003C7C62"/>
    <w:rsid w:val="003D0B76"/>
    <w:rsid w:val="003D5184"/>
    <w:rsid w:val="003D6B07"/>
    <w:rsid w:val="003E13D1"/>
    <w:rsid w:val="003E17E1"/>
    <w:rsid w:val="003E20FD"/>
    <w:rsid w:val="003E3C3B"/>
    <w:rsid w:val="003E5662"/>
    <w:rsid w:val="003E78AD"/>
    <w:rsid w:val="003F0DC6"/>
    <w:rsid w:val="003F160E"/>
    <w:rsid w:val="003F3007"/>
    <w:rsid w:val="00400252"/>
    <w:rsid w:val="00402542"/>
    <w:rsid w:val="004026AE"/>
    <w:rsid w:val="0040316B"/>
    <w:rsid w:val="00404D35"/>
    <w:rsid w:val="00411890"/>
    <w:rsid w:val="004130CC"/>
    <w:rsid w:val="00417003"/>
    <w:rsid w:val="00417553"/>
    <w:rsid w:val="004178F2"/>
    <w:rsid w:val="00421BB3"/>
    <w:rsid w:val="0042352F"/>
    <w:rsid w:val="00437986"/>
    <w:rsid w:val="004419BC"/>
    <w:rsid w:val="00447192"/>
    <w:rsid w:val="00450385"/>
    <w:rsid w:val="004519F0"/>
    <w:rsid w:val="00452EF4"/>
    <w:rsid w:val="00460619"/>
    <w:rsid w:val="0046132E"/>
    <w:rsid w:val="00461BE8"/>
    <w:rsid w:val="0046274D"/>
    <w:rsid w:val="00465185"/>
    <w:rsid w:val="00467F46"/>
    <w:rsid w:val="00470380"/>
    <w:rsid w:val="004711BA"/>
    <w:rsid w:val="00471A7C"/>
    <w:rsid w:val="004724A0"/>
    <w:rsid w:val="00476322"/>
    <w:rsid w:val="00476E57"/>
    <w:rsid w:val="004779D0"/>
    <w:rsid w:val="00481DC9"/>
    <w:rsid w:val="00483783"/>
    <w:rsid w:val="00486E71"/>
    <w:rsid w:val="00493E93"/>
    <w:rsid w:val="004947B9"/>
    <w:rsid w:val="004A3F65"/>
    <w:rsid w:val="004A40F8"/>
    <w:rsid w:val="004A5847"/>
    <w:rsid w:val="004A6CCA"/>
    <w:rsid w:val="004B3EFB"/>
    <w:rsid w:val="004B42B5"/>
    <w:rsid w:val="004B435A"/>
    <w:rsid w:val="004B7927"/>
    <w:rsid w:val="004C259A"/>
    <w:rsid w:val="004C313C"/>
    <w:rsid w:val="004C4BCC"/>
    <w:rsid w:val="004C526C"/>
    <w:rsid w:val="004C5C1F"/>
    <w:rsid w:val="004D03E4"/>
    <w:rsid w:val="004D39F8"/>
    <w:rsid w:val="004D560B"/>
    <w:rsid w:val="004E0E01"/>
    <w:rsid w:val="004E3CF7"/>
    <w:rsid w:val="004E64B1"/>
    <w:rsid w:val="004F08FD"/>
    <w:rsid w:val="004F1BFA"/>
    <w:rsid w:val="004F24C3"/>
    <w:rsid w:val="004F5E15"/>
    <w:rsid w:val="004F6603"/>
    <w:rsid w:val="0050158F"/>
    <w:rsid w:val="00503CD7"/>
    <w:rsid w:val="00503DE4"/>
    <w:rsid w:val="0050498C"/>
    <w:rsid w:val="00504F27"/>
    <w:rsid w:val="00506508"/>
    <w:rsid w:val="0051155F"/>
    <w:rsid w:val="00512422"/>
    <w:rsid w:val="005154B4"/>
    <w:rsid w:val="00516BF8"/>
    <w:rsid w:val="00517914"/>
    <w:rsid w:val="005208C1"/>
    <w:rsid w:val="0052140D"/>
    <w:rsid w:val="00522F6B"/>
    <w:rsid w:val="00524304"/>
    <w:rsid w:val="00524A3E"/>
    <w:rsid w:val="00535E17"/>
    <w:rsid w:val="005368B9"/>
    <w:rsid w:val="005405FF"/>
    <w:rsid w:val="0054160F"/>
    <w:rsid w:val="0054384C"/>
    <w:rsid w:val="00543C96"/>
    <w:rsid w:val="00544FF0"/>
    <w:rsid w:val="00545DD6"/>
    <w:rsid w:val="005461F2"/>
    <w:rsid w:val="00547418"/>
    <w:rsid w:val="00547B96"/>
    <w:rsid w:val="00550C2F"/>
    <w:rsid w:val="00550F22"/>
    <w:rsid w:val="00552459"/>
    <w:rsid w:val="00552C98"/>
    <w:rsid w:val="00555455"/>
    <w:rsid w:val="005573FD"/>
    <w:rsid w:val="00557ACF"/>
    <w:rsid w:val="00562C45"/>
    <w:rsid w:val="00562FE3"/>
    <w:rsid w:val="0056786E"/>
    <w:rsid w:val="00570106"/>
    <w:rsid w:val="00575C06"/>
    <w:rsid w:val="00580054"/>
    <w:rsid w:val="005811EC"/>
    <w:rsid w:val="005828A6"/>
    <w:rsid w:val="00585E3A"/>
    <w:rsid w:val="00587618"/>
    <w:rsid w:val="00591383"/>
    <w:rsid w:val="00591B2B"/>
    <w:rsid w:val="00594F0B"/>
    <w:rsid w:val="005952D0"/>
    <w:rsid w:val="005973F6"/>
    <w:rsid w:val="005A1F89"/>
    <w:rsid w:val="005A2384"/>
    <w:rsid w:val="005A2824"/>
    <w:rsid w:val="005A3E80"/>
    <w:rsid w:val="005A738A"/>
    <w:rsid w:val="005B2ADF"/>
    <w:rsid w:val="005B3B6C"/>
    <w:rsid w:val="005B5E1F"/>
    <w:rsid w:val="005C1B29"/>
    <w:rsid w:val="005C2E7E"/>
    <w:rsid w:val="005C4AB5"/>
    <w:rsid w:val="005C521B"/>
    <w:rsid w:val="005D019B"/>
    <w:rsid w:val="005D3516"/>
    <w:rsid w:val="005D5D20"/>
    <w:rsid w:val="005E0B29"/>
    <w:rsid w:val="005E1C26"/>
    <w:rsid w:val="005E1E8A"/>
    <w:rsid w:val="005E21C7"/>
    <w:rsid w:val="005E6E54"/>
    <w:rsid w:val="005F18E4"/>
    <w:rsid w:val="005F5282"/>
    <w:rsid w:val="00602D54"/>
    <w:rsid w:val="00604EA3"/>
    <w:rsid w:val="00605801"/>
    <w:rsid w:val="006059AB"/>
    <w:rsid w:val="0060740F"/>
    <w:rsid w:val="0061176D"/>
    <w:rsid w:val="00614128"/>
    <w:rsid w:val="0061755D"/>
    <w:rsid w:val="00620024"/>
    <w:rsid w:val="00625FDD"/>
    <w:rsid w:val="006266FB"/>
    <w:rsid w:val="006267A5"/>
    <w:rsid w:val="0063254B"/>
    <w:rsid w:val="006416FA"/>
    <w:rsid w:val="00645582"/>
    <w:rsid w:val="0064571A"/>
    <w:rsid w:val="00647E04"/>
    <w:rsid w:val="006512E9"/>
    <w:rsid w:val="006532F4"/>
    <w:rsid w:val="0065586C"/>
    <w:rsid w:val="006649E5"/>
    <w:rsid w:val="00666A4A"/>
    <w:rsid w:val="006700A2"/>
    <w:rsid w:val="006704BC"/>
    <w:rsid w:val="006722A1"/>
    <w:rsid w:val="00683B9E"/>
    <w:rsid w:val="00683CD2"/>
    <w:rsid w:val="00685B94"/>
    <w:rsid w:val="006873F2"/>
    <w:rsid w:val="00690C2A"/>
    <w:rsid w:val="00691B43"/>
    <w:rsid w:val="00692045"/>
    <w:rsid w:val="006921FF"/>
    <w:rsid w:val="0069221A"/>
    <w:rsid w:val="006933AC"/>
    <w:rsid w:val="00697393"/>
    <w:rsid w:val="0069784E"/>
    <w:rsid w:val="006A4820"/>
    <w:rsid w:val="006B24FC"/>
    <w:rsid w:val="006C1611"/>
    <w:rsid w:val="006C66FB"/>
    <w:rsid w:val="006D38BE"/>
    <w:rsid w:val="006D3EAA"/>
    <w:rsid w:val="006D419F"/>
    <w:rsid w:val="006D52BA"/>
    <w:rsid w:val="006E0372"/>
    <w:rsid w:val="006E0539"/>
    <w:rsid w:val="006E22F0"/>
    <w:rsid w:val="006F0A06"/>
    <w:rsid w:val="006F0FAD"/>
    <w:rsid w:val="006F1330"/>
    <w:rsid w:val="006F13C6"/>
    <w:rsid w:val="006F1942"/>
    <w:rsid w:val="006F366C"/>
    <w:rsid w:val="006F52AC"/>
    <w:rsid w:val="006F5C2E"/>
    <w:rsid w:val="006F762F"/>
    <w:rsid w:val="006F7EF0"/>
    <w:rsid w:val="0070242E"/>
    <w:rsid w:val="00704198"/>
    <w:rsid w:val="007053F7"/>
    <w:rsid w:val="00706359"/>
    <w:rsid w:val="0071217B"/>
    <w:rsid w:val="00714AEB"/>
    <w:rsid w:val="00715D94"/>
    <w:rsid w:val="00717295"/>
    <w:rsid w:val="00720C53"/>
    <w:rsid w:val="00721EBD"/>
    <w:rsid w:val="0072216C"/>
    <w:rsid w:val="00722EFB"/>
    <w:rsid w:val="007252DF"/>
    <w:rsid w:val="0072626E"/>
    <w:rsid w:val="00736072"/>
    <w:rsid w:val="00736D3F"/>
    <w:rsid w:val="00743F52"/>
    <w:rsid w:val="00744AAD"/>
    <w:rsid w:val="00745816"/>
    <w:rsid w:val="00746384"/>
    <w:rsid w:val="00750525"/>
    <w:rsid w:val="00762235"/>
    <w:rsid w:val="007649BD"/>
    <w:rsid w:val="00765B01"/>
    <w:rsid w:val="00765BCF"/>
    <w:rsid w:val="00771297"/>
    <w:rsid w:val="00771514"/>
    <w:rsid w:val="00773740"/>
    <w:rsid w:val="00773D36"/>
    <w:rsid w:val="00775A37"/>
    <w:rsid w:val="00775EB8"/>
    <w:rsid w:val="00776983"/>
    <w:rsid w:val="00780C60"/>
    <w:rsid w:val="00782697"/>
    <w:rsid w:val="00791527"/>
    <w:rsid w:val="00792DA6"/>
    <w:rsid w:val="00796D59"/>
    <w:rsid w:val="00796F09"/>
    <w:rsid w:val="007A0371"/>
    <w:rsid w:val="007A1117"/>
    <w:rsid w:val="007A11E2"/>
    <w:rsid w:val="007A72D7"/>
    <w:rsid w:val="007B304C"/>
    <w:rsid w:val="007B394C"/>
    <w:rsid w:val="007C11BE"/>
    <w:rsid w:val="007C43C0"/>
    <w:rsid w:val="007C529E"/>
    <w:rsid w:val="007D1C2C"/>
    <w:rsid w:val="007D49C2"/>
    <w:rsid w:val="007D53D8"/>
    <w:rsid w:val="007D73DF"/>
    <w:rsid w:val="007E4BCB"/>
    <w:rsid w:val="007E51AC"/>
    <w:rsid w:val="007E5C2D"/>
    <w:rsid w:val="007E6854"/>
    <w:rsid w:val="007E6BDA"/>
    <w:rsid w:val="007E7B58"/>
    <w:rsid w:val="007F2B54"/>
    <w:rsid w:val="007F2F60"/>
    <w:rsid w:val="007F6AEB"/>
    <w:rsid w:val="00813973"/>
    <w:rsid w:val="008146D3"/>
    <w:rsid w:val="00816636"/>
    <w:rsid w:val="00816A7D"/>
    <w:rsid w:val="00817BAF"/>
    <w:rsid w:val="00820D0F"/>
    <w:rsid w:val="008238A2"/>
    <w:rsid w:val="00825290"/>
    <w:rsid w:val="00827E30"/>
    <w:rsid w:val="00827E5E"/>
    <w:rsid w:val="008373CC"/>
    <w:rsid w:val="00837660"/>
    <w:rsid w:val="00837BDE"/>
    <w:rsid w:val="00837F6F"/>
    <w:rsid w:val="008421EE"/>
    <w:rsid w:val="00843397"/>
    <w:rsid w:val="008449EC"/>
    <w:rsid w:val="00845380"/>
    <w:rsid w:val="00854197"/>
    <w:rsid w:val="00855AB2"/>
    <w:rsid w:val="0085794E"/>
    <w:rsid w:val="0086085B"/>
    <w:rsid w:val="00861142"/>
    <w:rsid w:val="00861E37"/>
    <w:rsid w:val="00862AFC"/>
    <w:rsid w:val="008636B6"/>
    <w:rsid w:val="0086453F"/>
    <w:rsid w:val="0086691A"/>
    <w:rsid w:val="008701C7"/>
    <w:rsid w:val="0087031C"/>
    <w:rsid w:val="00870DB2"/>
    <w:rsid w:val="00871E2D"/>
    <w:rsid w:val="00876E08"/>
    <w:rsid w:val="00877613"/>
    <w:rsid w:val="00881E38"/>
    <w:rsid w:val="00884794"/>
    <w:rsid w:val="00884908"/>
    <w:rsid w:val="008855AD"/>
    <w:rsid w:val="00885F79"/>
    <w:rsid w:val="008912E5"/>
    <w:rsid w:val="00892ACB"/>
    <w:rsid w:val="00892BEE"/>
    <w:rsid w:val="00895F97"/>
    <w:rsid w:val="008A1905"/>
    <w:rsid w:val="008A536F"/>
    <w:rsid w:val="008A74E1"/>
    <w:rsid w:val="008B0B07"/>
    <w:rsid w:val="008B1F5C"/>
    <w:rsid w:val="008B55C7"/>
    <w:rsid w:val="008C031C"/>
    <w:rsid w:val="008C2BFE"/>
    <w:rsid w:val="008D12E0"/>
    <w:rsid w:val="008D53BC"/>
    <w:rsid w:val="008D7AE7"/>
    <w:rsid w:val="008D7CAB"/>
    <w:rsid w:val="008E12B1"/>
    <w:rsid w:val="008E43BC"/>
    <w:rsid w:val="008E4E91"/>
    <w:rsid w:val="008E64F8"/>
    <w:rsid w:val="008F14A6"/>
    <w:rsid w:val="0090254C"/>
    <w:rsid w:val="00902DB1"/>
    <w:rsid w:val="009079AE"/>
    <w:rsid w:val="00916222"/>
    <w:rsid w:val="00916CBB"/>
    <w:rsid w:val="00916ECB"/>
    <w:rsid w:val="0092001D"/>
    <w:rsid w:val="00921B55"/>
    <w:rsid w:val="009239E0"/>
    <w:rsid w:val="00924182"/>
    <w:rsid w:val="009245E2"/>
    <w:rsid w:val="009264B0"/>
    <w:rsid w:val="0092726A"/>
    <w:rsid w:val="00927836"/>
    <w:rsid w:val="009304B6"/>
    <w:rsid w:val="009324A3"/>
    <w:rsid w:val="009331C6"/>
    <w:rsid w:val="00933576"/>
    <w:rsid w:val="00934ED7"/>
    <w:rsid w:val="00940137"/>
    <w:rsid w:val="009409A3"/>
    <w:rsid w:val="009427BC"/>
    <w:rsid w:val="0094690C"/>
    <w:rsid w:val="00947700"/>
    <w:rsid w:val="0095013C"/>
    <w:rsid w:val="009513F0"/>
    <w:rsid w:val="009530DD"/>
    <w:rsid w:val="00956A39"/>
    <w:rsid w:val="00960330"/>
    <w:rsid w:val="00961BE8"/>
    <w:rsid w:val="00963403"/>
    <w:rsid w:val="00967824"/>
    <w:rsid w:val="0097040D"/>
    <w:rsid w:val="0097075F"/>
    <w:rsid w:val="009778C7"/>
    <w:rsid w:val="00981FEA"/>
    <w:rsid w:val="0098217E"/>
    <w:rsid w:val="0098243E"/>
    <w:rsid w:val="00982DE4"/>
    <w:rsid w:val="00985308"/>
    <w:rsid w:val="00991BC1"/>
    <w:rsid w:val="00991DF7"/>
    <w:rsid w:val="00996925"/>
    <w:rsid w:val="009A62AC"/>
    <w:rsid w:val="009B2451"/>
    <w:rsid w:val="009B478E"/>
    <w:rsid w:val="009D1BD7"/>
    <w:rsid w:val="009D5203"/>
    <w:rsid w:val="009D5370"/>
    <w:rsid w:val="009D735E"/>
    <w:rsid w:val="009D765C"/>
    <w:rsid w:val="009E5FC0"/>
    <w:rsid w:val="009E623E"/>
    <w:rsid w:val="009F3BAE"/>
    <w:rsid w:val="009F5C2B"/>
    <w:rsid w:val="00A006E5"/>
    <w:rsid w:val="00A01751"/>
    <w:rsid w:val="00A03078"/>
    <w:rsid w:val="00A049CA"/>
    <w:rsid w:val="00A238DA"/>
    <w:rsid w:val="00A256CB"/>
    <w:rsid w:val="00A25A9E"/>
    <w:rsid w:val="00A2738E"/>
    <w:rsid w:val="00A32AC9"/>
    <w:rsid w:val="00A353EF"/>
    <w:rsid w:val="00A36231"/>
    <w:rsid w:val="00A376EE"/>
    <w:rsid w:val="00A41341"/>
    <w:rsid w:val="00A4326D"/>
    <w:rsid w:val="00A44044"/>
    <w:rsid w:val="00A45812"/>
    <w:rsid w:val="00A535DC"/>
    <w:rsid w:val="00A57BE3"/>
    <w:rsid w:val="00A64FE3"/>
    <w:rsid w:val="00A653CB"/>
    <w:rsid w:val="00A71933"/>
    <w:rsid w:val="00A7266D"/>
    <w:rsid w:val="00A77556"/>
    <w:rsid w:val="00A80FAA"/>
    <w:rsid w:val="00A82DDF"/>
    <w:rsid w:val="00A84610"/>
    <w:rsid w:val="00A847BA"/>
    <w:rsid w:val="00A851DA"/>
    <w:rsid w:val="00A87325"/>
    <w:rsid w:val="00A92C50"/>
    <w:rsid w:val="00A937FE"/>
    <w:rsid w:val="00A93871"/>
    <w:rsid w:val="00A945D6"/>
    <w:rsid w:val="00A95852"/>
    <w:rsid w:val="00A964D6"/>
    <w:rsid w:val="00A966CF"/>
    <w:rsid w:val="00AA0882"/>
    <w:rsid w:val="00AA13E4"/>
    <w:rsid w:val="00AA3E9A"/>
    <w:rsid w:val="00AA400D"/>
    <w:rsid w:val="00AA4835"/>
    <w:rsid w:val="00AA5B67"/>
    <w:rsid w:val="00AA64D1"/>
    <w:rsid w:val="00AB4406"/>
    <w:rsid w:val="00AB57A2"/>
    <w:rsid w:val="00AB5E18"/>
    <w:rsid w:val="00AC3783"/>
    <w:rsid w:val="00AC3A84"/>
    <w:rsid w:val="00AC5721"/>
    <w:rsid w:val="00AC639F"/>
    <w:rsid w:val="00AD0B0C"/>
    <w:rsid w:val="00AD308E"/>
    <w:rsid w:val="00AD42CE"/>
    <w:rsid w:val="00AD485A"/>
    <w:rsid w:val="00AD5288"/>
    <w:rsid w:val="00AD5715"/>
    <w:rsid w:val="00AD78FE"/>
    <w:rsid w:val="00AD7EE2"/>
    <w:rsid w:val="00AE3DBC"/>
    <w:rsid w:val="00AE3F7F"/>
    <w:rsid w:val="00AE7B7B"/>
    <w:rsid w:val="00AE7DA7"/>
    <w:rsid w:val="00AF1C70"/>
    <w:rsid w:val="00AF32AA"/>
    <w:rsid w:val="00AF36DA"/>
    <w:rsid w:val="00AF3B7D"/>
    <w:rsid w:val="00AF5FBF"/>
    <w:rsid w:val="00AF63C0"/>
    <w:rsid w:val="00AF683F"/>
    <w:rsid w:val="00AF7AF5"/>
    <w:rsid w:val="00B00B48"/>
    <w:rsid w:val="00B03872"/>
    <w:rsid w:val="00B041C4"/>
    <w:rsid w:val="00B05CBF"/>
    <w:rsid w:val="00B109F9"/>
    <w:rsid w:val="00B171F3"/>
    <w:rsid w:val="00B177CD"/>
    <w:rsid w:val="00B202DB"/>
    <w:rsid w:val="00B22640"/>
    <w:rsid w:val="00B23763"/>
    <w:rsid w:val="00B27BAF"/>
    <w:rsid w:val="00B3089E"/>
    <w:rsid w:val="00B320B3"/>
    <w:rsid w:val="00B3351F"/>
    <w:rsid w:val="00B361BB"/>
    <w:rsid w:val="00B40662"/>
    <w:rsid w:val="00B40861"/>
    <w:rsid w:val="00B50E03"/>
    <w:rsid w:val="00B51F46"/>
    <w:rsid w:val="00B529BE"/>
    <w:rsid w:val="00B52E36"/>
    <w:rsid w:val="00B53005"/>
    <w:rsid w:val="00B54AFA"/>
    <w:rsid w:val="00B56A51"/>
    <w:rsid w:val="00B604A7"/>
    <w:rsid w:val="00B657C2"/>
    <w:rsid w:val="00B74975"/>
    <w:rsid w:val="00B75185"/>
    <w:rsid w:val="00B75BBF"/>
    <w:rsid w:val="00B76512"/>
    <w:rsid w:val="00B817D3"/>
    <w:rsid w:val="00B81B15"/>
    <w:rsid w:val="00B8469E"/>
    <w:rsid w:val="00B85627"/>
    <w:rsid w:val="00B8657F"/>
    <w:rsid w:val="00B91650"/>
    <w:rsid w:val="00BA4771"/>
    <w:rsid w:val="00BB007D"/>
    <w:rsid w:val="00BB5CCA"/>
    <w:rsid w:val="00BB6ADE"/>
    <w:rsid w:val="00BC0071"/>
    <w:rsid w:val="00BC2CD5"/>
    <w:rsid w:val="00BC322D"/>
    <w:rsid w:val="00BC4383"/>
    <w:rsid w:val="00BC578F"/>
    <w:rsid w:val="00BD1290"/>
    <w:rsid w:val="00BE2CC0"/>
    <w:rsid w:val="00BE582F"/>
    <w:rsid w:val="00BE7EF1"/>
    <w:rsid w:val="00BF173F"/>
    <w:rsid w:val="00BF198B"/>
    <w:rsid w:val="00C04BCE"/>
    <w:rsid w:val="00C133E6"/>
    <w:rsid w:val="00C13ABB"/>
    <w:rsid w:val="00C151CD"/>
    <w:rsid w:val="00C246F0"/>
    <w:rsid w:val="00C33A45"/>
    <w:rsid w:val="00C40D0B"/>
    <w:rsid w:val="00C43AB7"/>
    <w:rsid w:val="00C45B2E"/>
    <w:rsid w:val="00C539A6"/>
    <w:rsid w:val="00C5600A"/>
    <w:rsid w:val="00C6183C"/>
    <w:rsid w:val="00C6237C"/>
    <w:rsid w:val="00C62FFA"/>
    <w:rsid w:val="00C718DA"/>
    <w:rsid w:val="00C7399D"/>
    <w:rsid w:val="00C77E52"/>
    <w:rsid w:val="00C809E8"/>
    <w:rsid w:val="00C839C1"/>
    <w:rsid w:val="00C83D48"/>
    <w:rsid w:val="00C84569"/>
    <w:rsid w:val="00C84785"/>
    <w:rsid w:val="00C9082F"/>
    <w:rsid w:val="00C92CDD"/>
    <w:rsid w:val="00C97722"/>
    <w:rsid w:val="00CA022A"/>
    <w:rsid w:val="00CA24C4"/>
    <w:rsid w:val="00CA33FE"/>
    <w:rsid w:val="00CA401B"/>
    <w:rsid w:val="00CA473A"/>
    <w:rsid w:val="00CA5ABC"/>
    <w:rsid w:val="00CA6D70"/>
    <w:rsid w:val="00CB20B5"/>
    <w:rsid w:val="00CB2ACF"/>
    <w:rsid w:val="00CB3257"/>
    <w:rsid w:val="00CB3AA8"/>
    <w:rsid w:val="00CB5878"/>
    <w:rsid w:val="00CB7FEA"/>
    <w:rsid w:val="00CD2D5C"/>
    <w:rsid w:val="00CD30C2"/>
    <w:rsid w:val="00CD33C2"/>
    <w:rsid w:val="00CD6B5E"/>
    <w:rsid w:val="00CD6D77"/>
    <w:rsid w:val="00CE059E"/>
    <w:rsid w:val="00CE1BA5"/>
    <w:rsid w:val="00CE296E"/>
    <w:rsid w:val="00CE2DAD"/>
    <w:rsid w:val="00CE2DB1"/>
    <w:rsid w:val="00CE33C0"/>
    <w:rsid w:val="00CE3E47"/>
    <w:rsid w:val="00CE504D"/>
    <w:rsid w:val="00CE56C1"/>
    <w:rsid w:val="00CF0CE5"/>
    <w:rsid w:val="00CF5C9C"/>
    <w:rsid w:val="00D00D87"/>
    <w:rsid w:val="00D02105"/>
    <w:rsid w:val="00D0275F"/>
    <w:rsid w:val="00D02FE2"/>
    <w:rsid w:val="00D10A3F"/>
    <w:rsid w:val="00D115B6"/>
    <w:rsid w:val="00D123C1"/>
    <w:rsid w:val="00D15E58"/>
    <w:rsid w:val="00D1762B"/>
    <w:rsid w:val="00D22067"/>
    <w:rsid w:val="00D2277F"/>
    <w:rsid w:val="00D254FC"/>
    <w:rsid w:val="00D26F91"/>
    <w:rsid w:val="00D27CDB"/>
    <w:rsid w:val="00D338D7"/>
    <w:rsid w:val="00D36ED0"/>
    <w:rsid w:val="00D50CB6"/>
    <w:rsid w:val="00D530A9"/>
    <w:rsid w:val="00D54271"/>
    <w:rsid w:val="00D6000C"/>
    <w:rsid w:val="00D60951"/>
    <w:rsid w:val="00D60C33"/>
    <w:rsid w:val="00D61589"/>
    <w:rsid w:val="00D6212A"/>
    <w:rsid w:val="00D63523"/>
    <w:rsid w:val="00D6376B"/>
    <w:rsid w:val="00D639FD"/>
    <w:rsid w:val="00D652F8"/>
    <w:rsid w:val="00D6563D"/>
    <w:rsid w:val="00D66335"/>
    <w:rsid w:val="00D6768E"/>
    <w:rsid w:val="00D72091"/>
    <w:rsid w:val="00D75F5B"/>
    <w:rsid w:val="00D76415"/>
    <w:rsid w:val="00D8144F"/>
    <w:rsid w:val="00D818A3"/>
    <w:rsid w:val="00D8777D"/>
    <w:rsid w:val="00D93460"/>
    <w:rsid w:val="00D93D32"/>
    <w:rsid w:val="00D95B3E"/>
    <w:rsid w:val="00DA0967"/>
    <w:rsid w:val="00DA0DD3"/>
    <w:rsid w:val="00DA1FBA"/>
    <w:rsid w:val="00DA3E19"/>
    <w:rsid w:val="00DA6281"/>
    <w:rsid w:val="00DB5179"/>
    <w:rsid w:val="00DB5798"/>
    <w:rsid w:val="00DB58DB"/>
    <w:rsid w:val="00DB7E77"/>
    <w:rsid w:val="00DC338D"/>
    <w:rsid w:val="00DD022C"/>
    <w:rsid w:val="00DD0B20"/>
    <w:rsid w:val="00DD0CEC"/>
    <w:rsid w:val="00DD1E2B"/>
    <w:rsid w:val="00DD2F40"/>
    <w:rsid w:val="00DD6077"/>
    <w:rsid w:val="00DD66B3"/>
    <w:rsid w:val="00DF08CE"/>
    <w:rsid w:val="00DF1599"/>
    <w:rsid w:val="00DF1B0C"/>
    <w:rsid w:val="00DF2DE2"/>
    <w:rsid w:val="00DF4F68"/>
    <w:rsid w:val="00E01837"/>
    <w:rsid w:val="00E04FDF"/>
    <w:rsid w:val="00E052B8"/>
    <w:rsid w:val="00E05343"/>
    <w:rsid w:val="00E068AD"/>
    <w:rsid w:val="00E10159"/>
    <w:rsid w:val="00E118A7"/>
    <w:rsid w:val="00E27382"/>
    <w:rsid w:val="00E27589"/>
    <w:rsid w:val="00E32EE9"/>
    <w:rsid w:val="00E3510D"/>
    <w:rsid w:val="00E41C0F"/>
    <w:rsid w:val="00E41E11"/>
    <w:rsid w:val="00E4391D"/>
    <w:rsid w:val="00E43CD8"/>
    <w:rsid w:val="00E46E44"/>
    <w:rsid w:val="00E473DC"/>
    <w:rsid w:val="00E51805"/>
    <w:rsid w:val="00E55A30"/>
    <w:rsid w:val="00E55E8D"/>
    <w:rsid w:val="00E56C74"/>
    <w:rsid w:val="00E57DCA"/>
    <w:rsid w:val="00E615DF"/>
    <w:rsid w:val="00E61C52"/>
    <w:rsid w:val="00E647CF"/>
    <w:rsid w:val="00E64D14"/>
    <w:rsid w:val="00E70305"/>
    <w:rsid w:val="00E71DC8"/>
    <w:rsid w:val="00E775EF"/>
    <w:rsid w:val="00E8107A"/>
    <w:rsid w:val="00E82D6F"/>
    <w:rsid w:val="00E82EC2"/>
    <w:rsid w:val="00E85786"/>
    <w:rsid w:val="00E877E4"/>
    <w:rsid w:val="00E87CEE"/>
    <w:rsid w:val="00E94247"/>
    <w:rsid w:val="00E97183"/>
    <w:rsid w:val="00EA21A6"/>
    <w:rsid w:val="00EA5BF5"/>
    <w:rsid w:val="00EA76B0"/>
    <w:rsid w:val="00EB1E28"/>
    <w:rsid w:val="00EB23A7"/>
    <w:rsid w:val="00EB53D5"/>
    <w:rsid w:val="00EB651F"/>
    <w:rsid w:val="00EC1AEE"/>
    <w:rsid w:val="00ED0BD0"/>
    <w:rsid w:val="00ED397C"/>
    <w:rsid w:val="00ED5D81"/>
    <w:rsid w:val="00ED63CA"/>
    <w:rsid w:val="00ED6D4C"/>
    <w:rsid w:val="00EE295E"/>
    <w:rsid w:val="00EE38E0"/>
    <w:rsid w:val="00EE6AAC"/>
    <w:rsid w:val="00EF2CFF"/>
    <w:rsid w:val="00EF3975"/>
    <w:rsid w:val="00EF7DE7"/>
    <w:rsid w:val="00EF7DF4"/>
    <w:rsid w:val="00F01023"/>
    <w:rsid w:val="00F03E6D"/>
    <w:rsid w:val="00F056D4"/>
    <w:rsid w:val="00F05DAC"/>
    <w:rsid w:val="00F1295F"/>
    <w:rsid w:val="00F169A6"/>
    <w:rsid w:val="00F21BE0"/>
    <w:rsid w:val="00F23A60"/>
    <w:rsid w:val="00F23DBB"/>
    <w:rsid w:val="00F2751F"/>
    <w:rsid w:val="00F32831"/>
    <w:rsid w:val="00F41529"/>
    <w:rsid w:val="00F42750"/>
    <w:rsid w:val="00F45E96"/>
    <w:rsid w:val="00F5026B"/>
    <w:rsid w:val="00F50406"/>
    <w:rsid w:val="00F50B68"/>
    <w:rsid w:val="00F52766"/>
    <w:rsid w:val="00F537CF"/>
    <w:rsid w:val="00F56770"/>
    <w:rsid w:val="00F667D7"/>
    <w:rsid w:val="00F71D4D"/>
    <w:rsid w:val="00F76F2C"/>
    <w:rsid w:val="00F773BE"/>
    <w:rsid w:val="00F77B2C"/>
    <w:rsid w:val="00F804D3"/>
    <w:rsid w:val="00F85E54"/>
    <w:rsid w:val="00F9085F"/>
    <w:rsid w:val="00F90C69"/>
    <w:rsid w:val="00F91490"/>
    <w:rsid w:val="00F925BA"/>
    <w:rsid w:val="00F937A7"/>
    <w:rsid w:val="00F947E2"/>
    <w:rsid w:val="00F97EA2"/>
    <w:rsid w:val="00FA28AE"/>
    <w:rsid w:val="00FA35A9"/>
    <w:rsid w:val="00FA5D55"/>
    <w:rsid w:val="00FA5F6A"/>
    <w:rsid w:val="00FA7710"/>
    <w:rsid w:val="00FB3A9D"/>
    <w:rsid w:val="00FB6D44"/>
    <w:rsid w:val="00FB7488"/>
    <w:rsid w:val="00FC0100"/>
    <w:rsid w:val="00FC2924"/>
    <w:rsid w:val="00FC48CD"/>
    <w:rsid w:val="00FC4DD1"/>
    <w:rsid w:val="00FC5124"/>
    <w:rsid w:val="00FC6912"/>
    <w:rsid w:val="00FC70D9"/>
    <w:rsid w:val="00FD3FE8"/>
    <w:rsid w:val="00FD6A7E"/>
    <w:rsid w:val="00FD7B8F"/>
    <w:rsid w:val="00FE1CCC"/>
    <w:rsid w:val="00FE2B3B"/>
    <w:rsid w:val="00FF19D7"/>
    <w:rsid w:val="00FF2BC9"/>
    <w:rsid w:val="00FF31B0"/>
    <w:rsid w:val="00FF711D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5"/>
      </w:numPr>
      <w:outlineLvl w:val="0"/>
    </w:pPr>
    <w:rPr>
      <w:b/>
      <w:bCs/>
      <w:sz w:val="28"/>
      <w:szCs w:val="28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lang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tyl1">
    <w:name w:val="Styl1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semiHidden/>
    <w:pPr>
      <w:jc w:val="left"/>
    </w:pPr>
    <w:rPr>
      <w:szCs w:val="20"/>
      <w:lang/>
    </w:rPr>
  </w:style>
  <w:style w:type="character" w:customStyle="1" w:styleId="TextpoznpodarouChar">
    <w:name w:val="Text pozn. pod čarou Char"/>
    <w:aliases w:val="Text pozn. pod čarou_martin_ang Char1"/>
    <w:semiHidden/>
    <w:rPr>
      <w:rFonts w:ascii="Arial" w:eastAsia="Times New Roman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qFormat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pPr>
      <w:jc w:val="left"/>
    </w:pPr>
    <w:rPr>
      <w:szCs w:val="20"/>
      <w:lang/>
    </w:rPr>
  </w:style>
  <w:style w:type="character" w:customStyle="1" w:styleId="TextkomenteChar">
    <w:name w:val="Text komentáře Char"/>
    <w:semiHidden/>
    <w:rPr>
      <w:rFonts w:ascii="Arial" w:eastAsia="Times New Roman" w:hAnsi="Arial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pPr>
      <w:jc w:val="both"/>
    </w:pPr>
    <w:rPr>
      <w:rFonts w:ascii="Arial" w:eastAsia="Times New Roman" w:hAnsi="Arial"/>
      <w:szCs w:val="24"/>
    </w:rPr>
  </w:style>
  <w:style w:type="paragraph" w:styleId="Obsah10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semiHidden/>
    <w:rPr>
      <w:color w:val="000000"/>
    </w:rPr>
  </w:style>
  <w:style w:type="paragraph" w:styleId="Zkladntext3">
    <w:name w:val="Body Text 3"/>
    <w:basedOn w:val="Normln"/>
    <w:semiHidden/>
    <w:rPr>
      <w:sz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card">
    <w:name w:val="card"/>
    <w:basedOn w:val="Standardnpsmoodstavce"/>
  </w:style>
  <w:style w:type="paragraph" w:styleId="Zkladntext2">
    <w:name w:val="Body Text 2"/>
    <w:basedOn w:val="Normln"/>
    <w:semiHidden/>
    <w:pPr>
      <w:jc w:val="left"/>
    </w:pPr>
    <w:rPr>
      <w:b/>
      <w:bCs/>
    </w:rPr>
  </w:style>
  <w:style w:type="paragraph" w:customStyle="1" w:styleId="normalnsodrkami">
    <w:name w:val="normalní s odrážkami"/>
    <w:basedOn w:val="Normln"/>
    <w:pPr>
      <w:numPr>
        <w:numId w:val="19"/>
      </w:numPr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rsid w:val="004D0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3D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3D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E13D1"/>
    <w:rPr>
      <w:vertAlign w:val="superscript"/>
    </w:rPr>
  </w:style>
  <w:style w:type="character" w:customStyle="1" w:styleId="hps">
    <w:name w:val="hps"/>
    <w:basedOn w:val="Standardnpsmoodstavce"/>
    <w:rsid w:val="00FF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C191-2C9E-4F0B-A866-5367D7C9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</vt:lpstr>
    </vt:vector>
  </TitlesOfParts>
  <Company>ČSÚ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</dc:title>
  <dc:creator>SystemService</dc:creator>
  <cp:lastModifiedBy>Jiří Kamenický</cp:lastModifiedBy>
  <cp:revision>2</cp:revision>
  <cp:lastPrinted>2014-06-02T17:09:00Z</cp:lastPrinted>
  <dcterms:created xsi:type="dcterms:W3CDTF">2014-10-24T06:27:00Z</dcterms:created>
  <dcterms:modified xsi:type="dcterms:W3CDTF">2014-10-24T06:27:00Z</dcterms:modified>
</cp:coreProperties>
</file>