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2E" w:rsidRDefault="00BA102E">
      <w:pPr>
        <w:pStyle w:val="Nadpis1"/>
        <w:jc w:val="left"/>
        <w:rPr>
          <w:rFonts w:ascii="Arial" w:hAnsi="Arial" w:cs="Arial"/>
        </w:rPr>
      </w:pPr>
      <w:bookmarkStart w:id="0" w:name="_GoBack"/>
      <w:bookmarkEnd w:id="0"/>
      <w:r>
        <w:rPr>
          <w:rFonts w:ascii="Arial" w:hAnsi="Arial" w:cs="Arial"/>
        </w:rPr>
        <w:t>METHODOLOGY</w:t>
      </w:r>
    </w:p>
    <w:p w:rsidR="00BA102E" w:rsidRDefault="00BA102E"/>
    <w:p w:rsidR="00BA102E" w:rsidRDefault="00BA102E">
      <w:pPr>
        <w:spacing w:after="120"/>
        <w:jc w:val="both"/>
        <w:rPr>
          <w:rFonts w:ascii="Arial" w:hAnsi="Arial" w:cs="Arial"/>
          <w:i/>
          <w:iCs/>
          <w:lang w:val="en-GB"/>
        </w:rPr>
      </w:pPr>
      <w:r>
        <w:rPr>
          <w:rFonts w:ascii="Arial" w:hAnsi="Arial" w:cs="Arial"/>
          <w:b/>
          <w:bCs/>
          <w:i/>
          <w:iCs/>
          <w:lang w:val="en-GB"/>
        </w:rPr>
        <w:t xml:space="preserve">Direct material input (DMI) – </w:t>
      </w:r>
      <w:r>
        <w:rPr>
          <w:rFonts w:ascii="Arial" w:hAnsi="Arial" w:cs="Arial"/>
          <w:i/>
          <w:iCs/>
          <w:lang w:val="en-GB"/>
        </w:rPr>
        <w:t xml:space="preserve">measures the input of used materials in the economy, i.e. all materials that have an economic value and are used for production and consumption. DMI is domestic used extraction (extracted raw materials, grown biomass) plus import. </w:t>
      </w:r>
      <w:r>
        <w:rPr>
          <w:rFonts w:ascii="Arial" w:hAnsi="Arial" w:cs="Arial"/>
          <w:i/>
          <w:iCs/>
        </w:rPr>
        <w:t>Di</w:t>
      </w:r>
      <w:proofErr w:type="spellStart"/>
      <w:r>
        <w:rPr>
          <w:rFonts w:ascii="Arial" w:hAnsi="Arial" w:cs="Arial"/>
          <w:i/>
          <w:iCs/>
          <w:lang w:val="en-GB"/>
        </w:rPr>
        <w:t>rect</w:t>
      </w:r>
      <w:proofErr w:type="spellEnd"/>
      <w:r>
        <w:rPr>
          <w:rFonts w:ascii="Arial" w:hAnsi="Arial" w:cs="Arial"/>
          <w:i/>
          <w:iCs/>
          <w:lang w:val="en-GB"/>
        </w:rPr>
        <w:t xml:space="preserve"> (used) material inputs</w:t>
      </w:r>
      <w:r>
        <w:rPr>
          <w:rFonts w:ascii="Arial" w:hAnsi="Arial" w:cs="Arial"/>
          <w:b/>
          <w:bCs/>
          <w:i/>
          <w:iCs/>
          <w:lang w:val="en-GB"/>
        </w:rPr>
        <w:t xml:space="preserve"> </w:t>
      </w:r>
      <w:r>
        <w:rPr>
          <w:rFonts w:ascii="Arial" w:hAnsi="Arial" w:cs="Arial"/>
          <w:i/>
          <w:iCs/>
          <w:lang w:val="en-GB"/>
        </w:rPr>
        <w:t xml:space="preserve"> includes all solid, liquid and gaseous substances that enter the economy for further use in the manufacturing process or consumption. Water and atmosphere are excluded except those parts contained in materials. Indicators of material inputs are derived from the material balance, it is possible, though, to derive them from individual material flow accounts (MFA) without having to set up a total material balance and introduce adjusting items.</w:t>
      </w:r>
    </w:p>
    <w:p w:rsidR="00BA102E" w:rsidRDefault="00BA102E">
      <w:pPr>
        <w:spacing w:before="100" w:beforeAutospacing="1" w:after="120"/>
        <w:jc w:val="both"/>
        <w:rPr>
          <w:rFonts w:ascii="Arial" w:hAnsi="Arial" w:cs="Arial"/>
          <w:i/>
          <w:iCs/>
          <w:lang w:val="en-GB"/>
        </w:rPr>
      </w:pPr>
      <w:r>
        <w:rPr>
          <w:rFonts w:ascii="Arial" w:hAnsi="Arial" w:cs="Arial"/>
          <w:b/>
          <w:bCs/>
          <w:i/>
          <w:iCs/>
          <w:lang w:val="en-GB"/>
        </w:rPr>
        <w:t>Domestic material consumption (DMC) –</w:t>
      </w:r>
      <w:r>
        <w:rPr>
          <w:rFonts w:ascii="Arial" w:hAnsi="Arial" w:cs="Arial"/>
          <w:i/>
          <w:iCs/>
          <w:lang w:val="en-GB"/>
        </w:rPr>
        <w:t xml:space="preserve"> measures the total amount of materials directly used in the economy, without hidden flows. DMC is calculated as DMI minus export.</w:t>
      </w:r>
    </w:p>
    <w:p w:rsidR="00BA102E" w:rsidRDefault="00BA102E">
      <w:pPr>
        <w:spacing w:after="120"/>
        <w:jc w:val="both"/>
        <w:rPr>
          <w:rFonts w:ascii="Arial" w:hAnsi="Arial" w:cs="Arial"/>
          <w:i/>
          <w:iCs/>
          <w:lang w:val="en-GB"/>
        </w:rPr>
      </w:pPr>
      <w:r>
        <w:rPr>
          <w:rFonts w:ascii="Arial" w:hAnsi="Arial" w:cs="Arial"/>
          <w:b/>
          <w:bCs/>
          <w:i/>
          <w:iCs/>
          <w:lang w:val="en-GB"/>
        </w:rPr>
        <w:t xml:space="preserve">Physical trade balance (PTB) – </w:t>
      </w:r>
      <w:r>
        <w:rPr>
          <w:rFonts w:ascii="Arial" w:hAnsi="Arial" w:cs="Arial"/>
          <w:i/>
          <w:iCs/>
          <w:lang w:val="en-GB"/>
        </w:rPr>
        <w:t xml:space="preserve">measures the surplus or deficit of the physical foreign trade of the economy. It is calculated as imports minus exports. </w:t>
      </w:r>
    </w:p>
    <w:p w:rsidR="00BA102E" w:rsidRDefault="00BA102E">
      <w:pPr>
        <w:spacing w:after="120"/>
        <w:jc w:val="both"/>
        <w:rPr>
          <w:rFonts w:ascii="Arial" w:hAnsi="Arial" w:cs="Arial"/>
          <w:i/>
          <w:iCs/>
          <w:lang w:val="en-GB"/>
        </w:rPr>
      </w:pPr>
      <w:r>
        <w:rPr>
          <w:rFonts w:ascii="Arial" w:hAnsi="Arial" w:cs="Arial"/>
          <w:i/>
          <w:iCs/>
          <w:lang w:val="en-GB"/>
        </w:rPr>
        <w:t>Indicators of material flow accounts of the Czech Republic mentioned above were divided into following categories:</w:t>
      </w:r>
    </w:p>
    <w:p w:rsidR="00BA102E" w:rsidRDefault="00BA102E">
      <w:pPr>
        <w:numPr>
          <w:ilvl w:val="1"/>
          <w:numId w:val="1"/>
        </w:numPr>
        <w:jc w:val="both"/>
        <w:rPr>
          <w:rFonts w:ascii="Arial" w:hAnsi="Arial" w:cs="Arial"/>
          <w:i/>
          <w:iCs/>
          <w:lang w:val="en-GB"/>
        </w:rPr>
      </w:pPr>
      <w:r>
        <w:rPr>
          <w:rFonts w:ascii="Arial" w:hAnsi="Arial" w:cs="Arial"/>
          <w:i/>
          <w:iCs/>
          <w:lang w:val="en-GB"/>
        </w:rPr>
        <w:t>Biomass (raw materials, semi-manufactured and final products from biomass);</w:t>
      </w:r>
    </w:p>
    <w:p w:rsidR="00BA102E" w:rsidRDefault="00BA102E">
      <w:pPr>
        <w:numPr>
          <w:ilvl w:val="1"/>
          <w:numId w:val="1"/>
        </w:numPr>
        <w:jc w:val="both"/>
        <w:rPr>
          <w:rFonts w:ascii="Arial" w:hAnsi="Arial" w:cs="Arial"/>
          <w:i/>
          <w:iCs/>
          <w:lang w:val="en-GB"/>
        </w:rPr>
      </w:pPr>
      <w:r>
        <w:rPr>
          <w:rFonts w:ascii="Arial" w:hAnsi="Arial" w:cs="Arial"/>
          <w:i/>
          <w:iCs/>
          <w:lang w:val="en-GB"/>
        </w:rPr>
        <w:t>Fossil fuels (raw materials, semi-manufactured and final products from fossil fuels);</w:t>
      </w:r>
    </w:p>
    <w:p w:rsidR="00BA102E" w:rsidRDefault="00BA102E">
      <w:pPr>
        <w:numPr>
          <w:ilvl w:val="1"/>
          <w:numId w:val="1"/>
        </w:numPr>
        <w:jc w:val="both"/>
        <w:rPr>
          <w:rFonts w:ascii="Arial" w:hAnsi="Arial" w:cs="Arial"/>
          <w:i/>
          <w:iCs/>
          <w:lang w:val="en-GB"/>
        </w:rPr>
      </w:pPr>
      <w:r>
        <w:rPr>
          <w:rFonts w:ascii="Arial" w:hAnsi="Arial" w:cs="Arial"/>
          <w:i/>
          <w:iCs/>
          <w:lang w:val="en-GB"/>
        </w:rPr>
        <w:t>Metal ores (raw materials, semi-manufactured and final products from metal ores);</w:t>
      </w:r>
    </w:p>
    <w:p w:rsidR="00BA102E" w:rsidRPr="00D01E52" w:rsidRDefault="00BA102E" w:rsidP="00D01E52">
      <w:pPr>
        <w:numPr>
          <w:ilvl w:val="1"/>
          <w:numId w:val="1"/>
        </w:numPr>
        <w:jc w:val="both"/>
        <w:rPr>
          <w:rFonts w:ascii="Arial" w:hAnsi="Arial" w:cs="Arial"/>
          <w:i/>
          <w:iCs/>
          <w:lang w:val="en-GB"/>
        </w:rPr>
      </w:pPr>
      <w:r>
        <w:rPr>
          <w:rFonts w:ascii="Arial" w:hAnsi="Arial" w:cs="Arial"/>
          <w:i/>
          <w:iCs/>
          <w:lang w:val="en-GB"/>
        </w:rPr>
        <w:t xml:space="preserve">Non-metallic minerals (raw materials, semi-manufactured and final products from </w:t>
      </w:r>
      <w:proofErr w:type="spellStart"/>
      <w:r>
        <w:rPr>
          <w:rFonts w:ascii="Arial" w:hAnsi="Arial" w:cs="Arial"/>
          <w:i/>
          <w:iCs/>
          <w:lang w:val="en-GB"/>
        </w:rPr>
        <w:t>industria</w:t>
      </w:r>
      <w:proofErr w:type="spellEnd"/>
      <w:r w:rsidR="00D01E52">
        <w:rPr>
          <w:rFonts w:ascii="Arial" w:hAnsi="Arial" w:cs="Arial"/>
          <w:i/>
          <w:iCs/>
          <w:lang w:val="en-GB"/>
        </w:rPr>
        <w:t xml:space="preserve"> and construction minerals);</w:t>
      </w:r>
    </w:p>
    <w:p w:rsidR="00BA102E" w:rsidRDefault="00BA102E">
      <w:pPr>
        <w:numPr>
          <w:ilvl w:val="1"/>
          <w:numId w:val="1"/>
        </w:numPr>
        <w:ind w:left="714" w:hanging="357"/>
        <w:jc w:val="both"/>
        <w:rPr>
          <w:rFonts w:ascii="Arial" w:hAnsi="Arial" w:cs="Arial"/>
          <w:i/>
          <w:iCs/>
          <w:lang w:val="en-GB"/>
        </w:rPr>
      </w:pPr>
      <w:r>
        <w:rPr>
          <w:rFonts w:ascii="Arial" w:hAnsi="Arial" w:cs="Arial"/>
          <w:i/>
          <w:iCs/>
          <w:lang w:val="en-GB"/>
        </w:rPr>
        <w:t>Other unspecified products;</w:t>
      </w:r>
    </w:p>
    <w:p w:rsidR="00BA102E" w:rsidRDefault="00BA102E">
      <w:pPr>
        <w:numPr>
          <w:ilvl w:val="1"/>
          <w:numId w:val="1"/>
        </w:numPr>
        <w:spacing w:after="120"/>
        <w:jc w:val="both"/>
        <w:rPr>
          <w:rFonts w:ascii="Arial" w:hAnsi="Arial" w:cs="Arial"/>
          <w:i/>
          <w:iCs/>
          <w:lang w:val="en-GB"/>
        </w:rPr>
      </w:pPr>
      <w:r>
        <w:rPr>
          <w:rFonts w:ascii="Arial" w:hAnsi="Arial" w:cs="Arial"/>
          <w:i/>
          <w:iCs/>
          <w:lang w:val="en-GB"/>
        </w:rPr>
        <w:t>Waste</w:t>
      </w:r>
      <w:r>
        <w:rPr>
          <w:rFonts w:ascii="Arial" w:hAnsi="Arial" w:cs="Arial"/>
        </w:rPr>
        <w:t>.</w:t>
      </w:r>
    </w:p>
    <w:p w:rsidR="00BA102E" w:rsidRDefault="00BA102E">
      <w:pPr>
        <w:jc w:val="both"/>
        <w:rPr>
          <w:rFonts w:ascii="Arial" w:hAnsi="Arial" w:cs="Arial"/>
          <w:i/>
          <w:iCs/>
          <w:lang w:val="en-GB"/>
        </w:rPr>
      </w:pPr>
      <w:r>
        <w:rPr>
          <w:rFonts w:ascii="Arial" w:hAnsi="Arial" w:cs="Arial"/>
          <w:i/>
          <w:iCs/>
          <w:lang w:val="en-GB"/>
        </w:rPr>
        <w:t>For the calculation of these indicators, two basic material flow accounts had to be developed:</w:t>
      </w:r>
    </w:p>
    <w:p w:rsidR="00BA102E" w:rsidRPr="00495053" w:rsidRDefault="00BA102E" w:rsidP="00495053">
      <w:pPr>
        <w:numPr>
          <w:ilvl w:val="1"/>
          <w:numId w:val="1"/>
        </w:numPr>
        <w:jc w:val="both"/>
        <w:rPr>
          <w:rFonts w:ascii="Arial" w:hAnsi="Arial" w:cs="Arial"/>
          <w:i/>
          <w:iCs/>
          <w:lang w:val="en-GB"/>
        </w:rPr>
      </w:pPr>
      <w:r>
        <w:rPr>
          <w:rFonts w:ascii="Arial" w:hAnsi="Arial" w:cs="Arial"/>
          <w:b/>
          <w:bCs/>
          <w:i/>
          <w:iCs/>
          <w:lang w:val="en-GB"/>
        </w:rPr>
        <w:t>Domestic used extraction account</w:t>
      </w:r>
      <w:r>
        <w:rPr>
          <w:rFonts w:ascii="Arial" w:hAnsi="Arial" w:cs="Arial"/>
          <w:i/>
          <w:iCs/>
          <w:lang w:val="en-GB"/>
        </w:rPr>
        <w:t xml:space="preserve"> – contains material inputs of domestic origin, which</w:t>
      </w:r>
      <w:r w:rsidRPr="00495053">
        <w:rPr>
          <w:rFonts w:ascii="Arial" w:hAnsi="Arial" w:cs="Arial"/>
          <w:b/>
          <w:bCs/>
          <w:i/>
          <w:iCs/>
          <w:lang w:val="en-GB"/>
        </w:rPr>
        <w:t xml:space="preserve"> </w:t>
      </w:r>
      <w:r w:rsidRPr="00495053">
        <w:rPr>
          <w:rFonts w:ascii="Arial" w:hAnsi="Arial" w:cs="Arial"/>
          <w:i/>
          <w:iCs/>
          <w:lang w:val="en-GB"/>
        </w:rPr>
        <w:t>obtained a status of a product;</w:t>
      </w:r>
    </w:p>
    <w:p w:rsidR="00BA102E" w:rsidRDefault="00BA102E">
      <w:pPr>
        <w:numPr>
          <w:ilvl w:val="1"/>
          <w:numId w:val="1"/>
        </w:numPr>
        <w:jc w:val="both"/>
        <w:rPr>
          <w:rFonts w:ascii="Arial" w:hAnsi="Arial" w:cs="Arial"/>
          <w:i/>
          <w:iCs/>
          <w:lang w:val="en-GB"/>
        </w:rPr>
      </w:pPr>
      <w:r>
        <w:rPr>
          <w:rFonts w:ascii="Arial" w:hAnsi="Arial" w:cs="Arial"/>
          <w:b/>
          <w:bCs/>
          <w:i/>
          <w:iCs/>
          <w:lang w:val="en-GB"/>
        </w:rPr>
        <w:t xml:space="preserve">Foreign trade account </w:t>
      </w:r>
      <w:r>
        <w:rPr>
          <w:rFonts w:ascii="Arial" w:hAnsi="Arial" w:cs="Arial"/>
          <w:i/>
          <w:iCs/>
          <w:lang w:val="en-GB"/>
        </w:rPr>
        <w:t>– covers import and export.</w:t>
      </w:r>
    </w:p>
    <w:p w:rsidR="00BA102E" w:rsidRDefault="00BA102E">
      <w:pPr>
        <w:ind w:left="360"/>
        <w:jc w:val="both"/>
        <w:rPr>
          <w:rFonts w:ascii="Arial" w:hAnsi="Arial" w:cs="Arial"/>
          <w:i/>
          <w:iCs/>
          <w:lang w:val="en-GB"/>
        </w:rPr>
      </w:pPr>
    </w:p>
    <w:p w:rsidR="00BA102E" w:rsidRDefault="00BA102E" w:rsidP="003A5403">
      <w:pPr>
        <w:spacing w:before="100" w:beforeAutospacing="1"/>
        <w:jc w:val="both"/>
        <w:rPr>
          <w:rFonts w:ascii="Arial" w:hAnsi="Arial" w:cs="Arial"/>
          <w:i/>
          <w:iCs/>
        </w:rPr>
      </w:pPr>
      <w:r>
        <w:rPr>
          <w:rFonts w:ascii="Arial" w:hAnsi="Arial" w:cs="Arial"/>
          <w:i/>
          <w:iCs/>
          <w:lang w:val="en-GB"/>
        </w:rPr>
        <w:t xml:space="preserve">Further, indicators of economic performance can be related to the input and output indicators of material flows. For example GDP per unit DMI or DMC indicates direct </w:t>
      </w:r>
      <w:r>
        <w:rPr>
          <w:rFonts w:ascii="Arial" w:hAnsi="Arial" w:cs="Arial"/>
          <w:b/>
          <w:bCs/>
          <w:i/>
          <w:iCs/>
          <w:lang w:val="en-GB"/>
        </w:rPr>
        <w:t>material productivity</w:t>
      </w:r>
      <w:r>
        <w:rPr>
          <w:rFonts w:ascii="Arial" w:hAnsi="Arial" w:cs="Arial"/>
          <w:i/>
          <w:iCs/>
          <w:lang w:val="en-GB"/>
        </w:rPr>
        <w:t xml:space="preserve"> of the economy. On the other hand, if we relate the input indicator to GDP, we get </w:t>
      </w:r>
      <w:r>
        <w:rPr>
          <w:rFonts w:ascii="Arial" w:hAnsi="Arial" w:cs="Arial"/>
          <w:b/>
          <w:bCs/>
          <w:i/>
          <w:iCs/>
          <w:lang w:val="en-GB"/>
        </w:rPr>
        <w:t>material demands</w:t>
      </w:r>
      <w:r>
        <w:rPr>
          <w:rFonts w:ascii="Arial" w:hAnsi="Arial" w:cs="Arial"/>
          <w:i/>
          <w:iCs/>
          <w:lang w:val="en-GB"/>
        </w:rPr>
        <w:t xml:space="preserve"> of the economy.</w:t>
      </w:r>
    </w:p>
    <w:p w:rsidR="00BA102E" w:rsidRPr="005F7909" w:rsidRDefault="005F7909" w:rsidP="003A5403">
      <w:pPr>
        <w:pStyle w:val="Textpoznpodarou"/>
        <w:spacing w:before="100" w:beforeAutospacing="1"/>
        <w:jc w:val="both"/>
        <w:rPr>
          <w:rFonts w:ascii="Arial" w:hAnsi="Arial" w:cs="Arial"/>
          <w:i/>
          <w:iCs/>
          <w:lang w:val="en-GB"/>
        </w:rPr>
      </w:pPr>
      <w:r w:rsidRPr="005F7909">
        <w:rPr>
          <w:rFonts w:ascii="Arial" w:hAnsi="Arial" w:cs="Arial"/>
          <w:i/>
          <w:iCs/>
          <w:lang w:val="en-GB"/>
        </w:rPr>
        <w:t xml:space="preserve">Compared to previous publications, methodological changes were made in line with </w:t>
      </w:r>
      <w:r w:rsidR="00E25A74">
        <w:rPr>
          <w:rFonts w:ascii="Arial" w:hAnsi="Arial" w:cs="Arial"/>
          <w:i/>
          <w:iCs/>
          <w:lang w:val="en-GB"/>
        </w:rPr>
        <w:t xml:space="preserve">the </w:t>
      </w:r>
      <w:r w:rsidRPr="005F7909">
        <w:rPr>
          <w:rFonts w:ascii="Arial" w:hAnsi="Arial" w:cs="Arial"/>
          <w:i/>
          <w:iCs/>
          <w:lang w:val="en-GB"/>
        </w:rPr>
        <w:t xml:space="preserve">Regulation (EU) No 691/2011 of the European Parliament and of the Council, where the import and export of liquid fuels were adjusted according to the residence principle. In addition, the quantity of imported natural gas was adjusted </w:t>
      </w:r>
      <w:r>
        <w:rPr>
          <w:rFonts w:ascii="Arial" w:hAnsi="Arial" w:cs="Arial"/>
          <w:i/>
          <w:iCs/>
          <w:lang w:val="en-GB"/>
        </w:rPr>
        <w:t>from</w:t>
      </w:r>
      <w:r w:rsidRPr="005F7909">
        <w:rPr>
          <w:rFonts w:ascii="Arial" w:hAnsi="Arial" w:cs="Arial"/>
          <w:i/>
          <w:iCs/>
          <w:lang w:val="en-GB"/>
        </w:rPr>
        <w:t xml:space="preserve"> 2014 in line with the revision of the national accounts.</w:t>
      </w:r>
    </w:p>
    <w:p w:rsidR="00BA102E" w:rsidRPr="005F7909" w:rsidRDefault="00BA102E" w:rsidP="005F7909">
      <w:pPr>
        <w:pStyle w:val="Textpoznpodarou"/>
        <w:jc w:val="both"/>
        <w:rPr>
          <w:rFonts w:ascii="Arial" w:hAnsi="Arial" w:cs="Arial"/>
          <w:i/>
          <w:iCs/>
          <w:lang w:val="en-GB"/>
        </w:rPr>
      </w:pPr>
    </w:p>
    <w:p w:rsidR="00BA102E" w:rsidRDefault="00BA102E">
      <w:pPr>
        <w:pStyle w:val="Textpoznpodarou"/>
      </w:pPr>
    </w:p>
    <w:p w:rsidR="00495053" w:rsidRDefault="00495053">
      <w:pPr>
        <w:pStyle w:val="Textpoznpodarou"/>
      </w:pPr>
    </w:p>
    <w:p w:rsidR="00495053" w:rsidRDefault="00495053">
      <w:pPr>
        <w:pStyle w:val="Textpoznpodarou"/>
      </w:pPr>
    </w:p>
    <w:p w:rsidR="00495053" w:rsidRDefault="00495053">
      <w:pPr>
        <w:pStyle w:val="Textpoznpodarou"/>
      </w:pPr>
    </w:p>
    <w:p w:rsidR="00BA102E" w:rsidRDefault="00BA102E">
      <w:pPr>
        <w:pStyle w:val="Textpoznpodarou"/>
      </w:pPr>
    </w:p>
    <w:p w:rsidR="00BA102E" w:rsidRDefault="00BA102E">
      <w:pPr>
        <w:pStyle w:val="Textpoznpodarou"/>
      </w:pPr>
    </w:p>
    <w:p w:rsidR="00BA102E" w:rsidRDefault="00BA102E">
      <w:pPr>
        <w:pStyle w:val="Textpoznpodarou"/>
      </w:pPr>
    </w:p>
    <w:p w:rsidR="00BA102E" w:rsidRDefault="00BA102E">
      <w:pPr>
        <w:pStyle w:val="Textpoznpodarou"/>
        <w:rPr>
          <w:rFonts w:ascii="Arial" w:hAnsi="Arial" w:cs="Arial"/>
          <w:szCs w:val="12"/>
          <w:lang w:val="en-GB"/>
        </w:rPr>
      </w:pPr>
      <w:r>
        <w:rPr>
          <w:rFonts w:ascii="Arial" w:hAnsi="Arial" w:cs="Arial"/>
          <w:i/>
          <w:iCs/>
          <w:szCs w:val="12"/>
          <w:lang w:val="en-GB"/>
        </w:rPr>
        <w:t>The following symbols have been used throughout:</w:t>
      </w:r>
    </w:p>
    <w:p w:rsidR="00BA102E" w:rsidRDefault="00BA102E">
      <w:pPr>
        <w:pStyle w:val="Textpoznpodarou"/>
        <w:rPr>
          <w:rFonts w:ascii="Arial" w:hAnsi="Arial" w:cs="Arial"/>
          <w:szCs w:val="12"/>
          <w:lang w:val="en-GB"/>
        </w:rPr>
      </w:pPr>
      <w:r>
        <w:rPr>
          <w:rFonts w:ascii="Arial" w:hAnsi="Arial" w:cs="Arial"/>
          <w:i/>
          <w:iCs/>
          <w:szCs w:val="12"/>
          <w:lang w:val="en-GB"/>
        </w:rPr>
        <w:t>The symbol of dash (-) in place of a figure indicates that the phenomenon did not occur.</w:t>
      </w:r>
    </w:p>
    <w:p w:rsidR="00BA102E" w:rsidRDefault="00BA102E">
      <w:pPr>
        <w:pStyle w:val="Textpoznpodarou"/>
        <w:rPr>
          <w:rFonts w:ascii="Arial" w:hAnsi="Arial" w:cs="Arial"/>
          <w:i/>
          <w:iCs/>
          <w:szCs w:val="12"/>
          <w:lang w:val="en-GB"/>
        </w:rPr>
      </w:pPr>
      <w:r>
        <w:rPr>
          <w:rFonts w:ascii="Arial" w:hAnsi="Arial" w:cs="Arial"/>
          <w:i/>
          <w:iCs/>
          <w:szCs w:val="12"/>
          <w:lang w:val="en-GB"/>
        </w:rPr>
        <w:t>The symbol of (0) used in table designates figures smaller than a half of the unit of measure chosen.</w:t>
      </w:r>
    </w:p>
    <w:p w:rsidR="00BA102E" w:rsidRDefault="00BA102E">
      <w:pPr>
        <w:pStyle w:val="Textpoznpodarou"/>
        <w:rPr>
          <w:rFonts w:ascii="Arial" w:hAnsi="Arial" w:cs="Arial"/>
          <w:szCs w:val="12"/>
          <w:lang w:val="en-GB"/>
        </w:rPr>
      </w:pPr>
      <w:r>
        <w:rPr>
          <w:rFonts w:ascii="Arial" w:hAnsi="Arial" w:cs="Arial"/>
          <w:i/>
          <w:iCs/>
          <w:szCs w:val="12"/>
          <w:lang w:val="en-GB"/>
        </w:rPr>
        <w:t>The symbol of dot (.) shows that the figure is not available or cannot be relied on.</w:t>
      </w:r>
    </w:p>
    <w:p w:rsidR="00BA102E" w:rsidRDefault="00BA102E">
      <w:pPr>
        <w:pStyle w:val="Textpoznpodarou"/>
        <w:rPr>
          <w:rFonts w:ascii="Arial" w:hAnsi="Arial" w:cs="Arial"/>
          <w:szCs w:val="12"/>
          <w:lang w:val="en-GB"/>
        </w:rPr>
      </w:pPr>
      <w:r>
        <w:rPr>
          <w:rFonts w:ascii="Arial" w:hAnsi="Arial" w:cs="Arial"/>
          <w:i/>
          <w:iCs/>
          <w:szCs w:val="12"/>
          <w:lang w:val="en-GB"/>
        </w:rPr>
        <w:t>The symbol of horizontal small cross (x) shows that the figure is not applicable.</w:t>
      </w:r>
    </w:p>
    <w:p w:rsidR="00BA102E" w:rsidRDefault="00BA102E">
      <w:pPr>
        <w:pStyle w:val="Textpoznpodarou"/>
        <w:rPr>
          <w:rFonts w:ascii="Arial" w:hAnsi="Arial" w:cs="Arial"/>
          <w:i/>
          <w:iCs/>
          <w:lang w:val="en-GB"/>
        </w:rPr>
      </w:pPr>
      <w:r>
        <w:rPr>
          <w:rFonts w:ascii="Arial" w:hAnsi="Arial" w:cs="Arial"/>
          <w:i/>
          <w:iCs/>
          <w:lang w:val="en-GB"/>
        </w:rPr>
        <w:t>The calculations in the tables are performed using unrounded figures (including the sums</w:t>
      </w:r>
      <w:r>
        <w:rPr>
          <w:rFonts w:ascii="Arial" w:hAnsi="Arial" w:cs="Arial"/>
          <w:i/>
          <w:iCs/>
        </w:rPr>
        <w:t>).</w:t>
      </w:r>
      <w:r>
        <w:rPr>
          <w:rFonts w:ascii="Arial" w:hAnsi="Arial" w:cs="Arial"/>
          <w:i/>
          <w:iCs/>
          <w:lang w:val="en-GB"/>
        </w:rPr>
        <w:t xml:space="preserve"> </w:t>
      </w:r>
    </w:p>
    <w:sectPr w:rsidR="00BA102E">
      <w:footerReference w:type="even" r:id="rId7"/>
      <w:footerReference w:type="default" r:id="rId8"/>
      <w:type w:val="oddPage"/>
      <w:pgSz w:w="11907" w:h="16840" w:code="9"/>
      <w:pgMar w:top="1985" w:right="1418" w:bottom="1418"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DFF" w:rsidRDefault="007D5DFF">
      <w:r>
        <w:separator/>
      </w:r>
    </w:p>
  </w:endnote>
  <w:endnote w:type="continuationSeparator" w:id="0">
    <w:p w:rsidR="007D5DFF" w:rsidRDefault="007D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03" w:rsidRDefault="003A540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A5403" w:rsidRDefault="003A540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03" w:rsidRDefault="003A5403">
    <w:pPr>
      <w:pStyle w:val="Zpat"/>
      <w:framePr w:wrap="around" w:vAnchor="text" w:hAnchor="margin" w:xAlign="right" w:y="1"/>
      <w:rPr>
        <w:rStyle w:val="slostrnky"/>
      </w:rPr>
    </w:pPr>
  </w:p>
  <w:p w:rsidR="003A5403" w:rsidRDefault="003A540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DFF" w:rsidRDefault="007D5DFF">
      <w:r>
        <w:separator/>
      </w:r>
    </w:p>
  </w:footnote>
  <w:footnote w:type="continuationSeparator" w:id="0">
    <w:p w:rsidR="007D5DFF" w:rsidRDefault="007D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5D3"/>
    <w:multiLevelType w:val="hybridMultilevel"/>
    <w:tmpl w:val="54A0E148"/>
    <w:lvl w:ilvl="0" w:tplc="31C81FF6">
      <w:start w:val="1"/>
      <w:numFmt w:val="bullet"/>
      <w:lvlText w:val=""/>
      <w:lvlJc w:val="left"/>
      <w:pPr>
        <w:tabs>
          <w:tab w:val="num" w:pos="1980"/>
        </w:tabs>
        <w:ind w:left="1980" w:hanging="360"/>
      </w:pPr>
      <w:rPr>
        <w:rFonts w:ascii="Wingdings" w:hAnsi="Wingdings" w:hint="default"/>
        <w:color w:val="auto"/>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9E47A0E"/>
    <w:multiLevelType w:val="hybridMultilevel"/>
    <w:tmpl w:val="796CBE2A"/>
    <w:lvl w:ilvl="0" w:tplc="9440015C">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B803942"/>
    <w:multiLevelType w:val="hybridMultilevel"/>
    <w:tmpl w:val="9174B26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7029DF"/>
    <w:multiLevelType w:val="hybridMultilevel"/>
    <w:tmpl w:val="B8C4AA20"/>
    <w:lvl w:ilvl="0" w:tplc="3992FF88">
      <w:start w:val="2"/>
      <w:numFmt w:val="bullet"/>
      <w:lvlText w:val="-"/>
      <w:lvlJc w:val="left"/>
      <w:pPr>
        <w:tabs>
          <w:tab w:val="num" w:pos="720"/>
        </w:tabs>
        <w:ind w:left="720" w:hanging="360"/>
      </w:pPr>
      <w:rPr>
        <w:rFonts w:ascii="Times New Roman" w:eastAsia="Times New Roman" w:hAnsi="Times New Roman" w:cs="Times New Roman" w:hint="default"/>
      </w:rPr>
    </w:lvl>
    <w:lvl w:ilvl="1" w:tplc="9DB4A7CC">
      <w:start w:val="1"/>
      <w:numFmt w:val="bullet"/>
      <w:lvlText w:val=""/>
      <w:lvlJc w:val="left"/>
      <w:pPr>
        <w:tabs>
          <w:tab w:val="num" w:pos="720"/>
        </w:tabs>
        <w:ind w:left="720" w:hanging="363"/>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74CE0"/>
    <w:multiLevelType w:val="hybridMultilevel"/>
    <w:tmpl w:val="DC9CE0DE"/>
    <w:lvl w:ilvl="0" w:tplc="31C81FF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07B10"/>
    <w:multiLevelType w:val="hybridMultilevel"/>
    <w:tmpl w:val="E04EB690"/>
    <w:lvl w:ilvl="0" w:tplc="9440015C">
      <w:start w:val="1"/>
      <w:numFmt w:val="bullet"/>
      <w:lvlText w:val=""/>
      <w:lvlJc w:val="left"/>
      <w:pPr>
        <w:tabs>
          <w:tab w:val="num" w:pos="1077"/>
        </w:tabs>
        <w:ind w:left="1077" w:hanging="360"/>
      </w:pPr>
      <w:rPr>
        <w:rFonts w:ascii="Symbol" w:hAnsi="Symbol"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BC23887"/>
    <w:multiLevelType w:val="hybridMultilevel"/>
    <w:tmpl w:val="A1BC4808"/>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41E5"/>
    <w:multiLevelType w:val="hybridMultilevel"/>
    <w:tmpl w:val="0A6412F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B77D48"/>
    <w:multiLevelType w:val="hybridMultilevel"/>
    <w:tmpl w:val="F0C665E2"/>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14703"/>
    <w:multiLevelType w:val="hybridMultilevel"/>
    <w:tmpl w:val="1F60ED8E"/>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5340A"/>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8"/>
  </w:num>
  <w:num w:numId="4">
    <w:abstractNumId w:val="5"/>
  </w:num>
  <w:num w:numId="5">
    <w:abstractNumId w:val="1"/>
  </w:num>
  <w:num w:numId="6">
    <w:abstractNumId w:val="2"/>
  </w:num>
  <w:num w:numId="7">
    <w:abstractNumId w:val="7"/>
  </w:num>
  <w:num w:numId="8">
    <w:abstractNumId w:val="6"/>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02E"/>
    <w:rsid w:val="00120A6A"/>
    <w:rsid w:val="0013402F"/>
    <w:rsid w:val="00182BF7"/>
    <w:rsid w:val="003A5403"/>
    <w:rsid w:val="0047738A"/>
    <w:rsid w:val="00495053"/>
    <w:rsid w:val="00530F0A"/>
    <w:rsid w:val="00572F94"/>
    <w:rsid w:val="005F7909"/>
    <w:rsid w:val="006B1630"/>
    <w:rsid w:val="007D5DFF"/>
    <w:rsid w:val="00B86F71"/>
    <w:rsid w:val="00BA102E"/>
    <w:rsid w:val="00D01E52"/>
    <w:rsid w:val="00D839CF"/>
    <w:rsid w:val="00E25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E98A0D-D4B9-4DDC-817D-0A172908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i/>
      <w:sz w:val="24"/>
    </w:rPr>
  </w:style>
  <w:style w:type="paragraph" w:styleId="Nadpis2">
    <w:name w:val="heading 2"/>
    <w:basedOn w:val="Normln"/>
    <w:next w:val="Normln"/>
    <w:qFormat/>
    <w:pPr>
      <w:keepNext/>
      <w:jc w:val="center"/>
      <w:outlineLvl w:val="1"/>
    </w:pPr>
    <w:rPr>
      <w:b/>
      <w:sz w:val="44"/>
    </w:rPr>
  </w:style>
  <w:style w:type="paragraph" w:styleId="Nadpis3">
    <w:name w:val="heading 3"/>
    <w:basedOn w:val="Normln"/>
    <w:next w:val="Normln"/>
    <w:qFormat/>
    <w:pPr>
      <w:keepNext/>
      <w:jc w:val="center"/>
      <w:outlineLvl w:val="2"/>
    </w:pPr>
    <w:rPr>
      <w:rFonts w:ascii="Arial" w:hAnsi="Arial"/>
      <w:i/>
      <w:sz w:val="32"/>
    </w:rPr>
  </w:style>
  <w:style w:type="paragraph" w:styleId="Nadpis4">
    <w:name w:val="heading 4"/>
    <w:basedOn w:val="Normln"/>
    <w:next w:val="Normln"/>
    <w:qFormat/>
    <w:pPr>
      <w:keepNext/>
      <w:outlineLvl w:val="3"/>
    </w:pPr>
    <w:rPr>
      <w:rFonts w:ascii="Arial" w:hAnsi="Arial"/>
      <w:b/>
      <w:color w:val="FF0000"/>
      <w:sz w:val="22"/>
    </w:rPr>
  </w:style>
  <w:style w:type="paragraph" w:styleId="Nadpis5">
    <w:name w:val="heading 5"/>
    <w:basedOn w:val="Normln"/>
    <w:next w:val="Normln"/>
    <w:qFormat/>
    <w:pPr>
      <w:keepNext/>
      <w:tabs>
        <w:tab w:val="left" w:pos="2410"/>
        <w:tab w:val="left" w:pos="8789"/>
      </w:tabs>
      <w:ind w:left="1839" w:hanging="705"/>
      <w:outlineLvl w:val="4"/>
    </w:pPr>
    <w:rPr>
      <w:rFonts w:ascii="Arial" w:hAnsi="Arial" w:cs="Arial"/>
      <w:i/>
      <w:snapToGrid w:val="0"/>
      <w:color w:val="000000"/>
      <w:lang w:val="en-GB"/>
    </w:rPr>
  </w:style>
  <w:style w:type="paragraph" w:styleId="Nadpis6">
    <w:name w:val="heading 6"/>
    <w:basedOn w:val="Normln"/>
    <w:next w:val="Normln"/>
    <w:qFormat/>
    <w:pPr>
      <w:keepNext/>
      <w:tabs>
        <w:tab w:val="left" w:pos="1134"/>
        <w:tab w:val="left" w:pos="1843"/>
        <w:tab w:val="left" w:pos="2410"/>
        <w:tab w:val="left" w:pos="8789"/>
      </w:tabs>
      <w:ind w:firstLine="1134"/>
      <w:outlineLvl w:val="5"/>
    </w:pPr>
    <w:rPr>
      <w:rFonts w:ascii="Arial" w:hAnsi="Arial" w:cs="Arial"/>
      <w:i/>
      <w:snapToGrid w:val="0"/>
      <w:color w:val="000000"/>
      <w:lang w:val="en-GB"/>
    </w:rPr>
  </w:style>
  <w:style w:type="paragraph" w:styleId="Nadpis7">
    <w:name w:val="heading 7"/>
    <w:basedOn w:val="Normln"/>
    <w:next w:val="Normln"/>
    <w:qFormat/>
    <w:pPr>
      <w:keepNext/>
      <w:tabs>
        <w:tab w:val="left" w:pos="3969"/>
      </w:tabs>
      <w:outlineLvl w:val="6"/>
    </w:pPr>
    <w:rPr>
      <w:rFonts w:ascii="Arial" w:hAnsi="Arial"/>
      <w:bCs/>
      <w:i/>
      <w:sz w:val="22"/>
    </w:rPr>
  </w:style>
  <w:style w:type="paragraph" w:styleId="Nadpis8">
    <w:name w:val="heading 8"/>
    <w:basedOn w:val="Normln"/>
    <w:next w:val="Normln"/>
    <w:qFormat/>
    <w:pPr>
      <w:keepNext/>
      <w:spacing w:after="80"/>
      <w:jc w:val="both"/>
      <w:outlineLvl w:val="7"/>
    </w:pPr>
    <w:rPr>
      <w:rFonts w:ascii="Arial" w:hAnsi="Arial" w:cs="Arial"/>
      <w:b/>
      <w:lang w:val="en-GB"/>
    </w:rPr>
  </w:style>
  <w:style w:type="paragraph" w:styleId="Nadpis9">
    <w:name w:val="heading 9"/>
    <w:basedOn w:val="Normln"/>
    <w:next w:val="Normln"/>
    <w:qFormat/>
    <w:pPr>
      <w:keepNext/>
      <w:jc w:val="both"/>
      <w:outlineLvl w:val="8"/>
    </w:pPr>
    <w:rPr>
      <w:rFonts w:ascii="Arial" w:hAnsi="Arial" w:cs="Arial"/>
      <w:b/>
      <w:bCs/>
      <w:i/>
      <w:iCs/>
      <w:lang w:val="en-GB" w:eastAsia="zh-CN"/>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character" w:styleId="Hypertextovodkaz">
    <w:name w:val="Hyperlink"/>
    <w:semiHidden/>
    <w:rPr>
      <w:color w:val="0000FF"/>
      <w:u w:val="single"/>
    </w:rPr>
  </w:style>
  <w:style w:type="paragraph" w:styleId="Zkladntext">
    <w:name w:val="Body Text"/>
    <w:basedOn w:val="Normln"/>
    <w:semiHidden/>
    <w:pPr>
      <w:jc w:val="center"/>
    </w:pPr>
    <w:rPr>
      <w:rFonts w:ascii="Arial" w:hAnsi="Arial"/>
      <w:b/>
      <w:caps/>
      <w:sz w:val="36"/>
    </w:rPr>
  </w:style>
  <w:style w:type="paragraph" w:styleId="Zkladntext2">
    <w:name w:val="Body Text 2"/>
    <w:basedOn w:val="Normln"/>
    <w:semiHidden/>
    <w:pPr>
      <w:jc w:val="center"/>
    </w:pPr>
    <w:rPr>
      <w:rFonts w:ascii="Arial" w:hAnsi="Arial"/>
      <w:b/>
      <w:i/>
      <w:caps/>
      <w:sz w:val="34"/>
    </w:rPr>
  </w:style>
  <w:style w:type="paragraph" w:styleId="Zkladntextodsazen3">
    <w:name w:val="Body Text Indent 3"/>
    <w:basedOn w:val="Normln"/>
    <w:semiHidden/>
    <w:pPr>
      <w:tabs>
        <w:tab w:val="left" w:pos="8789"/>
      </w:tabs>
      <w:ind w:firstLine="1843"/>
    </w:pPr>
    <w:rPr>
      <w:rFonts w:ascii="Arial" w:hAnsi="Arial"/>
      <w:bCs/>
      <w:snapToGrid w:val="0"/>
      <w:color w:val="000000"/>
    </w:rPr>
  </w:style>
  <w:style w:type="paragraph" w:styleId="Zkladntextodsazen">
    <w:name w:val="Body Text Indent"/>
    <w:basedOn w:val="Normln"/>
    <w:semiHidden/>
    <w:pPr>
      <w:tabs>
        <w:tab w:val="left" w:pos="2410"/>
        <w:tab w:val="left" w:pos="8789"/>
      </w:tabs>
      <w:ind w:left="2410" w:hanging="1276"/>
    </w:pPr>
    <w:rPr>
      <w:rFonts w:ascii="Arial" w:hAnsi="Arial"/>
      <w:i/>
      <w:snapToGrid w:val="0"/>
      <w:color w:val="000000"/>
      <w:lang w:val="en-GB"/>
    </w:rPr>
  </w:style>
  <w:style w:type="paragraph" w:styleId="Zkladntext3">
    <w:name w:val="Body Text 3"/>
    <w:basedOn w:val="Normln"/>
    <w:semiHidden/>
    <w:rPr>
      <w:rFonts w:ascii="Arial" w:hAnsi="Arial" w:cs="Arial"/>
      <w:szCs w:val="24"/>
    </w:rPr>
  </w:style>
  <w:style w:type="paragraph" w:styleId="Textpoznpodarou">
    <w:name w:val="footnote text"/>
    <w:basedOn w:val="Normln"/>
    <w:semiHidden/>
  </w:style>
  <w:style w:type="paragraph" w:styleId="Textkomente">
    <w:name w:val="annotation text"/>
    <w:basedOn w:val="Normln"/>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rPr>
      <w:sz w:val="24"/>
      <w:szCs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2599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ŽIVOTNÍ PROSTŘEDÍ, ZEMĚDĚLSTVÍ									</vt:lpstr>
    </vt:vector>
  </TitlesOfParts>
  <Company>ČSÚ - Ústí nad Labem</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ŽIVOTNÍ PROSTŘEDÍ, ZEMĚDĚLSTVÍ</dc:title>
  <dc:subject/>
  <dc:creator>Zak Viktor</dc:creator>
  <cp:keywords/>
  <dc:description/>
  <cp:lastModifiedBy>Valterová Tůmová Mirka</cp:lastModifiedBy>
  <cp:revision>2</cp:revision>
  <cp:lastPrinted>2011-07-26T08:56:00Z</cp:lastPrinted>
  <dcterms:created xsi:type="dcterms:W3CDTF">2025-01-03T09:59:00Z</dcterms:created>
  <dcterms:modified xsi:type="dcterms:W3CDTF">2025-01-03T09:59:00Z</dcterms:modified>
</cp:coreProperties>
</file>