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04F" w:rsidRPr="009C73E7" w:rsidRDefault="006755A5" w:rsidP="0097104F">
      <w:pPr>
        <w:pStyle w:val="Nadpis1"/>
        <w:rPr>
          <w:spacing w:val="-2"/>
        </w:rPr>
      </w:pPr>
      <w:bookmarkStart w:id="0" w:name="_GoBack"/>
      <w:bookmarkEnd w:id="0"/>
      <w:r w:rsidRPr="006755A5">
        <w:rPr>
          <w:rFonts w:cs="Arial"/>
        </w:rPr>
        <w:t>Meziroční růst spotřebi</w:t>
      </w:r>
      <w:r>
        <w:rPr>
          <w:rFonts w:cs="Arial"/>
        </w:rPr>
        <w:t>telských cen dosáhl hodnoty 8,5 </w:t>
      </w:r>
      <w:r w:rsidRPr="006755A5">
        <w:rPr>
          <w:rFonts w:cs="Arial"/>
        </w:rPr>
        <w:t>%</w:t>
      </w:r>
    </w:p>
    <w:p w:rsidR="0097104F" w:rsidRPr="007D0E6B" w:rsidRDefault="0097104F" w:rsidP="0097104F">
      <w:pPr>
        <w:pStyle w:val="Nadpis2"/>
      </w:pPr>
      <w:r w:rsidRPr="007D0E6B">
        <w:t>Indexy spotř</w:t>
      </w:r>
      <w:r>
        <w:t xml:space="preserve">ebitelských cen – inflace – </w:t>
      </w:r>
      <w:r w:rsidR="008424DF">
        <w:t>ří</w:t>
      </w:r>
      <w:r w:rsidR="006755A5">
        <w:t>jen</w:t>
      </w:r>
      <w:r w:rsidR="00250429">
        <w:t> 20</w:t>
      </w:r>
      <w:r w:rsidR="00D563FA">
        <w:t>2</w:t>
      </w:r>
      <w:r w:rsidR="0029754F">
        <w:t>3</w:t>
      </w:r>
    </w:p>
    <w:p w:rsidR="0078029C" w:rsidRDefault="006755A5" w:rsidP="009C73E7">
      <w:pPr>
        <w:pStyle w:val="Perex"/>
      </w:pPr>
      <w:r w:rsidRPr="001A6012">
        <w:t xml:space="preserve">Spotřebitelské ceny meziměsíčně </w:t>
      </w:r>
      <w:r>
        <w:t>vzrostly</w:t>
      </w:r>
      <w:r w:rsidRPr="001A6012">
        <w:t xml:space="preserve"> o </w:t>
      </w:r>
      <w:r>
        <w:t>0,1</w:t>
      </w:r>
      <w:r w:rsidRPr="001A6012">
        <w:t xml:space="preserve"> %. Tento vývoj byl ovlivněn zejména </w:t>
      </w:r>
      <w:r>
        <w:t>růstem cen v oddíle potraviny a nealkoholické nápoje a v oddíle odívání a obuv, který byl kompenzován poklesem cen v oddíle bydlení.</w:t>
      </w:r>
      <w:r w:rsidRPr="001A6012">
        <w:t xml:space="preserve"> </w:t>
      </w:r>
      <w:r w:rsidRPr="001A6012">
        <w:rPr>
          <w:spacing w:val="-4"/>
        </w:rPr>
        <w:t xml:space="preserve">Meziročně </w:t>
      </w:r>
      <w:r>
        <w:rPr>
          <w:spacing w:val="-4"/>
        </w:rPr>
        <w:t>vzrostly spotřebitelské ceny v říjnu o 8,5</w:t>
      </w:r>
      <w:r w:rsidRPr="001A6012">
        <w:rPr>
          <w:spacing w:val="-4"/>
        </w:rPr>
        <w:t> %, což bylo o </w:t>
      </w:r>
      <w:r>
        <w:rPr>
          <w:spacing w:val="-4"/>
        </w:rPr>
        <w:t>1,6</w:t>
      </w:r>
      <w:r w:rsidRPr="001A6012">
        <w:t xml:space="preserve"> procentního bodu </w:t>
      </w:r>
      <w:r>
        <w:t>více</w:t>
      </w:r>
      <w:r w:rsidRPr="001A6012">
        <w:t xml:space="preserve"> než v </w:t>
      </w:r>
      <w:r>
        <w:t>září</w:t>
      </w:r>
      <w:r w:rsidRPr="001A6012">
        <w:t>.</w:t>
      </w:r>
    </w:p>
    <w:p w:rsidR="00836FBD" w:rsidRPr="002E7BAD" w:rsidRDefault="00836FBD" w:rsidP="00836FBD">
      <w:pPr>
        <w:spacing w:after="0"/>
        <w:jc w:val="both"/>
        <w:rPr>
          <w:b/>
        </w:rPr>
      </w:pPr>
      <w:r w:rsidRPr="002E7BAD">
        <w:rPr>
          <w:b/>
        </w:rPr>
        <w:t>Meziměsíční srovnání</w:t>
      </w:r>
    </w:p>
    <w:p w:rsidR="006755A5" w:rsidRDefault="006755A5" w:rsidP="006755A5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1A6012">
        <w:rPr>
          <w:rFonts w:cs="Arial"/>
          <w:szCs w:val="20"/>
        </w:rPr>
        <w:t xml:space="preserve">Meziměsíčně </w:t>
      </w:r>
      <w:r>
        <w:rPr>
          <w:rFonts w:cs="Arial"/>
          <w:szCs w:val="20"/>
        </w:rPr>
        <w:t xml:space="preserve">vzrostly </w:t>
      </w:r>
      <w:r w:rsidRPr="001A6012">
        <w:rPr>
          <w:rFonts w:cs="Arial"/>
          <w:szCs w:val="20"/>
        </w:rPr>
        <w:t>spotřebitelské ceny v </w:t>
      </w:r>
      <w:r>
        <w:rPr>
          <w:rFonts w:cs="Arial"/>
          <w:szCs w:val="20"/>
        </w:rPr>
        <w:t>říjnu</w:t>
      </w:r>
      <w:r w:rsidRPr="001A6012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0,1</w:t>
      </w:r>
      <w:r w:rsidRPr="001A6012">
        <w:rPr>
          <w:rFonts w:cs="Arial"/>
          <w:szCs w:val="20"/>
        </w:rPr>
        <w:t> %.</w:t>
      </w:r>
      <w:r>
        <w:rPr>
          <w:rFonts w:cs="Arial"/>
          <w:szCs w:val="20"/>
        </w:rPr>
        <w:t xml:space="preserve"> V oddíle potraviny a nealkoholické nápoje se zvýšily zejména ceny vepřového masa o 5,0 %, vajec o 10,8 %, ovoce o 3,0 %, zeleniny o 2,2 %, polotučného trvanlivého mléka o 5,8 % a másla o 5,0 %. V oddíle odívání a obuv byly vyšší ceny oděvů o 2,2 % a obuvi o 3,2 %. Meziměsíční pokles cen byl zaznamenán především v oddíle bydlení, kde klesly ceny elektřiny o 1,7 %, zemního plynu o 3,0 % a tepla a teplé vody o 0,8 %. Z potravin byly nižší zejména ceny nealkoholických nápojů o 2,0 %, drůbežího masa o  2,3 %, brambor o 5,4 %, jogurtů o 3,8 % a cukru o 5,2 %.</w:t>
      </w:r>
    </w:p>
    <w:p w:rsidR="00BF4542" w:rsidRPr="00A3469B" w:rsidRDefault="006755A5" w:rsidP="006755A5">
      <w:pPr>
        <w:pStyle w:val="Zkladntext"/>
        <w:tabs>
          <w:tab w:val="left" w:pos="4900"/>
        </w:tabs>
        <w:spacing w:after="240"/>
        <w:jc w:val="both"/>
        <w:rPr>
          <w:rFonts w:cs="Arial"/>
          <w:szCs w:val="20"/>
        </w:rPr>
      </w:pPr>
      <w:r w:rsidRPr="00916640">
        <w:rPr>
          <w:rFonts w:cs="Arial"/>
          <w:szCs w:val="20"/>
        </w:rPr>
        <w:t xml:space="preserve">Ceny zboží úhrnem </w:t>
      </w:r>
      <w:r>
        <w:rPr>
          <w:rFonts w:cs="Arial"/>
          <w:szCs w:val="20"/>
        </w:rPr>
        <w:t>zůstaly na úrovni měsíce září a </w:t>
      </w:r>
      <w:r w:rsidRPr="00D554D7">
        <w:rPr>
          <w:rFonts w:cs="Arial"/>
          <w:szCs w:val="20"/>
        </w:rPr>
        <w:t>ceny služeb</w:t>
      </w:r>
      <w:r>
        <w:rPr>
          <w:rFonts w:cs="Arial"/>
          <w:szCs w:val="20"/>
        </w:rPr>
        <w:t xml:space="preserve"> vzrostly o 0,2 %</w:t>
      </w:r>
      <w:r w:rsidRPr="00D554D7">
        <w:rPr>
          <w:rFonts w:cs="Arial"/>
          <w:szCs w:val="20"/>
        </w:rPr>
        <w:t>.</w:t>
      </w:r>
    </w:p>
    <w:p w:rsidR="00836FBD" w:rsidRPr="002E7BAD" w:rsidRDefault="00836FBD" w:rsidP="00836FBD">
      <w:pPr>
        <w:pStyle w:val="Zkladntextodsazen2"/>
        <w:spacing w:after="0" w:line="288" w:lineRule="auto"/>
        <w:ind w:left="0"/>
        <w:rPr>
          <w:rFonts w:cs="Arial"/>
          <w:b/>
          <w:szCs w:val="20"/>
        </w:rPr>
      </w:pPr>
      <w:r w:rsidRPr="002E7BAD">
        <w:rPr>
          <w:rFonts w:cs="Arial"/>
          <w:b/>
          <w:szCs w:val="20"/>
        </w:rPr>
        <w:t>Meziroční srovnání</w:t>
      </w:r>
    </w:p>
    <w:p w:rsidR="006755A5" w:rsidRPr="00A80AD3" w:rsidRDefault="006755A5" w:rsidP="006755A5">
      <w:pPr>
        <w:jc w:val="both"/>
        <w:rPr>
          <w:rFonts w:cs="Arial"/>
          <w:i/>
          <w:iCs/>
        </w:rPr>
      </w:pPr>
      <w:r w:rsidRPr="00625FB3">
        <w:rPr>
          <w:rFonts w:cs="Arial"/>
          <w:i/>
          <w:iCs/>
        </w:rPr>
        <w:t xml:space="preserve">„Říjnové zrychlení meziročního růstu cen na 8,5 % bylo způsobeno především loňským promítnutím Úsporného tarifu do cen elektřiny. Pokud bychom tento Úsporný tarif do výpočtu nezahrnuli, cenový </w:t>
      </w:r>
      <w:r w:rsidRPr="00A74C0D">
        <w:rPr>
          <w:rFonts w:cs="Arial"/>
          <w:i/>
          <w:iCs/>
        </w:rPr>
        <w:t>růst by činil</w:t>
      </w:r>
      <w:r w:rsidRPr="00625FB3">
        <w:rPr>
          <w:rFonts w:cs="Arial"/>
          <w:i/>
          <w:iCs/>
        </w:rPr>
        <w:t xml:space="preserve"> 5,8 %,” </w:t>
      </w:r>
      <w:r w:rsidRPr="00625FB3">
        <w:rPr>
          <w:rFonts w:cs="Arial"/>
        </w:rPr>
        <w:t xml:space="preserve">uvedla Pavla Šedivá, </w:t>
      </w:r>
      <w:r w:rsidRPr="00625FB3">
        <w:rPr>
          <w:rFonts w:cs="Arial"/>
          <w:szCs w:val="20"/>
        </w:rPr>
        <w:t>vedoucí oddělení statistiky spotřebitelských cen ČSÚ</w:t>
      </w:r>
      <w:r w:rsidRPr="00625FB3">
        <w:rPr>
          <w:rFonts w:cs="Arial"/>
        </w:rPr>
        <w:t>.</w:t>
      </w:r>
    </w:p>
    <w:p w:rsidR="006755A5" w:rsidRDefault="006755A5" w:rsidP="006755A5">
      <w:pPr>
        <w:jc w:val="both"/>
        <w:rPr>
          <w:rFonts w:cs="Arial"/>
        </w:rPr>
      </w:pPr>
      <w:r w:rsidRPr="001A6012">
        <w:t>Meziročně vzrostly spotřebitelské ceny v</w:t>
      </w:r>
      <w:r>
        <w:t xml:space="preserve"> říjnu </w:t>
      </w:r>
      <w:r w:rsidRPr="001A6012">
        <w:t>o </w:t>
      </w:r>
      <w:r>
        <w:t>8,5</w:t>
      </w:r>
      <w:r w:rsidRPr="001A6012">
        <w:t> %, což bylo o </w:t>
      </w:r>
      <w:r>
        <w:t>1,6</w:t>
      </w:r>
      <w:r w:rsidRPr="001A6012">
        <w:t xml:space="preserve"> procentního bodu </w:t>
      </w:r>
      <w:r>
        <w:t xml:space="preserve">více </w:t>
      </w:r>
      <w:r w:rsidRPr="001A6012">
        <w:t>než v </w:t>
      </w:r>
      <w:r>
        <w:t>září</w:t>
      </w:r>
      <w:r w:rsidRPr="001A6012">
        <w:t xml:space="preserve">. </w:t>
      </w:r>
      <w:r>
        <w:t xml:space="preserve">Toto </w:t>
      </w:r>
      <w:r w:rsidRPr="00FC1A9B">
        <w:rPr>
          <w:b/>
        </w:rPr>
        <w:t>z</w:t>
      </w:r>
      <w:r>
        <w:rPr>
          <w:b/>
        </w:rPr>
        <w:t>rychlení</w:t>
      </w:r>
      <w:r w:rsidRPr="00E45A17">
        <w:rPr>
          <w:rStyle w:val="Znakapoznpodarou"/>
          <w:rFonts w:cs="Arial"/>
        </w:rPr>
        <w:footnoteReference w:id="1"/>
      </w:r>
      <w:r w:rsidRPr="001A6012">
        <w:rPr>
          <w:vertAlign w:val="superscript"/>
        </w:rPr>
        <w:t>)</w:t>
      </w:r>
      <w:r w:rsidRPr="001A6012">
        <w:t xml:space="preserve"> meziročního cenového růstu</w:t>
      </w:r>
      <w:r>
        <w:t xml:space="preserve"> bylo ovlivněno především cenami v oddíle bydlení. Ceny elektřiny zrychlily svůj meziroční růst na 148,6 % (v září 16,5 %) zejména vlivem jejich výrazného poklesu v říjnu 2022 (viz </w:t>
      </w:r>
      <w:hyperlink r:id="rId8" w:history="1">
        <w:r w:rsidRPr="00625FB3">
          <w:rPr>
            <w:rStyle w:val="Hypertextovodkaz"/>
          </w:rPr>
          <w:t>Poznámka</w:t>
        </w:r>
      </w:hyperlink>
      <w:r w:rsidRPr="00932311">
        <w:t xml:space="preserve">). Naopak ceny zemního plynu </w:t>
      </w:r>
      <w:r>
        <w:t>zpomalily svůj růst na 6,2 % (v </w:t>
      </w:r>
      <w:r w:rsidRPr="00932311">
        <w:t>září 12,5 %),</w:t>
      </w:r>
      <w:r>
        <w:t xml:space="preserve"> </w:t>
      </w:r>
      <w:r w:rsidRPr="00625FB3">
        <w:t>ceny tepla a teplé vody na 31,0 % (v září 36,2 %) a tuhých paliv na 3,9 % (v září 12,9 %). Na meziroční cenový vývoj měl také vliv mírnější růst cen v oddíle potraviny a nealkoholické nápoje. Ceny chleba v říjnu vzrostly o 5,1 % (v září o 10,3 %), zeleniny o 12,4 % (v září o 20,4 %), z čehož ceny brambor byly vyšší o 48,5 % (v září o 63,4 %). Ceny vajec klesly o 6,2 % (v září růst o 7,5 %) a ceny cukru o 11,1 % (v září růst o 44,6 %).</w:t>
      </w:r>
    </w:p>
    <w:p w:rsidR="006755A5" w:rsidRPr="00163514" w:rsidRDefault="006755A5" w:rsidP="006755A5">
      <w:pPr>
        <w:jc w:val="both"/>
        <w:rPr>
          <w:rFonts w:cs="Arial"/>
        </w:rPr>
      </w:pPr>
      <w:r w:rsidRPr="00E45A17">
        <w:rPr>
          <w:rFonts w:cs="Arial"/>
        </w:rPr>
        <w:t xml:space="preserve">Na meziroční </w:t>
      </w:r>
      <w:r w:rsidRPr="00E45A17">
        <w:rPr>
          <w:rFonts w:cs="Arial"/>
          <w:b/>
          <w:bCs/>
        </w:rPr>
        <w:t>růst cenové hladiny</w:t>
      </w:r>
      <w:r w:rsidRPr="00E45A17">
        <w:rPr>
          <w:rFonts w:cs="Arial"/>
        </w:rPr>
        <w:t xml:space="preserve"> měly v </w:t>
      </w:r>
      <w:r>
        <w:rPr>
          <w:rFonts w:cs="Arial"/>
        </w:rPr>
        <w:t>říjnu</w:t>
      </w:r>
      <w:r w:rsidRPr="00E45A17">
        <w:rPr>
          <w:rFonts w:cs="Arial"/>
        </w:rPr>
        <w:t xml:space="preserve"> největší vliv ceny v oddíle bydlení, kde </w:t>
      </w:r>
      <w:r w:rsidRPr="00625FB3">
        <w:rPr>
          <w:rFonts w:cs="Arial"/>
        </w:rPr>
        <w:t>kromě výše uvedeného vzrostl</w:t>
      </w:r>
      <w:r w:rsidRPr="00E45A17">
        <w:rPr>
          <w:rFonts w:cs="Arial"/>
        </w:rPr>
        <w:t>y ceny nájemného z bytu</w:t>
      </w:r>
      <w:r w:rsidRPr="00E45A17">
        <w:rPr>
          <w:rStyle w:val="Znakapoznpodarou"/>
          <w:rFonts w:cs="Arial"/>
        </w:rPr>
        <w:footnoteReference w:id="2"/>
      </w:r>
      <w:r w:rsidRPr="00E45A17">
        <w:rPr>
          <w:rFonts w:cs="Arial"/>
          <w:vertAlign w:val="superscript"/>
        </w:rPr>
        <w:t>)</w:t>
      </w:r>
      <w:r w:rsidRPr="00E45A17">
        <w:rPr>
          <w:rFonts w:cs="Arial"/>
        </w:rPr>
        <w:t xml:space="preserve"> o </w:t>
      </w:r>
      <w:r>
        <w:rPr>
          <w:rFonts w:cs="Arial"/>
        </w:rPr>
        <w:t>7,9</w:t>
      </w:r>
      <w:r w:rsidRPr="00E45A17">
        <w:rPr>
          <w:rFonts w:cs="Arial"/>
        </w:rPr>
        <w:t> %, vodného o 16,3 %</w:t>
      </w:r>
      <w:r>
        <w:rPr>
          <w:rFonts w:cs="Arial"/>
        </w:rPr>
        <w:t xml:space="preserve"> a </w:t>
      </w:r>
      <w:r w:rsidRPr="00E45A17">
        <w:rPr>
          <w:rFonts w:cs="Arial"/>
        </w:rPr>
        <w:t>stočného o 26,9 %. D</w:t>
      </w:r>
      <w:r>
        <w:rPr>
          <w:rFonts w:cs="Arial"/>
        </w:rPr>
        <w:t>ruhé</w:t>
      </w:r>
      <w:r w:rsidRPr="00E45A17">
        <w:rPr>
          <w:rFonts w:cs="Arial"/>
        </w:rPr>
        <w:t xml:space="preserve"> v pořadí vlivu byly ceny v oddíle potraviny a nealkoholické nápoje</w:t>
      </w:r>
      <w:r>
        <w:rPr>
          <w:rFonts w:cs="Arial"/>
        </w:rPr>
        <w:t xml:space="preserve"> (nárůst o 3,7 %).</w:t>
      </w:r>
      <w:r w:rsidRPr="00E45A17">
        <w:rPr>
          <w:rFonts w:cs="Arial"/>
        </w:rPr>
        <w:t xml:space="preserve"> </w:t>
      </w:r>
      <w:r>
        <w:rPr>
          <w:rFonts w:cs="Arial"/>
        </w:rPr>
        <w:t>V</w:t>
      </w:r>
      <w:r w:rsidRPr="00E45A17">
        <w:rPr>
          <w:rFonts w:cs="Arial"/>
        </w:rPr>
        <w:t xml:space="preserve"> oddíle rekreace a kultura </w:t>
      </w:r>
      <w:r>
        <w:rPr>
          <w:rFonts w:cs="Arial"/>
        </w:rPr>
        <w:t xml:space="preserve">byly vyšší </w:t>
      </w:r>
      <w:r w:rsidRPr="00E45A17">
        <w:rPr>
          <w:rFonts w:cs="Arial"/>
        </w:rPr>
        <w:t>cen</w:t>
      </w:r>
      <w:r>
        <w:rPr>
          <w:rFonts w:cs="Arial"/>
        </w:rPr>
        <w:t>y</w:t>
      </w:r>
      <w:r w:rsidRPr="00E45A17">
        <w:rPr>
          <w:rFonts w:cs="Arial"/>
        </w:rPr>
        <w:t xml:space="preserve"> dovolených s komplexními službami o 1</w:t>
      </w:r>
      <w:r>
        <w:rPr>
          <w:rFonts w:cs="Arial"/>
        </w:rPr>
        <w:t>1,6</w:t>
      </w:r>
      <w:r w:rsidRPr="00E45A17">
        <w:rPr>
          <w:rFonts w:cs="Arial"/>
        </w:rPr>
        <w:t> %. V oddíle stravování a ubytování se zvýšily ceny stravovacích služeb o </w:t>
      </w:r>
      <w:r>
        <w:rPr>
          <w:rFonts w:cs="Arial"/>
        </w:rPr>
        <w:t>8,9</w:t>
      </w:r>
      <w:r w:rsidRPr="00E45A17">
        <w:rPr>
          <w:rFonts w:cs="Arial"/>
        </w:rPr>
        <w:t> % a ceny ubytovacích služeb o 1</w:t>
      </w:r>
      <w:r>
        <w:rPr>
          <w:rFonts w:cs="Arial"/>
        </w:rPr>
        <w:t>2,2</w:t>
      </w:r>
      <w:r w:rsidRPr="00E45A17">
        <w:rPr>
          <w:rFonts w:cs="Arial"/>
        </w:rPr>
        <w:t xml:space="preserve"> %. </w:t>
      </w:r>
      <w:r w:rsidRPr="00625FB3">
        <w:t>K meziročnímu snížení cenové hladiny přispěly</w:t>
      </w:r>
      <w:r>
        <w:t xml:space="preserve"> </w:t>
      </w:r>
      <w:r w:rsidRPr="00163514">
        <w:t>v</w:t>
      </w:r>
      <w:r>
        <w:t> říjnu ceny</w:t>
      </w:r>
      <w:r w:rsidRPr="00163514">
        <w:t xml:space="preserve"> v oddíle doprava</w:t>
      </w:r>
      <w:r>
        <w:t>, kde klesly ceny automobilů o 4,3 % a ceny pohonných hmot a olejů o 7,3 %.</w:t>
      </w:r>
    </w:p>
    <w:p w:rsidR="006755A5" w:rsidRPr="00163514" w:rsidRDefault="006755A5" w:rsidP="006755A5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iCs/>
          <w:szCs w:val="20"/>
          <w:u w:val="single"/>
        </w:rPr>
      </w:pPr>
      <w:r w:rsidRPr="00E45A17">
        <w:rPr>
          <w:rFonts w:cs="Arial"/>
          <w:szCs w:val="20"/>
        </w:rPr>
        <w:t xml:space="preserve">Náklady vlastnického bydlení (imputované nájemné) se </w:t>
      </w:r>
      <w:r>
        <w:rPr>
          <w:rFonts w:cs="Arial"/>
          <w:szCs w:val="20"/>
        </w:rPr>
        <w:t>meziročně nezměnily</w:t>
      </w:r>
      <w:r w:rsidRPr="00E45A17">
        <w:rPr>
          <w:rFonts w:cs="Arial"/>
          <w:szCs w:val="20"/>
        </w:rPr>
        <w:t xml:space="preserve"> (v </w:t>
      </w:r>
      <w:r>
        <w:rPr>
          <w:rFonts w:cs="Arial"/>
          <w:szCs w:val="20"/>
        </w:rPr>
        <w:t>září</w:t>
      </w:r>
      <w:r w:rsidRPr="00E45A1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růst </w:t>
      </w:r>
      <w:r w:rsidRPr="00E45A17">
        <w:rPr>
          <w:rFonts w:cs="Arial"/>
          <w:szCs w:val="20"/>
        </w:rPr>
        <w:t>o </w:t>
      </w:r>
      <w:r>
        <w:rPr>
          <w:rFonts w:cs="Arial"/>
          <w:szCs w:val="20"/>
        </w:rPr>
        <w:t>0,1</w:t>
      </w:r>
      <w:r w:rsidRPr="00E45A17">
        <w:rPr>
          <w:rFonts w:cs="Arial"/>
          <w:szCs w:val="20"/>
        </w:rPr>
        <w:t xml:space="preserve"> %). Úhrnný index spotřebitelských cen bez započtení nákladů vlastnického bydlení </w:t>
      </w:r>
      <w:r w:rsidRPr="00AD3D40">
        <w:rPr>
          <w:rFonts w:cs="Arial"/>
          <w:szCs w:val="20"/>
        </w:rPr>
        <w:t>byl 10</w:t>
      </w:r>
      <w:r>
        <w:rPr>
          <w:rFonts w:cs="Arial"/>
          <w:szCs w:val="20"/>
        </w:rPr>
        <w:t>9,7</w:t>
      </w:r>
      <w:r w:rsidRPr="008B4CB3">
        <w:rPr>
          <w:rFonts w:cs="Arial"/>
          <w:szCs w:val="20"/>
        </w:rPr>
        <w:t xml:space="preserve"> %. (Více informací: </w:t>
      </w:r>
      <w:hyperlink r:id="rId9">
        <w:r w:rsidRPr="008B4CB3">
          <w:rPr>
            <w:rStyle w:val="Hypertextovodkaz"/>
            <w:rFonts w:cs="Arial"/>
            <w:szCs w:val="20"/>
          </w:rPr>
          <w:t>Metodická poznámka</w:t>
        </w:r>
      </w:hyperlink>
      <w:r w:rsidRPr="008B4CB3">
        <w:rPr>
          <w:rFonts w:cs="Arial"/>
          <w:szCs w:val="20"/>
        </w:rPr>
        <w:t>.)</w:t>
      </w:r>
    </w:p>
    <w:p w:rsidR="006755A5" w:rsidRDefault="006755A5" w:rsidP="006755A5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iCs/>
          <w:szCs w:val="20"/>
        </w:rPr>
      </w:pPr>
      <w:r w:rsidRPr="00E45A17">
        <w:rPr>
          <w:rFonts w:cs="Arial"/>
          <w:szCs w:val="20"/>
        </w:rPr>
        <w:lastRenderedPageBreak/>
        <w:t>Ceny zboží úhrnem vzrostly o </w:t>
      </w:r>
      <w:r>
        <w:rPr>
          <w:rFonts w:cs="Arial"/>
          <w:szCs w:val="20"/>
        </w:rPr>
        <w:t>10,1</w:t>
      </w:r>
      <w:r w:rsidRPr="00E45A17">
        <w:rPr>
          <w:rFonts w:cs="Arial"/>
          <w:szCs w:val="20"/>
        </w:rPr>
        <w:t> % a ceny služeb o </w:t>
      </w:r>
      <w:r>
        <w:rPr>
          <w:rFonts w:cs="Arial"/>
          <w:szCs w:val="20"/>
        </w:rPr>
        <w:t>6,1</w:t>
      </w:r>
      <w:r w:rsidRPr="00E45A17">
        <w:rPr>
          <w:rFonts w:cs="Arial"/>
          <w:szCs w:val="20"/>
        </w:rPr>
        <w:t> %.</w:t>
      </w:r>
    </w:p>
    <w:p w:rsidR="006755A5" w:rsidRDefault="006755A5" w:rsidP="006755A5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iCs/>
          <w:szCs w:val="20"/>
        </w:rPr>
      </w:pPr>
      <w:r w:rsidRPr="00E45A17">
        <w:rPr>
          <w:rFonts w:cs="Arial"/>
          <w:szCs w:val="20"/>
        </w:rPr>
        <w:t>Míra inflace vyjádřená přírůstkem průměrného indexu spotřebitelských cen za posledních 12 měsíců proti průměru předchozích 12 měsíců byla v </w:t>
      </w:r>
      <w:r>
        <w:rPr>
          <w:rFonts w:cs="Arial"/>
          <w:szCs w:val="20"/>
        </w:rPr>
        <w:t>říjnu</w:t>
      </w:r>
      <w:r w:rsidRPr="00E45A17">
        <w:rPr>
          <w:rFonts w:cs="Arial"/>
          <w:szCs w:val="20"/>
        </w:rPr>
        <w:t xml:space="preserve"> 1</w:t>
      </w:r>
      <w:r>
        <w:rPr>
          <w:rFonts w:cs="Arial"/>
          <w:szCs w:val="20"/>
        </w:rPr>
        <w:t>2,1</w:t>
      </w:r>
      <w:r w:rsidRPr="00E45A17">
        <w:rPr>
          <w:rFonts w:cs="Arial"/>
          <w:szCs w:val="20"/>
        </w:rPr>
        <w:t> % (v </w:t>
      </w:r>
      <w:r>
        <w:rPr>
          <w:rFonts w:cs="Arial"/>
          <w:szCs w:val="20"/>
        </w:rPr>
        <w:t>září</w:t>
      </w:r>
      <w:r w:rsidRPr="00E45A17">
        <w:rPr>
          <w:rFonts w:cs="Arial"/>
          <w:szCs w:val="20"/>
        </w:rPr>
        <w:t> 1</w:t>
      </w:r>
      <w:r>
        <w:rPr>
          <w:rFonts w:cs="Arial"/>
          <w:szCs w:val="20"/>
        </w:rPr>
        <w:t>2,7</w:t>
      </w:r>
      <w:r w:rsidRPr="00E45A17">
        <w:rPr>
          <w:rFonts w:cs="Arial"/>
          <w:szCs w:val="20"/>
        </w:rPr>
        <w:t> %).</w:t>
      </w:r>
    </w:p>
    <w:p w:rsidR="00071A61" w:rsidRPr="00071A61" w:rsidRDefault="006755A5" w:rsidP="006755A5">
      <w:pPr>
        <w:jc w:val="both"/>
      </w:pPr>
      <w:r w:rsidRPr="00526E1C">
        <w:rPr>
          <w:rFonts w:cs="Arial"/>
          <w:szCs w:val="20"/>
        </w:rPr>
        <w:t xml:space="preserve">Hladina bazického indexu spotřebitelských cen k základnímu období průměr roku 2015 </w:t>
      </w:r>
      <w:r>
        <w:rPr>
          <w:rFonts w:cs="Arial"/>
          <w:szCs w:val="20"/>
        </w:rPr>
        <w:t xml:space="preserve">byla </w:t>
      </w:r>
      <w:r w:rsidRPr="00526E1C">
        <w:rPr>
          <w:rFonts w:cs="Arial"/>
          <w:szCs w:val="20"/>
        </w:rPr>
        <w:t>v </w:t>
      </w:r>
      <w:r>
        <w:rPr>
          <w:rFonts w:cs="Arial"/>
          <w:szCs w:val="20"/>
        </w:rPr>
        <w:t>říjnu</w:t>
      </w:r>
      <w:r w:rsidRPr="00526E1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148,1</w:t>
      </w:r>
      <w:r w:rsidRPr="00526E1C">
        <w:rPr>
          <w:rFonts w:cs="Arial"/>
          <w:szCs w:val="20"/>
        </w:rPr>
        <w:t> % (v </w:t>
      </w:r>
      <w:r>
        <w:rPr>
          <w:rFonts w:cs="Arial"/>
          <w:szCs w:val="20"/>
        </w:rPr>
        <w:t>září</w:t>
      </w:r>
      <w:r w:rsidRPr="00526E1C">
        <w:rPr>
          <w:rFonts w:cs="Arial"/>
          <w:szCs w:val="20"/>
        </w:rPr>
        <w:t> 14</w:t>
      </w:r>
      <w:r>
        <w:rPr>
          <w:rFonts w:cs="Arial"/>
          <w:szCs w:val="20"/>
        </w:rPr>
        <w:t>8,0</w:t>
      </w:r>
      <w:r w:rsidRPr="00526E1C">
        <w:rPr>
          <w:rFonts w:cs="Arial"/>
          <w:szCs w:val="20"/>
        </w:rPr>
        <w:t> %).</w:t>
      </w:r>
    </w:p>
    <w:p w:rsidR="00F071F6" w:rsidRPr="00F071F6" w:rsidRDefault="00F071F6" w:rsidP="00F071F6">
      <w:pPr>
        <w:pStyle w:val="Zkladntextodsazen3"/>
        <w:keepNext/>
        <w:spacing w:after="0" w:line="288" w:lineRule="auto"/>
        <w:ind w:left="0"/>
        <w:rPr>
          <w:rFonts w:cs="Arial"/>
          <w:b/>
          <w:sz w:val="20"/>
          <w:szCs w:val="20"/>
        </w:rPr>
      </w:pPr>
      <w:r w:rsidRPr="00F071F6">
        <w:rPr>
          <w:rFonts w:cs="Arial"/>
          <w:b/>
          <w:bCs/>
          <w:sz w:val="20"/>
          <w:szCs w:val="20"/>
        </w:rPr>
        <w:t>Harmonizovaný index spotřebitelských cen</w:t>
      </w:r>
      <w:r w:rsidRPr="00F071F6">
        <w:rPr>
          <w:rFonts w:cs="Arial"/>
          <w:sz w:val="20"/>
          <w:szCs w:val="20"/>
        </w:rPr>
        <w:t xml:space="preserve"> (HICP)</w:t>
      </w:r>
      <w:r w:rsidRPr="00F071F6">
        <w:rPr>
          <w:rStyle w:val="Znakapoznpodarou"/>
          <w:rFonts w:cs="Arial"/>
          <w:sz w:val="20"/>
          <w:szCs w:val="20"/>
        </w:rPr>
        <w:footnoteReference w:id="3"/>
      </w:r>
      <w:r w:rsidRPr="00F071F6">
        <w:rPr>
          <w:rFonts w:cs="Arial"/>
          <w:sz w:val="20"/>
          <w:szCs w:val="20"/>
          <w:vertAlign w:val="superscript"/>
        </w:rPr>
        <w:t>)</w:t>
      </w:r>
    </w:p>
    <w:p w:rsidR="008424DF" w:rsidRPr="00B3645D" w:rsidRDefault="006755A5" w:rsidP="008424DF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  <w:r w:rsidRPr="006755A5">
        <w:rPr>
          <w:rFonts w:cs="Arial"/>
          <w:sz w:val="20"/>
          <w:szCs w:val="20"/>
        </w:rPr>
        <w:t xml:space="preserve">Podle předběžných výpočtů byla </w:t>
      </w:r>
      <w:r w:rsidRPr="006755A5">
        <w:rPr>
          <w:rFonts w:cs="Arial"/>
          <w:b/>
          <w:sz w:val="20"/>
          <w:szCs w:val="20"/>
        </w:rPr>
        <w:t>v říjnu</w:t>
      </w:r>
      <w:r w:rsidRPr="006755A5">
        <w:rPr>
          <w:rFonts w:cs="Arial"/>
          <w:sz w:val="20"/>
          <w:szCs w:val="20"/>
        </w:rPr>
        <w:t xml:space="preserve"> </w:t>
      </w:r>
      <w:r w:rsidRPr="006755A5">
        <w:rPr>
          <w:rFonts w:cs="Arial"/>
          <w:b/>
          <w:sz w:val="20"/>
          <w:szCs w:val="20"/>
        </w:rPr>
        <w:t xml:space="preserve">meziměsíční </w:t>
      </w:r>
      <w:r w:rsidRPr="006755A5">
        <w:rPr>
          <w:rFonts w:cs="Arial"/>
          <w:sz w:val="20"/>
          <w:szCs w:val="20"/>
        </w:rPr>
        <w:t>změna HICP v Česku 0,0 % a </w:t>
      </w:r>
      <w:r w:rsidRPr="006755A5">
        <w:rPr>
          <w:rFonts w:cs="Arial"/>
          <w:b/>
          <w:sz w:val="20"/>
          <w:szCs w:val="20"/>
        </w:rPr>
        <w:t>meziroční</w:t>
      </w:r>
      <w:r w:rsidRPr="006755A5">
        <w:rPr>
          <w:rFonts w:cs="Arial"/>
          <w:sz w:val="20"/>
          <w:szCs w:val="20"/>
        </w:rPr>
        <w:t xml:space="preserve"> 9,5 % (v září o 8,3 %). </w:t>
      </w:r>
      <w:r w:rsidRPr="006755A5">
        <w:rPr>
          <w:rFonts w:cs="Arial"/>
          <w:b/>
          <w:sz w:val="20"/>
          <w:szCs w:val="20"/>
        </w:rPr>
        <w:t>Podle bleskových odhadů</w:t>
      </w:r>
      <w:r w:rsidRPr="006755A5">
        <w:rPr>
          <w:rFonts w:cs="Arial"/>
          <w:sz w:val="20"/>
          <w:szCs w:val="20"/>
        </w:rPr>
        <w:t xml:space="preserve"> </w:t>
      </w:r>
      <w:proofErr w:type="spellStart"/>
      <w:r w:rsidRPr="006755A5">
        <w:rPr>
          <w:rFonts w:cs="Arial"/>
          <w:sz w:val="20"/>
          <w:szCs w:val="20"/>
        </w:rPr>
        <w:t>Eurostatu</w:t>
      </w:r>
      <w:proofErr w:type="spellEnd"/>
      <w:r w:rsidRPr="006755A5">
        <w:rPr>
          <w:rFonts w:cs="Arial"/>
          <w:b/>
          <w:sz w:val="20"/>
          <w:szCs w:val="20"/>
        </w:rPr>
        <w:t xml:space="preserve"> </w:t>
      </w:r>
      <w:r w:rsidRPr="006755A5">
        <w:rPr>
          <w:rFonts w:cs="Arial"/>
          <w:sz w:val="20"/>
          <w:szCs w:val="20"/>
        </w:rPr>
        <w:t>byla</w:t>
      </w:r>
      <w:r w:rsidRPr="006755A5">
        <w:rPr>
          <w:rFonts w:cs="Arial"/>
          <w:b/>
          <w:sz w:val="20"/>
          <w:szCs w:val="20"/>
        </w:rPr>
        <w:t xml:space="preserve"> meziroční</w:t>
      </w:r>
      <w:r w:rsidRPr="006755A5">
        <w:rPr>
          <w:rFonts w:cs="Arial"/>
          <w:sz w:val="20"/>
          <w:szCs w:val="20"/>
        </w:rPr>
        <w:t xml:space="preserve"> změna HICP </w:t>
      </w:r>
      <w:r w:rsidRPr="006755A5">
        <w:rPr>
          <w:rFonts w:cs="Arial"/>
          <w:b/>
          <w:sz w:val="20"/>
          <w:szCs w:val="20"/>
        </w:rPr>
        <w:t xml:space="preserve">v říjnu </w:t>
      </w:r>
      <w:r w:rsidRPr="006755A5">
        <w:rPr>
          <w:rFonts w:cs="Arial"/>
          <w:b/>
          <w:bCs/>
          <w:sz w:val="20"/>
          <w:szCs w:val="20"/>
        </w:rPr>
        <w:t xml:space="preserve">2023 </w:t>
      </w:r>
      <w:r w:rsidRPr="006755A5">
        <w:rPr>
          <w:rFonts w:cs="Arial"/>
          <w:sz w:val="20"/>
          <w:szCs w:val="20"/>
        </w:rPr>
        <w:t>za Eurozónu 2,9 % (v září 4,3 %), v Německu 3,0 %.</w:t>
      </w:r>
      <w:r w:rsidRPr="006755A5">
        <w:rPr>
          <w:rFonts w:cs="Arial"/>
          <w:bCs/>
          <w:sz w:val="20"/>
          <w:szCs w:val="20"/>
        </w:rPr>
        <w:t xml:space="preserve"> Nejvyšší byla v říjnu na Slovensku (7,8 %) a nejnižší v Belgii (pokles o 1,7 %). P</w:t>
      </w:r>
      <w:r w:rsidRPr="006755A5">
        <w:rPr>
          <w:rFonts w:cs="Arial"/>
          <w:sz w:val="20"/>
          <w:szCs w:val="20"/>
        </w:rPr>
        <w:t xml:space="preserve">odle předběžných údajů </w:t>
      </w:r>
      <w:proofErr w:type="spellStart"/>
      <w:r w:rsidRPr="006755A5">
        <w:rPr>
          <w:rFonts w:cs="Arial"/>
          <w:sz w:val="20"/>
          <w:szCs w:val="20"/>
        </w:rPr>
        <w:t>Eurostatu</w:t>
      </w:r>
      <w:proofErr w:type="spellEnd"/>
      <w:r w:rsidRPr="006755A5">
        <w:rPr>
          <w:rFonts w:cs="Arial"/>
          <w:sz w:val="20"/>
          <w:szCs w:val="20"/>
        </w:rPr>
        <w:t xml:space="preserve"> byla </w:t>
      </w:r>
      <w:r w:rsidRPr="006755A5">
        <w:rPr>
          <w:rFonts w:cs="Arial"/>
          <w:b/>
          <w:sz w:val="20"/>
          <w:szCs w:val="20"/>
        </w:rPr>
        <w:t>meziroční</w:t>
      </w:r>
      <w:r w:rsidRPr="006755A5">
        <w:rPr>
          <w:rFonts w:cs="Arial"/>
          <w:sz w:val="20"/>
          <w:szCs w:val="20"/>
        </w:rPr>
        <w:t xml:space="preserve"> změna HICP </w:t>
      </w:r>
      <w:r w:rsidRPr="006755A5">
        <w:rPr>
          <w:rFonts w:cs="Arial"/>
          <w:b/>
          <w:bCs/>
          <w:sz w:val="20"/>
          <w:szCs w:val="20"/>
        </w:rPr>
        <w:t xml:space="preserve">27 členských zemí EU </w:t>
      </w:r>
      <w:r w:rsidRPr="006755A5">
        <w:rPr>
          <w:rFonts w:cs="Arial"/>
          <w:b/>
          <w:sz w:val="20"/>
          <w:szCs w:val="20"/>
        </w:rPr>
        <w:t xml:space="preserve">v září </w:t>
      </w:r>
      <w:r w:rsidRPr="006755A5">
        <w:rPr>
          <w:rFonts w:cs="Arial"/>
          <w:sz w:val="20"/>
          <w:szCs w:val="20"/>
        </w:rPr>
        <w:t xml:space="preserve">4,9 %, což bylo o 1,0 procentního bodu méně než v srpnu. </w:t>
      </w:r>
      <w:r w:rsidRPr="006755A5">
        <w:rPr>
          <w:rFonts w:cs="Arial"/>
          <w:bCs/>
          <w:sz w:val="20"/>
          <w:szCs w:val="20"/>
        </w:rPr>
        <w:t>Nejvyšší byla v září v Maďarsku (12,2 %) a nejnižší v Nizozemsku (pokles o 0,3 %).</w:t>
      </w:r>
    </w:p>
    <w:p w:rsidR="00F24320" w:rsidRDefault="008424DF" w:rsidP="008424DF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  <w:r w:rsidRPr="00B3645D">
        <w:rPr>
          <w:rFonts w:cs="Arial"/>
          <w:sz w:val="20"/>
          <w:szCs w:val="20"/>
        </w:rPr>
        <w:t xml:space="preserve">(Více informací na internetových stránkách </w:t>
      </w:r>
      <w:proofErr w:type="spellStart"/>
      <w:r w:rsidRPr="00B3645D">
        <w:rPr>
          <w:rFonts w:cs="Arial"/>
          <w:sz w:val="20"/>
          <w:szCs w:val="20"/>
        </w:rPr>
        <w:t>Eurostatu</w:t>
      </w:r>
      <w:proofErr w:type="spellEnd"/>
      <w:r w:rsidRPr="00B3645D">
        <w:rPr>
          <w:rFonts w:cs="Arial"/>
          <w:sz w:val="20"/>
          <w:szCs w:val="20"/>
        </w:rPr>
        <w:t xml:space="preserve">: </w:t>
      </w:r>
      <w:hyperlink r:id="rId10" w:history="1">
        <w:r w:rsidRPr="00B3645D">
          <w:rPr>
            <w:rStyle w:val="Hypertextovodkaz"/>
            <w:rFonts w:cs="Arial"/>
            <w:sz w:val="20"/>
            <w:szCs w:val="20"/>
          </w:rPr>
          <w:t>HICP</w:t>
        </w:r>
      </w:hyperlink>
      <w:r w:rsidRPr="00B3645D">
        <w:rPr>
          <w:rFonts w:cs="Arial"/>
          <w:sz w:val="20"/>
          <w:szCs w:val="20"/>
        </w:rPr>
        <w:t>.)</w:t>
      </w:r>
    </w:p>
    <w:p w:rsidR="006755A5" w:rsidRPr="006755A5" w:rsidRDefault="006755A5" w:rsidP="006755A5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</w:p>
    <w:p w:rsidR="006755A5" w:rsidRPr="006755A5" w:rsidRDefault="006755A5" w:rsidP="006755A5">
      <w:pPr>
        <w:pStyle w:val="Zkladntextodsazen3"/>
        <w:spacing w:after="240" w:line="288" w:lineRule="auto"/>
        <w:ind w:left="0"/>
        <w:jc w:val="center"/>
        <w:rPr>
          <w:rFonts w:cs="Arial"/>
          <w:sz w:val="20"/>
          <w:szCs w:val="20"/>
        </w:rPr>
      </w:pPr>
      <w:r w:rsidRPr="006755A5">
        <w:rPr>
          <w:rFonts w:cs="Arial"/>
          <w:sz w:val="20"/>
          <w:szCs w:val="20"/>
        </w:rPr>
        <w:t>* * *</w:t>
      </w:r>
    </w:p>
    <w:p w:rsidR="006755A5" w:rsidRPr="006755A5" w:rsidRDefault="006755A5" w:rsidP="006755A5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  <w:r w:rsidRPr="006755A5">
        <w:rPr>
          <w:rFonts w:eastAsia="Times New Roman" w:cs="Arial"/>
          <w:iCs/>
          <w:sz w:val="20"/>
          <w:szCs w:val="20"/>
        </w:rPr>
        <w:t>Od ledna 2024 budou indexy spotřebitelských cen počítány na aktualizovaných vahách, které budou primárně vycházet z výdajů domácností v roce 2022 a budou modifikovány odhadem výdajů roku 2023. Nově vypočítávané indexy budou na všech úrovních spotřebního koše řetězeny k časové řadě indexů o základu průměr roku 2015 = 100. Tím bude zajištěno pokračování této časové řady, ze které budou počítány indexy k dalším základům (předchozí měsíc = 100, stejné období předchozího roku = 100 a index klouzavých průměrů za posledních 12 měsíců k průměru 12 předcházejících měsíců).</w:t>
      </w:r>
    </w:p>
    <w:sectPr w:rsidR="006755A5" w:rsidRPr="006755A5" w:rsidSect="00EF11F7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0E7" w:rsidRDefault="000D10E7" w:rsidP="00E71A58">
      <w:r>
        <w:separator/>
      </w:r>
    </w:p>
  </w:endnote>
  <w:endnote w:type="continuationSeparator" w:id="0">
    <w:p w:rsidR="000D10E7" w:rsidRDefault="000D10E7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A765E">
    <w:pPr>
      <w:pStyle w:val="Zpat"/>
      <w:tabs>
        <w:tab w:val="left" w:pos="3825"/>
      </w:tabs>
      <w:rPr>
        <w:szCs w:val="16"/>
      </w:rPr>
    </w:pPr>
    <w:r w:rsidRPr="00F1639F">
      <w:rPr>
        <w:szCs w:val="16"/>
      </w:rPr>
      <w:tab/>
    </w:r>
    <w:r w:rsidR="00420793">
      <w:rPr>
        <w:szCs w:val="16"/>
      </w:rPr>
      <w:t>ří</w:t>
    </w:r>
    <w:r w:rsidR="00A15262">
      <w:rPr>
        <w:szCs w:val="16"/>
      </w:rPr>
      <w:t>jen</w:t>
    </w:r>
    <w:r w:rsidR="00A16F97">
      <w:rPr>
        <w:rStyle w:val="ZpatChar"/>
        <w:szCs w:val="16"/>
      </w:rPr>
      <w:t xml:space="preserve"> 202</w:t>
    </w:r>
    <w:r w:rsidR="003956F4">
      <w:rPr>
        <w:rStyle w:val="ZpatChar"/>
        <w:szCs w:val="16"/>
      </w:rPr>
      <w:t>3</w:t>
    </w:r>
    <w:r w:rsidRPr="00F1639F">
      <w:rPr>
        <w:rStyle w:val="ZpatChar"/>
        <w:szCs w:val="16"/>
      </w:rPr>
      <w:t xml:space="preserve"> / </w:t>
    </w:r>
    <w:r w:rsidR="00A15262">
      <w:rPr>
        <w:rStyle w:val="ZpatChar"/>
        <w:i/>
        <w:szCs w:val="16"/>
      </w:rPr>
      <w:t>Octo</w:t>
    </w:r>
    <w:r w:rsidR="00420793">
      <w:rPr>
        <w:rStyle w:val="ZpatChar"/>
        <w:i/>
        <w:szCs w:val="16"/>
      </w:rPr>
      <w:t>ber</w:t>
    </w:r>
    <w:r>
      <w:rPr>
        <w:rStyle w:val="ZpatChar"/>
        <w:i/>
        <w:szCs w:val="16"/>
      </w:rPr>
      <w:t xml:space="preserve"> 20</w:t>
    </w:r>
    <w:r w:rsidR="0085490B">
      <w:rPr>
        <w:rStyle w:val="ZpatChar"/>
        <w:i/>
        <w:szCs w:val="16"/>
      </w:rPr>
      <w:t>2</w:t>
    </w:r>
    <w:r w:rsidR="003956F4">
      <w:rPr>
        <w:rStyle w:val="ZpatChar"/>
        <w:i/>
        <w:szCs w:val="16"/>
      </w:rPr>
      <w:t>3</w:t>
    </w:r>
    <w:r w:rsidRPr="00F1639F">
      <w:rPr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0E7" w:rsidRDefault="000D10E7" w:rsidP="00E71A58">
      <w:r>
        <w:separator/>
      </w:r>
    </w:p>
  </w:footnote>
  <w:footnote w:type="continuationSeparator" w:id="0">
    <w:p w:rsidR="000D10E7" w:rsidRDefault="000D10E7" w:rsidP="00E71A58">
      <w:r>
        <w:continuationSeparator/>
      </w:r>
    </w:p>
  </w:footnote>
  <w:footnote w:id="1">
    <w:p w:rsidR="006755A5" w:rsidRPr="006755A5" w:rsidRDefault="006755A5" w:rsidP="006755A5">
      <w:pPr>
        <w:pStyle w:val="Textpoznpodarou"/>
        <w:spacing w:line="288" w:lineRule="auto"/>
        <w:contextualSpacing/>
        <w:jc w:val="both"/>
        <w:rPr>
          <w:rFonts w:ascii="Arial" w:hAnsi="Arial" w:cs="Arial"/>
          <w:sz w:val="18"/>
          <w:szCs w:val="18"/>
          <w:lang w:val="cs-CZ"/>
        </w:rPr>
      </w:pPr>
      <w:r w:rsidRPr="006755A5">
        <w:rPr>
          <w:rStyle w:val="Znakapoznpodarou"/>
          <w:rFonts w:ascii="Arial" w:hAnsi="Arial" w:cs="Arial"/>
          <w:szCs w:val="18"/>
          <w:lang w:val="cs-CZ"/>
        </w:rPr>
        <w:footnoteRef/>
      </w:r>
      <w:r w:rsidRPr="006755A5">
        <w:rPr>
          <w:rFonts w:ascii="Arial" w:hAnsi="Arial" w:cs="Arial"/>
          <w:szCs w:val="18"/>
          <w:vertAlign w:val="superscript"/>
          <w:lang w:val="cs-CZ"/>
        </w:rPr>
        <w:t>)</w:t>
      </w:r>
      <w:r w:rsidRPr="006755A5">
        <w:rPr>
          <w:rFonts w:ascii="Arial" w:hAnsi="Arial" w:cs="Arial"/>
          <w:sz w:val="18"/>
          <w:szCs w:val="18"/>
          <w:vertAlign w:val="superscript"/>
          <w:lang w:val="cs-CZ"/>
        </w:rPr>
        <w:t xml:space="preserve"> </w:t>
      </w:r>
      <w:r w:rsidRPr="006755A5">
        <w:rPr>
          <w:rFonts w:ascii="Arial" w:hAnsi="Arial" w:cs="Arial"/>
          <w:b/>
          <w:i/>
          <w:sz w:val="18"/>
          <w:szCs w:val="18"/>
          <w:lang w:val="cs-CZ"/>
        </w:rPr>
        <w:t>Zrychlení/zpomalení</w:t>
      </w:r>
      <w:r w:rsidRPr="006755A5">
        <w:rPr>
          <w:rFonts w:ascii="Arial" w:hAnsi="Arial" w:cs="Arial"/>
          <w:i/>
          <w:sz w:val="18"/>
          <w:szCs w:val="18"/>
          <w:lang w:val="cs-CZ"/>
        </w:rPr>
        <w:t xml:space="preserve"> růstu meziročního cenového indexu je rozdíl mezi aktuálním a předchozím meziročním indexem. Je proto závislé na změně aktuálního meziměsíčního indexu a zároveň na změně základny – meziměsíčního indexu (růstu/poklesu) ve stejném měsíci loňského roku.</w:t>
      </w:r>
    </w:p>
  </w:footnote>
  <w:footnote w:id="2">
    <w:p w:rsidR="006755A5" w:rsidRPr="006755A5" w:rsidRDefault="006755A5" w:rsidP="006755A5">
      <w:pPr>
        <w:pStyle w:val="Textpoznpodarou"/>
        <w:spacing w:line="288" w:lineRule="auto"/>
        <w:contextualSpacing/>
        <w:jc w:val="both"/>
        <w:rPr>
          <w:rFonts w:ascii="Arial" w:hAnsi="Arial" w:cs="Arial"/>
          <w:i/>
          <w:sz w:val="18"/>
          <w:szCs w:val="18"/>
          <w:lang w:val="cs-CZ"/>
        </w:rPr>
      </w:pPr>
      <w:r w:rsidRPr="006755A5">
        <w:rPr>
          <w:rStyle w:val="Znakapoznpodarou"/>
          <w:rFonts w:ascii="Arial" w:hAnsi="Arial" w:cs="Arial"/>
          <w:szCs w:val="18"/>
          <w:lang w:val="cs-CZ"/>
        </w:rPr>
        <w:footnoteRef/>
      </w:r>
      <w:r w:rsidRPr="006755A5">
        <w:rPr>
          <w:rFonts w:ascii="Arial" w:hAnsi="Arial" w:cs="Arial"/>
          <w:szCs w:val="18"/>
          <w:vertAlign w:val="superscript"/>
          <w:lang w:val="cs-CZ"/>
        </w:rPr>
        <w:t>)</w:t>
      </w:r>
      <w:r w:rsidRPr="006755A5">
        <w:rPr>
          <w:rFonts w:ascii="Arial" w:hAnsi="Arial" w:cs="Arial"/>
          <w:sz w:val="18"/>
          <w:szCs w:val="18"/>
          <w:vertAlign w:val="superscript"/>
          <w:lang w:val="cs-CZ"/>
        </w:rPr>
        <w:t xml:space="preserve"> </w:t>
      </w:r>
      <w:r w:rsidRPr="006755A5">
        <w:rPr>
          <w:rFonts w:ascii="Arial" w:hAnsi="Arial" w:cs="Arial"/>
          <w:i/>
          <w:sz w:val="18"/>
          <w:szCs w:val="18"/>
          <w:lang w:val="cs-CZ"/>
        </w:rPr>
        <w:t>Nájemné z bytu zahrnuje jak nově uzavřené smlouvy, tak i stávající.</w:t>
      </w:r>
    </w:p>
  </w:footnote>
  <w:footnote w:id="3">
    <w:p w:rsidR="00F071F6" w:rsidRPr="00056397" w:rsidRDefault="00F071F6" w:rsidP="006E7114">
      <w:pPr>
        <w:pStyle w:val="Poznamkytexty"/>
        <w:spacing w:line="288" w:lineRule="auto"/>
        <w:contextualSpacing/>
      </w:pPr>
      <w:r w:rsidRPr="00F24320">
        <w:rPr>
          <w:rStyle w:val="Znakapoznpodarou"/>
          <w:i w:val="0"/>
          <w:sz w:val="20"/>
          <w:szCs w:val="20"/>
        </w:rPr>
        <w:footnoteRef/>
      </w:r>
      <w:r w:rsidRPr="00F24320">
        <w:rPr>
          <w:i w:val="0"/>
          <w:sz w:val="20"/>
          <w:szCs w:val="20"/>
          <w:vertAlign w:val="superscript"/>
        </w:rPr>
        <w:t>)</w:t>
      </w:r>
      <w:r w:rsidRPr="00056397">
        <w:t xml:space="preserve"> HICP neobsahuje imputované nájemné.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F731B6" w:rsidRDefault="00F943EC" w:rsidP="00937AE2">
    <w:pPr>
      <w:pStyle w:val="Zhlav"/>
      <w:rPr>
        <w:i/>
        <w:lang w:val="en-GB"/>
      </w:rPr>
    </w:pPr>
    <w:r w:rsidRPr="00F731B6">
      <w:rPr>
        <w:i/>
        <w:lang w:val="en-GB"/>
      </w:rPr>
      <w:t>Consumer Price Indices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04F"/>
    <w:rsid w:val="0000209D"/>
    <w:rsid w:val="00004D5A"/>
    <w:rsid w:val="000056D5"/>
    <w:rsid w:val="00006C4F"/>
    <w:rsid w:val="0000767A"/>
    <w:rsid w:val="00010702"/>
    <w:rsid w:val="00010CD1"/>
    <w:rsid w:val="000234D6"/>
    <w:rsid w:val="00023D29"/>
    <w:rsid w:val="00025AEA"/>
    <w:rsid w:val="0002623C"/>
    <w:rsid w:val="00026389"/>
    <w:rsid w:val="00030091"/>
    <w:rsid w:val="00031821"/>
    <w:rsid w:val="00031AE0"/>
    <w:rsid w:val="000322EF"/>
    <w:rsid w:val="00033FCD"/>
    <w:rsid w:val="000373E6"/>
    <w:rsid w:val="00041CEC"/>
    <w:rsid w:val="00041E27"/>
    <w:rsid w:val="0004694F"/>
    <w:rsid w:val="000522E4"/>
    <w:rsid w:val="00056397"/>
    <w:rsid w:val="000603E2"/>
    <w:rsid w:val="00060C89"/>
    <w:rsid w:val="000610E1"/>
    <w:rsid w:val="00061ECB"/>
    <w:rsid w:val="00062EC5"/>
    <w:rsid w:val="00062F22"/>
    <w:rsid w:val="00065A65"/>
    <w:rsid w:val="000712B3"/>
    <w:rsid w:val="00071A61"/>
    <w:rsid w:val="0007482F"/>
    <w:rsid w:val="0008263E"/>
    <w:rsid w:val="00082C19"/>
    <w:rsid w:val="00083837"/>
    <w:rsid w:val="0008422C"/>
    <w:rsid w:val="00085395"/>
    <w:rsid w:val="00087634"/>
    <w:rsid w:val="00087F2B"/>
    <w:rsid w:val="00091AD4"/>
    <w:rsid w:val="000965A4"/>
    <w:rsid w:val="00096884"/>
    <w:rsid w:val="000974D1"/>
    <w:rsid w:val="0009799E"/>
    <w:rsid w:val="000A023D"/>
    <w:rsid w:val="000A1183"/>
    <w:rsid w:val="000A136C"/>
    <w:rsid w:val="000A256D"/>
    <w:rsid w:val="000A3A2C"/>
    <w:rsid w:val="000B4400"/>
    <w:rsid w:val="000B4F84"/>
    <w:rsid w:val="000C3408"/>
    <w:rsid w:val="000C3674"/>
    <w:rsid w:val="000C39C1"/>
    <w:rsid w:val="000C55F1"/>
    <w:rsid w:val="000C6AFD"/>
    <w:rsid w:val="000D10E7"/>
    <w:rsid w:val="000D5637"/>
    <w:rsid w:val="000D694A"/>
    <w:rsid w:val="000E1D08"/>
    <w:rsid w:val="000E43A0"/>
    <w:rsid w:val="000E46C8"/>
    <w:rsid w:val="000E5CFC"/>
    <w:rsid w:val="000E6FBD"/>
    <w:rsid w:val="00100F5C"/>
    <w:rsid w:val="00101053"/>
    <w:rsid w:val="00104C4C"/>
    <w:rsid w:val="0012192F"/>
    <w:rsid w:val="00122F92"/>
    <w:rsid w:val="00125D69"/>
    <w:rsid w:val="001356B7"/>
    <w:rsid w:val="0013634B"/>
    <w:rsid w:val="001405FA"/>
    <w:rsid w:val="00141E67"/>
    <w:rsid w:val="001425C3"/>
    <w:rsid w:val="001429DB"/>
    <w:rsid w:val="00144715"/>
    <w:rsid w:val="00147D26"/>
    <w:rsid w:val="00155623"/>
    <w:rsid w:val="00157546"/>
    <w:rsid w:val="0016256B"/>
    <w:rsid w:val="00163793"/>
    <w:rsid w:val="001637B7"/>
    <w:rsid w:val="00167915"/>
    <w:rsid w:val="001706D6"/>
    <w:rsid w:val="001714F2"/>
    <w:rsid w:val="00176E2A"/>
    <w:rsid w:val="001778BB"/>
    <w:rsid w:val="001849F2"/>
    <w:rsid w:val="00184B08"/>
    <w:rsid w:val="00184B32"/>
    <w:rsid w:val="00185010"/>
    <w:rsid w:val="001869E7"/>
    <w:rsid w:val="0019038F"/>
    <w:rsid w:val="001927C2"/>
    <w:rsid w:val="001A552F"/>
    <w:rsid w:val="001B0D9B"/>
    <w:rsid w:val="001B2B92"/>
    <w:rsid w:val="001B2CA9"/>
    <w:rsid w:val="001B3110"/>
    <w:rsid w:val="001B3E46"/>
    <w:rsid w:val="001B4729"/>
    <w:rsid w:val="001B6146"/>
    <w:rsid w:val="001B6C09"/>
    <w:rsid w:val="001C04BF"/>
    <w:rsid w:val="001C05CD"/>
    <w:rsid w:val="001C0A89"/>
    <w:rsid w:val="001C34DB"/>
    <w:rsid w:val="001D043C"/>
    <w:rsid w:val="001D68B2"/>
    <w:rsid w:val="001E723E"/>
    <w:rsid w:val="001F4597"/>
    <w:rsid w:val="001F7337"/>
    <w:rsid w:val="00201F3A"/>
    <w:rsid w:val="00204B44"/>
    <w:rsid w:val="002118B9"/>
    <w:rsid w:val="00217C5B"/>
    <w:rsid w:val="0022139E"/>
    <w:rsid w:val="002252E0"/>
    <w:rsid w:val="002255F6"/>
    <w:rsid w:val="00227850"/>
    <w:rsid w:val="00230C6E"/>
    <w:rsid w:val="00231723"/>
    <w:rsid w:val="00231B76"/>
    <w:rsid w:val="00236443"/>
    <w:rsid w:val="002436BA"/>
    <w:rsid w:val="00244A15"/>
    <w:rsid w:val="00247319"/>
    <w:rsid w:val="002473C2"/>
    <w:rsid w:val="0024799E"/>
    <w:rsid w:val="00250429"/>
    <w:rsid w:val="00252480"/>
    <w:rsid w:val="00253C0F"/>
    <w:rsid w:val="0026303C"/>
    <w:rsid w:val="00264B76"/>
    <w:rsid w:val="00267CC0"/>
    <w:rsid w:val="00271465"/>
    <w:rsid w:val="00271612"/>
    <w:rsid w:val="00274B22"/>
    <w:rsid w:val="00280C6E"/>
    <w:rsid w:val="00284103"/>
    <w:rsid w:val="00284581"/>
    <w:rsid w:val="00285412"/>
    <w:rsid w:val="002860E3"/>
    <w:rsid w:val="002901CD"/>
    <w:rsid w:val="002927A1"/>
    <w:rsid w:val="0029754F"/>
    <w:rsid w:val="002A16D4"/>
    <w:rsid w:val="002A230C"/>
    <w:rsid w:val="002A3E2A"/>
    <w:rsid w:val="002B3598"/>
    <w:rsid w:val="002B43B9"/>
    <w:rsid w:val="002B6FD1"/>
    <w:rsid w:val="002C4142"/>
    <w:rsid w:val="002C43BD"/>
    <w:rsid w:val="002D0E59"/>
    <w:rsid w:val="002E02A1"/>
    <w:rsid w:val="002E16B1"/>
    <w:rsid w:val="002E4E4C"/>
    <w:rsid w:val="002E52F9"/>
    <w:rsid w:val="002E57D3"/>
    <w:rsid w:val="002E7290"/>
    <w:rsid w:val="002F19E0"/>
    <w:rsid w:val="00304771"/>
    <w:rsid w:val="003052D4"/>
    <w:rsid w:val="00306C5B"/>
    <w:rsid w:val="003209D6"/>
    <w:rsid w:val="0032656E"/>
    <w:rsid w:val="003309D4"/>
    <w:rsid w:val="00332190"/>
    <w:rsid w:val="0033316C"/>
    <w:rsid w:val="00337127"/>
    <w:rsid w:val="00344668"/>
    <w:rsid w:val="003462D9"/>
    <w:rsid w:val="00360E5F"/>
    <w:rsid w:val="003657F3"/>
    <w:rsid w:val="00371C3B"/>
    <w:rsid w:val="003818DC"/>
    <w:rsid w:val="00382250"/>
    <w:rsid w:val="00385D98"/>
    <w:rsid w:val="00390FD1"/>
    <w:rsid w:val="003956F4"/>
    <w:rsid w:val="003A0717"/>
    <w:rsid w:val="003A2B4D"/>
    <w:rsid w:val="003A414A"/>
    <w:rsid w:val="003A478C"/>
    <w:rsid w:val="003A4FE4"/>
    <w:rsid w:val="003A5525"/>
    <w:rsid w:val="003A6B38"/>
    <w:rsid w:val="003B320E"/>
    <w:rsid w:val="003B5A32"/>
    <w:rsid w:val="003C3490"/>
    <w:rsid w:val="003C5B95"/>
    <w:rsid w:val="003D3BEB"/>
    <w:rsid w:val="003D463A"/>
    <w:rsid w:val="003D6920"/>
    <w:rsid w:val="003E0D5C"/>
    <w:rsid w:val="003E4C91"/>
    <w:rsid w:val="003E6213"/>
    <w:rsid w:val="003F313C"/>
    <w:rsid w:val="003F551C"/>
    <w:rsid w:val="0040015F"/>
    <w:rsid w:val="00400CF2"/>
    <w:rsid w:val="00407468"/>
    <w:rsid w:val="00407C13"/>
    <w:rsid w:val="00410638"/>
    <w:rsid w:val="00410DDA"/>
    <w:rsid w:val="00417272"/>
    <w:rsid w:val="00420793"/>
    <w:rsid w:val="0042164C"/>
    <w:rsid w:val="00432A58"/>
    <w:rsid w:val="00434617"/>
    <w:rsid w:val="00435AC6"/>
    <w:rsid w:val="00435D9F"/>
    <w:rsid w:val="00435DF6"/>
    <w:rsid w:val="00440900"/>
    <w:rsid w:val="004441A0"/>
    <w:rsid w:val="004461E0"/>
    <w:rsid w:val="00446306"/>
    <w:rsid w:val="004472CA"/>
    <w:rsid w:val="004534F7"/>
    <w:rsid w:val="00455224"/>
    <w:rsid w:val="00456343"/>
    <w:rsid w:val="004568EB"/>
    <w:rsid w:val="004635FA"/>
    <w:rsid w:val="00463F8D"/>
    <w:rsid w:val="00464079"/>
    <w:rsid w:val="00466ECE"/>
    <w:rsid w:val="00474328"/>
    <w:rsid w:val="00474BB3"/>
    <w:rsid w:val="00476240"/>
    <w:rsid w:val="00476439"/>
    <w:rsid w:val="0047735C"/>
    <w:rsid w:val="004776BC"/>
    <w:rsid w:val="0048139F"/>
    <w:rsid w:val="004815AA"/>
    <w:rsid w:val="00481E40"/>
    <w:rsid w:val="004820A4"/>
    <w:rsid w:val="00482B64"/>
    <w:rsid w:val="004845F1"/>
    <w:rsid w:val="004847E4"/>
    <w:rsid w:val="00484ECE"/>
    <w:rsid w:val="00486A14"/>
    <w:rsid w:val="00486F95"/>
    <w:rsid w:val="00486FFD"/>
    <w:rsid w:val="004915CB"/>
    <w:rsid w:val="00493EB8"/>
    <w:rsid w:val="00497660"/>
    <w:rsid w:val="004A05A3"/>
    <w:rsid w:val="004A1103"/>
    <w:rsid w:val="004A1719"/>
    <w:rsid w:val="004A3212"/>
    <w:rsid w:val="004A4132"/>
    <w:rsid w:val="004A61C5"/>
    <w:rsid w:val="004A77DF"/>
    <w:rsid w:val="004B1417"/>
    <w:rsid w:val="004B520C"/>
    <w:rsid w:val="004B55B7"/>
    <w:rsid w:val="004B6468"/>
    <w:rsid w:val="004C1B7A"/>
    <w:rsid w:val="004C384C"/>
    <w:rsid w:val="004C3867"/>
    <w:rsid w:val="004C4CD0"/>
    <w:rsid w:val="004C70DC"/>
    <w:rsid w:val="004D0211"/>
    <w:rsid w:val="004D0570"/>
    <w:rsid w:val="004D0794"/>
    <w:rsid w:val="004E0291"/>
    <w:rsid w:val="004F06F5"/>
    <w:rsid w:val="004F1C34"/>
    <w:rsid w:val="004F33A0"/>
    <w:rsid w:val="004F6796"/>
    <w:rsid w:val="00500157"/>
    <w:rsid w:val="005108C0"/>
    <w:rsid w:val="00511873"/>
    <w:rsid w:val="005124E9"/>
    <w:rsid w:val="0051289C"/>
    <w:rsid w:val="00512A2F"/>
    <w:rsid w:val="00513B7E"/>
    <w:rsid w:val="005145F4"/>
    <w:rsid w:val="00515C74"/>
    <w:rsid w:val="005172A6"/>
    <w:rsid w:val="0052007E"/>
    <w:rsid w:val="00522CC6"/>
    <w:rsid w:val="0052337A"/>
    <w:rsid w:val="00525137"/>
    <w:rsid w:val="005251DD"/>
    <w:rsid w:val="00532CE7"/>
    <w:rsid w:val="0053324C"/>
    <w:rsid w:val="00534715"/>
    <w:rsid w:val="00534A28"/>
    <w:rsid w:val="005412DF"/>
    <w:rsid w:val="00541508"/>
    <w:rsid w:val="00541B7A"/>
    <w:rsid w:val="00542307"/>
    <w:rsid w:val="0054534A"/>
    <w:rsid w:val="005537A0"/>
    <w:rsid w:val="0055599F"/>
    <w:rsid w:val="00556D68"/>
    <w:rsid w:val="005604D1"/>
    <w:rsid w:val="00563659"/>
    <w:rsid w:val="00563C8C"/>
    <w:rsid w:val="005647BF"/>
    <w:rsid w:val="00565FFB"/>
    <w:rsid w:val="00570388"/>
    <w:rsid w:val="005705F1"/>
    <w:rsid w:val="005717F3"/>
    <w:rsid w:val="0057364B"/>
    <w:rsid w:val="00574773"/>
    <w:rsid w:val="00576105"/>
    <w:rsid w:val="00583FFD"/>
    <w:rsid w:val="005911BE"/>
    <w:rsid w:val="00593152"/>
    <w:rsid w:val="005933F8"/>
    <w:rsid w:val="005A10F2"/>
    <w:rsid w:val="005A21E0"/>
    <w:rsid w:val="005A28FF"/>
    <w:rsid w:val="005A3DF8"/>
    <w:rsid w:val="005A5549"/>
    <w:rsid w:val="005B0AA7"/>
    <w:rsid w:val="005B121D"/>
    <w:rsid w:val="005B1F6C"/>
    <w:rsid w:val="005B336F"/>
    <w:rsid w:val="005B77D2"/>
    <w:rsid w:val="005B7A04"/>
    <w:rsid w:val="005C06ED"/>
    <w:rsid w:val="005C2A6E"/>
    <w:rsid w:val="005D5802"/>
    <w:rsid w:val="005D7890"/>
    <w:rsid w:val="005D7D83"/>
    <w:rsid w:val="005E1698"/>
    <w:rsid w:val="005E3A03"/>
    <w:rsid w:val="005E7C78"/>
    <w:rsid w:val="005F1318"/>
    <w:rsid w:val="005F3EB1"/>
    <w:rsid w:val="00600800"/>
    <w:rsid w:val="00601E5C"/>
    <w:rsid w:val="00601E98"/>
    <w:rsid w:val="00604307"/>
    <w:rsid w:val="0060487F"/>
    <w:rsid w:val="00604EAD"/>
    <w:rsid w:val="006104FB"/>
    <w:rsid w:val="00612A2F"/>
    <w:rsid w:val="00616E05"/>
    <w:rsid w:val="00624093"/>
    <w:rsid w:val="006374F8"/>
    <w:rsid w:val="006404A7"/>
    <w:rsid w:val="006451E4"/>
    <w:rsid w:val="00645B33"/>
    <w:rsid w:val="006516CB"/>
    <w:rsid w:val="00653E2F"/>
    <w:rsid w:val="00654256"/>
    <w:rsid w:val="00657E6A"/>
    <w:rsid w:val="00657E87"/>
    <w:rsid w:val="006618D2"/>
    <w:rsid w:val="00662BC8"/>
    <w:rsid w:val="00664803"/>
    <w:rsid w:val="00665BA4"/>
    <w:rsid w:val="00667AF2"/>
    <w:rsid w:val="0067030C"/>
    <w:rsid w:val="006710C9"/>
    <w:rsid w:val="00674D89"/>
    <w:rsid w:val="006755A5"/>
    <w:rsid w:val="00675E37"/>
    <w:rsid w:val="0068174E"/>
    <w:rsid w:val="006817A4"/>
    <w:rsid w:val="00681990"/>
    <w:rsid w:val="00681DCE"/>
    <w:rsid w:val="0068260E"/>
    <w:rsid w:val="00682860"/>
    <w:rsid w:val="00685ACC"/>
    <w:rsid w:val="00686D7A"/>
    <w:rsid w:val="00687FD6"/>
    <w:rsid w:val="0069322B"/>
    <w:rsid w:val="00695BEF"/>
    <w:rsid w:val="006967DF"/>
    <w:rsid w:val="006969D4"/>
    <w:rsid w:val="006977F6"/>
    <w:rsid w:val="00697A13"/>
    <w:rsid w:val="006A109C"/>
    <w:rsid w:val="006A6488"/>
    <w:rsid w:val="006B344A"/>
    <w:rsid w:val="006B72D3"/>
    <w:rsid w:val="006B78D8"/>
    <w:rsid w:val="006C0F67"/>
    <w:rsid w:val="006C113F"/>
    <w:rsid w:val="006C2B3A"/>
    <w:rsid w:val="006C56D4"/>
    <w:rsid w:val="006C6924"/>
    <w:rsid w:val="006C7809"/>
    <w:rsid w:val="006C7CA6"/>
    <w:rsid w:val="006D3E8A"/>
    <w:rsid w:val="006D61F6"/>
    <w:rsid w:val="006D6707"/>
    <w:rsid w:val="006E089A"/>
    <w:rsid w:val="006E1D2E"/>
    <w:rsid w:val="006E279A"/>
    <w:rsid w:val="006E313B"/>
    <w:rsid w:val="006E539E"/>
    <w:rsid w:val="006E7114"/>
    <w:rsid w:val="006F259A"/>
    <w:rsid w:val="006F53E6"/>
    <w:rsid w:val="006F6DBD"/>
    <w:rsid w:val="00705A9E"/>
    <w:rsid w:val="00706AD4"/>
    <w:rsid w:val="007140BE"/>
    <w:rsid w:val="007211F5"/>
    <w:rsid w:val="0072465B"/>
    <w:rsid w:val="0072569E"/>
    <w:rsid w:val="00725BB5"/>
    <w:rsid w:val="00730AE8"/>
    <w:rsid w:val="00741493"/>
    <w:rsid w:val="00745811"/>
    <w:rsid w:val="00752180"/>
    <w:rsid w:val="00755202"/>
    <w:rsid w:val="00755D3A"/>
    <w:rsid w:val="00757412"/>
    <w:rsid w:val="007578D3"/>
    <w:rsid w:val="007609C6"/>
    <w:rsid w:val="0076521E"/>
    <w:rsid w:val="007661E9"/>
    <w:rsid w:val="00776169"/>
    <w:rsid w:val="00776527"/>
    <w:rsid w:val="0078029C"/>
    <w:rsid w:val="00780EF1"/>
    <w:rsid w:val="00784B9F"/>
    <w:rsid w:val="00785ACB"/>
    <w:rsid w:val="00785B86"/>
    <w:rsid w:val="00790764"/>
    <w:rsid w:val="00793BF7"/>
    <w:rsid w:val="007944EB"/>
    <w:rsid w:val="0079453C"/>
    <w:rsid w:val="00794677"/>
    <w:rsid w:val="00795A42"/>
    <w:rsid w:val="007A2B58"/>
    <w:rsid w:val="007A55DC"/>
    <w:rsid w:val="007A581E"/>
    <w:rsid w:val="007A717C"/>
    <w:rsid w:val="007B614A"/>
    <w:rsid w:val="007B6689"/>
    <w:rsid w:val="007B71A0"/>
    <w:rsid w:val="007C0501"/>
    <w:rsid w:val="007C2204"/>
    <w:rsid w:val="007D40DF"/>
    <w:rsid w:val="007E61EE"/>
    <w:rsid w:val="007E6665"/>
    <w:rsid w:val="007E7E61"/>
    <w:rsid w:val="007F0845"/>
    <w:rsid w:val="00802CAD"/>
    <w:rsid w:val="00807C82"/>
    <w:rsid w:val="0081142E"/>
    <w:rsid w:val="00812C93"/>
    <w:rsid w:val="008133DB"/>
    <w:rsid w:val="00816905"/>
    <w:rsid w:val="00821467"/>
    <w:rsid w:val="00821EE1"/>
    <w:rsid w:val="00821FF6"/>
    <w:rsid w:val="008226BD"/>
    <w:rsid w:val="0082513C"/>
    <w:rsid w:val="00830749"/>
    <w:rsid w:val="0083143E"/>
    <w:rsid w:val="00831CDE"/>
    <w:rsid w:val="00834304"/>
    <w:rsid w:val="00834FAA"/>
    <w:rsid w:val="00836086"/>
    <w:rsid w:val="00836FBD"/>
    <w:rsid w:val="008408FE"/>
    <w:rsid w:val="008424DF"/>
    <w:rsid w:val="0084433D"/>
    <w:rsid w:val="0084708F"/>
    <w:rsid w:val="008477C8"/>
    <w:rsid w:val="0085114D"/>
    <w:rsid w:val="00852217"/>
    <w:rsid w:val="008533D8"/>
    <w:rsid w:val="0085490B"/>
    <w:rsid w:val="00855408"/>
    <w:rsid w:val="00856D65"/>
    <w:rsid w:val="008604FF"/>
    <w:rsid w:val="00861B41"/>
    <w:rsid w:val="00862451"/>
    <w:rsid w:val="00863434"/>
    <w:rsid w:val="00865E4C"/>
    <w:rsid w:val="008701E4"/>
    <w:rsid w:val="00871BC7"/>
    <w:rsid w:val="008743F9"/>
    <w:rsid w:val="00875A32"/>
    <w:rsid w:val="00876086"/>
    <w:rsid w:val="00882762"/>
    <w:rsid w:val="0088448E"/>
    <w:rsid w:val="00884704"/>
    <w:rsid w:val="008873D4"/>
    <w:rsid w:val="0089223D"/>
    <w:rsid w:val="00892A56"/>
    <w:rsid w:val="00893E85"/>
    <w:rsid w:val="00894031"/>
    <w:rsid w:val="008A77FC"/>
    <w:rsid w:val="008B162C"/>
    <w:rsid w:val="008B3591"/>
    <w:rsid w:val="008B457A"/>
    <w:rsid w:val="008B71DC"/>
    <w:rsid w:val="008B75BA"/>
    <w:rsid w:val="008B7C02"/>
    <w:rsid w:val="008B7D2B"/>
    <w:rsid w:val="008C0049"/>
    <w:rsid w:val="008C0E88"/>
    <w:rsid w:val="008C7F1F"/>
    <w:rsid w:val="008D1E6A"/>
    <w:rsid w:val="008D2A16"/>
    <w:rsid w:val="008D2CC1"/>
    <w:rsid w:val="008D4DAD"/>
    <w:rsid w:val="008D516D"/>
    <w:rsid w:val="008E1E87"/>
    <w:rsid w:val="008E2677"/>
    <w:rsid w:val="008E2C57"/>
    <w:rsid w:val="008E2CD9"/>
    <w:rsid w:val="008E31FF"/>
    <w:rsid w:val="008E6F06"/>
    <w:rsid w:val="008F029B"/>
    <w:rsid w:val="008F09C3"/>
    <w:rsid w:val="008F0B5C"/>
    <w:rsid w:val="008F3FC9"/>
    <w:rsid w:val="008F4498"/>
    <w:rsid w:val="008F585B"/>
    <w:rsid w:val="009003A8"/>
    <w:rsid w:val="00902500"/>
    <w:rsid w:val="00902EFF"/>
    <w:rsid w:val="00904791"/>
    <w:rsid w:val="0091155E"/>
    <w:rsid w:val="00912A92"/>
    <w:rsid w:val="0091728D"/>
    <w:rsid w:val="009210A4"/>
    <w:rsid w:val="0092180B"/>
    <w:rsid w:val="00921F14"/>
    <w:rsid w:val="00924AC8"/>
    <w:rsid w:val="0092597A"/>
    <w:rsid w:val="00927F90"/>
    <w:rsid w:val="00930CFE"/>
    <w:rsid w:val="00930ED1"/>
    <w:rsid w:val="00937AE2"/>
    <w:rsid w:val="00940DE4"/>
    <w:rsid w:val="00941307"/>
    <w:rsid w:val="0094427A"/>
    <w:rsid w:val="009459B2"/>
    <w:rsid w:val="00951F5F"/>
    <w:rsid w:val="00956240"/>
    <w:rsid w:val="00960242"/>
    <w:rsid w:val="00961739"/>
    <w:rsid w:val="00965CD5"/>
    <w:rsid w:val="0097104F"/>
    <w:rsid w:val="00971E7D"/>
    <w:rsid w:val="00974923"/>
    <w:rsid w:val="00977888"/>
    <w:rsid w:val="00980D3D"/>
    <w:rsid w:val="00981AEC"/>
    <w:rsid w:val="0098332C"/>
    <w:rsid w:val="00986C98"/>
    <w:rsid w:val="00992904"/>
    <w:rsid w:val="00992CF3"/>
    <w:rsid w:val="00994229"/>
    <w:rsid w:val="009957A3"/>
    <w:rsid w:val="009968D6"/>
    <w:rsid w:val="009A1CAB"/>
    <w:rsid w:val="009A60D1"/>
    <w:rsid w:val="009A6828"/>
    <w:rsid w:val="009A7403"/>
    <w:rsid w:val="009A7F1A"/>
    <w:rsid w:val="009B4736"/>
    <w:rsid w:val="009B6FD3"/>
    <w:rsid w:val="009C1750"/>
    <w:rsid w:val="009C2E29"/>
    <w:rsid w:val="009C554B"/>
    <w:rsid w:val="009C719E"/>
    <w:rsid w:val="009C73E7"/>
    <w:rsid w:val="009D3ACD"/>
    <w:rsid w:val="009E2F95"/>
    <w:rsid w:val="009E5DDB"/>
    <w:rsid w:val="009F1DD4"/>
    <w:rsid w:val="009F4CA7"/>
    <w:rsid w:val="00A050D2"/>
    <w:rsid w:val="00A10D66"/>
    <w:rsid w:val="00A14114"/>
    <w:rsid w:val="00A15262"/>
    <w:rsid w:val="00A16F97"/>
    <w:rsid w:val="00A209A9"/>
    <w:rsid w:val="00A23E43"/>
    <w:rsid w:val="00A25225"/>
    <w:rsid w:val="00A30F65"/>
    <w:rsid w:val="00A33C97"/>
    <w:rsid w:val="00A3469B"/>
    <w:rsid w:val="00A351AD"/>
    <w:rsid w:val="00A418BC"/>
    <w:rsid w:val="00A4414A"/>
    <w:rsid w:val="00A457A9"/>
    <w:rsid w:val="00A462F0"/>
    <w:rsid w:val="00A46DE0"/>
    <w:rsid w:val="00A50D73"/>
    <w:rsid w:val="00A5135D"/>
    <w:rsid w:val="00A516BB"/>
    <w:rsid w:val="00A52CAD"/>
    <w:rsid w:val="00A53FC7"/>
    <w:rsid w:val="00A55671"/>
    <w:rsid w:val="00A62CE1"/>
    <w:rsid w:val="00A66C37"/>
    <w:rsid w:val="00A6741E"/>
    <w:rsid w:val="00A75799"/>
    <w:rsid w:val="00A75E40"/>
    <w:rsid w:val="00A77D1D"/>
    <w:rsid w:val="00A80BFB"/>
    <w:rsid w:val="00A857C0"/>
    <w:rsid w:val="00A87EBC"/>
    <w:rsid w:val="00A94D1E"/>
    <w:rsid w:val="00A971A3"/>
    <w:rsid w:val="00AA2996"/>
    <w:rsid w:val="00AA52BF"/>
    <w:rsid w:val="00AA559A"/>
    <w:rsid w:val="00AA765E"/>
    <w:rsid w:val="00AB24DE"/>
    <w:rsid w:val="00AB2AF1"/>
    <w:rsid w:val="00AB345B"/>
    <w:rsid w:val="00AC04E1"/>
    <w:rsid w:val="00AC12B4"/>
    <w:rsid w:val="00AC1F42"/>
    <w:rsid w:val="00AC79FA"/>
    <w:rsid w:val="00AD306C"/>
    <w:rsid w:val="00AE09B3"/>
    <w:rsid w:val="00AE1A83"/>
    <w:rsid w:val="00AE45C6"/>
    <w:rsid w:val="00AF7B3E"/>
    <w:rsid w:val="00AF7E5F"/>
    <w:rsid w:val="00B00913"/>
    <w:rsid w:val="00B01593"/>
    <w:rsid w:val="00B06F83"/>
    <w:rsid w:val="00B10A4D"/>
    <w:rsid w:val="00B15543"/>
    <w:rsid w:val="00B17E71"/>
    <w:rsid w:val="00B17FDE"/>
    <w:rsid w:val="00B2379C"/>
    <w:rsid w:val="00B24C2D"/>
    <w:rsid w:val="00B2687D"/>
    <w:rsid w:val="00B3175E"/>
    <w:rsid w:val="00B32DDB"/>
    <w:rsid w:val="00B34528"/>
    <w:rsid w:val="00B35002"/>
    <w:rsid w:val="00B36E6A"/>
    <w:rsid w:val="00B402FC"/>
    <w:rsid w:val="00B40E75"/>
    <w:rsid w:val="00B4155F"/>
    <w:rsid w:val="00B45E3F"/>
    <w:rsid w:val="00B46604"/>
    <w:rsid w:val="00B46BB2"/>
    <w:rsid w:val="00B47A70"/>
    <w:rsid w:val="00B51030"/>
    <w:rsid w:val="00B5316B"/>
    <w:rsid w:val="00B55F5E"/>
    <w:rsid w:val="00B5752E"/>
    <w:rsid w:val="00B61F7E"/>
    <w:rsid w:val="00B622A4"/>
    <w:rsid w:val="00B63A11"/>
    <w:rsid w:val="00B64C24"/>
    <w:rsid w:val="00B6608F"/>
    <w:rsid w:val="00B679FB"/>
    <w:rsid w:val="00B7312B"/>
    <w:rsid w:val="00B76D1E"/>
    <w:rsid w:val="00B80B4A"/>
    <w:rsid w:val="00B80EC6"/>
    <w:rsid w:val="00B8718E"/>
    <w:rsid w:val="00B91D5E"/>
    <w:rsid w:val="00B92D1D"/>
    <w:rsid w:val="00B938C5"/>
    <w:rsid w:val="00B95940"/>
    <w:rsid w:val="00B96603"/>
    <w:rsid w:val="00BB46F3"/>
    <w:rsid w:val="00BB4CB1"/>
    <w:rsid w:val="00BB4F98"/>
    <w:rsid w:val="00BB4FF4"/>
    <w:rsid w:val="00BC33D1"/>
    <w:rsid w:val="00BC7154"/>
    <w:rsid w:val="00BD366B"/>
    <w:rsid w:val="00BD6D50"/>
    <w:rsid w:val="00BE126A"/>
    <w:rsid w:val="00BE18B9"/>
    <w:rsid w:val="00BE239E"/>
    <w:rsid w:val="00BE2495"/>
    <w:rsid w:val="00BE3108"/>
    <w:rsid w:val="00BE3DE7"/>
    <w:rsid w:val="00BE6BB6"/>
    <w:rsid w:val="00BF11BB"/>
    <w:rsid w:val="00BF1578"/>
    <w:rsid w:val="00BF32E9"/>
    <w:rsid w:val="00BF4542"/>
    <w:rsid w:val="00C02ABF"/>
    <w:rsid w:val="00C031B4"/>
    <w:rsid w:val="00C03B89"/>
    <w:rsid w:val="00C10F2A"/>
    <w:rsid w:val="00C21F94"/>
    <w:rsid w:val="00C224A7"/>
    <w:rsid w:val="00C25A18"/>
    <w:rsid w:val="00C27913"/>
    <w:rsid w:val="00C32C9E"/>
    <w:rsid w:val="00C33B68"/>
    <w:rsid w:val="00C36A79"/>
    <w:rsid w:val="00C40515"/>
    <w:rsid w:val="00C405D4"/>
    <w:rsid w:val="00C41BCD"/>
    <w:rsid w:val="00C43300"/>
    <w:rsid w:val="00C4513B"/>
    <w:rsid w:val="00C520A6"/>
    <w:rsid w:val="00C54697"/>
    <w:rsid w:val="00C73885"/>
    <w:rsid w:val="00C747B1"/>
    <w:rsid w:val="00C7712F"/>
    <w:rsid w:val="00C82191"/>
    <w:rsid w:val="00C90CF4"/>
    <w:rsid w:val="00C92EB6"/>
    <w:rsid w:val="00C93389"/>
    <w:rsid w:val="00C9445F"/>
    <w:rsid w:val="00CA2A0E"/>
    <w:rsid w:val="00CA3080"/>
    <w:rsid w:val="00CA5EC5"/>
    <w:rsid w:val="00CB32BD"/>
    <w:rsid w:val="00CB4930"/>
    <w:rsid w:val="00CB51D1"/>
    <w:rsid w:val="00CC0249"/>
    <w:rsid w:val="00CC2E7D"/>
    <w:rsid w:val="00CD0D84"/>
    <w:rsid w:val="00CD10A5"/>
    <w:rsid w:val="00CD2076"/>
    <w:rsid w:val="00CE0758"/>
    <w:rsid w:val="00CE1347"/>
    <w:rsid w:val="00CE670B"/>
    <w:rsid w:val="00CF031A"/>
    <w:rsid w:val="00CF51EC"/>
    <w:rsid w:val="00CF73AE"/>
    <w:rsid w:val="00D040DD"/>
    <w:rsid w:val="00D07F46"/>
    <w:rsid w:val="00D12A2B"/>
    <w:rsid w:val="00D13986"/>
    <w:rsid w:val="00D20C94"/>
    <w:rsid w:val="00D215D1"/>
    <w:rsid w:val="00D25200"/>
    <w:rsid w:val="00D25F28"/>
    <w:rsid w:val="00D26279"/>
    <w:rsid w:val="00D262E9"/>
    <w:rsid w:val="00D271BB"/>
    <w:rsid w:val="00D27973"/>
    <w:rsid w:val="00D3124A"/>
    <w:rsid w:val="00D31BA1"/>
    <w:rsid w:val="00D3300A"/>
    <w:rsid w:val="00D33DFB"/>
    <w:rsid w:val="00D50F46"/>
    <w:rsid w:val="00D54425"/>
    <w:rsid w:val="00D559EE"/>
    <w:rsid w:val="00D563FA"/>
    <w:rsid w:val="00D5777E"/>
    <w:rsid w:val="00D66223"/>
    <w:rsid w:val="00D770D1"/>
    <w:rsid w:val="00D8084C"/>
    <w:rsid w:val="00D8694F"/>
    <w:rsid w:val="00D903A9"/>
    <w:rsid w:val="00DA41E3"/>
    <w:rsid w:val="00DA4E55"/>
    <w:rsid w:val="00DA67A2"/>
    <w:rsid w:val="00DA7C0C"/>
    <w:rsid w:val="00DB0550"/>
    <w:rsid w:val="00DB2EC8"/>
    <w:rsid w:val="00DB4C3C"/>
    <w:rsid w:val="00DB5695"/>
    <w:rsid w:val="00DC4155"/>
    <w:rsid w:val="00DC440D"/>
    <w:rsid w:val="00DC5B3B"/>
    <w:rsid w:val="00DD129F"/>
    <w:rsid w:val="00DD1FAB"/>
    <w:rsid w:val="00DD263B"/>
    <w:rsid w:val="00DD685B"/>
    <w:rsid w:val="00DE40E0"/>
    <w:rsid w:val="00DE479F"/>
    <w:rsid w:val="00DF42FF"/>
    <w:rsid w:val="00DF4DD4"/>
    <w:rsid w:val="00DF5285"/>
    <w:rsid w:val="00DF5B53"/>
    <w:rsid w:val="00DF5CA0"/>
    <w:rsid w:val="00DF6A25"/>
    <w:rsid w:val="00E003DF"/>
    <w:rsid w:val="00E00EA3"/>
    <w:rsid w:val="00E01C0E"/>
    <w:rsid w:val="00E03F9A"/>
    <w:rsid w:val="00E04694"/>
    <w:rsid w:val="00E061E4"/>
    <w:rsid w:val="00E11D2E"/>
    <w:rsid w:val="00E125EE"/>
    <w:rsid w:val="00E12B1E"/>
    <w:rsid w:val="00E1438A"/>
    <w:rsid w:val="00E14EC2"/>
    <w:rsid w:val="00E17262"/>
    <w:rsid w:val="00E17C35"/>
    <w:rsid w:val="00E17D21"/>
    <w:rsid w:val="00E24880"/>
    <w:rsid w:val="00E253A2"/>
    <w:rsid w:val="00E2708E"/>
    <w:rsid w:val="00E3309D"/>
    <w:rsid w:val="00E342F6"/>
    <w:rsid w:val="00E50156"/>
    <w:rsid w:val="00E53470"/>
    <w:rsid w:val="00E539F6"/>
    <w:rsid w:val="00E641C2"/>
    <w:rsid w:val="00E6519D"/>
    <w:rsid w:val="00E67696"/>
    <w:rsid w:val="00E71212"/>
    <w:rsid w:val="00E71A58"/>
    <w:rsid w:val="00E72A7A"/>
    <w:rsid w:val="00E73614"/>
    <w:rsid w:val="00E75C94"/>
    <w:rsid w:val="00E83AB5"/>
    <w:rsid w:val="00E83E46"/>
    <w:rsid w:val="00E84A2B"/>
    <w:rsid w:val="00E907D8"/>
    <w:rsid w:val="00E93820"/>
    <w:rsid w:val="00E93F6D"/>
    <w:rsid w:val="00E9519C"/>
    <w:rsid w:val="00E96E34"/>
    <w:rsid w:val="00EA0C68"/>
    <w:rsid w:val="00EB68E4"/>
    <w:rsid w:val="00EC03D7"/>
    <w:rsid w:val="00EC0592"/>
    <w:rsid w:val="00EC115B"/>
    <w:rsid w:val="00EC33ED"/>
    <w:rsid w:val="00ED62C6"/>
    <w:rsid w:val="00ED64C1"/>
    <w:rsid w:val="00EE1958"/>
    <w:rsid w:val="00EE3446"/>
    <w:rsid w:val="00EE3E78"/>
    <w:rsid w:val="00EE4B1B"/>
    <w:rsid w:val="00EF0294"/>
    <w:rsid w:val="00EF0699"/>
    <w:rsid w:val="00EF11F7"/>
    <w:rsid w:val="00EF150D"/>
    <w:rsid w:val="00EF1F5A"/>
    <w:rsid w:val="00F04811"/>
    <w:rsid w:val="00F0488C"/>
    <w:rsid w:val="00F0585C"/>
    <w:rsid w:val="00F065B9"/>
    <w:rsid w:val="00F06ACE"/>
    <w:rsid w:val="00F071F6"/>
    <w:rsid w:val="00F130E9"/>
    <w:rsid w:val="00F14EF0"/>
    <w:rsid w:val="00F15AAA"/>
    <w:rsid w:val="00F15BEF"/>
    <w:rsid w:val="00F1639F"/>
    <w:rsid w:val="00F24320"/>
    <w:rsid w:val="00F24407"/>
    <w:rsid w:val="00F24FAA"/>
    <w:rsid w:val="00F312B4"/>
    <w:rsid w:val="00F32BBB"/>
    <w:rsid w:val="00F3364D"/>
    <w:rsid w:val="00F37293"/>
    <w:rsid w:val="00F437CC"/>
    <w:rsid w:val="00F44D24"/>
    <w:rsid w:val="00F47067"/>
    <w:rsid w:val="00F510D8"/>
    <w:rsid w:val="00F525EB"/>
    <w:rsid w:val="00F54FF4"/>
    <w:rsid w:val="00F63DDE"/>
    <w:rsid w:val="00F63FB7"/>
    <w:rsid w:val="00F64334"/>
    <w:rsid w:val="00F649D2"/>
    <w:rsid w:val="00F64B7F"/>
    <w:rsid w:val="00F6602B"/>
    <w:rsid w:val="00F72119"/>
    <w:rsid w:val="00F7312B"/>
    <w:rsid w:val="00F731B6"/>
    <w:rsid w:val="00F73A0C"/>
    <w:rsid w:val="00F756DB"/>
    <w:rsid w:val="00F760F5"/>
    <w:rsid w:val="00F76AAE"/>
    <w:rsid w:val="00F77CB6"/>
    <w:rsid w:val="00F85066"/>
    <w:rsid w:val="00F91B42"/>
    <w:rsid w:val="00F9241A"/>
    <w:rsid w:val="00F943EC"/>
    <w:rsid w:val="00F96717"/>
    <w:rsid w:val="00FA16F5"/>
    <w:rsid w:val="00FA1FD4"/>
    <w:rsid w:val="00FA2B9F"/>
    <w:rsid w:val="00FA5D4D"/>
    <w:rsid w:val="00FA6941"/>
    <w:rsid w:val="00FB1D79"/>
    <w:rsid w:val="00FC079A"/>
    <w:rsid w:val="00FC0E5F"/>
    <w:rsid w:val="00FC1A95"/>
    <w:rsid w:val="00FC3FCB"/>
    <w:rsid w:val="00FC56DE"/>
    <w:rsid w:val="00FC684B"/>
    <w:rsid w:val="00FC72F6"/>
    <w:rsid w:val="00FD18B0"/>
    <w:rsid w:val="00FD33AA"/>
    <w:rsid w:val="00FD3E0F"/>
    <w:rsid w:val="00FD573D"/>
    <w:rsid w:val="00FD7C18"/>
    <w:rsid w:val="00FE1335"/>
    <w:rsid w:val="00FE2F78"/>
    <w:rsid w:val="00FF1247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12ED4828"/>
  <w15:docId w15:val="{4DF688C0-4C65-4263-8667-7431B5625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231723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ap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231723"/>
    <w:rPr>
      <w:rFonts w:ascii="Arial" w:eastAsia="MS Gothic" w:hAnsi="Arial"/>
      <w:b/>
      <w:bCs/>
      <w:caps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nadpis">
    <w:name w:val="Subtitle"/>
    <w:link w:val="Podnadpis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nadpisChar">
    <w:name w:val="Podnadpis Char"/>
    <w:link w:val="Podnadpis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04791"/>
    <w:pPr>
      <w:autoSpaceDE w:val="0"/>
      <w:autoSpaceDN w:val="0"/>
      <w:adjustRightInd w:val="0"/>
      <w:spacing w:before="120" w:after="280" w:line="288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33C97"/>
    <w:pPr>
      <w:spacing w:after="120" w:line="300" w:lineRule="exact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33C97"/>
    <w:rPr>
      <w:rFonts w:ascii="Arial" w:hAnsi="Arial"/>
      <w:szCs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5705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poznamky-ke-spotrebitelskym-cenam-energii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c.europa.eu/eurostat/web/hicp/databas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metodicke-poznamky-k-indexu-spotrebitelskych-cen-imputovane-najemne" TargetMode="Externa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D931C-9AC9-44F9-A099-2160C6BC9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524</TotalTime>
  <Pages>2</Pages>
  <Words>726</Words>
  <Characters>4288</Characters>
  <Application>Microsoft Office Word</Application>
  <DocSecurity>0</DocSecurity>
  <Lines>35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Henkrichová Jana</cp:lastModifiedBy>
  <cp:revision>240</cp:revision>
  <cp:lastPrinted>2017-01-18T13:33:00Z</cp:lastPrinted>
  <dcterms:created xsi:type="dcterms:W3CDTF">2017-02-09T16:27:00Z</dcterms:created>
  <dcterms:modified xsi:type="dcterms:W3CDTF">2023-11-09T11:42:00Z</dcterms:modified>
</cp:coreProperties>
</file>