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2D5" w:rsidRPr="00874B5D" w:rsidRDefault="0044202A" w:rsidP="0044202A">
      <w:pPr>
        <w:pStyle w:val="Nzev"/>
        <w:jc w:val="lef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3432D5" w:rsidRPr="00874B5D">
        <w:rPr>
          <w:rFonts w:ascii="Arial" w:hAnsi="Arial" w:cs="Arial"/>
          <w:sz w:val="24"/>
          <w:szCs w:val="24"/>
          <w:u w:val="single"/>
        </w:rPr>
        <w:t>Metodické vysvětlivky</w:t>
      </w:r>
      <w:r w:rsidR="00EE70D7">
        <w:rPr>
          <w:rFonts w:ascii="Arial" w:hAnsi="Arial" w:cs="Arial"/>
          <w:sz w:val="24"/>
          <w:szCs w:val="24"/>
          <w:u w:val="single"/>
        </w:rPr>
        <w:t xml:space="preserve"> - revize</w:t>
      </w:r>
    </w:p>
    <w:p w:rsidR="003432D5" w:rsidRPr="00874B5D" w:rsidRDefault="003432D5" w:rsidP="003432D5">
      <w:pPr>
        <w:pStyle w:val="Nzev"/>
        <w:spacing w:line="360" w:lineRule="auto"/>
        <w:jc w:val="both"/>
        <w:rPr>
          <w:rFonts w:ascii="Arial" w:hAnsi="Arial" w:cs="Arial"/>
        </w:rPr>
      </w:pPr>
    </w:p>
    <w:p w:rsidR="003432D5" w:rsidRPr="00874B5D" w:rsidRDefault="003432D5" w:rsidP="003432D5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Index cen surového dříví je počítán čtvrtletně z </w:t>
      </w:r>
      <w:r w:rsidRPr="00874B5D">
        <w:rPr>
          <w:rFonts w:ascii="Arial" w:hAnsi="Arial" w:cs="Arial"/>
          <w:b/>
          <w:bCs/>
        </w:rPr>
        <w:t>průměrných realizačních</w:t>
      </w:r>
      <w:r w:rsidRPr="00874B5D">
        <w:rPr>
          <w:rFonts w:ascii="Arial" w:hAnsi="Arial" w:cs="Arial"/>
        </w:rPr>
        <w:t xml:space="preserve"> (smluvních) </w:t>
      </w:r>
      <w:r w:rsidRPr="00874B5D">
        <w:rPr>
          <w:rFonts w:ascii="Arial" w:hAnsi="Arial" w:cs="Arial"/>
          <w:b/>
          <w:bCs/>
        </w:rPr>
        <w:t>cen</w:t>
      </w:r>
      <w:r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  <w:b/>
          <w:bCs/>
        </w:rPr>
        <w:t>bez</w:t>
      </w:r>
      <w:r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  <w:b/>
          <w:bCs/>
        </w:rPr>
        <w:t>DPH</w:t>
      </w:r>
      <w:r w:rsidRPr="00874B5D">
        <w:rPr>
          <w:rFonts w:ascii="Arial" w:hAnsi="Arial" w:cs="Arial"/>
        </w:rPr>
        <w:t>, dosažených v jednotlivých čtvrtletích šetřeného roku a vykázaných na výkaze</w:t>
      </w:r>
      <w:r w:rsidR="0097104A"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</w:rPr>
        <w:t>Ceny Les 1 </w:t>
      </w:r>
      <w:r w:rsidR="0097104A" w:rsidRPr="00874B5D">
        <w:rPr>
          <w:rFonts w:ascii="Arial" w:hAnsi="Arial" w:cs="Arial"/>
        </w:rPr>
        <w:noBreakHyphen/>
      </w:r>
      <w:r w:rsidRPr="00874B5D">
        <w:rPr>
          <w:rFonts w:ascii="Arial" w:hAnsi="Arial" w:cs="Arial"/>
        </w:rPr>
        <w:t> 04 vybranými zpravodajskými jednotkami za jednotlivé reprezentanty.</w:t>
      </w:r>
      <w:r w:rsidR="00E613EE" w:rsidRPr="00874B5D">
        <w:rPr>
          <w:rFonts w:ascii="Arial" w:hAnsi="Arial" w:cs="Arial"/>
        </w:rPr>
        <w:t xml:space="preserve"> Zjišťují se </w:t>
      </w:r>
      <w:r w:rsidRPr="00874B5D">
        <w:rPr>
          <w:rFonts w:ascii="Arial" w:hAnsi="Arial" w:cs="Arial"/>
        </w:rPr>
        <w:t>realizační</w:t>
      </w:r>
      <w:r w:rsidR="00E613EE" w:rsidRPr="00874B5D">
        <w:rPr>
          <w:rFonts w:ascii="Arial" w:hAnsi="Arial" w:cs="Arial"/>
        </w:rPr>
        <w:t xml:space="preserve"> (smluvní ceny bez DPH)</w:t>
      </w:r>
      <w:r w:rsidRPr="00874B5D">
        <w:rPr>
          <w:rFonts w:ascii="Arial" w:hAnsi="Arial" w:cs="Arial"/>
        </w:rPr>
        <w:t xml:space="preserve"> </w:t>
      </w:r>
      <w:r w:rsidR="00E613EE" w:rsidRPr="00874B5D">
        <w:rPr>
          <w:rFonts w:ascii="Arial" w:hAnsi="Arial" w:cs="Arial"/>
        </w:rPr>
        <w:t xml:space="preserve">na lokalitě odvozní místo, které zaplatil první odběratel v tuzemsku </w:t>
      </w:r>
      <w:r w:rsidR="005542F3" w:rsidRPr="00874B5D">
        <w:rPr>
          <w:rFonts w:ascii="Arial" w:hAnsi="Arial" w:cs="Arial"/>
        </w:rPr>
        <w:t xml:space="preserve">(bez vlastní spotřeby </w:t>
      </w:r>
      <w:r w:rsidRPr="00874B5D">
        <w:rPr>
          <w:rFonts w:ascii="Arial" w:hAnsi="Arial" w:cs="Arial"/>
        </w:rPr>
        <w:t xml:space="preserve">a exportu). </w:t>
      </w:r>
    </w:p>
    <w:p w:rsidR="003432D5" w:rsidRPr="00874B5D" w:rsidRDefault="003432D5" w:rsidP="003432D5">
      <w:pPr>
        <w:ind w:firstLine="708"/>
        <w:jc w:val="both"/>
        <w:rPr>
          <w:rFonts w:ascii="Arial" w:hAnsi="Arial" w:cs="Arial"/>
        </w:rPr>
      </w:pPr>
    </w:p>
    <w:p w:rsidR="003432D5" w:rsidRPr="00874B5D" w:rsidRDefault="003432D5" w:rsidP="003432D5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Cenové indexy jsou vypočítávány na základě cen za výběrové soubory reprezentantů a výběrové zpravodajské jednotky agregací jednoduchých indexů cen reprezentantů do úhrnu pomocí výpočetního vzorce typu </w:t>
      </w:r>
      <w:proofErr w:type="spellStart"/>
      <w:r w:rsidRPr="00874B5D">
        <w:rPr>
          <w:rFonts w:ascii="Arial" w:hAnsi="Arial" w:cs="Arial"/>
        </w:rPr>
        <w:t>Laspeyres</w:t>
      </w:r>
      <w:proofErr w:type="spellEnd"/>
      <w:r w:rsidRPr="00874B5D">
        <w:rPr>
          <w:rFonts w:ascii="Arial" w:hAnsi="Arial" w:cs="Arial"/>
        </w:rPr>
        <w:t xml:space="preserve">. </w:t>
      </w:r>
    </w:p>
    <w:p w:rsidR="003432D5" w:rsidRPr="00874B5D" w:rsidRDefault="003432D5" w:rsidP="003432D5">
      <w:pPr>
        <w:spacing w:line="360" w:lineRule="auto"/>
        <w:jc w:val="both"/>
        <w:rPr>
          <w:rFonts w:ascii="Arial" w:hAnsi="Arial" w:cs="Arial"/>
        </w:rPr>
      </w:pPr>
    </w:p>
    <w:p w:rsidR="003432D5" w:rsidRPr="00874B5D" w:rsidRDefault="003432D5" w:rsidP="003432D5">
      <w:pPr>
        <w:jc w:val="both"/>
        <w:rPr>
          <w:rFonts w:ascii="Arial" w:hAnsi="Arial" w:cs="Arial"/>
        </w:rPr>
      </w:pPr>
      <w:r w:rsidRPr="00874B5D">
        <w:rPr>
          <w:rFonts w:ascii="Arial" w:hAnsi="Arial" w:cs="Arial"/>
          <w:sz w:val="24"/>
          <w:szCs w:val="24"/>
        </w:rPr>
        <w:t>p</w:t>
      </w:r>
      <w:r w:rsidRPr="00874B5D">
        <w:rPr>
          <w:rFonts w:ascii="Arial" w:hAnsi="Arial" w:cs="Arial"/>
          <w:vertAlign w:val="subscript"/>
        </w:rPr>
        <w:t>1</w:t>
      </w:r>
      <w:r w:rsidRPr="00874B5D">
        <w:rPr>
          <w:rFonts w:ascii="Arial" w:hAnsi="Arial" w:cs="Arial"/>
        </w:rPr>
        <w:t xml:space="preserve">  = cena ve sledovaném období, p</w:t>
      </w:r>
      <w:r w:rsidRPr="00874B5D">
        <w:rPr>
          <w:rFonts w:ascii="Arial" w:hAnsi="Arial" w:cs="Arial"/>
          <w:vertAlign w:val="subscript"/>
        </w:rPr>
        <w:t>0</w:t>
      </w:r>
      <w:r w:rsidR="0097104A" w:rsidRPr="00874B5D">
        <w:rPr>
          <w:rFonts w:ascii="Arial" w:hAnsi="Arial" w:cs="Arial"/>
        </w:rPr>
        <w:t xml:space="preserve"> = </w:t>
      </w:r>
      <w:r w:rsidRPr="00874B5D">
        <w:rPr>
          <w:rFonts w:ascii="Arial" w:hAnsi="Arial" w:cs="Arial"/>
        </w:rPr>
        <w:t>cena v základním období</w:t>
      </w:r>
    </w:p>
    <w:p w:rsidR="003432D5" w:rsidRPr="00874B5D" w:rsidRDefault="003432D5" w:rsidP="003432D5">
      <w:pPr>
        <w:jc w:val="both"/>
        <w:rPr>
          <w:rFonts w:ascii="Arial" w:hAnsi="Arial" w:cs="Arial"/>
          <w:sz w:val="24"/>
          <w:szCs w:val="24"/>
        </w:rPr>
      </w:pPr>
      <w:r w:rsidRPr="00874B5D">
        <w:rPr>
          <w:rFonts w:ascii="Arial" w:hAnsi="Arial" w:cs="Arial"/>
          <w:sz w:val="24"/>
          <w:szCs w:val="24"/>
        </w:rPr>
        <w:t>p</w:t>
      </w:r>
      <w:r w:rsidRPr="00874B5D">
        <w:rPr>
          <w:rFonts w:ascii="Arial" w:hAnsi="Arial" w:cs="Arial"/>
          <w:vertAlign w:val="subscript"/>
        </w:rPr>
        <w:t>0</w:t>
      </w:r>
      <w:r w:rsidRPr="00874B5D">
        <w:rPr>
          <w:rFonts w:ascii="Arial" w:hAnsi="Arial" w:cs="Arial"/>
          <w:sz w:val="24"/>
          <w:szCs w:val="24"/>
        </w:rPr>
        <w:t>q</w:t>
      </w:r>
      <w:r w:rsidRPr="00874B5D">
        <w:rPr>
          <w:rFonts w:ascii="Arial" w:hAnsi="Arial" w:cs="Arial"/>
          <w:vertAlign w:val="subscript"/>
        </w:rPr>
        <w:t>0</w:t>
      </w:r>
      <w:r w:rsidRPr="00874B5D">
        <w:rPr>
          <w:rFonts w:ascii="Arial" w:hAnsi="Arial" w:cs="Arial"/>
        </w:rPr>
        <w:t xml:space="preserve"> = stálá váha - hodnotový ukazatel základního </w:t>
      </w:r>
      <w:r w:rsidR="003F43B7" w:rsidRPr="00874B5D">
        <w:rPr>
          <w:rFonts w:ascii="Arial" w:hAnsi="Arial" w:cs="Arial"/>
        </w:rPr>
        <w:t xml:space="preserve">(bazického) </w:t>
      </w:r>
      <w:r w:rsidRPr="00874B5D">
        <w:rPr>
          <w:rFonts w:ascii="Arial" w:hAnsi="Arial" w:cs="Arial"/>
        </w:rPr>
        <w:t>období (tržby)</w:t>
      </w:r>
    </w:p>
    <w:p w:rsidR="003432D5" w:rsidRPr="00874B5D" w:rsidRDefault="00B702CA" w:rsidP="00B702CA">
      <w:pPr>
        <w:framePr w:w="6751" w:h="1366" w:hRule="exact" w:wrap="around" w:vAnchor="text" w:hAnchor="page" w:x="2307" w:y="56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jc w:val="center"/>
        <w:rPr>
          <w:rFonts w:ascii="Arial" w:hAnsi="Arial" w:cs="Arial"/>
        </w:rPr>
      </w:pPr>
      <w:r w:rsidRPr="00D00775">
        <w:rPr>
          <w:rFonts w:asciiTheme="majorHAnsi" w:hAnsiTheme="majorHAnsi" w:cs="Arial"/>
          <w:position w:val="-30"/>
          <w:sz w:val="24"/>
          <w:szCs w:val="24"/>
        </w:rPr>
        <w:object w:dxaOrig="210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35pt;height:63.8pt" o:ole="">
            <v:imagedata r:id="rId5" o:title=""/>
          </v:shape>
          <o:OLEObject Type="Embed" ProgID="Equation.3" ShapeID="_x0000_i1025" DrawAspect="Content" ObjectID="_1807682272" r:id="rId6"/>
        </w:object>
      </w:r>
    </w:p>
    <w:p w:rsidR="003432D5" w:rsidRPr="00874B5D" w:rsidRDefault="003432D5" w:rsidP="00B702CA">
      <w:pPr>
        <w:framePr w:w="6751" w:h="1366" w:hRule="exact" w:wrap="around" w:vAnchor="text" w:hAnchor="page" w:x="2307" w:y="56"/>
        <w:spacing w:line="360" w:lineRule="auto"/>
        <w:jc w:val="both"/>
        <w:rPr>
          <w:rFonts w:ascii="Arial" w:hAnsi="Arial" w:cs="Arial"/>
          <w:sz w:val="22"/>
        </w:rPr>
      </w:pPr>
    </w:p>
    <w:p w:rsidR="00CB7159" w:rsidRPr="00874B5D" w:rsidRDefault="00CB7159" w:rsidP="00CB7159">
      <w:pPr>
        <w:jc w:val="both"/>
        <w:rPr>
          <w:rFonts w:ascii="Arial" w:hAnsi="Arial" w:cs="Arial"/>
          <w:b/>
          <w:color w:val="FF0000"/>
        </w:rPr>
      </w:pPr>
    </w:p>
    <w:p w:rsidR="00CB7159" w:rsidRPr="00874B5D" w:rsidRDefault="00CB7159" w:rsidP="00CB7159">
      <w:pPr>
        <w:rPr>
          <w:rFonts w:ascii="Arial" w:hAnsi="Arial" w:cs="Arial"/>
          <w:color w:val="FF0000"/>
        </w:rPr>
      </w:pPr>
    </w:p>
    <w:p w:rsidR="00B702CA" w:rsidRDefault="00B702CA" w:rsidP="005F6861">
      <w:pPr>
        <w:ind w:firstLine="708"/>
        <w:rPr>
          <w:rFonts w:ascii="Arial" w:hAnsi="Arial" w:cs="Arial"/>
          <w:color w:val="000000"/>
        </w:rPr>
      </w:pPr>
    </w:p>
    <w:p w:rsidR="00B702CA" w:rsidRDefault="00B702CA" w:rsidP="005F6861">
      <w:pPr>
        <w:ind w:firstLine="708"/>
        <w:rPr>
          <w:rFonts w:ascii="Arial" w:hAnsi="Arial" w:cs="Arial"/>
          <w:color w:val="000000"/>
        </w:rPr>
      </w:pPr>
    </w:p>
    <w:p w:rsidR="00B702CA" w:rsidRDefault="00B702CA" w:rsidP="005F6861">
      <w:pPr>
        <w:ind w:firstLine="708"/>
        <w:rPr>
          <w:rFonts w:ascii="Arial" w:hAnsi="Arial" w:cs="Arial"/>
          <w:color w:val="000000"/>
        </w:rPr>
      </w:pPr>
    </w:p>
    <w:p w:rsidR="00B702CA" w:rsidRDefault="00B702CA" w:rsidP="005F6861">
      <w:pPr>
        <w:ind w:firstLine="708"/>
        <w:rPr>
          <w:rFonts w:ascii="Arial" w:hAnsi="Arial" w:cs="Arial"/>
          <w:color w:val="000000"/>
        </w:rPr>
      </w:pPr>
    </w:p>
    <w:p w:rsidR="00B702CA" w:rsidRDefault="00B702CA" w:rsidP="005F6861">
      <w:pPr>
        <w:ind w:firstLine="708"/>
        <w:rPr>
          <w:rFonts w:ascii="Arial" w:hAnsi="Arial" w:cs="Arial"/>
          <w:color w:val="000000"/>
        </w:rPr>
      </w:pPr>
    </w:p>
    <w:p w:rsidR="00CB7159" w:rsidRPr="00874B5D" w:rsidRDefault="00CB7159" w:rsidP="005F6861">
      <w:pPr>
        <w:ind w:firstLine="708"/>
        <w:rPr>
          <w:rFonts w:ascii="Arial" w:hAnsi="Arial" w:cs="Arial"/>
          <w:color w:val="000000"/>
        </w:rPr>
      </w:pPr>
      <w:r w:rsidRPr="00874B5D">
        <w:rPr>
          <w:rFonts w:ascii="Arial" w:hAnsi="Arial" w:cs="Arial"/>
          <w:color w:val="000000"/>
        </w:rPr>
        <w:t>Publikované údaje v publikaci „I</w:t>
      </w:r>
      <w:r w:rsidR="0000130C" w:rsidRPr="00874B5D">
        <w:rPr>
          <w:rFonts w:ascii="Arial" w:hAnsi="Arial" w:cs="Arial"/>
          <w:color w:val="000000"/>
        </w:rPr>
        <w:t>NDEXY</w:t>
      </w:r>
      <w:r w:rsidRPr="00874B5D">
        <w:rPr>
          <w:rFonts w:ascii="Arial" w:hAnsi="Arial" w:cs="Arial"/>
          <w:color w:val="000000"/>
        </w:rPr>
        <w:t xml:space="preserve"> </w:t>
      </w:r>
      <w:r w:rsidR="0000130C" w:rsidRPr="00874B5D">
        <w:rPr>
          <w:rFonts w:ascii="Arial" w:hAnsi="Arial" w:cs="Arial"/>
          <w:color w:val="000000"/>
        </w:rPr>
        <w:t>CEN V LESNICTVÍ</w:t>
      </w:r>
      <w:r w:rsidRPr="00874B5D">
        <w:rPr>
          <w:rFonts w:ascii="Arial" w:hAnsi="Arial" w:cs="Arial"/>
          <w:color w:val="000000"/>
        </w:rPr>
        <w:t xml:space="preserve"> (surové dříví)“ lze změnit z důvodu předchozí chybné response pouze do vydání následujících čtvrtletních údajů.</w:t>
      </w:r>
    </w:p>
    <w:p w:rsidR="006B70C1" w:rsidRDefault="006B70C1" w:rsidP="005F6861">
      <w:pPr>
        <w:ind w:firstLine="708"/>
        <w:rPr>
          <w:rFonts w:ascii="Arial" w:hAnsi="Arial" w:cs="Arial"/>
          <w:color w:val="000000"/>
        </w:rPr>
      </w:pPr>
    </w:p>
    <w:p w:rsidR="00471138" w:rsidRDefault="00471138" w:rsidP="005F6861">
      <w:pPr>
        <w:ind w:firstLine="708"/>
        <w:rPr>
          <w:rFonts w:ascii="Arial" w:hAnsi="Arial" w:cs="Arial"/>
          <w:color w:val="000000"/>
        </w:rPr>
      </w:pPr>
    </w:p>
    <w:p w:rsidR="00471138" w:rsidRPr="00874B5D" w:rsidRDefault="00471138" w:rsidP="00471138">
      <w:pPr>
        <w:pStyle w:val="Nzev"/>
        <w:rPr>
          <w:rFonts w:ascii="Arial" w:hAnsi="Arial" w:cs="Arial"/>
          <w:sz w:val="24"/>
          <w:szCs w:val="24"/>
        </w:rPr>
      </w:pPr>
      <w:r w:rsidRPr="00874B5D">
        <w:rPr>
          <w:rFonts w:ascii="Arial" w:hAnsi="Arial" w:cs="Arial"/>
          <w:sz w:val="24"/>
          <w:szCs w:val="24"/>
        </w:rPr>
        <w:t>REVIZE 20</w:t>
      </w:r>
      <w:r>
        <w:rPr>
          <w:rFonts w:ascii="Arial" w:hAnsi="Arial" w:cs="Arial"/>
          <w:sz w:val="24"/>
          <w:szCs w:val="24"/>
        </w:rPr>
        <w:t>24</w:t>
      </w:r>
    </w:p>
    <w:p w:rsidR="00471138" w:rsidRPr="00874B5D" w:rsidRDefault="00471138" w:rsidP="00471138">
      <w:pPr>
        <w:pStyle w:val="Zkladntext3"/>
        <w:rPr>
          <w:b/>
        </w:rPr>
      </w:pPr>
    </w:p>
    <w:p w:rsidR="00471138" w:rsidRPr="00874B5D" w:rsidRDefault="00471138" w:rsidP="00471138">
      <w:pPr>
        <w:pStyle w:val="Zkladntext3"/>
        <w:ind w:firstLine="567"/>
        <w:rPr>
          <w:b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>V průběhu roku 20</w:t>
      </w:r>
      <w:r>
        <w:rPr>
          <w:rFonts w:ascii="Arial" w:hAnsi="Arial" w:cs="Arial"/>
        </w:rPr>
        <w:t>24 proběhla</w:t>
      </w:r>
      <w:r w:rsidRPr="00874B5D">
        <w:rPr>
          <w:rFonts w:ascii="Arial" w:hAnsi="Arial" w:cs="Arial"/>
        </w:rPr>
        <w:t xml:space="preserve"> komplexní revize výpočtu </w:t>
      </w:r>
      <w:r w:rsidRPr="00874B5D">
        <w:rPr>
          <w:rFonts w:ascii="Arial" w:hAnsi="Arial" w:cs="Arial"/>
          <w:b/>
        </w:rPr>
        <w:t xml:space="preserve">Indexů cen surového dříví za vlastníky a </w:t>
      </w:r>
      <w:proofErr w:type="spellStart"/>
      <w:r w:rsidRPr="00874B5D">
        <w:rPr>
          <w:rFonts w:ascii="Arial" w:hAnsi="Arial" w:cs="Arial"/>
          <w:b/>
        </w:rPr>
        <w:t>nevlastníky</w:t>
      </w:r>
      <w:proofErr w:type="spellEnd"/>
      <w:r w:rsidRPr="00874B5D">
        <w:rPr>
          <w:rFonts w:ascii="Arial" w:hAnsi="Arial" w:cs="Arial"/>
          <w:b/>
        </w:rPr>
        <w:t>.</w:t>
      </w:r>
      <w:r w:rsidRPr="00874B5D">
        <w:rPr>
          <w:rFonts w:ascii="Arial" w:hAnsi="Arial" w:cs="Arial"/>
        </w:rPr>
        <w:t xml:space="preserve"> </w:t>
      </w: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>Cenové indexy podle nové struktury se publikují od 1. čtvrtletí 20</w:t>
      </w:r>
      <w:r>
        <w:rPr>
          <w:rFonts w:ascii="Arial" w:hAnsi="Arial" w:cs="Arial"/>
        </w:rPr>
        <w:t>25</w:t>
      </w:r>
      <w:r w:rsidRPr="00874B5D">
        <w:rPr>
          <w:rFonts w:ascii="Arial" w:hAnsi="Arial" w:cs="Arial"/>
        </w:rPr>
        <w:t>.</w:t>
      </w:r>
    </w:p>
    <w:p w:rsidR="00471138" w:rsidRPr="00874B5D" w:rsidRDefault="00471138" w:rsidP="00471138">
      <w:pPr>
        <w:jc w:val="both"/>
        <w:rPr>
          <w:rFonts w:ascii="Arial" w:hAnsi="Arial" w:cs="Arial"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  <w:b/>
        </w:rPr>
      </w:pPr>
      <w:r w:rsidRPr="00874B5D">
        <w:rPr>
          <w:rFonts w:ascii="Arial" w:hAnsi="Arial" w:cs="Arial"/>
          <w:b/>
        </w:rPr>
        <w:t>Indexním</w:t>
      </w:r>
      <w:r w:rsidRPr="00874B5D">
        <w:rPr>
          <w:rFonts w:ascii="Arial" w:hAnsi="Arial" w:cs="Arial"/>
          <w:b/>
          <w:vertAlign w:val="superscript"/>
        </w:rPr>
        <w:t>1)</w:t>
      </w:r>
      <w:r w:rsidRPr="00874B5D">
        <w:rPr>
          <w:rFonts w:ascii="Arial" w:hAnsi="Arial" w:cs="Arial"/>
          <w:b/>
        </w:rPr>
        <w:t xml:space="preserve"> a cenovým</w:t>
      </w:r>
      <w:r w:rsidRPr="00874B5D">
        <w:rPr>
          <w:rFonts w:ascii="Arial" w:hAnsi="Arial" w:cs="Arial"/>
          <w:b/>
          <w:vertAlign w:val="superscript"/>
        </w:rPr>
        <w:t>2)</w:t>
      </w:r>
      <w:r w:rsidRPr="00874B5D">
        <w:rPr>
          <w:rFonts w:ascii="Arial" w:hAnsi="Arial" w:cs="Arial"/>
          <w:b/>
        </w:rPr>
        <w:t xml:space="preserve"> základem je</w:t>
      </w:r>
      <w:r>
        <w:rPr>
          <w:rFonts w:ascii="Arial" w:hAnsi="Arial" w:cs="Arial"/>
          <w:b/>
        </w:rPr>
        <w:t xml:space="preserve"> 4. čtvrtletí 2024</w:t>
      </w:r>
      <w:r w:rsidRPr="00874B5D">
        <w:rPr>
          <w:rFonts w:ascii="Arial" w:hAnsi="Arial" w:cs="Arial"/>
          <w:b/>
        </w:rPr>
        <w:t xml:space="preserve">. </w:t>
      </w:r>
    </w:p>
    <w:p w:rsidR="00471138" w:rsidRPr="00874B5D" w:rsidRDefault="00471138" w:rsidP="00471138">
      <w:pPr>
        <w:ind w:firstLine="708"/>
        <w:jc w:val="both"/>
        <w:rPr>
          <w:rFonts w:ascii="Arial" w:hAnsi="Arial" w:cs="Arial"/>
          <w:b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>V rámci revize bylo stanoveno nové váhové schéma sortimentů dle vykázaného přehledu ročních tržeb respondenty n</w:t>
      </w:r>
      <w:r>
        <w:rPr>
          <w:rFonts w:ascii="Arial" w:hAnsi="Arial" w:cs="Arial"/>
        </w:rPr>
        <w:t>a samostatném výkazu za roky 2022, 2023 a 2024</w:t>
      </w:r>
      <w:r w:rsidRPr="00874B5D">
        <w:rPr>
          <w:rFonts w:ascii="Arial" w:hAnsi="Arial" w:cs="Arial"/>
        </w:rPr>
        <w:t xml:space="preserve">. </w:t>
      </w:r>
    </w:p>
    <w:p w:rsidR="00471138" w:rsidRPr="00874B5D" w:rsidRDefault="00471138" w:rsidP="00471138">
      <w:pPr>
        <w:jc w:val="both"/>
        <w:rPr>
          <w:rFonts w:ascii="Arial" w:hAnsi="Arial" w:cs="Arial"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  <w:b/>
          <w:u w:val="single"/>
        </w:rPr>
        <w:t>Vlastníci:</w:t>
      </w:r>
      <w:r w:rsidRPr="00874B5D">
        <w:rPr>
          <w:rFonts w:ascii="Arial" w:hAnsi="Arial" w:cs="Arial"/>
        </w:rPr>
        <w:t xml:space="preserve"> U čtyř </w:t>
      </w:r>
      <w:r w:rsidRPr="00874B5D">
        <w:rPr>
          <w:rFonts w:ascii="Arial" w:hAnsi="Arial" w:cs="Arial"/>
          <w:b/>
        </w:rPr>
        <w:t>nejvýznamnějších sortimentů</w:t>
      </w:r>
      <w:r w:rsidRPr="00874B5D">
        <w:rPr>
          <w:rFonts w:ascii="Arial" w:hAnsi="Arial" w:cs="Arial"/>
        </w:rPr>
        <w:t xml:space="preserve"> (výřezy III.A/B jakosti – smrk, výřezy </w:t>
      </w:r>
      <w:proofErr w:type="gramStart"/>
      <w:r w:rsidRPr="00874B5D">
        <w:rPr>
          <w:rFonts w:ascii="Arial" w:hAnsi="Arial" w:cs="Arial"/>
        </w:rPr>
        <w:t>III.C jakosti</w:t>
      </w:r>
      <w:proofErr w:type="gramEnd"/>
      <w:r w:rsidRPr="00874B5D">
        <w:rPr>
          <w:rFonts w:ascii="Arial" w:hAnsi="Arial" w:cs="Arial"/>
        </w:rPr>
        <w:t xml:space="preserve"> – smrk, výřezy III.D jakosti – smrk, dříví V. jakosti – dříví pro výrobu buničiny – smrk) došlo ke změně vnitřních relativních vah spočtených ze souhrnného množství prodaného dříví jednotlivými respondenty za roky </w:t>
      </w:r>
      <w:r>
        <w:rPr>
          <w:rFonts w:ascii="Arial" w:hAnsi="Arial" w:cs="Arial"/>
        </w:rPr>
        <w:t>2022, 2023 a 2024</w:t>
      </w:r>
      <w:r w:rsidRPr="00874B5D">
        <w:rPr>
          <w:rFonts w:ascii="Arial" w:hAnsi="Arial" w:cs="Arial"/>
        </w:rPr>
        <w:t xml:space="preserve">. Bazické ceny těchto sortimentů byly vypočítány na </w:t>
      </w:r>
      <w:r w:rsidRPr="00874B5D">
        <w:rPr>
          <w:rFonts w:ascii="Arial" w:hAnsi="Arial" w:cs="Arial"/>
          <w:b/>
        </w:rPr>
        <w:t>aktualizovaných vnitřních vahách</w:t>
      </w:r>
      <w:r w:rsidRPr="00874B5D">
        <w:rPr>
          <w:rFonts w:ascii="Arial" w:hAnsi="Arial" w:cs="Arial"/>
        </w:rPr>
        <w:t>, proto jsou tyto nové základní ceny odlišné od již publikovaných pr</w:t>
      </w:r>
      <w:r>
        <w:rPr>
          <w:rFonts w:ascii="Arial" w:hAnsi="Arial" w:cs="Arial"/>
        </w:rPr>
        <w:t>ůměrných cen za 4. čtvrtletí 2024</w:t>
      </w:r>
      <w:r w:rsidRPr="00874B5D">
        <w:rPr>
          <w:rFonts w:ascii="Arial" w:hAnsi="Arial" w:cs="Arial"/>
        </w:rPr>
        <w:t>. U ostatních sortimentů jsou bazické ceny rovny publikovaným cenám ve</w:t>
      </w:r>
      <w:r>
        <w:rPr>
          <w:rFonts w:ascii="Arial" w:hAnsi="Arial" w:cs="Arial"/>
        </w:rPr>
        <w:t xml:space="preserve"> 4. čtvrtletí 2024</w:t>
      </w:r>
      <w:r w:rsidRPr="00874B5D">
        <w:rPr>
          <w:rFonts w:ascii="Arial" w:hAnsi="Arial" w:cs="Arial"/>
        </w:rPr>
        <w:t>.</w:t>
      </w: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Pr="00471138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Průměrné ceny ostatních sortimentů jsou nadále počítány prostým aritmetickým průměrem. </w:t>
      </w:r>
    </w:p>
    <w:p w:rsidR="00471138" w:rsidRDefault="00471138" w:rsidP="00471138">
      <w:pPr>
        <w:jc w:val="both"/>
        <w:rPr>
          <w:rFonts w:ascii="Arial" w:hAnsi="Arial" w:cs="Arial"/>
          <w:b/>
        </w:rPr>
      </w:pPr>
    </w:p>
    <w:p w:rsidR="00471138" w:rsidRDefault="00471138" w:rsidP="00471138">
      <w:pPr>
        <w:jc w:val="both"/>
        <w:rPr>
          <w:rFonts w:ascii="Arial" w:hAnsi="Arial" w:cs="Arial"/>
          <w:b/>
        </w:rPr>
      </w:pPr>
    </w:p>
    <w:p w:rsidR="00471138" w:rsidRPr="00874B5D" w:rsidRDefault="00471138" w:rsidP="00471138">
      <w:pPr>
        <w:jc w:val="both"/>
        <w:rPr>
          <w:rFonts w:ascii="Arial" w:hAnsi="Arial" w:cs="Arial"/>
          <w:b/>
        </w:rPr>
      </w:pPr>
      <w:r w:rsidRPr="00874B5D">
        <w:rPr>
          <w:rFonts w:ascii="Arial" w:hAnsi="Arial" w:cs="Arial"/>
          <w:b/>
        </w:rPr>
        <w:t>Tab. Průměrné ceny vážených sortimentů ve 4. čtvrtletí 20</w:t>
      </w:r>
      <w:r>
        <w:rPr>
          <w:rFonts w:ascii="Arial" w:hAnsi="Arial" w:cs="Arial"/>
          <w:b/>
        </w:rPr>
        <w:t>24</w:t>
      </w:r>
    </w:p>
    <w:p w:rsidR="00471138" w:rsidRPr="00874B5D" w:rsidRDefault="00471138" w:rsidP="00471138">
      <w:pPr>
        <w:jc w:val="both"/>
        <w:rPr>
          <w:rFonts w:ascii="Arial" w:hAnsi="Arial" w:cs="Arial"/>
          <w:b/>
        </w:rPr>
      </w:pPr>
    </w:p>
    <w:tbl>
      <w:tblPr>
        <w:tblW w:w="748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1760"/>
        <w:gridCol w:w="1720"/>
        <w:gridCol w:w="1440"/>
      </w:tblGrid>
      <w:tr w:rsidR="00471138" w:rsidRPr="00874B5D" w:rsidTr="00BA2D8E">
        <w:trPr>
          <w:trHeight w:val="838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>Původní publikovaná průměrná cena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>Nová průměrná cena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>Rozdíl v %</w:t>
            </w:r>
          </w:p>
        </w:tc>
      </w:tr>
      <w:tr w:rsidR="00471138" w:rsidRPr="00874B5D" w:rsidTr="00BA2D8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 xml:space="preserve">Výřezy III. A/B - smrk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2542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color w:val="000000"/>
              </w:rPr>
            </w:pPr>
            <w:r w:rsidRPr="00874B5D">
              <w:rPr>
                <w:rFonts w:ascii="Arial" w:hAnsi="Arial" w:cs="Arial"/>
                <w:color w:val="000000"/>
              </w:rPr>
              <w:t>-0,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</w:tr>
      <w:tr w:rsidR="00471138" w:rsidRPr="00874B5D" w:rsidTr="00BA2D8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 xml:space="preserve">Výřezy III. C - smrk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  <w:r w:rsidRPr="00874B5D">
              <w:rPr>
                <w:rFonts w:ascii="Arial" w:hAnsi="Arial" w:cs="Arial"/>
                <w:color w:val="000000"/>
              </w:rPr>
              <w:t>,</w:t>
            </w: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471138" w:rsidRPr="00874B5D" w:rsidTr="00BA2D8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 xml:space="preserve">Výřezy III. D - smrk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2082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265627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D44C07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-3,7</w:t>
            </w:r>
          </w:p>
        </w:tc>
      </w:tr>
      <w:tr w:rsidR="00471138" w:rsidRPr="00874B5D" w:rsidTr="00BA2D8E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74B5D">
              <w:rPr>
                <w:rFonts w:ascii="Arial" w:hAnsi="Arial" w:cs="Arial"/>
                <w:b/>
                <w:bCs/>
                <w:color w:val="000000"/>
              </w:rPr>
              <w:t xml:space="preserve">Výřezy V. třídy - smrk 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BA2D8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265627" w:rsidP="00D44C0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  <w:r w:rsidR="00D44C07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265627" w:rsidP="00E11E9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  <w:r w:rsidR="00D44C07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</w:rPr>
              <w:t>,</w:t>
            </w:r>
            <w:r w:rsidR="00E11E97">
              <w:rPr>
                <w:rFonts w:ascii="Arial" w:hAnsi="Arial" w:cs="Arial"/>
                <w:color w:val="000000"/>
              </w:rPr>
              <w:t>5</w:t>
            </w:r>
          </w:p>
        </w:tc>
      </w:tr>
    </w:tbl>
    <w:p w:rsidR="00471138" w:rsidRPr="00874B5D" w:rsidRDefault="00471138" w:rsidP="00471138">
      <w:pPr>
        <w:jc w:val="both"/>
        <w:rPr>
          <w:rFonts w:ascii="Arial" w:hAnsi="Arial" w:cs="Arial"/>
          <w:b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Default="00471138" w:rsidP="00471138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Pro výpočet cenových indexů je použito </w:t>
      </w:r>
      <w:r w:rsidRPr="00874B5D">
        <w:rPr>
          <w:rFonts w:ascii="Arial" w:hAnsi="Arial" w:cs="Arial"/>
          <w:b/>
        </w:rPr>
        <w:t>1</w:t>
      </w:r>
      <w:r w:rsidR="00470EA9">
        <w:rPr>
          <w:rFonts w:ascii="Arial" w:hAnsi="Arial" w:cs="Arial"/>
          <w:b/>
        </w:rPr>
        <w:t>4</w:t>
      </w:r>
      <w:r w:rsidRPr="00874B5D">
        <w:rPr>
          <w:rFonts w:ascii="Arial" w:hAnsi="Arial" w:cs="Arial"/>
          <w:b/>
        </w:rPr>
        <w:t xml:space="preserve"> jehličnatých</w:t>
      </w:r>
      <w:r w:rsidRPr="00874B5D">
        <w:rPr>
          <w:rFonts w:ascii="Arial" w:hAnsi="Arial" w:cs="Arial"/>
        </w:rPr>
        <w:t xml:space="preserve"> a </w:t>
      </w:r>
      <w:r w:rsidR="00470EA9">
        <w:rPr>
          <w:rFonts w:ascii="Arial" w:hAnsi="Arial" w:cs="Arial"/>
          <w:b/>
        </w:rPr>
        <w:t>9</w:t>
      </w:r>
      <w:r w:rsidRPr="00874B5D">
        <w:rPr>
          <w:rFonts w:ascii="Arial" w:hAnsi="Arial" w:cs="Arial"/>
          <w:b/>
        </w:rPr>
        <w:t xml:space="preserve"> listnatých </w:t>
      </w:r>
      <w:r w:rsidRPr="00874B5D">
        <w:rPr>
          <w:rFonts w:ascii="Arial" w:hAnsi="Arial" w:cs="Arial"/>
        </w:rPr>
        <w:t>sortimentů</w:t>
      </w:r>
      <w:r>
        <w:rPr>
          <w:rFonts w:ascii="Arial" w:hAnsi="Arial" w:cs="Arial"/>
        </w:rPr>
        <w:t>.</w:t>
      </w:r>
      <w:r w:rsidR="00470EA9">
        <w:rPr>
          <w:rFonts w:ascii="Arial" w:hAnsi="Arial" w:cs="Arial"/>
        </w:rPr>
        <w:t xml:space="preserve"> </w:t>
      </w:r>
      <w:r w:rsidR="00470EA9" w:rsidRPr="00874B5D">
        <w:rPr>
          <w:rFonts w:ascii="Arial" w:hAnsi="Arial" w:cs="Arial"/>
        </w:rPr>
        <w:t xml:space="preserve">(byla vyřazena </w:t>
      </w:r>
      <w:r w:rsidR="00470EA9" w:rsidRPr="00874B5D">
        <w:rPr>
          <w:rFonts w:ascii="Arial" w:hAnsi="Arial" w:cs="Arial"/>
          <w:b/>
        </w:rPr>
        <w:t>I</w:t>
      </w:r>
      <w:r w:rsidR="00470EA9">
        <w:rPr>
          <w:rFonts w:ascii="Arial" w:hAnsi="Arial" w:cs="Arial"/>
          <w:b/>
        </w:rPr>
        <w:t>I</w:t>
      </w:r>
      <w:r w:rsidR="00470EA9" w:rsidRPr="00874B5D">
        <w:rPr>
          <w:rFonts w:ascii="Arial" w:hAnsi="Arial" w:cs="Arial"/>
          <w:b/>
        </w:rPr>
        <w:t>. třída jakosti</w:t>
      </w:r>
      <w:r w:rsidR="00470EA9">
        <w:rPr>
          <w:rFonts w:ascii="Arial" w:hAnsi="Arial" w:cs="Arial"/>
          <w:b/>
        </w:rPr>
        <w:t xml:space="preserve"> dub a buk a II. třída jakosti smrk a borovice</w:t>
      </w:r>
      <w:r w:rsidR="00470EA9" w:rsidRPr="00874B5D">
        <w:rPr>
          <w:rFonts w:ascii="Arial" w:hAnsi="Arial" w:cs="Arial"/>
        </w:rPr>
        <w:t>).</w:t>
      </w:r>
    </w:p>
    <w:p w:rsidR="00471138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Default="00471138" w:rsidP="00471138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471138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Pr="00874B5D" w:rsidRDefault="00471138" w:rsidP="00471138">
      <w:pPr>
        <w:ind w:firstLine="708"/>
        <w:jc w:val="both"/>
        <w:rPr>
          <w:rFonts w:ascii="Arial" w:hAnsi="Arial" w:cs="Arial"/>
        </w:rPr>
      </w:pPr>
    </w:p>
    <w:p w:rsidR="00471138" w:rsidRPr="00874B5D" w:rsidRDefault="00471138" w:rsidP="00471138">
      <w:pPr>
        <w:pStyle w:val="Normlnweb"/>
        <w:outlineLvl w:val="0"/>
        <w:rPr>
          <w:rFonts w:ascii="Arial" w:hAnsi="Arial" w:cs="Arial"/>
          <w:i/>
          <w:sz w:val="20"/>
          <w:szCs w:val="20"/>
        </w:rPr>
      </w:pPr>
      <w:r w:rsidRPr="00874B5D">
        <w:rPr>
          <w:rFonts w:ascii="Arial" w:hAnsi="Arial" w:cs="Arial"/>
          <w:b/>
          <w:sz w:val="20"/>
          <w:szCs w:val="20"/>
        </w:rPr>
        <w:lastRenderedPageBreak/>
        <w:t>Tab.: Porovnání váhových schémat (v ‰)</w:t>
      </w:r>
      <w:r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  <w:b/>
          <w:sz w:val="20"/>
          <w:szCs w:val="20"/>
        </w:rPr>
        <w:t>z roku 2013 – 2015</w:t>
      </w:r>
      <w:r>
        <w:rPr>
          <w:rFonts w:ascii="Arial" w:hAnsi="Arial" w:cs="Arial"/>
          <w:b/>
          <w:sz w:val="20"/>
          <w:szCs w:val="20"/>
        </w:rPr>
        <w:t xml:space="preserve"> a 2022-2024</w:t>
      </w:r>
      <w:r w:rsidRPr="00874B5D">
        <w:rPr>
          <w:rFonts w:ascii="Arial" w:hAnsi="Arial" w:cs="Arial"/>
          <w:b/>
          <w:sz w:val="20"/>
          <w:szCs w:val="20"/>
        </w:rPr>
        <w:t xml:space="preserve">, </w:t>
      </w:r>
      <w:r w:rsidRPr="009D2F7C">
        <w:rPr>
          <w:rFonts w:ascii="Arial" w:hAnsi="Arial" w:cs="Arial"/>
          <w:b/>
          <w:i/>
          <w:sz w:val="20"/>
          <w:szCs w:val="20"/>
        </w:rPr>
        <w:t>v</w:t>
      </w:r>
      <w:r w:rsidRPr="00874B5D">
        <w:rPr>
          <w:rFonts w:ascii="Arial" w:hAnsi="Arial" w:cs="Arial"/>
          <w:b/>
          <w:i/>
          <w:sz w:val="20"/>
          <w:szCs w:val="20"/>
        </w:rPr>
        <w:t>lastníci</w:t>
      </w:r>
    </w:p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614"/>
        <w:gridCol w:w="914"/>
        <w:gridCol w:w="1528"/>
        <w:gridCol w:w="2409"/>
      </w:tblGrid>
      <w:tr w:rsidR="00471138" w:rsidRPr="00874B5D" w:rsidTr="00BA2D8E">
        <w:trPr>
          <w:trHeight w:val="518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138" w:rsidRPr="00874B5D" w:rsidRDefault="00471138" w:rsidP="00471138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 xml:space="preserve">Váhové schéma </w:t>
            </w:r>
          </w:p>
          <w:p w:rsidR="00471138" w:rsidRPr="00874B5D" w:rsidRDefault="00471138" w:rsidP="00471138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>2013 - 2015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38" w:rsidRPr="00874B5D" w:rsidRDefault="00471138" w:rsidP="00BA2D8E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 xml:space="preserve">Váhové schéma </w:t>
            </w:r>
          </w:p>
          <w:p w:rsidR="00471138" w:rsidRPr="00874B5D" w:rsidRDefault="00471138" w:rsidP="006E049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2022 - 202</w:t>
            </w:r>
            <w:r w:rsidR="006E049F">
              <w:rPr>
                <w:rFonts w:ascii="Arial" w:hAnsi="Arial" w:cs="Arial"/>
                <w:b/>
              </w:rPr>
              <w:t>4</w:t>
            </w:r>
          </w:p>
        </w:tc>
      </w:tr>
      <w:tr w:rsidR="00471138" w:rsidRPr="00874B5D" w:rsidTr="00356A2E">
        <w:trPr>
          <w:trHeight w:val="259"/>
        </w:trPr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Úhrnem jehličnaté a listnaté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1000,000000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1000,000000</w:t>
            </w:r>
          </w:p>
        </w:tc>
      </w:tr>
      <w:tr w:rsidR="00471138" w:rsidRPr="00874B5D" w:rsidTr="00356A2E">
        <w:trPr>
          <w:trHeight w:val="259"/>
        </w:trPr>
        <w:tc>
          <w:tcPr>
            <w:tcW w:w="47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Celkem listnaté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66,908773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65,820859</w:t>
            </w:r>
          </w:p>
        </w:tc>
      </w:tr>
      <w:tr w:rsidR="00471138" w:rsidRPr="00874B5D" w:rsidTr="00356A2E">
        <w:trPr>
          <w:trHeight w:val="259"/>
        </w:trPr>
        <w:tc>
          <w:tcPr>
            <w:tcW w:w="4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Celkem jehličnaté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4B5D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933,091227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934,179141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II. třídy jakosti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smrk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1,546295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1138" w:rsidRPr="00874B5D" w:rsidTr="00356A2E">
        <w:trPr>
          <w:trHeight w:val="274"/>
        </w:trPr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2,083839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1138" w:rsidRPr="00874B5D" w:rsidTr="00356A2E">
        <w:trPr>
          <w:trHeight w:val="2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1,770616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BA2D8E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1,200359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III.A/B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 xml:space="preserve">smrk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395,661979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370,573236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40,560637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34,590619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18,384446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26,373053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III.C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 xml:space="preserve">smrk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113,212520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66,791808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10,756995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4,005828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7,558221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6,443110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III.D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 xml:space="preserve">smrk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140,643041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207,700267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11,087590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14,760445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3,948043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10,303626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IV.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26,441048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12,210174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V.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 xml:space="preserve">smrk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117,869458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139,202469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27,518630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29,463483</w:t>
            </w:r>
          </w:p>
        </w:tc>
      </w:tr>
      <w:tr w:rsidR="00471138" w:rsidRPr="00874B5D" w:rsidTr="00356A2E">
        <w:trPr>
          <w:trHeight w:val="259"/>
        </w:trPr>
        <w:tc>
          <w:tcPr>
            <w:tcW w:w="5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Dříví VI. třídy jakosti - palivové dříví jehličnaté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16,262358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10,560664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II.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2,424040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0,925396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III. A/B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6,266356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5,667726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2,976109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3,921885</w:t>
            </w:r>
          </w:p>
        </w:tc>
      </w:tr>
      <w:tr w:rsidR="00471138" w:rsidRPr="00874B5D" w:rsidTr="00356A2E">
        <w:trPr>
          <w:trHeight w:val="27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III.C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4,079109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3,363443</w:t>
            </w:r>
          </w:p>
        </w:tc>
      </w:tr>
      <w:tr w:rsidR="00471138" w:rsidRPr="00874B5D" w:rsidTr="00356A2E">
        <w:trPr>
          <w:trHeight w:val="27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1,807586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2,113370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III.D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4,769707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5,018077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1,454497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2,571693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V. třídy jakosti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9,112753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12,809862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14,936140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18,243859</w:t>
            </w:r>
          </w:p>
        </w:tc>
      </w:tr>
      <w:tr w:rsidR="00471138" w:rsidRPr="00874B5D" w:rsidTr="00356A2E">
        <w:trPr>
          <w:trHeight w:val="25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ind w:left="708" w:hanging="708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Dříví VI. třídy </w:t>
            </w:r>
            <w:proofErr w:type="gramStart"/>
            <w:r w:rsidRPr="00874B5D">
              <w:rPr>
                <w:rFonts w:ascii="Arial" w:hAnsi="Arial" w:cs="Arial"/>
              </w:rPr>
              <w:t>jak.- palivové</w:t>
            </w:r>
            <w:proofErr w:type="gramEnd"/>
            <w:r w:rsidRPr="00874B5D">
              <w:rPr>
                <w:rFonts w:ascii="Arial" w:hAnsi="Arial" w:cs="Arial"/>
              </w:rPr>
              <w:t xml:space="preserve"> dříví listnaté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1138" w:rsidRPr="00874B5D" w:rsidRDefault="00471138" w:rsidP="00471138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18,157080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1138" w:rsidRPr="00874B5D" w:rsidRDefault="006E049F" w:rsidP="004711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12,110944</w:t>
            </w:r>
          </w:p>
        </w:tc>
      </w:tr>
    </w:tbl>
    <w:p w:rsidR="00C21F7D" w:rsidRDefault="00C21F7D" w:rsidP="00EE70D7">
      <w:pPr>
        <w:jc w:val="both"/>
        <w:rPr>
          <w:rFonts w:ascii="Arial" w:hAnsi="Arial" w:cs="Arial"/>
        </w:rPr>
      </w:pPr>
    </w:p>
    <w:p w:rsidR="00C21F7D" w:rsidRDefault="00C21F7D" w:rsidP="00BC6ECD">
      <w:pPr>
        <w:ind w:firstLine="708"/>
        <w:jc w:val="both"/>
        <w:rPr>
          <w:rFonts w:ascii="Arial" w:hAnsi="Arial" w:cs="Arial"/>
        </w:rPr>
      </w:pPr>
    </w:p>
    <w:p w:rsidR="00C21F7D" w:rsidRDefault="00C21F7D" w:rsidP="00BC6ECD">
      <w:pPr>
        <w:ind w:firstLine="708"/>
        <w:jc w:val="both"/>
        <w:rPr>
          <w:rFonts w:ascii="Arial" w:hAnsi="Arial" w:cs="Arial"/>
        </w:rPr>
      </w:pPr>
    </w:p>
    <w:p w:rsidR="00C21F7D" w:rsidRPr="00874B5D" w:rsidRDefault="00C21F7D" w:rsidP="00C21F7D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V rámci revize </w:t>
      </w:r>
      <w:r w:rsidRPr="00874B5D">
        <w:rPr>
          <w:rFonts w:ascii="Arial" w:hAnsi="Arial" w:cs="Arial"/>
          <w:b/>
        </w:rPr>
        <w:t xml:space="preserve">Indexu cen lesnictví – </w:t>
      </w:r>
      <w:proofErr w:type="spellStart"/>
      <w:r w:rsidRPr="00874B5D">
        <w:rPr>
          <w:rFonts w:ascii="Arial" w:hAnsi="Arial" w:cs="Arial"/>
          <w:b/>
          <w:u w:val="single"/>
        </w:rPr>
        <w:t>nevlastníci</w:t>
      </w:r>
      <w:proofErr w:type="spellEnd"/>
      <w:r w:rsidRPr="00874B5D">
        <w:rPr>
          <w:rFonts w:ascii="Arial" w:hAnsi="Arial" w:cs="Arial"/>
          <w:b/>
        </w:rPr>
        <w:t xml:space="preserve"> </w:t>
      </w:r>
      <w:r w:rsidRPr="00874B5D">
        <w:rPr>
          <w:rFonts w:ascii="Arial" w:hAnsi="Arial" w:cs="Arial"/>
        </w:rPr>
        <w:t>bylo stanoveno nové váhové schéma sortimentů dle vykázaného přehledu ročních tržeb respondenty na samostatném výkazu za roky 20</w:t>
      </w:r>
      <w:r>
        <w:rPr>
          <w:rFonts w:ascii="Arial" w:hAnsi="Arial" w:cs="Arial"/>
        </w:rPr>
        <w:t>22</w:t>
      </w:r>
      <w:r w:rsidRPr="00874B5D">
        <w:rPr>
          <w:rFonts w:ascii="Arial" w:hAnsi="Arial" w:cs="Arial"/>
        </w:rPr>
        <w:t>, 20</w:t>
      </w:r>
      <w:r>
        <w:rPr>
          <w:rFonts w:ascii="Arial" w:hAnsi="Arial" w:cs="Arial"/>
        </w:rPr>
        <w:t>23 a</w:t>
      </w:r>
      <w:r w:rsidRPr="00874B5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24</w:t>
      </w:r>
      <w:r w:rsidRPr="00874B5D">
        <w:rPr>
          <w:rFonts w:ascii="Arial" w:hAnsi="Arial" w:cs="Arial"/>
        </w:rPr>
        <w:t xml:space="preserve">. Průměrné ceny všech sortimentů jsou počítány prostým aritmetickým průměrem. Pro výpočet cenových indexů je použito </w:t>
      </w:r>
      <w:r w:rsidRPr="00874B5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 w:rsidRPr="00874B5D">
        <w:rPr>
          <w:rFonts w:ascii="Arial" w:hAnsi="Arial" w:cs="Arial"/>
          <w:b/>
        </w:rPr>
        <w:t> jehličnatých</w:t>
      </w:r>
      <w:r w:rsidRPr="00874B5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9</w:t>
      </w:r>
      <w:r w:rsidRPr="00874B5D">
        <w:rPr>
          <w:rFonts w:ascii="Arial" w:hAnsi="Arial" w:cs="Arial"/>
          <w:b/>
        </w:rPr>
        <w:t xml:space="preserve"> listnatých </w:t>
      </w:r>
      <w:r w:rsidRPr="00874B5D">
        <w:rPr>
          <w:rFonts w:ascii="Arial" w:hAnsi="Arial" w:cs="Arial"/>
        </w:rPr>
        <w:t xml:space="preserve">sortimentů (byla vyřazena </w:t>
      </w:r>
      <w:r w:rsidRPr="00874B5D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Pr="00874B5D">
        <w:rPr>
          <w:rFonts w:ascii="Arial" w:hAnsi="Arial" w:cs="Arial"/>
          <w:b/>
        </w:rPr>
        <w:t>. třída jakosti</w:t>
      </w:r>
      <w:r>
        <w:rPr>
          <w:rFonts w:ascii="Arial" w:hAnsi="Arial" w:cs="Arial"/>
          <w:b/>
        </w:rPr>
        <w:t xml:space="preserve"> dub a buk a II. třída jakosti smrk a borovice</w:t>
      </w:r>
      <w:r w:rsidRPr="00874B5D">
        <w:rPr>
          <w:rFonts w:ascii="Arial" w:hAnsi="Arial" w:cs="Arial"/>
        </w:rPr>
        <w:t xml:space="preserve">). Bazické ceny jsou u </w:t>
      </w:r>
      <w:r w:rsidRPr="00874B5D">
        <w:rPr>
          <w:rFonts w:ascii="Arial" w:hAnsi="Arial" w:cs="Arial"/>
          <w:b/>
          <w:u w:val="single"/>
        </w:rPr>
        <w:t>všech</w:t>
      </w:r>
      <w:r w:rsidRPr="00874B5D">
        <w:rPr>
          <w:rFonts w:ascii="Arial" w:hAnsi="Arial" w:cs="Arial"/>
        </w:rPr>
        <w:t xml:space="preserve"> sortimentů rovny publikovaným cenám ve 4. čtvrtletí 20</w:t>
      </w:r>
      <w:r>
        <w:rPr>
          <w:rFonts w:ascii="Arial" w:hAnsi="Arial" w:cs="Arial"/>
        </w:rPr>
        <w:t>24</w:t>
      </w:r>
      <w:r w:rsidRPr="00874B5D">
        <w:rPr>
          <w:rFonts w:ascii="Arial" w:hAnsi="Arial" w:cs="Arial"/>
        </w:rPr>
        <w:t>.</w:t>
      </w:r>
    </w:p>
    <w:p w:rsidR="00C21F7D" w:rsidRDefault="00C21F7D" w:rsidP="00C21F7D">
      <w:pPr>
        <w:jc w:val="both"/>
        <w:rPr>
          <w:rFonts w:ascii="Arial" w:hAnsi="Arial" w:cs="Arial"/>
        </w:rPr>
      </w:pPr>
    </w:p>
    <w:p w:rsidR="00C21F7D" w:rsidRPr="00874B5D" w:rsidRDefault="00C21F7D" w:rsidP="00C21F7D">
      <w:pPr>
        <w:jc w:val="both"/>
        <w:rPr>
          <w:rFonts w:ascii="Arial" w:hAnsi="Arial" w:cs="Arial"/>
        </w:rPr>
      </w:pPr>
    </w:p>
    <w:p w:rsidR="00C21F7D" w:rsidRPr="00874B5D" w:rsidRDefault="00C21F7D" w:rsidP="00C21F7D">
      <w:pPr>
        <w:pStyle w:val="Normlnweb"/>
        <w:outlineLvl w:val="0"/>
        <w:rPr>
          <w:rFonts w:ascii="Arial" w:hAnsi="Arial" w:cs="Arial"/>
          <w:i/>
          <w:sz w:val="20"/>
          <w:szCs w:val="20"/>
        </w:rPr>
      </w:pPr>
      <w:r w:rsidRPr="00874B5D">
        <w:rPr>
          <w:rFonts w:ascii="Arial" w:hAnsi="Arial" w:cs="Arial"/>
          <w:b/>
          <w:sz w:val="20"/>
          <w:szCs w:val="20"/>
        </w:rPr>
        <w:t>Tab.: Porovnání váhových schémat (v ‰)</w:t>
      </w:r>
      <w:r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  <w:b/>
          <w:sz w:val="20"/>
          <w:szCs w:val="20"/>
        </w:rPr>
        <w:t>z let 20</w:t>
      </w:r>
      <w:r>
        <w:rPr>
          <w:rFonts w:ascii="Arial" w:hAnsi="Arial" w:cs="Arial"/>
          <w:b/>
          <w:sz w:val="20"/>
          <w:szCs w:val="20"/>
        </w:rPr>
        <w:t>13 - 2015</w:t>
      </w:r>
      <w:r w:rsidRPr="00874B5D">
        <w:rPr>
          <w:rFonts w:ascii="Arial" w:hAnsi="Arial" w:cs="Arial"/>
          <w:b/>
          <w:sz w:val="20"/>
          <w:szCs w:val="20"/>
        </w:rPr>
        <w:t xml:space="preserve"> a 20</w:t>
      </w:r>
      <w:r>
        <w:rPr>
          <w:rFonts w:ascii="Arial" w:hAnsi="Arial" w:cs="Arial"/>
          <w:b/>
          <w:sz w:val="20"/>
          <w:szCs w:val="20"/>
        </w:rPr>
        <w:t>22</w:t>
      </w:r>
      <w:r w:rsidRPr="00874B5D">
        <w:rPr>
          <w:rFonts w:ascii="Arial" w:hAnsi="Arial" w:cs="Arial"/>
          <w:b/>
          <w:sz w:val="20"/>
          <w:szCs w:val="20"/>
        </w:rPr>
        <w:t xml:space="preserve"> – 20</w:t>
      </w:r>
      <w:r>
        <w:rPr>
          <w:rFonts w:ascii="Arial" w:hAnsi="Arial" w:cs="Arial"/>
          <w:b/>
          <w:sz w:val="20"/>
          <w:szCs w:val="20"/>
        </w:rPr>
        <w:t>24</w:t>
      </w:r>
      <w:r w:rsidRPr="00874B5D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874B5D">
        <w:rPr>
          <w:rFonts w:ascii="Arial" w:hAnsi="Arial" w:cs="Arial"/>
          <w:b/>
          <w:i/>
          <w:sz w:val="20"/>
          <w:szCs w:val="20"/>
        </w:rPr>
        <w:t>nevlastníci</w:t>
      </w:r>
      <w:proofErr w:type="spellEnd"/>
    </w:p>
    <w:tbl>
      <w:tblPr>
        <w:tblW w:w="90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2"/>
        <w:gridCol w:w="1046"/>
        <w:gridCol w:w="1905"/>
        <w:gridCol w:w="1909"/>
      </w:tblGrid>
      <w:tr w:rsidR="00C21F7D" w:rsidRPr="00874B5D" w:rsidTr="00075F04">
        <w:trPr>
          <w:trHeight w:val="513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F7D" w:rsidRPr="00874B5D" w:rsidRDefault="00C21F7D" w:rsidP="00075F04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>Název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F7D" w:rsidRPr="00874B5D" w:rsidRDefault="00C21F7D" w:rsidP="00075F04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 xml:space="preserve">Váhové schéma </w:t>
            </w:r>
          </w:p>
          <w:p w:rsidR="00C21F7D" w:rsidRPr="00874B5D" w:rsidRDefault="00C21F7D" w:rsidP="00075F04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>2013 - 2015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F7D" w:rsidRPr="00874B5D" w:rsidRDefault="00C21F7D" w:rsidP="00075F04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 xml:space="preserve">Váhové schéma </w:t>
            </w:r>
          </w:p>
          <w:p w:rsidR="00C21F7D" w:rsidRPr="00874B5D" w:rsidRDefault="00C21F7D" w:rsidP="00075F04">
            <w:pPr>
              <w:jc w:val="center"/>
              <w:rPr>
                <w:rFonts w:ascii="Arial" w:hAnsi="Arial" w:cs="Arial"/>
                <w:b/>
              </w:rPr>
            </w:pPr>
            <w:r w:rsidRPr="00874B5D"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22</w:t>
            </w:r>
            <w:r w:rsidRPr="00874B5D">
              <w:rPr>
                <w:rFonts w:ascii="Arial" w:hAnsi="Arial" w:cs="Arial"/>
                <w:b/>
              </w:rPr>
              <w:t xml:space="preserve"> - 20</w:t>
            </w:r>
            <w:r>
              <w:rPr>
                <w:rFonts w:ascii="Arial" w:hAnsi="Arial" w:cs="Arial"/>
                <w:b/>
              </w:rPr>
              <w:t>24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Úhrnem jehličnaté a listnaté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1000,000000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1000,000000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celkem listnaté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97,817463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54,849807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celkem jehličnaté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 w:rsidRPr="00874B5D">
              <w:rPr>
                <w:rFonts w:ascii="Arial" w:hAnsi="Arial" w:cs="Arial"/>
                <w:b/>
                <w:bCs/>
              </w:rPr>
              <w:t>902,182537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945,150193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II. třídy jakosti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smrk 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15,088369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21F7D" w:rsidRPr="00874B5D" w:rsidTr="00075F04">
        <w:trPr>
          <w:trHeight w:val="271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2,639083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21F7D" w:rsidRPr="00874B5D" w:rsidTr="00075F04">
        <w:trPr>
          <w:trHeight w:val="271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3,029324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2,937351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III.A/B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Cs/>
              </w:rPr>
            </w:pPr>
            <w:r w:rsidRPr="00874B5D">
              <w:rPr>
                <w:rFonts w:ascii="Arial" w:hAnsi="Arial" w:cs="Arial"/>
                <w:bCs/>
              </w:rPr>
              <w:t xml:space="preserve">smrk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442,346202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360,431814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39,170954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24,570145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22,286624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24,957426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III.C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Cs/>
              </w:rPr>
            </w:pPr>
            <w:r w:rsidRPr="00874B5D">
              <w:rPr>
                <w:rFonts w:ascii="Arial" w:hAnsi="Arial" w:cs="Arial"/>
                <w:bCs/>
              </w:rPr>
              <w:t xml:space="preserve">smrk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82,398986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141,588042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7,901917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8,344586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8,084834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7,552829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III.D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Cs/>
              </w:rPr>
            </w:pPr>
            <w:r w:rsidRPr="00874B5D">
              <w:rPr>
                <w:rFonts w:ascii="Arial" w:hAnsi="Arial" w:cs="Arial"/>
                <w:bCs/>
              </w:rPr>
              <w:t xml:space="preserve">smrk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62,720491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165,477994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11,414925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12,951486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modřín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3,872356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7,547308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IV.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18,298601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11,259093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V.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  <w:bCs/>
              </w:rPr>
            </w:pPr>
            <w:r w:rsidRPr="00874B5D">
              <w:rPr>
                <w:rFonts w:ascii="Arial" w:hAnsi="Arial" w:cs="Arial"/>
                <w:bCs/>
              </w:rPr>
              <w:t xml:space="preserve">smrk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142,261238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137,379387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borovice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30,293312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33,613959</w:t>
            </w:r>
          </w:p>
        </w:tc>
      </w:tr>
      <w:tr w:rsidR="00C21F7D" w:rsidRPr="00874B5D" w:rsidTr="00075F04">
        <w:trPr>
          <w:trHeight w:val="256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Dříví VI. třídy jakosti - palivové dříví jehličnaté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10,375321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6,538773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I. třídy jakosti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dub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-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II.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1,427693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1,349992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III. A/B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9,915313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5,831329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8,572513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4,786544</w:t>
            </w:r>
          </w:p>
        </w:tc>
      </w:tr>
      <w:tr w:rsidR="00C21F7D" w:rsidRPr="00874B5D" w:rsidTr="00075F04">
        <w:trPr>
          <w:trHeight w:val="271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III.C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7,992529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2,501569</w:t>
            </w:r>
          </w:p>
        </w:tc>
      </w:tr>
      <w:tr w:rsidR="00C21F7D" w:rsidRPr="00874B5D" w:rsidTr="00075F04">
        <w:trPr>
          <w:trHeight w:val="271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3,692950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1,505795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Výřezy </w:t>
            </w:r>
            <w:proofErr w:type="gramStart"/>
            <w:r w:rsidRPr="00874B5D">
              <w:rPr>
                <w:rFonts w:ascii="Arial" w:hAnsi="Arial" w:cs="Arial"/>
              </w:rPr>
              <w:t>III.D třídy</w:t>
            </w:r>
            <w:proofErr w:type="gramEnd"/>
            <w:r w:rsidRPr="00874B5D">
              <w:rPr>
                <w:rFonts w:ascii="Arial" w:hAnsi="Arial" w:cs="Arial"/>
              </w:rPr>
              <w:t xml:space="preserve">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3,463449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2,535143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2,664733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2,388918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Výřezy V. třídy jakosti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dub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10,003883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7,417529</w:t>
            </w:r>
          </w:p>
        </w:tc>
      </w:tr>
      <w:tr w:rsidR="00C21F7D" w:rsidRPr="00874B5D" w:rsidTr="00075F04">
        <w:trPr>
          <w:trHeight w:val="256"/>
        </w:trPr>
        <w:tc>
          <w:tcPr>
            <w:tcW w:w="4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buk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25,216000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13,819376</w:t>
            </w:r>
          </w:p>
        </w:tc>
      </w:tr>
      <w:tr w:rsidR="00C21F7D" w:rsidRPr="00874B5D" w:rsidTr="00075F04">
        <w:trPr>
          <w:trHeight w:val="256"/>
        </w:trPr>
        <w:tc>
          <w:tcPr>
            <w:tcW w:w="5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ind w:left="708" w:hanging="708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 xml:space="preserve">Dříví VI. třídy </w:t>
            </w:r>
            <w:proofErr w:type="gramStart"/>
            <w:r w:rsidRPr="00874B5D">
              <w:rPr>
                <w:rFonts w:ascii="Arial" w:hAnsi="Arial" w:cs="Arial"/>
              </w:rPr>
              <w:t>jak.- palivové</w:t>
            </w:r>
            <w:proofErr w:type="gramEnd"/>
            <w:r w:rsidRPr="00874B5D">
              <w:rPr>
                <w:rFonts w:ascii="Arial" w:hAnsi="Arial" w:cs="Arial"/>
              </w:rPr>
              <w:t xml:space="preserve"> dříví listnaté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 w:rsidRPr="00874B5D">
              <w:rPr>
                <w:rFonts w:ascii="Arial" w:hAnsi="Arial" w:cs="Arial"/>
              </w:rPr>
              <w:t>23,518408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F7D" w:rsidRPr="00874B5D" w:rsidRDefault="00C21F7D" w:rsidP="00075F0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14,063602</w:t>
            </w:r>
          </w:p>
        </w:tc>
      </w:tr>
    </w:tbl>
    <w:p w:rsidR="00C21F7D" w:rsidRPr="00874B5D" w:rsidRDefault="00C21F7D" w:rsidP="00C21F7D">
      <w:pPr>
        <w:jc w:val="both"/>
        <w:rPr>
          <w:rFonts w:ascii="Arial" w:hAnsi="Arial" w:cs="Arial"/>
        </w:rPr>
      </w:pPr>
    </w:p>
    <w:p w:rsidR="00C21F7D" w:rsidRPr="00874B5D" w:rsidRDefault="00C21F7D" w:rsidP="00C21F7D">
      <w:pPr>
        <w:rPr>
          <w:rFonts w:ascii="Arial" w:hAnsi="Arial" w:cs="Arial"/>
        </w:rPr>
      </w:pPr>
    </w:p>
    <w:p w:rsidR="00C21F7D" w:rsidRPr="00874B5D" w:rsidRDefault="00C21F7D" w:rsidP="00C21F7D">
      <w:pPr>
        <w:jc w:val="both"/>
        <w:rPr>
          <w:rFonts w:ascii="Arial" w:hAnsi="Arial" w:cs="Arial"/>
          <w:sz w:val="16"/>
          <w:szCs w:val="16"/>
        </w:rPr>
      </w:pPr>
      <w:r w:rsidRPr="00874B5D">
        <w:rPr>
          <w:rFonts w:ascii="Arial" w:hAnsi="Arial" w:cs="Arial"/>
          <w:vertAlign w:val="superscript"/>
        </w:rPr>
        <w:t>1)</w:t>
      </w:r>
      <w:r w:rsidRPr="00874B5D">
        <w:rPr>
          <w:rFonts w:ascii="Arial" w:hAnsi="Arial" w:cs="Arial"/>
        </w:rPr>
        <w:t xml:space="preserve"> </w:t>
      </w:r>
      <w:r w:rsidRPr="00874B5D">
        <w:rPr>
          <w:rFonts w:ascii="Arial" w:hAnsi="Arial" w:cs="Arial"/>
          <w:sz w:val="16"/>
          <w:szCs w:val="16"/>
        </w:rPr>
        <w:t xml:space="preserve">Indexní základ - období, ve kterém se publikovaný bazický index rovná 100. Publikovaný bazický index nemusí být vždy roven primárnímu bazickému indexu, ale může být z něho odvozen. </w:t>
      </w:r>
    </w:p>
    <w:p w:rsidR="00C21F7D" w:rsidRDefault="00C21F7D" w:rsidP="00C21F7D">
      <w:pPr>
        <w:jc w:val="both"/>
        <w:rPr>
          <w:rFonts w:ascii="Arial" w:hAnsi="Arial" w:cs="Arial"/>
          <w:sz w:val="16"/>
          <w:szCs w:val="16"/>
        </w:rPr>
      </w:pPr>
      <w:r w:rsidRPr="00874B5D">
        <w:rPr>
          <w:rFonts w:ascii="Arial" w:hAnsi="Arial" w:cs="Arial"/>
          <w:vertAlign w:val="superscript"/>
        </w:rPr>
        <w:t>2)</w:t>
      </w:r>
      <w:r w:rsidRPr="00874B5D">
        <w:rPr>
          <w:rFonts w:ascii="Arial" w:hAnsi="Arial" w:cs="Arial"/>
          <w:sz w:val="16"/>
          <w:szCs w:val="16"/>
        </w:rPr>
        <w:t xml:space="preserve"> Cenový základ - cena tzv. bazického období (bazická cena), ke které se poměřují ceny běžného období pro výpočet primárního bazického indexu</w:t>
      </w:r>
    </w:p>
    <w:p w:rsidR="00C21F7D" w:rsidRDefault="00C21F7D" w:rsidP="00EE70D7">
      <w:pPr>
        <w:jc w:val="both"/>
        <w:rPr>
          <w:rFonts w:ascii="Arial" w:hAnsi="Arial" w:cs="Arial"/>
        </w:rPr>
      </w:pPr>
    </w:p>
    <w:p w:rsidR="00C21F7D" w:rsidRDefault="00C21F7D" w:rsidP="00BC6ECD">
      <w:pPr>
        <w:ind w:firstLine="708"/>
        <w:jc w:val="both"/>
        <w:rPr>
          <w:rFonts w:ascii="Arial" w:hAnsi="Arial" w:cs="Arial"/>
        </w:rPr>
      </w:pPr>
    </w:p>
    <w:p w:rsidR="00BC6ECD" w:rsidRDefault="00BC6ECD" w:rsidP="00BC6ECD">
      <w:pPr>
        <w:ind w:firstLine="708"/>
        <w:jc w:val="both"/>
        <w:rPr>
          <w:rFonts w:ascii="Arial" w:hAnsi="Arial" w:cs="Arial"/>
        </w:rPr>
      </w:pPr>
    </w:p>
    <w:p w:rsidR="00BC6ECD" w:rsidRPr="00BC6ECD" w:rsidRDefault="00BC6ECD" w:rsidP="00BC6ECD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C6ECD">
        <w:rPr>
          <w:rFonts w:ascii="Arial" w:hAnsi="Arial" w:cs="Arial"/>
          <w:b/>
          <w:sz w:val="24"/>
          <w:szCs w:val="24"/>
        </w:rPr>
        <w:t>ODVOZENÉ INDEXY</w:t>
      </w:r>
    </w:p>
    <w:p w:rsidR="00BC6ECD" w:rsidRDefault="00BC6ECD" w:rsidP="00BC6ECD">
      <w:pPr>
        <w:ind w:firstLine="708"/>
        <w:jc w:val="both"/>
        <w:rPr>
          <w:rFonts w:ascii="Arial" w:hAnsi="Arial" w:cs="Arial"/>
        </w:rPr>
      </w:pPr>
    </w:p>
    <w:p w:rsidR="00BC6ECD" w:rsidRDefault="00BC6ECD" w:rsidP="00BC6ECD">
      <w:pPr>
        <w:ind w:firstLine="708"/>
        <w:jc w:val="both"/>
        <w:rPr>
          <w:rFonts w:ascii="Arial" w:hAnsi="Arial" w:cs="Arial"/>
        </w:rPr>
      </w:pPr>
      <w:r w:rsidRPr="00BC6ECD">
        <w:rPr>
          <w:rFonts w:ascii="Arial" w:hAnsi="Arial" w:cs="Arial"/>
        </w:rPr>
        <w:t xml:space="preserve">Kromě bazického indexu, kde je základním indexním obdobím </w:t>
      </w:r>
      <w:r>
        <w:rPr>
          <w:rFonts w:ascii="Arial" w:hAnsi="Arial" w:cs="Arial"/>
        </w:rPr>
        <w:t>4Q2024=100</w:t>
      </w:r>
      <w:r w:rsidRPr="00BC6ECD">
        <w:rPr>
          <w:rFonts w:ascii="Arial" w:hAnsi="Arial" w:cs="Arial"/>
        </w:rPr>
        <w:t>, jsou publikovány i indexy, které se vztahují k jiným časovým obdobím.</w:t>
      </w:r>
    </w:p>
    <w:p w:rsidR="00EE70D7" w:rsidRDefault="00EE70D7" w:rsidP="00BC6ECD">
      <w:pPr>
        <w:ind w:firstLine="708"/>
        <w:jc w:val="both"/>
        <w:rPr>
          <w:rFonts w:ascii="Arial" w:hAnsi="Arial" w:cs="Arial"/>
        </w:rPr>
      </w:pPr>
    </w:p>
    <w:p w:rsidR="00EE70D7" w:rsidRDefault="00EE70D7" w:rsidP="00EE70D7">
      <w:pPr>
        <w:ind w:firstLine="708"/>
        <w:jc w:val="both"/>
        <w:rPr>
          <w:rFonts w:ascii="Arial" w:hAnsi="Arial" w:cs="Arial"/>
        </w:rPr>
      </w:pPr>
      <w:r w:rsidRPr="00BC6ECD">
        <w:rPr>
          <w:rFonts w:ascii="Arial" w:hAnsi="Arial" w:cs="Arial"/>
        </w:rPr>
        <w:t>Od 1. čtvrtletí 2025 jsou bazické (základní) indexy cen surového dříví počí</w:t>
      </w:r>
      <w:r>
        <w:rPr>
          <w:rFonts w:ascii="Arial" w:hAnsi="Arial" w:cs="Arial"/>
        </w:rPr>
        <w:t xml:space="preserve">tány k novému cenovému základu </w:t>
      </w:r>
      <w:r w:rsidRPr="00BC6ECD">
        <w:rPr>
          <w:rFonts w:ascii="Arial" w:hAnsi="Arial" w:cs="Arial"/>
        </w:rPr>
        <w:t>4Q 2024 = 100 na nových vahách, založených na struktuře tržeb roku 2022-2024. Nově vypočtené bazické indexy</w:t>
      </w:r>
      <w:r w:rsidR="00C45E4C">
        <w:rPr>
          <w:rFonts w:ascii="Arial" w:hAnsi="Arial" w:cs="Arial"/>
        </w:rPr>
        <w:t>, které jsou nutné pro kontinuitu</w:t>
      </w:r>
      <w:r>
        <w:rPr>
          <w:rFonts w:ascii="Arial" w:hAnsi="Arial" w:cs="Arial"/>
        </w:rPr>
        <w:t xml:space="preserve"> odvozených indexů,</w:t>
      </w:r>
      <w:r w:rsidRPr="00BC6ECD">
        <w:rPr>
          <w:rFonts w:ascii="Arial" w:hAnsi="Arial" w:cs="Arial"/>
        </w:rPr>
        <w:t xml:space="preserve"> jsou do minulosti přepočteny pomocí indexů cen předchozího období. Tím je zachována kontinuita časových řad odvozených indexů. Dosud publikované indexy nebyly revidovány.</w:t>
      </w:r>
    </w:p>
    <w:p w:rsidR="00EE70D7" w:rsidRPr="00BC6ECD" w:rsidRDefault="00EE70D7" w:rsidP="00BC6ECD">
      <w:pPr>
        <w:ind w:firstLine="708"/>
        <w:jc w:val="both"/>
        <w:rPr>
          <w:rFonts w:ascii="Arial" w:hAnsi="Arial" w:cs="Arial"/>
        </w:rPr>
      </w:pPr>
    </w:p>
    <w:p w:rsidR="00BC6ECD" w:rsidRPr="00BC6ECD" w:rsidRDefault="00BC6ECD" w:rsidP="00471138">
      <w:pPr>
        <w:ind w:firstLine="708"/>
        <w:jc w:val="both"/>
        <w:rPr>
          <w:rFonts w:ascii="Arial" w:hAnsi="Arial" w:cs="Arial"/>
        </w:rPr>
      </w:pPr>
    </w:p>
    <w:p w:rsidR="00442085" w:rsidRPr="00442085" w:rsidRDefault="00442085" w:rsidP="00442085">
      <w:pPr>
        <w:ind w:firstLine="708"/>
        <w:rPr>
          <w:rFonts w:ascii="Arial" w:hAnsi="Arial" w:cs="Arial"/>
        </w:rPr>
      </w:pPr>
      <w:r w:rsidRPr="00C21F7D">
        <w:rPr>
          <w:rFonts w:ascii="Arial" w:hAnsi="Arial" w:cs="Arial"/>
          <w:b/>
        </w:rPr>
        <w:t>Index předchozího období</w:t>
      </w:r>
      <w:r w:rsidRPr="00442085">
        <w:rPr>
          <w:rFonts w:ascii="Arial" w:hAnsi="Arial" w:cs="Arial"/>
        </w:rPr>
        <w:t xml:space="preserve"> = 100 (IP), vyjadřuje změnu cenové hladiny sledovaného čtvrtletí proti cenové hladině předchozího čtvrtletí.</w:t>
      </w:r>
    </w:p>
    <w:p w:rsidR="00442085" w:rsidRPr="000453A3" w:rsidRDefault="00442085" w:rsidP="00442085">
      <w:pPr>
        <w:rPr>
          <w:rFonts w:ascii="Courier New" w:hAnsi="Courier New" w:cs="Courier New"/>
          <w:sz w:val="24"/>
          <w:szCs w:val="24"/>
        </w:rPr>
      </w:pPr>
    </w:p>
    <w:p w:rsidR="00442085" w:rsidRPr="00D00775" w:rsidRDefault="00D00775" w:rsidP="00442085">
      <w:pPr>
        <w:rPr>
          <w:rFonts w:ascii="Courier New" w:hAnsi="Courier New" w:cs="Courier New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Courier New"/>
              <w:sz w:val="24"/>
              <w:szCs w:val="24"/>
            </w:rPr>
            <m:t>IP=</m:t>
          </m:r>
          <m:f>
            <m:fPr>
              <m:ctrlPr>
                <w:rPr>
                  <w:rFonts w:ascii="Cambria Math" w:hAnsi="Cambria Math" w:cs="Courier New"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q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q-1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Courier New"/>
              <w:sz w:val="24"/>
              <w:szCs w:val="24"/>
            </w:rPr>
            <m:t>*100</m:t>
          </m:r>
        </m:oMath>
      </m:oMathPara>
    </w:p>
    <w:p w:rsidR="00442085" w:rsidRDefault="00442085" w:rsidP="00471138">
      <w:pPr>
        <w:ind w:firstLine="708"/>
        <w:jc w:val="both"/>
        <w:rPr>
          <w:rFonts w:ascii="Arial" w:hAnsi="Arial" w:cs="Arial"/>
        </w:rPr>
      </w:pPr>
    </w:p>
    <w:p w:rsidR="00C21F7D" w:rsidRDefault="00C21F7D" w:rsidP="00EE70D7">
      <w:pPr>
        <w:rPr>
          <w:rFonts w:ascii="Arial" w:hAnsi="Arial" w:cs="Arial"/>
        </w:rPr>
      </w:pPr>
    </w:p>
    <w:p w:rsidR="00C21F7D" w:rsidRDefault="00C21F7D" w:rsidP="00C21F7D">
      <w:pPr>
        <w:ind w:firstLine="708"/>
        <w:rPr>
          <w:rFonts w:ascii="Arial" w:hAnsi="Arial" w:cs="Arial"/>
        </w:rPr>
      </w:pPr>
    </w:p>
    <w:p w:rsidR="00C21F7D" w:rsidRDefault="00C21F7D" w:rsidP="00C21F7D">
      <w:pPr>
        <w:ind w:firstLine="708"/>
        <w:rPr>
          <w:rFonts w:ascii="Arial" w:hAnsi="Arial" w:cs="Arial"/>
        </w:rPr>
      </w:pPr>
      <w:r w:rsidRPr="00C21F7D">
        <w:rPr>
          <w:rFonts w:ascii="Arial" w:hAnsi="Arial" w:cs="Arial"/>
          <w:b/>
        </w:rPr>
        <w:t>Index stejného období předchozího roku</w:t>
      </w:r>
      <w:r w:rsidRPr="00C21F7D">
        <w:rPr>
          <w:rFonts w:ascii="Arial" w:hAnsi="Arial" w:cs="Arial"/>
        </w:rPr>
        <w:t xml:space="preserve"> = 100 (IS), vyjadřuje změnu cenové hladiny sledovaného čtvrtletí proti cenové hladině stejného čtvrtletí předcházejícího roku.</w:t>
      </w:r>
    </w:p>
    <w:p w:rsidR="00C21F7D" w:rsidRPr="00D00775" w:rsidRDefault="00C21F7D" w:rsidP="00C21F7D">
      <w:pPr>
        <w:ind w:firstLine="708"/>
        <w:rPr>
          <w:rFonts w:ascii="Arial" w:hAnsi="Arial" w:cs="Arial"/>
        </w:rPr>
      </w:pPr>
    </w:p>
    <w:p w:rsidR="00C21F7D" w:rsidRPr="00D00775" w:rsidRDefault="00D00775" w:rsidP="00C21F7D">
      <w:pPr>
        <w:rPr>
          <w:rFonts w:ascii="Courier New" w:hAnsi="Courier New" w:cs="Courier New"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Courier New"/>
              <w:sz w:val="24"/>
              <w:szCs w:val="24"/>
            </w:rPr>
            <m:t>IS=</m:t>
          </m:r>
          <m:f>
            <m:fPr>
              <m:ctrlPr>
                <w:rPr>
                  <w:rFonts w:ascii="Cambria Math" w:hAnsi="Cambria Math" w:cs="Courier New"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q</m:t>
                  </m:r>
                </m:sub>
              </m:sSub>
            </m:num>
            <m:den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I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q-4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Courier New"/>
              <w:sz w:val="24"/>
              <w:szCs w:val="24"/>
            </w:rPr>
            <m:t>*100</m:t>
          </m:r>
        </m:oMath>
      </m:oMathPara>
    </w:p>
    <w:p w:rsidR="00C21F7D" w:rsidRDefault="00C21F7D" w:rsidP="00C21F7D">
      <w:pPr>
        <w:rPr>
          <w:rFonts w:ascii="Courier New" w:hAnsi="Courier New" w:cs="Courier New"/>
          <w:sz w:val="24"/>
          <w:szCs w:val="24"/>
        </w:rPr>
      </w:pPr>
    </w:p>
    <w:p w:rsidR="00C21F7D" w:rsidRDefault="00C21F7D" w:rsidP="00C21F7D">
      <w:pPr>
        <w:ind w:firstLine="708"/>
        <w:rPr>
          <w:rFonts w:ascii="Arial" w:hAnsi="Arial" w:cs="Arial"/>
          <w:b/>
        </w:rPr>
      </w:pPr>
    </w:p>
    <w:p w:rsidR="00C21F7D" w:rsidRPr="00C21F7D" w:rsidRDefault="00C21F7D" w:rsidP="00C21F7D">
      <w:pPr>
        <w:ind w:firstLine="708"/>
        <w:rPr>
          <w:rFonts w:ascii="Arial" w:hAnsi="Arial" w:cs="Arial"/>
          <w:b/>
        </w:rPr>
      </w:pPr>
      <w:r w:rsidRPr="00C21F7D">
        <w:rPr>
          <w:rFonts w:ascii="Arial" w:hAnsi="Arial" w:cs="Arial"/>
          <w:b/>
        </w:rPr>
        <w:t>Index klouzavých průměrů</w:t>
      </w:r>
    </w:p>
    <w:p w:rsidR="00C21F7D" w:rsidRDefault="00C21F7D" w:rsidP="00C21F7D">
      <w:pPr>
        <w:ind w:firstLine="708"/>
        <w:rPr>
          <w:rFonts w:ascii="Arial" w:hAnsi="Arial" w:cs="Arial"/>
        </w:rPr>
      </w:pPr>
    </w:p>
    <w:p w:rsidR="00C21F7D" w:rsidRPr="00C21F7D" w:rsidRDefault="00C21F7D" w:rsidP="00C21F7D">
      <w:pPr>
        <w:ind w:firstLine="708"/>
        <w:rPr>
          <w:rFonts w:ascii="Arial" w:hAnsi="Arial" w:cs="Arial"/>
        </w:rPr>
      </w:pPr>
      <w:r w:rsidRPr="00C21F7D">
        <w:rPr>
          <w:rFonts w:ascii="Arial" w:hAnsi="Arial" w:cs="Arial"/>
        </w:rPr>
        <w:t>Podíl klouzavých průměrů (IK) je standardně počítán v cenové statistice jako podíl součtu bazických indexů za poslední čtyři čtvrtletí a součtu bazických indexů předchozích čtyř čtvrtletí.</w:t>
      </w:r>
    </w:p>
    <w:p w:rsidR="00C21F7D" w:rsidRPr="00C21F7D" w:rsidRDefault="00C21F7D" w:rsidP="00C21F7D">
      <w:pPr>
        <w:rPr>
          <w:rFonts w:ascii="Arial" w:hAnsi="Arial" w:cs="Arial"/>
        </w:rPr>
      </w:pPr>
    </w:p>
    <w:p w:rsidR="00C21F7D" w:rsidRPr="00D00775" w:rsidRDefault="00D00775" w:rsidP="00C21F7D">
      <w:pPr>
        <w:rPr>
          <w:rFonts w:ascii="Arial" w:hAnsi="Arial" w:cs="Arial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Arial"/>
              <w:sz w:val="24"/>
              <w:szCs w:val="24"/>
            </w:rPr>
            <w:lastRenderedPageBreak/>
            <m:t xml:space="preserve">IK= </m:t>
          </m:r>
          <m:f>
            <m:fPr>
              <m:ctrlPr>
                <w:rPr>
                  <w:rFonts w:ascii="Cambria Math" w:hAnsi="Cambria Math" w:cs="Arial"/>
                  <w:b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b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i=q-3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q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IB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b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i=q-7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q-4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b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IB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q</m:t>
                      </m:r>
                    </m:sub>
                  </m:sSub>
                </m:e>
              </m:nary>
            </m:den>
          </m:f>
          <m:r>
            <m:rPr>
              <m:sty m:val="b"/>
            </m:rPr>
            <w:rPr>
              <w:rFonts w:ascii="Cambria Math" w:hAnsi="Cambria Math" w:cs="Arial"/>
              <w:sz w:val="24"/>
              <w:szCs w:val="24"/>
            </w:rPr>
            <m:t>*100</m:t>
          </m:r>
        </m:oMath>
      </m:oMathPara>
    </w:p>
    <w:p w:rsidR="00C21F7D" w:rsidRDefault="00C21F7D" w:rsidP="00C21F7D">
      <w:pPr>
        <w:rPr>
          <w:rFonts w:ascii="Arial" w:hAnsi="Arial" w:cs="Arial"/>
        </w:rPr>
      </w:pPr>
    </w:p>
    <w:p w:rsidR="00D00775" w:rsidRPr="00C21F7D" w:rsidRDefault="00D00775" w:rsidP="00C21F7D">
      <w:pPr>
        <w:rPr>
          <w:rFonts w:ascii="Arial" w:hAnsi="Arial" w:cs="Arial"/>
        </w:rPr>
      </w:pPr>
    </w:p>
    <w:p w:rsidR="00C21F7D" w:rsidRPr="00C21F7D" w:rsidRDefault="00963A48" w:rsidP="00C21F7D">
      <w:pPr>
        <w:rPr>
          <w:rFonts w:ascii="Arial" w:hAnsi="Arial" w:cs="Arial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</w:rPr>
            </m:ctrlPr>
          </m:naryPr>
          <m:sub>
            <m:r>
              <w:rPr>
                <w:rFonts w:ascii="Cambria Math" w:hAnsi="Cambria Math" w:cs="Arial"/>
              </w:rPr>
              <m:t>i=q-3</m:t>
            </m:r>
          </m:sub>
          <m:sup>
            <m:r>
              <w:rPr>
                <w:rFonts w:ascii="Cambria Math" w:hAnsi="Cambria Math" w:cs="Arial"/>
              </w:rPr>
              <m:t>q</m:t>
            </m:r>
          </m:sup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IB</m:t>
                </m:r>
              </m:e>
              <m:sub>
                <m:r>
                  <w:rPr>
                    <w:rFonts w:ascii="Cambria Math" w:hAnsi="Cambria Math" w:cs="Arial"/>
                  </w:rPr>
                  <m:t>q</m:t>
                </m:r>
              </m:sub>
            </m:sSub>
          </m:e>
        </m:nary>
        <m:r>
          <w:rPr>
            <w:rFonts w:ascii="Cambria Math" w:hAnsi="Cambria Math" w:cs="Arial"/>
          </w:rPr>
          <m:t xml:space="preserve">= </m:t>
        </m:r>
      </m:oMath>
      <w:r w:rsidR="00C21F7D" w:rsidRPr="00C21F7D">
        <w:rPr>
          <w:rFonts w:ascii="Arial" w:hAnsi="Arial" w:cs="Arial"/>
        </w:rPr>
        <w:t>suma čtyř čtvrtletních bazických indexů (počítáno zpět od sledovaného čtvrtletí)</w:t>
      </w:r>
      <w:r w:rsidR="00C21F7D" w:rsidRPr="00C21F7D">
        <w:rPr>
          <w:rFonts w:ascii="Arial" w:hAnsi="Arial" w:cs="Arial"/>
        </w:rPr>
        <w:br/>
        <w:t xml:space="preserve">   </w:t>
      </w:r>
    </w:p>
    <w:p w:rsidR="00C21F7D" w:rsidRDefault="00963A48" w:rsidP="00C21F7D">
      <w:pPr>
        <w:rPr>
          <w:rFonts w:ascii="Arial" w:hAnsi="Arial" w:cs="Arial"/>
        </w:rPr>
      </w:pPr>
      <m:oMath>
        <m:nary>
          <m:naryPr>
            <m:chr m:val="∑"/>
            <m:limLoc m:val="undOvr"/>
            <m:ctrlPr>
              <w:rPr>
                <w:rFonts w:ascii="Cambria Math" w:hAnsi="Cambria Math" w:cs="Arial"/>
              </w:rPr>
            </m:ctrlPr>
          </m:naryPr>
          <m:sub>
            <m:r>
              <w:rPr>
                <w:rFonts w:ascii="Cambria Math" w:hAnsi="Cambria Math" w:cs="Arial"/>
              </w:rPr>
              <m:t>i=q-7</m:t>
            </m:r>
          </m:sub>
          <m:sup>
            <m:r>
              <w:rPr>
                <w:rFonts w:ascii="Cambria Math" w:hAnsi="Cambria Math" w:cs="Arial"/>
              </w:rPr>
              <m:t>q-4</m:t>
            </m:r>
          </m:sup>
          <m:e>
            <m:sSub>
              <m:sSubPr>
                <m:ctrlPr>
                  <w:rPr>
                    <w:rFonts w:ascii="Cambria Math" w:hAnsi="Cambria Math" w:cs="Arial"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IB</m:t>
                </m:r>
              </m:e>
              <m:sub>
                <m:r>
                  <w:rPr>
                    <w:rFonts w:ascii="Cambria Math" w:hAnsi="Cambria Math" w:cs="Arial"/>
                  </w:rPr>
                  <m:t>q</m:t>
                </m:r>
              </m:sub>
            </m:sSub>
          </m:e>
        </m:nary>
      </m:oMath>
      <w:r w:rsidR="00C21F7D" w:rsidRPr="00C21F7D">
        <w:rPr>
          <w:rFonts w:ascii="Arial" w:hAnsi="Arial" w:cs="Arial"/>
        </w:rPr>
        <w:t xml:space="preserve"> = suma čtyř čtvrtletních bazických indexů (počítáno zpět od stejného čtvrtletí v předcházejícím roce)</w:t>
      </w:r>
    </w:p>
    <w:p w:rsidR="00C21F7D" w:rsidRDefault="00C21F7D" w:rsidP="00C21F7D">
      <w:pPr>
        <w:rPr>
          <w:rFonts w:ascii="Arial" w:hAnsi="Arial" w:cs="Arial"/>
        </w:rPr>
      </w:pPr>
    </w:p>
    <w:p w:rsidR="00C21F7D" w:rsidRDefault="00C21F7D" w:rsidP="00C21F7D">
      <w:pPr>
        <w:ind w:firstLine="708"/>
        <w:rPr>
          <w:rFonts w:ascii="Arial" w:hAnsi="Arial" w:cs="Arial"/>
        </w:rPr>
      </w:pPr>
      <w:r w:rsidRPr="00C21F7D">
        <w:rPr>
          <w:rFonts w:ascii="Arial" w:hAnsi="Arial" w:cs="Arial"/>
        </w:rPr>
        <w:t xml:space="preserve">V cenové statistice surového dříví počítáme </w:t>
      </w:r>
      <w:r w:rsidRPr="00C21F7D">
        <w:rPr>
          <w:rFonts w:ascii="Arial" w:hAnsi="Arial" w:cs="Arial"/>
          <w:b/>
          <w:u w:val="single"/>
        </w:rPr>
        <w:t>mezičtvrtletní podíl klouzavých průměrů</w:t>
      </w:r>
      <w:r w:rsidRPr="00C21F7D">
        <w:rPr>
          <w:rFonts w:ascii="Arial" w:hAnsi="Arial" w:cs="Arial"/>
        </w:rPr>
        <w:t xml:space="preserve"> jako podíl součtu bazických indexů za čtyři po sobě jdoucí čtvrtletí a součtu bazických indexů za čtyři čtvrtletí, která jsou o jedno čtvrtletí posunuta v čase (viz vzorec). </w:t>
      </w:r>
    </w:p>
    <w:p w:rsidR="00C21F7D" w:rsidRDefault="00C21F7D" w:rsidP="00C21F7D">
      <w:pPr>
        <w:ind w:firstLine="708"/>
        <w:rPr>
          <w:rFonts w:ascii="Arial" w:hAnsi="Arial" w:cs="Arial"/>
        </w:rPr>
      </w:pPr>
    </w:p>
    <w:p w:rsidR="00C21F7D" w:rsidRPr="00C21F7D" w:rsidRDefault="00963A48" w:rsidP="00C21F7D">
      <w:pPr>
        <w:ind w:firstLine="708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Courier New"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IK</m:t>
              </m:r>
            </m:e>
            <m:sub>
              <m:r>
                <m:rPr>
                  <m:sty m:val="b"/>
                </m:rPr>
                <w:rPr>
                  <w:rFonts w:ascii="Cambria Math" w:hAnsi="Cambria Math" w:cs="Courier New"/>
                  <w:sz w:val="24"/>
                  <w:szCs w:val="24"/>
                </w:rPr>
                <m:t>q</m:t>
              </m:r>
            </m:sub>
          </m:sSub>
          <m:r>
            <m:rPr>
              <m:sty m:val="b"/>
            </m:rPr>
            <w:rPr>
              <w:rFonts w:ascii="Cambria Math" w:hAnsi="Cambria Math" w:cs="Courier New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Courier New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q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(q-1)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(q-2)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(q-3)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(q-1)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(q-2)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(q-3)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Courier New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ourier New"/>
                      <w:sz w:val="24"/>
                      <w:szCs w:val="24"/>
                    </w:rPr>
                    <m:t>(q-4)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ourier New"/>
                  <w:sz w:val="24"/>
                  <w:szCs w:val="24"/>
                </w:rPr>
                <m:t>)</m:t>
              </m:r>
            </m:den>
          </m:f>
        </m:oMath>
      </m:oMathPara>
    </w:p>
    <w:p w:rsidR="00C21F7D" w:rsidRPr="00C21F7D" w:rsidRDefault="00C21F7D" w:rsidP="00C21F7D">
      <w:pPr>
        <w:rPr>
          <w:rFonts w:ascii="Arial" w:hAnsi="Arial" w:cs="Arial"/>
        </w:rPr>
      </w:pPr>
    </w:p>
    <w:p w:rsidR="00C21F7D" w:rsidRPr="00C21F7D" w:rsidRDefault="00C21F7D" w:rsidP="00C21F7D">
      <w:pPr>
        <w:ind w:firstLine="708"/>
        <w:rPr>
          <w:rFonts w:ascii="Arial" w:hAnsi="Arial" w:cs="Arial"/>
        </w:rPr>
      </w:pPr>
    </w:p>
    <w:p w:rsidR="00442085" w:rsidRPr="00790813" w:rsidRDefault="00442085" w:rsidP="00442085">
      <w:pPr>
        <w:autoSpaceDE w:val="0"/>
        <w:autoSpaceDN w:val="0"/>
        <w:adjustRightInd w:val="0"/>
        <w:spacing w:line="220" w:lineRule="atLeast"/>
        <w:outlineLvl w:val="0"/>
        <w:rPr>
          <w:rFonts w:ascii="Arial" w:hAnsi="Arial" w:cs="Arial"/>
          <w:b/>
        </w:rPr>
      </w:pPr>
    </w:p>
    <w:p w:rsidR="00C21F7D" w:rsidRPr="00C21F7D" w:rsidRDefault="00C21F7D" w:rsidP="00C21F7D">
      <w:pPr>
        <w:autoSpaceDE w:val="0"/>
        <w:autoSpaceDN w:val="0"/>
        <w:ind w:left="708" w:hanging="70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IK</w:t>
      </w:r>
      <w:r w:rsidRPr="00C21F7D">
        <w:rPr>
          <w:rFonts w:ascii="Arial" w:hAnsi="Arial" w:cs="Arial"/>
          <w:vertAlign w:val="subscript"/>
        </w:rPr>
        <w:t>q</w:t>
      </w:r>
      <w:proofErr w:type="spellEnd"/>
      <w:r w:rsidRPr="00C21F7D">
        <w:rPr>
          <w:rFonts w:ascii="Arial" w:hAnsi="Arial" w:cs="Arial"/>
        </w:rPr>
        <w:t xml:space="preserve">…mezičtvrtletní podíl klouzavých průměrů bazických indexů </w:t>
      </w:r>
    </w:p>
    <w:p w:rsidR="00C21F7D" w:rsidRPr="00C21F7D" w:rsidRDefault="00C21F7D" w:rsidP="00C21F7D">
      <w:pPr>
        <w:rPr>
          <w:rFonts w:ascii="Arial" w:hAnsi="Arial" w:cs="Arial"/>
        </w:rPr>
      </w:pPr>
    </w:p>
    <w:p w:rsidR="00C21F7D" w:rsidRPr="00C21F7D" w:rsidRDefault="00C21F7D" w:rsidP="00C21F7D">
      <w:pPr>
        <w:autoSpaceDE w:val="0"/>
        <w:autoSpaceDN w:val="0"/>
        <w:ind w:left="708" w:hanging="70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IB</w:t>
      </w:r>
      <w:r w:rsidRPr="00C21F7D">
        <w:rPr>
          <w:rFonts w:ascii="Arial" w:hAnsi="Arial" w:cs="Arial"/>
          <w:vertAlign w:val="subscript"/>
        </w:rPr>
        <w:t>q</w:t>
      </w:r>
      <w:proofErr w:type="spellEnd"/>
      <w:r w:rsidRPr="00C21F7D">
        <w:rPr>
          <w:rFonts w:ascii="Arial" w:hAnsi="Arial" w:cs="Arial"/>
        </w:rPr>
        <w:t>…bazický index sledovaného čtvrtletí</w:t>
      </w:r>
    </w:p>
    <w:p w:rsidR="00C21F7D" w:rsidRPr="00C21F7D" w:rsidRDefault="00C21F7D" w:rsidP="00C21F7D">
      <w:pPr>
        <w:autoSpaceDE w:val="0"/>
        <w:autoSpaceDN w:val="0"/>
        <w:ind w:left="708" w:hanging="705"/>
        <w:jc w:val="both"/>
        <w:rPr>
          <w:rFonts w:ascii="Arial" w:hAnsi="Arial" w:cs="Arial"/>
        </w:rPr>
      </w:pPr>
    </w:p>
    <w:p w:rsidR="00C21F7D" w:rsidRPr="00C21F7D" w:rsidRDefault="00C21F7D" w:rsidP="00C21F7D">
      <w:pPr>
        <w:autoSpaceDE w:val="0"/>
        <w:autoSpaceDN w:val="0"/>
        <w:ind w:left="708" w:hanging="705"/>
        <w:jc w:val="both"/>
        <w:rPr>
          <w:rFonts w:ascii="Arial" w:hAnsi="Arial" w:cs="Arial"/>
        </w:rPr>
      </w:pPr>
      <w:proofErr w:type="gramStart"/>
      <w:r w:rsidRPr="00C21F7D">
        <w:rPr>
          <w:rFonts w:ascii="Arial" w:hAnsi="Arial" w:cs="Arial"/>
        </w:rPr>
        <w:t>I</w:t>
      </w:r>
      <w:r>
        <w:rPr>
          <w:rFonts w:ascii="Arial" w:hAnsi="Arial" w:cs="Arial"/>
        </w:rPr>
        <w:t>B</w:t>
      </w:r>
      <w:r w:rsidRPr="00C21F7D">
        <w:rPr>
          <w:rFonts w:ascii="Arial" w:hAnsi="Arial" w:cs="Arial"/>
          <w:vertAlign w:val="subscript"/>
        </w:rPr>
        <w:t>(q-1</w:t>
      </w:r>
      <w:proofErr w:type="gramEnd"/>
      <w:r w:rsidRPr="00C21F7D">
        <w:rPr>
          <w:rFonts w:ascii="Arial" w:hAnsi="Arial" w:cs="Arial"/>
          <w:vertAlign w:val="subscript"/>
        </w:rPr>
        <w:t>)</w:t>
      </w:r>
      <w:r w:rsidRPr="00C21F7D">
        <w:rPr>
          <w:rFonts w:ascii="Arial" w:hAnsi="Arial" w:cs="Arial"/>
        </w:rPr>
        <w:t xml:space="preserve"> …bazický index předchozího čtvrtletí</w:t>
      </w:r>
    </w:p>
    <w:p w:rsidR="00F46CB9" w:rsidRDefault="00F46CB9" w:rsidP="00EE70D7">
      <w:pPr>
        <w:pStyle w:val="Normlnweb"/>
        <w:outlineLvl w:val="0"/>
        <w:rPr>
          <w:rFonts w:ascii="Arial" w:hAnsi="Arial" w:cs="Arial"/>
        </w:rPr>
      </w:pPr>
    </w:p>
    <w:p w:rsidR="00EE70D7" w:rsidRPr="00EE70D7" w:rsidRDefault="00EE70D7" w:rsidP="00EE70D7">
      <w:pPr>
        <w:pStyle w:val="Normlnweb"/>
        <w:outlineLvl w:val="0"/>
        <w:rPr>
          <w:rFonts w:ascii="Arial" w:hAnsi="Arial" w:cs="Arial"/>
          <w:i/>
          <w:sz w:val="20"/>
          <w:szCs w:val="20"/>
        </w:rPr>
      </w:pPr>
    </w:p>
    <w:p w:rsidR="00874B5D" w:rsidRPr="00874B5D" w:rsidRDefault="00874B5D" w:rsidP="00F46CB9">
      <w:pPr>
        <w:jc w:val="both"/>
        <w:rPr>
          <w:rFonts w:ascii="Arial" w:hAnsi="Arial" w:cs="Arial"/>
          <w:b/>
        </w:rPr>
      </w:pPr>
    </w:p>
    <w:p w:rsidR="00F46CB9" w:rsidRPr="00874B5D" w:rsidRDefault="00F46CB9" w:rsidP="00F46CB9">
      <w:pPr>
        <w:jc w:val="both"/>
        <w:rPr>
          <w:rFonts w:ascii="Arial" w:hAnsi="Arial" w:cs="Arial"/>
          <w:b/>
        </w:rPr>
      </w:pPr>
      <w:r w:rsidRPr="00874B5D">
        <w:rPr>
          <w:rFonts w:ascii="Arial" w:hAnsi="Arial" w:cs="Arial"/>
          <w:b/>
        </w:rPr>
        <w:t xml:space="preserve">LISTNATÉ: </w:t>
      </w:r>
    </w:p>
    <w:p w:rsidR="00F46CB9" w:rsidRPr="00874B5D" w:rsidRDefault="00F46CB9" w:rsidP="00F46CB9">
      <w:pPr>
        <w:jc w:val="both"/>
        <w:rPr>
          <w:rFonts w:ascii="Arial" w:hAnsi="Arial" w:cs="Arial"/>
          <w:b/>
        </w:rPr>
      </w:pPr>
    </w:p>
    <w:p w:rsidR="00F46CB9" w:rsidRPr="00874B5D" w:rsidRDefault="00F46CB9" w:rsidP="00F46CB9">
      <w:pPr>
        <w:jc w:val="both"/>
        <w:rPr>
          <w:rFonts w:ascii="Arial" w:hAnsi="Arial" w:cs="Arial"/>
          <w:b/>
        </w:rPr>
      </w:pPr>
      <w:r w:rsidRPr="00874B5D">
        <w:rPr>
          <w:rFonts w:ascii="Arial" w:hAnsi="Arial" w:cs="Arial"/>
          <w:b/>
        </w:rPr>
        <w:t>Klouzavé průměrné ceny surového dříví pro tuzemsko za ČR (Kč/m</w:t>
      </w:r>
      <w:r w:rsidRPr="00874B5D">
        <w:rPr>
          <w:rFonts w:ascii="Arial" w:hAnsi="Arial" w:cs="Arial"/>
          <w:b/>
          <w:vertAlign w:val="superscript"/>
        </w:rPr>
        <w:t>3</w:t>
      </w:r>
      <w:r w:rsidRPr="00874B5D">
        <w:rPr>
          <w:rFonts w:ascii="Arial" w:hAnsi="Arial" w:cs="Arial"/>
          <w:b/>
        </w:rPr>
        <w:t>)</w:t>
      </w:r>
    </w:p>
    <w:p w:rsidR="00F46CB9" w:rsidRPr="00874B5D" w:rsidRDefault="00F46CB9" w:rsidP="00F46CB9">
      <w:pPr>
        <w:jc w:val="both"/>
        <w:rPr>
          <w:rFonts w:ascii="Arial" w:hAnsi="Arial" w:cs="Arial"/>
          <w:b/>
        </w:rPr>
      </w:pPr>
    </w:p>
    <w:p w:rsidR="00F46CB9" w:rsidRPr="00874B5D" w:rsidRDefault="00F46CB9" w:rsidP="00B702CA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 xml:space="preserve">Od 2. čtvrtletí 2023 byla do publikace zařazena tabulka klouzavých průměrných cen za listnaté sortimenty a publikovány klouzavé průměrné </w:t>
      </w:r>
      <w:r w:rsidR="00683600">
        <w:rPr>
          <w:rFonts w:ascii="Arial" w:hAnsi="Arial" w:cs="Arial"/>
        </w:rPr>
        <w:t>ceny</w:t>
      </w:r>
      <w:r w:rsidRPr="00874B5D">
        <w:rPr>
          <w:rFonts w:ascii="Arial" w:hAnsi="Arial" w:cs="Arial"/>
        </w:rPr>
        <w:t xml:space="preserve"> zpětně od roku 2020.</w:t>
      </w:r>
    </w:p>
    <w:p w:rsidR="00F46CB9" w:rsidRPr="00874B5D" w:rsidRDefault="00F46CB9" w:rsidP="00F46CB9">
      <w:pPr>
        <w:jc w:val="both"/>
        <w:rPr>
          <w:rFonts w:ascii="Arial" w:hAnsi="Arial" w:cs="Arial"/>
        </w:rPr>
      </w:pPr>
    </w:p>
    <w:p w:rsidR="00F46CB9" w:rsidRPr="00874B5D" w:rsidRDefault="00F46CB9" w:rsidP="00B702CA">
      <w:pPr>
        <w:ind w:firstLine="708"/>
        <w:jc w:val="both"/>
        <w:rPr>
          <w:rFonts w:ascii="Arial" w:hAnsi="Arial" w:cs="Arial"/>
        </w:rPr>
      </w:pPr>
      <w:r w:rsidRPr="00874B5D">
        <w:rPr>
          <w:rFonts w:ascii="Arial" w:hAnsi="Arial" w:cs="Arial"/>
        </w:rPr>
        <w:t>Klouzavé průměrné cen</w:t>
      </w:r>
      <w:r w:rsidR="00B702CA">
        <w:rPr>
          <w:rFonts w:ascii="Arial" w:hAnsi="Arial" w:cs="Arial"/>
        </w:rPr>
        <w:t xml:space="preserve">y jsou spočteny jako suma všech </w:t>
      </w:r>
      <w:r w:rsidRPr="00874B5D">
        <w:rPr>
          <w:rFonts w:ascii="Arial" w:hAnsi="Arial" w:cs="Arial"/>
        </w:rPr>
        <w:t>cen za čtyři</w:t>
      </w:r>
      <w:r w:rsidR="00B702CA">
        <w:rPr>
          <w:rFonts w:ascii="Arial" w:hAnsi="Arial" w:cs="Arial"/>
        </w:rPr>
        <w:t>,</w:t>
      </w:r>
      <w:r w:rsidRPr="00874B5D">
        <w:rPr>
          <w:rFonts w:ascii="Arial" w:hAnsi="Arial" w:cs="Arial"/>
        </w:rPr>
        <w:t xml:space="preserve"> po sobě jdoucí čtvrtletí</w:t>
      </w:r>
      <w:r w:rsidR="00B702CA">
        <w:rPr>
          <w:rFonts w:ascii="Arial" w:hAnsi="Arial" w:cs="Arial"/>
        </w:rPr>
        <w:t>,</w:t>
      </w:r>
      <w:r w:rsidRPr="00874B5D">
        <w:rPr>
          <w:rFonts w:ascii="Arial" w:hAnsi="Arial" w:cs="Arial"/>
        </w:rPr>
        <w:t xml:space="preserve"> dělená počtem vykázaných cen za čtyři stejná, po sobě jdoucí čtvrtletí.</w:t>
      </w:r>
    </w:p>
    <w:p w:rsidR="00F46CB9" w:rsidRPr="00874B5D" w:rsidRDefault="00F46CB9" w:rsidP="00F46CB9">
      <w:pPr>
        <w:jc w:val="both"/>
        <w:rPr>
          <w:rFonts w:ascii="Arial" w:hAnsi="Arial" w:cs="Arial"/>
        </w:rPr>
      </w:pPr>
    </w:p>
    <w:p w:rsidR="00F46CB9" w:rsidRPr="003E43DB" w:rsidRDefault="00F46CB9" w:rsidP="00F46CB9">
      <w:pPr>
        <w:pStyle w:val="Odstavecseseznamem"/>
        <w:spacing w:after="120"/>
        <w:ind w:left="0" w:firstLine="708"/>
        <w:jc w:val="both"/>
        <w:rPr>
          <w:rFonts w:ascii="Arial" w:hAnsi="Arial" w:cs="Arial"/>
          <w:color w:val="FF0000"/>
          <w:lang w:eastAsia="en-US"/>
        </w:rPr>
      </w:pPr>
    </w:p>
    <w:p w:rsidR="00F46CB9" w:rsidRPr="003E43DB" w:rsidRDefault="00F46CB9" w:rsidP="00F46CB9">
      <w:pPr>
        <w:pStyle w:val="Odstavecseseznamem"/>
        <w:spacing w:after="120"/>
        <w:ind w:left="0"/>
        <w:jc w:val="both"/>
        <w:rPr>
          <w:rFonts w:ascii="Arial" w:hAnsi="Arial" w:cs="Arial"/>
          <w:b/>
          <w:lang w:eastAsia="en-US"/>
        </w:rPr>
      </w:pPr>
      <w:r w:rsidRPr="003E43DB">
        <w:rPr>
          <w:rFonts w:ascii="Arial" w:hAnsi="Arial" w:cs="Arial"/>
          <w:b/>
          <w:lang w:eastAsia="en-US"/>
        </w:rPr>
        <w:t>Klouzavé průměry bazických indexů</w:t>
      </w:r>
    </w:p>
    <w:p w:rsidR="00F46CB9" w:rsidRPr="00874B5D" w:rsidRDefault="00F46CB9" w:rsidP="00F46CB9">
      <w:pPr>
        <w:pStyle w:val="Odstavecseseznamem"/>
        <w:spacing w:after="120"/>
        <w:ind w:left="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</w:p>
    <w:p w:rsidR="00F46CB9" w:rsidRPr="003E43DB" w:rsidRDefault="00F46CB9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  <w:lang w:eastAsia="en-US"/>
        </w:rPr>
      </w:pPr>
      <w:r w:rsidRPr="003E43DB">
        <w:rPr>
          <w:rFonts w:ascii="Arial" w:hAnsi="Arial" w:cs="Arial"/>
          <w:lang w:eastAsia="en-US"/>
        </w:rPr>
        <w:t>Od 2. čtvrtletí 2023 byla do publikace zařazena tabulka klouzavých průměrů bazických indexů.</w:t>
      </w:r>
    </w:p>
    <w:p w:rsidR="00F46CB9" w:rsidRPr="003E43DB" w:rsidRDefault="00F46CB9" w:rsidP="00F46CB9">
      <w:pPr>
        <w:pStyle w:val="Odstavecseseznamem"/>
        <w:spacing w:after="120"/>
        <w:ind w:left="0"/>
        <w:jc w:val="both"/>
        <w:rPr>
          <w:rFonts w:ascii="Arial" w:hAnsi="Arial" w:cs="Arial"/>
          <w:lang w:eastAsia="en-US"/>
        </w:rPr>
      </w:pPr>
    </w:p>
    <w:p w:rsidR="00F46CB9" w:rsidRPr="003E43DB" w:rsidRDefault="00F46CB9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</w:rPr>
      </w:pPr>
      <w:r w:rsidRPr="003E43DB">
        <w:rPr>
          <w:rFonts w:ascii="Arial" w:hAnsi="Arial" w:cs="Arial"/>
          <w:lang w:eastAsia="en-US"/>
        </w:rPr>
        <w:t>Ho</w:t>
      </w:r>
      <w:r w:rsidRPr="003E43DB">
        <w:rPr>
          <w:rFonts w:ascii="Arial" w:hAnsi="Arial" w:cs="Arial"/>
        </w:rPr>
        <w:t>d</w:t>
      </w:r>
      <w:r w:rsidRPr="003E43DB">
        <w:rPr>
          <w:rFonts w:ascii="Arial" w:hAnsi="Arial" w:cs="Arial"/>
          <w:lang w:eastAsia="en-US"/>
        </w:rPr>
        <w:t xml:space="preserve">noty jsou </w:t>
      </w:r>
      <w:r w:rsidR="00462EFD" w:rsidRPr="003E43DB">
        <w:rPr>
          <w:rFonts w:ascii="Arial" w:hAnsi="Arial" w:cs="Arial"/>
          <w:lang w:eastAsia="en-US"/>
        </w:rPr>
        <w:t>spočteny jako průměr</w:t>
      </w:r>
      <w:r w:rsidRPr="003E43DB">
        <w:rPr>
          <w:rFonts w:ascii="Arial" w:hAnsi="Arial" w:cs="Arial"/>
          <w:lang w:eastAsia="en-US"/>
        </w:rPr>
        <w:t xml:space="preserve"> čtyř po sobě j</w:t>
      </w:r>
      <w:r w:rsidRPr="003E43DB">
        <w:rPr>
          <w:rFonts w:ascii="Arial" w:hAnsi="Arial" w:cs="Arial"/>
        </w:rPr>
        <w:t xml:space="preserve">doucích hodnot bazických indexů. </w:t>
      </w:r>
    </w:p>
    <w:p w:rsidR="00B702CA" w:rsidRDefault="00B702CA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</w:rPr>
      </w:pPr>
    </w:p>
    <w:p w:rsidR="00B702CA" w:rsidRPr="00D00775" w:rsidRDefault="00963A48" w:rsidP="00D00775">
      <w:pPr>
        <w:autoSpaceDE w:val="0"/>
        <w:autoSpaceDN w:val="0"/>
        <w:ind w:left="2835" w:firstLine="705"/>
        <w:jc w:val="both"/>
        <w:rPr>
          <w:rFonts w:ascii="Arial" w:hAnsi="Arial" w:cs="Arial"/>
          <w:b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HAnsi" w:hAnsi="Cambria Math" w:cs="Arial"/>
                  <w:b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IK</m:t>
              </m:r>
            </m:e>
            <m:sub>
              <m:r>
                <m:rPr>
                  <m:sty m:val="b"/>
                </m:rPr>
                <w:rPr>
                  <w:rFonts w:ascii="Cambria Math" w:hAnsi="Cambria Math" w:cs="Arial"/>
                  <w:sz w:val="24"/>
                  <w:szCs w:val="24"/>
                </w:rPr>
                <m:t>IB</m:t>
              </m:r>
            </m:sub>
          </m:sSub>
          <m:r>
            <m:rPr>
              <m:sty m:val="b"/>
            </m:rP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HAnsi" w:hAnsi="Cambria Math" w:cs="Arial"/>
                  <w:b/>
                  <w:sz w:val="24"/>
                  <w:szCs w:val="24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HAnsi" w:hAnsi="Cambria Math" w:cs="Arial"/>
                      <w:b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(IB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q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Arial"/>
                      <w:b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(q-1)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Arial"/>
                      <w:b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(q-2)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eastAsiaTheme="minorHAnsi" w:hAnsi="Cambria Math" w:cs="Arial"/>
                      <w:b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IB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(q-3)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Arial"/>
                  <w:sz w:val="24"/>
                  <w:szCs w:val="24"/>
                </w:rPr>
                <m:t>)</m:t>
              </m:r>
            </m:num>
            <m:den>
              <m:r>
                <m:rPr>
                  <m:sty m:val="bi"/>
                </m:rPr>
                <w:rPr>
                  <w:rFonts w:ascii="Cambria Math" w:eastAsiaTheme="minorHAnsi" w:hAnsi="Cambria Math" w:cs="Arial"/>
                  <w:sz w:val="24"/>
                  <w:szCs w:val="24"/>
                  <w:lang w:eastAsia="en-US"/>
                </w:rPr>
                <m:t>4</m:t>
              </m:r>
            </m:den>
          </m:f>
        </m:oMath>
      </m:oMathPara>
    </w:p>
    <w:p w:rsidR="00B702CA" w:rsidRDefault="00B702CA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B702CA" w:rsidRPr="00874B5D" w:rsidRDefault="00EE70D7" w:rsidP="00B702CA">
      <w:pPr>
        <w:autoSpaceDE w:val="0"/>
        <w:autoSpaceDN w:val="0"/>
        <w:ind w:left="708" w:hanging="70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IK</w:t>
      </w:r>
      <w:r w:rsidR="00B702CA">
        <w:rPr>
          <w:rFonts w:ascii="Arial" w:hAnsi="Arial" w:cs="Arial"/>
          <w:sz w:val="18"/>
          <w:szCs w:val="18"/>
          <w:vertAlign w:val="subscript"/>
        </w:rPr>
        <w:t>IB</w:t>
      </w:r>
      <w:r w:rsidR="00B702CA" w:rsidRPr="00874B5D">
        <w:rPr>
          <w:rFonts w:ascii="Arial" w:hAnsi="Arial" w:cs="Arial"/>
          <w:sz w:val="18"/>
          <w:szCs w:val="18"/>
        </w:rPr>
        <w:t>…</w:t>
      </w:r>
      <w:r w:rsidR="00B702CA">
        <w:rPr>
          <w:rFonts w:ascii="Arial" w:hAnsi="Arial" w:cs="Arial"/>
          <w:sz w:val="18"/>
          <w:szCs w:val="18"/>
        </w:rPr>
        <w:t xml:space="preserve"> klouzavý </w:t>
      </w:r>
      <w:r w:rsidR="00B702CA" w:rsidRPr="00874B5D">
        <w:rPr>
          <w:rFonts w:ascii="Arial" w:hAnsi="Arial" w:cs="Arial"/>
          <w:sz w:val="18"/>
          <w:szCs w:val="18"/>
        </w:rPr>
        <w:t xml:space="preserve">průměr bazických indexů </w:t>
      </w:r>
    </w:p>
    <w:p w:rsidR="00B702CA" w:rsidRPr="00874B5D" w:rsidRDefault="00B702CA" w:rsidP="009D2F7C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</w:p>
    <w:p w:rsidR="00B702CA" w:rsidRPr="00874B5D" w:rsidRDefault="00B702CA" w:rsidP="009D2F7C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proofErr w:type="spellStart"/>
      <w:r w:rsidRPr="00874B5D">
        <w:rPr>
          <w:rFonts w:ascii="Arial" w:hAnsi="Arial" w:cs="Arial"/>
          <w:sz w:val="18"/>
          <w:szCs w:val="18"/>
        </w:rPr>
        <w:t>I</w:t>
      </w:r>
      <w:r w:rsidR="00D00775">
        <w:rPr>
          <w:rFonts w:ascii="Arial" w:hAnsi="Arial" w:cs="Arial"/>
          <w:sz w:val="18"/>
          <w:szCs w:val="18"/>
        </w:rPr>
        <w:t>B</w:t>
      </w:r>
      <w:r w:rsidRPr="00874B5D">
        <w:rPr>
          <w:rFonts w:ascii="Arial" w:hAnsi="Arial" w:cs="Arial"/>
          <w:sz w:val="18"/>
          <w:szCs w:val="18"/>
          <w:vertAlign w:val="subscript"/>
        </w:rPr>
        <w:t>q</w:t>
      </w:r>
      <w:proofErr w:type="spellEnd"/>
      <w:r w:rsidRPr="00874B5D">
        <w:rPr>
          <w:rFonts w:ascii="Arial" w:hAnsi="Arial" w:cs="Arial"/>
          <w:sz w:val="18"/>
          <w:szCs w:val="18"/>
        </w:rPr>
        <w:t>…bazický index sledovaného čtvrtletí</w:t>
      </w:r>
    </w:p>
    <w:p w:rsidR="00B702CA" w:rsidRPr="00874B5D" w:rsidRDefault="00B702CA" w:rsidP="00B702CA">
      <w:pPr>
        <w:autoSpaceDE w:val="0"/>
        <w:autoSpaceDN w:val="0"/>
        <w:ind w:left="708" w:hanging="705"/>
        <w:jc w:val="both"/>
        <w:rPr>
          <w:rFonts w:ascii="Arial" w:hAnsi="Arial" w:cs="Arial"/>
          <w:sz w:val="18"/>
          <w:szCs w:val="18"/>
        </w:rPr>
      </w:pPr>
    </w:p>
    <w:p w:rsidR="00B702CA" w:rsidRPr="00874B5D" w:rsidRDefault="00B702CA" w:rsidP="00B702CA">
      <w:pPr>
        <w:autoSpaceDE w:val="0"/>
        <w:autoSpaceDN w:val="0"/>
        <w:ind w:left="708" w:hanging="705"/>
        <w:jc w:val="both"/>
        <w:rPr>
          <w:rFonts w:ascii="Arial" w:hAnsi="Arial" w:cs="Arial"/>
          <w:sz w:val="18"/>
          <w:szCs w:val="18"/>
        </w:rPr>
      </w:pPr>
      <w:r w:rsidRPr="00874B5D">
        <w:rPr>
          <w:rFonts w:ascii="Arial" w:hAnsi="Arial" w:cs="Arial"/>
          <w:sz w:val="18"/>
          <w:szCs w:val="18"/>
        </w:rPr>
        <w:t>I</w:t>
      </w:r>
      <w:r w:rsidR="00D00775">
        <w:rPr>
          <w:rFonts w:ascii="Arial" w:hAnsi="Arial" w:cs="Arial"/>
          <w:sz w:val="18"/>
          <w:szCs w:val="18"/>
        </w:rPr>
        <w:t>B</w:t>
      </w:r>
      <w:r w:rsidRPr="00874B5D">
        <w:rPr>
          <w:rFonts w:ascii="Arial" w:hAnsi="Arial" w:cs="Arial"/>
          <w:sz w:val="18"/>
          <w:szCs w:val="18"/>
          <w:vertAlign w:val="subscript"/>
        </w:rPr>
        <w:t>(q-1)</w:t>
      </w:r>
      <w:r w:rsidRPr="00874B5D">
        <w:rPr>
          <w:rFonts w:ascii="Arial" w:hAnsi="Arial" w:cs="Arial"/>
          <w:sz w:val="18"/>
          <w:szCs w:val="18"/>
        </w:rPr>
        <w:t xml:space="preserve"> …bazický index předchozího čtvrtletí</w:t>
      </w:r>
    </w:p>
    <w:p w:rsidR="00B702CA" w:rsidRDefault="00B702CA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9D2F7C" w:rsidRPr="005845E2" w:rsidRDefault="009D2F7C" w:rsidP="00B702CA">
      <w:pPr>
        <w:pStyle w:val="Odstavecseseznamem"/>
        <w:spacing w:after="120"/>
        <w:ind w:left="0" w:firstLine="708"/>
        <w:jc w:val="both"/>
        <w:rPr>
          <w:rFonts w:ascii="Arial" w:hAnsi="Arial" w:cs="Arial"/>
          <w:sz w:val="22"/>
          <w:szCs w:val="22"/>
          <w:lang w:eastAsia="en-US"/>
        </w:rPr>
      </w:pPr>
    </w:p>
    <w:p w:rsidR="00F46CB9" w:rsidRPr="00874B5D" w:rsidRDefault="00F46CB9" w:rsidP="006B70C1">
      <w:pPr>
        <w:jc w:val="center"/>
        <w:rPr>
          <w:rFonts w:ascii="Arial" w:hAnsi="Arial" w:cs="Arial"/>
          <w:b/>
          <w:sz w:val="24"/>
          <w:szCs w:val="24"/>
        </w:rPr>
      </w:pPr>
    </w:p>
    <w:p w:rsidR="009D2F7C" w:rsidRPr="00874B5D" w:rsidRDefault="009D2F7C" w:rsidP="0097771D">
      <w:pPr>
        <w:pStyle w:val="Odstavecseseznamem"/>
        <w:ind w:left="1773"/>
        <w:rPr>
          <w:rFonts w:ascii="Arial" w:hAnsi="Arial" w:cs="Arial"/>
        </w:rPr>
      </w:pPr>
    </w:p>
    <w:p w:rsidR="005F6861" w:rsidRPr="00874B5D" w:rsidRDefault="005F6861" w:rsidP="003432D5">
      <w:pPr>
        <w:jc w:val="both"/>
        <w:rPr>
          <w:rFonts w:ascii="Arial" w:hAnsi="Arial" w:cs="Arial"/>
        </w:rPr>
      </w:pPr>
    </w:p>
    <w:p w:rsidR="005F6861" w:rsidRDefault="005F6861" w:rsidP="005F6861">
      <w:pPr>
        <w:pStyle w:val="Zkladntext3"/>
        <w:rPr>
          <w:b/>
        </w:rPr>
      </w:pPr>
    </w:p>
    <w:p w:rsidR="00EE70D7" w:rsidRDefault="00EE70D7" w:rsidP="005F6861">
      <w:pPr>
        <w:pStyle w:val="Zkladntext3"/>
        <w:rPr>
          <w:b/>
        </w:rPr>
      </w:pPr>
    </w:p>
    <w:p w:rsidR="00F46CB9" w:rsidRPr="00874B5D" w:rsidRDefault="00F46CB9" w:rsidP="00EE70D7">
      <w:pPr>
        <w:jc w:val="both"/>
        <w:rPr>
          <w:rFonts w:ascii="Arial" w:hAnsi="Arial" w:cs="Arial"/>
        </w:rPr>
      </w:pPr>
    </w:p>
    <w:p w:rsidR="004C6016" w:rsidRPr="00874B5D" w:rsidRDefault="004C6016" w:rsidP="004C6016">
      <w:pPr>
        <w:autoSpaceDE w:val="0"/>
        <w:autoSpaceDN w:val="0"/>
        <w:ind w:left="708" w:hanging="705"/>
        <w:jc w:val="both"/>
        <w:rPr>
          <w:rFonts w:ascii="Arial" w:hAnsi="Arial" w:cs="Arial"/>
          <w:lang w:eastAsia="en-US"/>
        </w:rPr>
      </w:pPr>
    </w:p>
    <w:p w:rsidR="00F46CB9" w:rsidRPr="00874B5D" w:rsidRDefault="00F46CB9" w:rsidP="00BC6ECD">
      <w:pPr>
        <w:pStyle w:val="Odstavecseseznamem"/>
        <w:spacing w:after="120"/>
        <w:ind w:left="0"/>
        <w:jc w:val="both"/>
        <w:rPr>
          <w:rFonts w:ascii="Arial" w:hAnsi="Arial" w:cs="Arial"/>
        </w:rPr>
      </w:pPr>
    </w:p>
    <w:sectPr w:rsidR="00F46CB9" w:rsidRPr="00874B5D" w:rsidSect="00B702CA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72E1C"/>
    <w:multiLevelType w:val="hybridMultilevel"/>
    <w:tmpl w:val="2DB00DBC"/>
    <w:lvl w:ilvl="0" w:tplc="0E7AC3A6">
      <w:numFmt w:val="bullet"/>
      <w:lvlText w:val="-"/>
      <w:lvlJc w:val="left"/>
      <w:pPr>
        <w:ind w:left="177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1DA6071"/>
    <w:multiLevelType w:val="hybridMultilevel"/>
    <w:tmpl w:val="2B0E1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84874"/>
    <w:multiLevelType w:val="hybridMultilevel"/>
    <w:tmpl w:val="21D088DA"/>
    <w:lvl w:ilvl="0" w:tplc="FAF052F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AA"/>
    <w:rsid w:val="0000130C"/>
    <w:rsid w:val="0003100B"/>
    <w:rsid w:val="000664BE"/>
    <w:rsid w:val="000F3FAF"/>
    <w:rsid w:val="00116D8A"/>
    <w:rsid w:val="0014145E"/>
    <w:rsid w:val="001711DF"/>
    <w:rsid w:val="00241D15"/>
    <w:rsid w:val="00265627"/>
    <w:rsid w:val="002E56F8"/>
    <w:rsid w:val="003079F9"/>
    <w:rsid w:val="00341224"/>
    <w:rsid w:val="003432D5"/>
    <w:rsid w:val="0035527C"/>
    <w:rsid w:val="00356A2E"/>
    <w:rsid w:val="00393F73"/>
    <w:rsid w:val="003E43DB"/>
    <w:rsid w:val="003F43B7"/>
    <w:rsid w:val="00421AD5"/>
    <w:rsid w:val="0044202A"/>
    <w:rsid w:val="00442085"/>
    <w:rsid w:val="00451C86"/>
    <w:rsid w:val="00462EFD"/>
    <w:rsid w:val="00470EA9"/>
    <w:rsid w:val="00471138"/>
    <w:rsid w:val="004931A6"/>
    <w:rsid w:val="00497295"/>
    <w:rsid w:val="004A17CA"/>
    <w:rsid w:val="004A779D"/>
    <w:rsid w:val="004C5CC9"/>
    <w:rsid w:val="004C6016"/>
    <w:rsid w:val="00521EB4"/>
    <w:rsid w:val="005509AA"/>
    <w:rsid w:val="005542F3"/>
    <w:rsid w:val="00571933"/>
    <w:rsid w:val="005845E2"/>
    <w:rsid w:val="00594926"/>
    <w:rsid w:val="005B11C3"/>
    <w:rsid w:val="005E1F6D"/>
    <w:rsid w:val="005F6861"/>
    <w:rsid w:val="006535DA"/>
    <w:rsid w:val="00660142"/>
    <w:rsid w:val="00662204"/>
    <w:rsid w:val="00683600"/>
    <w:rsid w:val="006961DE"/>
    <w:rsid w:val="006A35CD"/>
    <w:rsid w:val="006A3B84"/>
    <w:rsid w:val="006A4C01"/>
    <w:rsid w:val="006B70C1"/>
    <w:rsid w:val="006E049F"/>
    <w:rsid w:val="007454EE"/>
    <w:rsid w:val="00760D9A"/>
    <w:rsid w:val="008039FD"/>
    <w:rsid w:val="008655CC"/>
    <w:rsid w:val="00871F23"/>
    <w:rsid w:val="00874B5D"/>
    <w:rsid w:val="008D78B2"/>
    <w:rsid w:val="008D7FE1"/>
    <w:rsid w:val="00963A48"/>
    <w:rsid w:val="0097104A"/>
    <w:rsid w:val="0097771D"/>
    <w:rsid w:val="009C07A2"/>
    <w:rsid w:val="009C35F6"/>
    <w:rsid w:val="009D2F7C"/>
    <w:rsid w:val="009F2AA8"/>
    <w:rsid w:val="00A07165"/>
    <w:rsid w:val="00A5189D"/>
    <w:rsid w:val="00A621A4"/>
    <w:rsid w:val="00A74E5B"/>
    <w:rsid w:val="00A872FA"/>
    <w:rsid w:val="00AB405E"/>
    <w:rsid w:val="00AE252C"/>
    <w:rsid w:val="00B077CC"/>
    <w:rsid w:val="00B702CA"/>
    <w:rsid w:val="00B8284C"/>
    <w:rsid w:val="00B90749"/>
    <w:rsid w:val="00BA2D8E"/>
    <w:rsid w:val="00BC6ECD"/>
    <w:rsid w:val="00BD2BCA"/>
    <w:rsid w:val="00BF5B17"/>
    <w:rsid w:val="00C21F7D"/>
    <w:rsid w:val="00C3155D"/>
    <w:rsid w:val="00C459B6"/>
    <w:rsid w:val="00C45E4C"/>
    <w:rsid w:val="00C84FAC"/>
    <w:rsid w:val="00CB4A38"/>
    <w:rsid w:val="00CB7159"/>
    <w:rsid w:val="00CE6C0B"/>
    <w:rsid w:val="00D00775"/>
    <w:rsid w:val="00D06B12"/>
    <w:rsid w:val="00D44AA8"/>
    <w:rsid w:val="00D44C07"/>
    <w:rsid w:val="00D44E62"/>
    <w:rsid w:val="00DB58F2"/>
    <w:rsid w:val="00DC1A4B"/>
    <w:rsid w:val="00E0611F"/>
    <w:rsid w:val="00E11E97"/>
    <w:rsid w:val="00E37AFD"/>
    <w:rsid w:val="00E421CA"/>
    <w:rsid w:val="00E44F11"/>
    <w:rsid w:val="00E613EE"/>
    <w:rsid w:val="00EA3BA3"/>
    <w:rsid w:val="00EB304F"/>
    <w:rsid w:val="00EE10A1"/>
    <w:rsid w:val="00EE70D7"/>
    <w:rsid w:val="00F46886"/>
    <w:rsid w:val="00F46CB9"/>
    <w:rsid w:val="00F74498"/>
    <w:rsid w:val="00FC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4085B"/>
  <w15:docId w15:val="{133298BC-6F3A-4171-84A4-DB615DBE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79D"/>
  </w:style>
  <w:style w:type="paragraph" w:styleId="Nadpis1">
    <w:name w:val="heading 1"/>
    <w:basedOn w:val="Normln"/>
    <w:next w:val="Normln"/>
    <w:qFormat/>
    <w:rsid w:val="004A779D"/>
    <w:pPr>
      <w:keepNext/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4A779D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4A779D"/>
    <w:pPr>
      <w:ind w:firstLine="708"/>
      <w:jc w:val="both"/>
    </w:pPr>
  </w:style>
  <w:style w:type="paragraph" w:styleId="Zkladntext2">
    <w:name w:val="Body Text 2"/>
    <w:basedOn w:val="Normln"/>
    <w:semiHidden/>
    <w:rsid w:val="004A779D"/>
    <w:rPr>
      <w:b/>
      <w:bCs/>
      <w:sz w:val="24"/>
    </w:rPr>
  </w:style>
  <w:style w:type="paragraph" w:styleId="Nzev">
    <w:name w:val="Title"/>
    <w:basedOn w:val="Normln"/>
    <w:qFormat/>
    <w:rsid w:val="004A779D"/>
    <w:pPr>
      <w:jc w:val="center"/>
    </w:pPr>
    <w:rPr>
      <w:rFonts w:ascii="Arial CE obyèejné" w:hAnsi="Arial CE obyèejné"/>
      <w:b/>
      <w:sz w:val="22"/>
    </w:rPr>
  </w:style>
  <w:style w:type="paragraph" w:styleId="Zkladntext">
    <w:name w:val="Body Text"/>
    <w:basedOn w:val="Normln"/>
    <w:semiHidden/>
    <w:rsid w:val="004A779D"/>
    <w:pPr>
      <w:jc w:val="both"/>
    </w:pPr>
    <w:rPr>
      <w:sz w:val="24"/>
      <w:szCs w:val="24"/>
    </w:rPr>
  </w:style>
  <w:style w:type="paragraph" w:styleId="Zkladntextodsazen2">
    <w:name w:val="Body Text Indent 2"/>
    <w:basedOn w:val="Normln"/>
    <w:semiHidden/>
    <w:rsid w:val="004A779D"/>
    <w:pPr>
      <w:ind w:firstLine="708"/>
      <w:jc w:val="both"/>
    </w:pPr>
    <w:rPr>
      <w:rFonts w:ascii="Arial" w:hAnsi="Arial" w:cs="Arial"/>
      <w:sz w:val="18"/>
    </w:rPr>
  </w:style>
  <w:style w:type="paragraph" w:styleId="Zkladntextodsazen3">
    <w:name w:val="Body Text Indent 3"/>
    <w:basedOn w:val="Normln"/>
    <w:semiHidden/>
    <w:rsid w:val="004A779D"/>
    <w:pPr>
      <w:ind w:firstLine="567"/>
      <w:jc w:val="both"/>
    </w:pPr>
    <w:rPr>
      <w:rFonts w:ascii="Arial" w:hAnsi="Arial"/>
      <w:sz w:val="18"/>
    </w:rPr>
  </w:style>
  <w:style w:type="paragraph" w:styleId="Zkladntext3">
    <w:name w:val="Body Text 3"/>
    <w:basedOn w:val="Normln"/>
    <w:semiHidden/>
    <w:rsid w:val="004A779D"/>
    <w:pPr>
      <w:jc w:val="both"/>
    </w:pPr>
    <w:rPr>
      <w:rFonts w:ascii="Arial" w:hAnsi="Arial" w:cs="Arial"/>
    </w:rPr>
  </w:style>
  <w:style w:type="paragraph" w:styleId="Textbubliny">
    <w:name w:val="Balloon Text"/>
    <w:basedOn w:val="Normln"/>
    <w:semiHidden/>
    <w:unhideWhenUsed/>
    <w:rsid w:val="004A7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4A779D"/>
    <w:rPr>
      <w:rFonts w:ascii="Tahoma" w:hAnsi="Tahoma" w:cs="Tahoma"/>
      <w:sz w:val="16"/>
      <w:szCs w:val="16"/>
    </w:rPr>
  </w:style>
  <w:style w:type="paragraph" w:styleId="Bezmezer">
    <w:name w:val="No Spacing"/>
    <w:qFormat/>
    <w:rsid w:val="004A779D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5F6861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1317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e  t  o  d  i  c  k  é    v  y  s  v  ì  t  l  i  v  k  y</vt:lpstr>
    </vt:vector>
  </TitlesOfParts>
  <Company>CSU</Company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e  t  o  d  i  c  k  é    v  y  s  v  ì  t  l  i  v  k  y</dc:title>
  <dc:creator>System Service</dc:creator>
  <cp:lastModifiedBy>Sedláková Gabriela</cp:lastModifiedBy>
  <cp:revision>7</cp:revision>
  <cp:lastPrinted>2013-01-30T08:43:00Z</cp:lastPrinted>
  <dcterms:created xsi:type="dcterms:W3CDTF">2025-04-24T13:32:00Z</dcterms:created>
  <dcterms:modified xsi:type="dcterms:W3CDTF">2025-05-02T07:11:00Z</dcterms:modified>
</cp:coreProperties>
</file>