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37EA" w14:textId="5D70FDF5" w:rsidR="00E87D5B" w:rsidRPr="00D160FB" w:rsidRDefault="00E87D5B" w:rsidP="00E87D5B">
      <w:pPr>
        <w:pStyle w:val="Nadpis11"/>
        <w:rPr>
          <w:lang w:val="en-GB"/>
        </w:rPr>
      </w:pPr>
      <w:bookmarkStart w:id="0" w:name="_Toc114134048"/>
      <w:bookmarkStart w:id="1" w:name="_Toc97736119"/>
      <w:bookmarkStart w:id="2" w:name="_Toc74643859"/>
      <w:bookmarkStart w:id="3" w:name="_Toc90395915"/>
      <w:bookmarkStart w:id="4" w:name="_Toc98245446"/>
      <w:bookmarkStart w:id="5" w:name="_Toc74643860"/>
      <w:bookmarkStart w:id="6" w:name="_Toc132874247"/>
      <w:r w:rsidRPr="00D160FB">
        <w:rPr>
          <w:szCs w:val="32"/>
          <w:lang w:val="en-GB"/>
        </w:rPr>
        <w:t>3</w:t>
      </w:r>
      <w:r w:rsidRPr="00D160FB">
        <w:rPr>
          <w:lang w:val="en-GB"/>
        </w:rPr>
        <w:t>. </w:t>
      </w:r>
      <w:r w:rsidR="0092572D" w:rsidRPr="00D160FB">
        <w:rPr>
          <w:lang w:val="en-GB"/>
        </w:rPr>
        <w:t>Branches Performance</w:t>
      </w:r>
      <w:bookmarkEnd w:id="6"/>
    </w:p>
    <w:p w14:paraId="3F8F0252" w14:textId="77777777" w:rsidR="00E87D5B" w:rsidRPr="00D160FB" w:rsidRDefault="00E87D5B" w:rsidP="00E87D5B">
      <w:pPr>
        <w:pStyle w:val="Nadpis11"/>
        <w:rPr>
          <w:b w:val="0"/>
          <w:sz w:val="2"/>
          <w:szCs w:val="2"/>
          <w:lang w:val="en-GB"/>
        </w:rPr>
      </w:pPr>
    </w:p>
    <w:p w14:paraId="6C58D65C" w14:textId="77777777" w:rsidR="00E87D5B" w:rsidRPr="00D160FB" w:rsidRDefault="00E87D5B" w:rsidP="00E87D5B">
      <w:pPr>
        <w:pStyle w:val="Nadpis11"/>
        <w:rPr>
          <w:b w:val="0"/>
          <w:sz w:val="2"/>
          <w:szCs w:val="2"/>
          <w:lang w:val="en-GB"/>
        </w:rPr>
      </w:pPr>
    </w:p>
    <w:tbl>
      <w:tblPr>
        <w:tblW w:w="963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18"/>
        <w:gridCol w:w="195"/>
        <w:gridCol w:w="7726"/>
      </w:tblGrid>
      <w:tr w:rsidR="00A7439C" w:rsidRPr="00D160FB" w14:paraId="258C5719" w14:textId="77777777" w:rsidTr="00976631">
        <w:trPr>
          <w:trHeight w:val="145"/>
        </w:trPr>
        <w:tc>
          <w:tcPr>
            <w:tcW w:w="1780" w:type="dxa"/>
            <w:tcBorders>
              <w:top w:val="nil"/>
              <w:left w:val="nil"/>
              <w:bottom w:val="nil"/>
              <w:right w:val="nil"/>
            </w:tcBorders>
            <w:shd w:val="clear" w:color="auto" w:fill="auto"/>
            <w:tcMar>
              <w:left w:w="0" w:type="dxa"/>
            </w:tcMar>
          </w:tcPr>
          <w:p w14:paraId="272467B5" w14:textId="00C6EBBE" w:rsidR="00E87D5B" w:rsidRPr="00D160FB" w:rsidRDefault="00690A0C" w:rsidP="00C8019E">
            <w:pPr>
              <w:pStyle w:val="Marginlie"/>
              <w:rPr>
                <w:color w:val="0D0D0D" w:themeColor="text1" w:themeTint="F2"/>
                <w:spacing w:val="-5"/>
                <w:lang w:val="en-GB"/>
              </w:rPr>
            </w:pPr>
            <w:r w:rsidRPr="00D160FB">
              <w:rPr>
                <w:color w:val="0D0D0D" w:themeColor="text1" w:themeTint="F2"/>
                <w:spacing w:val="-5"/>
                <w:lang w:val="en-GB"/>
              </w:rPr>
              <w:t xml:space="preserve">Quarter-on-quarter growth of total GVA </w:t>
            </w:r>
            <w:r w:rsidR="00311CA4" w:rsidRPr="00D160FB">
              <w:rPr>
                <w:color w:val="0D0D0D" w:themeColor="text1" w:themeTint="F2"/>
                <w:spacing w:val="-5"/>
                <w:lang w:val="en-GB"/>
              </w:rPr>
              <w:t>halted in Q</w:t>
            </w:r>
            <w:r w:rsidR="00E87D5B" w:rsidRPr="00D160FB">
              <w:rPr>
                <w:color w:val="0D0D0D" w:themeColor="text1" w:themeTint="F2"/>
                <w:spacing w:val="-5"/>
                <w:lang w:val="en-GB"/>
              </w:rPr>
              <w:t>3.</w:t>
            </w:r>
            <w:r w:rsidR="00311CA4" w:rsidRPr="00D160FB">
              <w:rPr>
                <w:color w:val="0D0D0D" w:themeColor="text1" w:themeTint="F2"/>
                <w:spacing w:val="-5"/>
                <w:lang w:val="en-GB"/>
              </w:rPr>
              <w:t xml:space="preserve"> </w:t>
            </w:r>
            <w:r w:rsidR="007533A0" w:rsidRPr="00D160FB">
              <w:rPr>
                <w:color w:val="0D0D0D" w:themeColor="text1" w:themeTint="F2"/>
                <w:spacing w:val="-5"/>
                <w:lang w:val="en-GB"/>
              </w:rPr>
              <w:t>Lower household consumption afflicted the performance of a number of market servi</w:t>
            </w:r>
            <w:r w:rsidR="00483392">
              <w:rPr>
                <w:color w:val="0D0D0D" w:themeColor="text1" w:themeTint="F2"/>
                <w:spacing w:val="-5"/>
                <w:lang w:val="en-GB"/>
              </w:rPr>
              <w:t>ces as well as the energy industry.</w:t>
            </w:r>
          </w:p>
          <w:p w14:paraId="3AAB4DF7" w14:textId="77777777" w:rsidR="00E87D5B" w:rsidRPr="00D160FB" w:rsidRDefault="00E87D5B" w:rsidP="00C8019E">
            <w:pPr>
              <w:pStyle w:val="Marginlie"/>
              <w:rPr>
                <w:color w:val="0D0D0D" w:themeColor="text1" w:themeTint="F2"/>
                <w:spacing w:val="-5"/>
                <w:lang w:val="en-GB"/>
              </w:rPr>
            </w:pPr>
          </w:p>
          <w:p w14:paraId="58DAD3F2" w14:textId="77777777" w:rsidR="00E87D5B" w:rsidRPr="00D160FB" w:rsidRDefault="00E87D5B" w:rsidP="00C8019E">
            <w:pPr>
              <w:pStyle w:val="Marginlie"/>
              <w:rPr>
                <w:color w:val="0D0D0D" w:themeColor="text1" w:themeTint="F2"/>
                <w:spacing w:val="-5"/>
                <w:lang w:val="en-GB"/>
              </w:rPr>
            </w:pPr>
          </w:p>
          <w:p w14:paraId="5E01D53C" w14:textId="77777777" w:rsidR="00E87D5B" w:rsidRPr="00D160FB" w:rsidRDefault="00E87D5B" w:rsidP="00C8019E">
            <w:pPr>
              <w:pStyle w:val="Marginlie"/>
              <w:rPr>
                <w:color w:val="0D0D0D" w:themeColor="text1" w:themeTint="F2"/>
                <w:spacing w:val="-5"/>
                <w:lang w:val="en-GB"/>
              </w:rPr>
            </w:pPr>
          </w:p>
          <w:p w14:paraId="075E5556" w14:textId="77777777" w:rsidR="00E87D5B" w:rsidRPr="00D160FB" w:rsidRDefault="00E87D5B" w:rsidP="00C8019E">
            <w:pPr>
              <w:pStyle w:val="Marginlie"/>
              <w:rPr>
                <w:color w:val="0D0D0D" w:themeColor="text1" w:themeTint="F2"/>
                <w:spacing w:val="-5"/>
                <w:lang w:val="en-GB"/>
              </w:rPr>
            </w:pPr>
          </w:p>
          <w:p w14:paraId="48FC855B" w14:textId="758D40BC" w:rsidR="00E87D5B" w:rsidRPr="00D160FB" w:rsidRDefault="00954183" w:rsidP="00C8019E">
            <w:pPr>
              <w:pStyle w:val="Marginlie"/>
              <w:rPr>
                <w:color w:val="0D0D0D" w:themeColor="text1" w:themeTint="F2"/>
                <w:spacing w:val="-5"/>
                <w:lang w:val="en-GB"/>
              </w:rPr>
            </w:pPr>
            <w:r w:rsidRPr="00D160FB">
              <w:rPr>
                <w:color w:val="0D0D0D" w:themeColor="text1" w:themeTint="F2"/>
                <w:spacing w:val="-5"/>
                <w:lang w:val="en-GB"/>
              </w:rPr>
              <w:t xml:space="preserve">Total branch performance </w:t>
            </w:r>
            <w:r w:rsidR="004C18CE" w:rsidRPr="00D160FB">
              <w:rPr>
                <w:color w:val="0D0D0D" w:themeColor="text1" w:themeTint="F2"/>
                <w:spacing w:val="-5"/>
                <w:lang w:val="en-GB"/>
              </w:rPr>
              <w:t xml:space="preserve">stays behind the peak from the pre-pandemic boom in the CR. </w:t>
            </w:r>
          </w:p>
        </w:tc>
        <w:tc>
          <w:tcPr>
            <w:tcW w:w="200" w:type="dxa"/>
            <w:tcBorders>
              <w:top w:val="nil"/>
              <w:left w:val="nil"/>
              <w:bottom w:val="nil"/>
              <w:right w:val="nil"/>
            </w:tcBorders>
            <w:shd w:val="clear" w:color="auto" w:fill="auto"/>
            <w:tcMar>
              <w:left w:w="0" w:type="dxa"/>
            </w:tcMar>
          </w:tcPr>
          <w:p w14:paraId="1A94C7FB" w14:textId="77777777" w:rsidR="00E87D5B" w:rsidRPr="00D160FB" w:rsidRDefault="00E87D5B" w:rsidP="00C8019E">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58C8AC71" w14:textId="29A30CB9" w:rsidR="00E87D5B" w:rsidRPr="00D160FB" w:rsidRDefault="007B78A7" w:rsidP="00483392">
            <w:pPr>
              <w:spacing w:after="180"/>
              <w:rPr>
                <w:spacing w:val="-5"/>
                <w:lang w:val="en-GB"/>
              </w:rPr>
            </w:pPr>
            <w:r w:rsidRPr="00D160FB">
              <w:rPr>
                <w:spacing w:val="-5"/>
                <w:lang w:val="en-GB"/>
              </w:rPr>
              <w:t xml:space="preserve">Data from the supply side of the economy </w:t>
            </w:r>
            <w:r w:rsidR="007E0CBA" w:rsidRPr="00D160FB">
              <w:rPr>
                <w:spacing w:val="-5"/>
                <w:lang w:val="en-GB"/>
              </w:rPr>
              <w:t xml:space="preserve">confirm, that </w:t>
            </w:r>
            <w:r w:rsidR="004A23BC">
              <w:rPr>
                <w:spacing w:val="-5"/>
                <w:lang w:val="en-GB"/>
              </w:rPr>
              <w:t>the Czech</w:t>
            </w:r>
            <w:r w:rsidR="00A272FF" w:rsidRPr="00D160FB">
              <w:rPr>
                <w:spacing w:val="-5"/>
                <w:lang w:val="en-GB"/>
              </w:rPr>
              <w:t xml:space="preserve"> economy </w:t>
            </w:r>
            <w:r w:rsidR="00BF361E" w:rsidRPr="00D160FB">
              <w:rPr>
                <w:spacing w:val="-5"/>
                <w:lang w:val="en-GB"/>
              </w:rPr>
              <w:t xml:space="preserve">found itself </w:t>
            </w:r>
            <w:r w:rsidR="00472A29" w:rsidRPr="00D160FB">
              <w:rPr>
                <w:spacing w:val="-5"/>
                <w:lang w:val="en-GB"/>
              </w:rPr>
              <w:t xml:space="preserve">due to the effect of external </w:t>
            </w:r>
            <w:r w:rsidR="00F703B6" w:rsidRPr="00D160FB">
              <w:rPr>
                <w:spacing w:val="-5"/>
                <w:lang w:val="en-GB"/>
              </w:rPr>
              <w:t xml:space="preserve">shocks </w:t>
            </w:r>
            <w:r w:rsidR="00472A29" w:rsidRPr="00D160FB">
              <w:rPr>
                <w:spacing w:val="-5"/>
                <w:lang w:val="en-GB"/>
              </w:rPr>
              <w:t xml:space="preserve">in the contraction phase of the business </w:t>
            </w:r>
            <w:r w:rsidR="00F703B6" w:rsidRPr="00D160FB">
              <w:rPr>
                <w:spacing w:val="-5"/>
                <w:lang w:val="en-GB"/>
              </w:rPr>
              <w:t xml:space="preserve">cycle </w:t>
            </w:r>
            <w:r w:rsidR="004C7341" w:rsidRPr="00D160FB">
              <w:rPr>
                <w:spacing w:val="-5"/>
                <w:lang w:val="en-GB"/>
              </w:rPr>
              <w:t>last year</w:t>
            </w:r>
            <w:r w:rsidR="00E87D5B" w:rsidRPr="00D160FB">
              <w:rPr>
                <w:spacing w:val="-5"/>
                <w:lang w:val="en-GB"/>
              </w:rPr>
              <w:t xml:space="preserve">. </w:t>
            </w:r>
            <w:r w:rsidR="005606B6" w:rsidRPr="00D160FB">
              <w:rPr>
                <w:spacing w:val="-5"/>
                <w:lang w:val="en-GB"/>
              </w:rPr>
              <w:t xml:space="preserve">Quarter-on-quarter growth of the Gross value added </w:t>
            </w:r>
            <w:r w:rsidR="00E87D5B" w:rsidRPr="00D160FB">
              <w:rPr>
                <w:spacing w:val="-5"/>
                <w:lang w:val="en-GB"/>
              </w:rPr>
              <w:t>(</w:t>
            </w:r>
            <w:r w:rsidR="005606B6" w:rsidRPr="00D160FB">
              <w:rPr>
                <w:spacing w:val="-5"/>
                <w:lang w:val="en-GB"/>
              </w:rPr>
              <w:t>GVA</w:t>
            </w:r>
            <w:r w:rsidR="00E87D5B" w:rsidRPr="00D160FB">
              <w:rPr>
                <w:spacing w:val="-5"/>
                <w:lang w:val="en-GB"/>
              </w:rPr>
              <w:t>)</w:t>
            </w:r>
            <w:r w:rsidR="00E87D5B" w:rsidRPr="00D160FB">
              <w:rPr>
                <w:rStyle w:val="Znakapoznpodarou"/>
                <w:color w:val="0D0D0D" w:themeColor="text1" w:themeTint="F2"/>
                <w:spacing w:val="-5"/>
                <w:lang w:val="en-GB"/>
              </w:rPr>
              <w:footnoteReference w:id="1"/>
            </w:r>
            <w:r w:rsidR="00E87D5B" w:rsidRPr="00D160FB">
              <w:rPr>
                <w:spacing w:val="-5"/>
                <w:lang w:val="en-GB"/>
              </w:rPr>
              <w:t xml:space="preserve">, </w:t>
            </w:r>
            <w:r w:rsidR="005606B6" w:rsidRPr="00D160FB">
              <w:rPr>
                <w:spacing w:val="-5"/>
                <w:lang w:val="en-GB"/>
              </w:rPr>
              <w:t>lasting five quarters in a row</w:t>
            </w:r>
            <w:r w:rsidR="00E87D5B" w:rsidRPr="00D160FB">
              <w:rPr>
                <w:spacing w:val="-5"/>
                <w:lang w:val="en-GB"/>
              </w:rPr>
              <w:t>,</w:t>
            </w:r>
            <w:r w:rsidR="005606B6" w:rsidRPr="00D160FB">
              <w:rPr>
                <w:spacing w:val="-5"/>
                <w:lang w:val="en-GB"/>
              </w:rPr>
              <w:t xml:space="preserve"> halted in Q</w:t>
            </w:r>
            <w:r w:rsidR="00E87D5B" w:rsidRPr="00D160FB">
              <w:rPr>
                <w:spacing w:val="-5"/>
                <w:lang w:val="en-GB"/>
              </w:rPr>
              <w:t>3</w:t>
            </w:r>
            <w:r w:rsidR="005606B6" w:rsidRPr="00D160FB">
              <w:rPr>
                <w:spacing w:val="-5"/>
                <w:lang w:val="en-GB"/>
              </w:rPr>
              <w:t xml:space="preserve"> </w:t>
            </w:r>
            <w:r w:rsidR="00E87D5B" w:rsidRPr="00D160FB">
              <w:rPr>
                <w:spacing w:val="-5"/>
                <w:lang w:val="en-GB"/>
              </w:rPr>
              <w:t>(–0</w:t>
            </w:r>
            <w:r w:rsidR="005606B6" w:rsidRPr="00D160FB">
              <w:rPr>
                <w:spacing w:val="-5"/>
                <w:lang w:val="en-GB"/>
              </w:rPr>
              <w:t>.</w:t>
            </w:r>
            <w:r w:rsidR="00E87D5B" w:rsidRPr="00D160FB">
              <w:rPr>
                <w:spacing w:val="-5"/>
                <w:lang w:val="en-GB"/>
              </w:rPr>
              <w:t>2%) a</w:t>
            </w:r>
            <w:r w:rsidR="005606B6" w:rsidRPr="00D160FB">
              <w:rPr>
                <w:spacing w:val="-5"/>
                <w:lang w:val="en-GB"/>
              </w:rPr>
              <w:t>nd</w:t>
            </w:r>
            <w:r w:rsidR="00E87D5B" w:rsidRPr="00D160FB">
              <w:rPr>
                <w:spacing w:val="-5"/>
                <w:lang w:val="en-GB"/>
              </w:rPr>
              <w:t xml:space="preserve"> </w:t>
            </w:r>
            <w:r w:rsidR="005C173A" w:rsidRPr="00D160FB">
              <w:rPr>
                <w:spacing w:val="-5"/>
                <w:lang w:val="en-GB"/>
              </w:rPr>
              <w:t xml:space="preserve">the development in the remaining part of the </w:t>
            </w:r>
            <w:r w:rsidR="004A23BC">
              <w:rPr>
                <w:spacing w:val="-5"/>
                <w:lang w:val="en-GB"/>
              </w:rPr>
              <w:t xml:space="preserve">last </w:t>
            </w:r>
            <w:r w:rsidR="005C173A" w:rsidRPr="00D160FB">
              <w:rPr>
                <w:spacing w:val="-5"/>
                <w:lang w:val="en-GB"/>
              </w:rPr>
              <w:t xml:space="preserve">year also did not bring any </w:t>
            </w:r>
            <w:r w:rsidR="00514F47" w:rsidRPr="00D160FB">
              <w:rPr>
                <w:spacing w:val="-5"/>
                <w:lang w:val="en-GB"/>
              </w:rPr>
              <w:t xml:space="preserve">fundamental </w:t>
            </w:r>
            <w:r w:rsidR="0056764B" w:rsidRPr="00D160FB">
              <w:rPr>
                <w:spacing w:val="-5"/>
                <w:lang w:val="en-GB"/>
              </w:rPr>
              <w:t xml:space="preserve">change </w:t>
            </w:r>
            <w:r w:rsidR="00E87D5B" w:rsidRPr="00D160FB">
              <w:rPr>
                <w:spacing w:val="-5"/>
                <w:lang w:val="en-GB"/>
              </w:rPr>
              <w:t>(+0</w:t>
            </w:r>
            <w:r w:rsidR="0056764B" w:rsidRPr="00D160FB">
              <w:rPr>
                <w:spacing w:val="-5"/>
                <w:lang w:val="en-GB"/>
              </w:rPr>
              <w:t>.</w:t>
            </w:r>
            <w:r w:rsidR="00E87D5B" w:rsidRPr="00D160FB">
              <w:rPr>
                <w:spacing w:val="-5"/>
                <w:lang w:val="en-GB"/>
              </w:rPr>
              <w:t xml:space="preserve">3%). </w:t>
            </w:r>
            <w:r w:rsidR="00696689" w:rsidRPr="00D160FB">
              <w:rPr>
                <w:spacing w:val="-5"/>
                <w:lang w:val="en-GB"/>
              </w:rPr>
              <w:t xml:space="preserve">Distinct </w:t>
            </w:r>
            <w:r w:rsidR="009C77AF" w:rsidRPr="00D160FB">
              <w:rPr>
                <w:spacing w:val="-5"/>
                <w:lang w:val="en-GB"/>
              </w:rPr>
              <w:t xml:space="preserve">GVA decrease </w:t>
            </w:r>
            <w:r w:rsidR="003A5B3F" w:rsidRPr="00D160FB">
              <w:rPr>
                <w:spacing w:val="-5"/>
                <w:lang w:val="en-GB"/>
              </w:rPr>
              <w:t xml:space="preserve">affected the weight significant segment of services in H2 last year </w:t>
            </w:r>
            <w:r w:rsidR="00E87D5B" w:rsidRPr="00D160FB">
              <w:rPr>
                <w:spacing w:val="-5"/>
                <w:lang w:val="en-GB"/>
              </w:rPr>
              <w:t xml:space="preserve">– </w:t>
            </w:r>
            <w:r w:rsidR="00E2291F">
              <w:rPr>
                <w:spacing w:val="-5"/>
                <w:lang w:val="en-GB"/>
              </w:rPr>
              <w:t>T</w:t>
            </w:r>
            <w:r w:rsidR="009C77AF" w:rsidRPr="00D160FB">
              <w:rPr>
                <w:spacing w:val="-5"/>
                <w:lang w:val="en-GB"/>
              </w:rPr>
              <w:t>rade, transportation, accommodation and food service</w:t>
            </w:r>
            <w:r w:rsidR="00E87D5B" w:rsidRPr="00D160FB">
              <w:rPr>
                <w:spacing w:val="-5"/>
                <w:lang w:val="en-GB"/>
              </w:rPr>
              <w:t xml:space="preserve">. </w:t>
            </w:r>
            <w:r w:rsidR="00467938" w:rsidRPr="00D160FB">
              <w:rPr>
                <w:spacing w:val="-5"/>
                <w:lang w:val="en-GB"/>
              </w:rPr>
              <w:t xml:space="preserve">This was linked to the deepening </w:t>
            </w:r>
            <w:r w:rsidR="003A5B3F" w:rsidRPr="00D160FB">
              <w:rPr>
                <w:spacing w:val="-5"/>
                <w:lang w:val="en-GB"/>
              </w:rPr>
              <w:t>slump</w:t>
            </w:r>
            <w:r w:rsidR="00096AB8" w:rsidRPr="00D160FB">
              <w:rPr>
                <w:spacing w:val="-5"/>
                <w:lang w:val="en-GB"/>
              </w:rPr>
              <w:t xml:space="preserve"> of the household consumption</w:t>
            </w:r>
            <w:r w:rsidR="00E87D5B" w:rsidRPr="00D160FB">
              <w:rPr>
                <w:spacing w:val="-5"/>
                <w:lang w:val="en-GB"/>
              </w:rPr>
              <w:t xml:space="preserve">. </w:t>
            </w:r>
            <w:r w:rsidR="00096AB8" w:rsidRPr="00D160FB">
              <w:rPr>
                <w:spacing w:val="-5"/>
                <w:lang w:val="en-GB"/>
              </w:rPr>
              <w:t xml:space="preserve">Quarter-on-quarter GVA development </w:t>
            </w:r>
            <w:r w:rsidR="00E705A5" w:rsidRPr="00D160FB">
              <w:rPr>
                <w:spacing w:val="-5"/>
                <w:lang w:val="en-GB"/>
              </w:rPr>
              <w:t xml:space="preserve">also adversely impacted the lower consumption expenditures of government institutions for </w:t>
            </w:r>
            <w:r w:rsidR="00FA0ECC" w:rsidRPr="00D160FB">
              <w:rPr>
                <w:spacing w:val="-5"/>
                <w:lang w:val="en-GB"/>
              </w:rPr>
              <w:t xml:space="preserve">most </w:t>
            </w:r>
            <w:r w:rsidR="0087573C" w:rsidRPr="00D160FB">
              <w:rPr>
                <w:spacing w:val="-5"/>
                <w:lang w:val="en-GB"/>
              </w:rPr>
              <w:t>part of the year</w:t>
            </w:r>
            <w:r w:rsidR="00E87D5B" w:rsidRPr="00D160FB">
              <w:rPr>
                <w:spacing w:val="-5"/>
                <w:lang w:val="en-GB"/>
              </w:rPr>
              <w:t>. Post</w:t>
            </w:r>
            <w:r w:rsidR="00876E06" w:rsidRPr="00D160FB">
              <w:rPr>
                <w:spacing w:val="-5"/>
                <w:lang w:val="en-GB"/>
              </w:rPr>
              <w:t>-</w:t>
            </w:r>
            <w:r w:rsidR="00E87D5B" w:rsidRPr="00D160FB">
              <w:rPr>
                <w:spacing w:val="-5"/>
                <w:lang w:val="en-GB"/>
              </w:rPr>
              <w:t>pandemic</w:t>
            </w:r>
            <w:r w:rsidR="00876E06" w:rsidRPr="00D160FB">
              <w:rPr>
                <w:spacing w:val="-5"/>
                <w:lang w:val="en-GB"/>
              </w:rPr>
              <w:t xml:space="preserve"> recovery ceased also </w:t>
            </w:r>
            <w:r w:rsidR="00483392" w:rsidRPr="00D160FB">
              <w:rPr>
                <w:spacing w:val="-5"/>
                <w:lang w:val="en-GB"/>
              </w:rPr>
              <w:t xml:space="preserve">in construction </w:t>
            </w:r>
            <w:r w:rsidR="00483392">
              <w:rPr>
                <w:spacing w:val="-5"/>
                <w:lang w:val="en-GB"/>
              </w:rPr>
              <w:t xml:space="preserve">and </w:t>
            </w:r>
            <w:r w:rsidR="00876E06" w:rsidRPr="00D160FB">
              <w:rPr>
                <w:spacing w:val="-5"/>
                <w:lang w:val="en-GB"/>
              </w:rPr>
              <w:t>in the numb</w:t>
            </w:r>
            <w:r w:rsidR="00483392">
              <w:rPr>
                <w:spacing w:val="-5"/>
                <w:lang w:val="en-GB"/>
              </w:rPr>
              <w:t>er of services for businesses</w:t>
            </w:r>
            <w:r w:rsidR="00876E06" w:rsidRPr="00D160FB">
              <w:rPr>
                <w:spacing w:val="-5"/>
                <w:lang w:val="en-GB"/>
              </w:rPr>
              <w:t xml:space="preserve">. Savings of households as well as businesses also reflected </w:t>
            </w:r>
            <w:r w:rsidR="001F13AF" w:rsidRPr="00D160FB">
              <w:rPr>
                <w:spacing w:val="-5"/>
                <w:lang w:val="en-GB"/>
              </w:rPr>
              <w:t xml:space="preserve">in the lowered performance of the energy industry at the end of the year. </w:t>
            </w:r>
            <w:r w:rsidR="009567A9" w:rsidRPr="00D160FB">
              <w:rPr>
                <w:spacing w:val="-5"/>
                <w:lang w:val="en-GB"/>
              </w:rPr>
              <w:t>In contrast</w:t>
            </w:r>
            <w:r w:rsidR="00D160FB">
              <w:rPr>
                <w:spacing w:val="-5"/>
                <w:lang w:val="en-GB"/>
              </w:rPr>
              <w:t xml:space="preserve">, </w:t>
            </w:r>
            <w:r w:rsidR="00D33950" w:rsidRPr="00D160FB">
              <w:rPr>
                <w:spacing w:val="-5"/>
                <w:lang w:val="en-GB"/>
              </w:rPr>
              <w:t xml:space="preserve">manufacturing had a pro-growth effect </w:t>
            </w:r>
            <w:r w:rsidR="00847CD6" w:rsidRPr="00D160FB">
              <w:rPr>
                <w:spacing w:val="-5"/>
                <w:lang w:val="en-GB"/>
              </w:rPr>
              <w:t xml:space="preserve">on the whole economy in spite of </w:t>
            </w:r>
            <w:r w:rsidR="000F61AF" w:rsidRPr="00D160FB">
              <w:rPr>
                <w:spacing w:val="-5"/>
                <w:lang w:val="en-GB"/>
              </w:rPr>
              <w:t xml:space="preserve">fluctuating development of number of </w:t>
            </w:r>
            <w:r w:rsidR="00483392">
              <w:rPr>
                <w:spacing w:val="-5"/>
                <w:lang w:val="en-GB"/>
              </w:rPr>
              <w:t xml:space="preserve">industrial </w:t>
            </w:r>
            <w:r w:rsidR="000F61AF" w:rsidRPr="00D160FB">
              <w:rPr>
                <w:spacing w:val="-5"/>
                <w:lang w:val="en-GB"/>
              </w:rPr>
              <w:t xml:space="preserve">branches </w:t>
            </w:r>
            <w:r w:rsidR="00F97EDD" w:rsidRPr="00D160FB">
              <w:rPr>
                <w:spacing w:val="-5"/>
                <w:lang w:val="en-GB"/>
              </w:rPr>
              <w:t>for the most part of the last year</w:t>
            </w:r>
            <w:r w:rsidR="00E87D5B" w:rsidRPr="00D160FB">
              <w:rPr>
                <w:spacing w:val="-5"/>
                <w:lang w:val="en-GB"/>
              </w:rPr>
              <w:t xml:space="preserve">, </w:t>
            </w:r>
            <w:r w:rsidR="00290745" w:rsidRPr="00D160FB">
              <w:rPr>
                <w:spacing w:val="-5"/>
                <w:lang w:val="en-GB"/>
              </w:rPr>
              <w:t>the similar was also valid for the public services</w:t>
            </w:r>
            <w:r w:rsidR="00E87D5B" w:rsidRPr="00D160FB">
              <w:rPr>
                <w:rStyle w:val="Znakapoznpodarou"/>
                <w:spacing w:val="-4"/>
                <w:lang w:val="en-GB"/>
              </w:rPr>
              <w:footnoteReference w:id="2"/>
            </w:r>
            <w:r w:rsidR="00E87D5B" w:rsidRPr="00D160FB">
              <w:rPr>
                <w:spacing w:val="-5"/>
                <w:lang w:val="en-GB"/>
              </w:rPr>
              <w:t xml:space="preserve">. </w:t>
            </w:r>
            <w:r w:rsidR="00290745" w:rsidRPr="00D160FB">
              <w:rPr>
                <w:spacing w:val="-5"/>
                <w:lang w:val="en-GB"/>
              </w:rPr>
              <w:t>Performa</w:t>
            </w:r>
            <w:r w:rsidR="00483392">
              <w:rPr>
                <w:spacing w:val="-5"/>
                <w:lang w:val="en-GB"/>
              </w:rPr>
              <w:t xml:space="preserve">nce of all branches (GVA) of the Czech economy </w:t>
            </w:r>
            <w:r w:rsidR="00290745" w:rsidRPr="00D160FB">
              <w:rPr>
                <w:spacing w:val="-5"/>
                <w:lang w:val="en-GB"/>
              </w:rPr>
              <w:t xml:space="preserve">has not exceeded its maximum so far </w:t>
            </w:r>
            <w:r w:rsidR="00E87D5B" w:rsidRPr="00D160FB">
              <w:rPr>
                <w:color w:val="0D0D0D" w:themeColor="text1" w:themeTint="F2"/>
                <w:spacing w:val="-6"/>
                <w:lang w:val="en-GB"/>
              </w:rPr>
              <w:t>(</w:t>
            </w:r>
            <w:r w:rsidR="00290745" w:rsidRPr="00D160FB">
              <w:rPr>
                <w:color w:val="0D0D0D" w:themeColor="text1" w:themeTint="F2"/>
                <w:spacing w:val="-6"/>
                <w:lang w:val="en-GB"/>
              </w:rPr>
              <w:t xml:space="preserve">from the end of year </w:t>
            </w:r>
            <w:r w:rsidR="00E87D5B" w:rsidRPr="00D160FB">
              <w:rPr>
                <w:color w:val="0D0D0D" w:themeColor="text1" w:themeTint="F2"/>
                <w:spacing w:val="-6"/>
                <w:lang w:val="en-GB"/>
              </w:rPr>
              <w:t>2019)</w:t>
            </w:r>
            <w:r w:rsidR="00E87D5B" w:rsidRPr="00D160FB">
              <w:rPr>
                <w:rStyle w:val="Znakapoznpodarou"/>
                <w:color w:val="0D0D0D" w:themeColor="text1" w:themeTint="F2"/>
                <w:spacing w:val="-6"/>
                <w:lang w:val="en-GB"/>
              </w:rPr>
              <w:footnoteReference w:id="3"/>
            </w:r>
            <w:r w:rsidR="00E87D5B" w:rsidRPr="00D160FB">
              <w:rPr>
                <w:color w:val="0D0D0D" w:themeColor="text1" w:themeTint="F2"/>
                <w:spacing w:val="-6"/>
                <w:lang w:val="en-GB"/>
              </w:rPr>
              <w:t xml:space="preserve"> a</w:t>
            </w:r>
            <w:r w:rsidR="00290745" w:rsidRPr="00D160FB">
              <w:rPr>
                <w:color w:val="0D0D0D" w:themeColor="text1" w:themeTint="F2"/>
                <w:spacing w:val="-6"/>
                <w:lang w:val="en-GB"/>
              </w:rPr>
              <w:t xml:space="preserve">nd </w:t>
            </w:r>
            <w:r w:rsidR="001D3B58" w:rsidRPr="00D160FB">
              <w:rPr>
                <w:color w:val="0D0D0D" w:themeColor="text1" w:themeTint="F2"/>
                <w:spacing w:val="-6"/>
                <w:lang w:val="en-GB"/>
              </w:rPr>
              <w:t>slightly lagged behind it in Q</w:t>
            </w:r>
            <w:r w:rsidR="00E87D5B" w:rsidRPr="00D160FB">
              <w:rPr>
                <w:color w:val="0D0D0D" w:themeColor="text1" w:themeTint="F2"/>
                <w:spacing w:val="-6"/>
                <w:lang w:val="en-GB"/>
              </w:rPr>
              <w:t>4</w:t>
            </w:r>
            <w:r w:rsidR="001D3B58" w:rsidRPr="00D160FB">
              <w:rPr>
                <w:color w:val="0D0D0D" w:themeColor="text1" w:themeTint="F2"/>
                <w:spacing w:val="-6"/>
                <w:lang w:val="en-GB"/>
              </w:rPr>
              <w:t xml:space="preserve"> </w:t>
            </w:r>
            <w:r w:rsidR="00E87D5B" w:rsidRPr="00D160FB">
              <w:rPr>
                <w:color w:val="0D0D0D" w:themeColor="text1" w:themeTint="F2"/>
                <w:spacing w:val="-6"/>
                <w:lang w:val="en-GB"/>
              </w:rPr>
              <w:t>(</w:t>
            </w:r>
            <w:r w:rsidR="001D3B58" w:rsidRPr="00D160FB">
              <w:rPr>
                <w:color w:val="0D0D0D" w:themeColor="text1" w:themeTint="F2"/>
                <w:spacing w:val="-6"/>
                <w:lang w:val="en-GB"/>
              </w:rPr>
              <w:t xml:space="preserve">by </w:t>
            </w:r>
            <w:r w:rsidR="00E87D5B" w:rsidRPr="00D160FB">
              <w:rPr>
                <w:color w:val="0D0D0D" w:themeColor="text1" w:themeTint="F2"/>
                <w:spacing w:val="-6"/>
                <w:lang w:val="en-GB"/>
              </w:rPr>
              <w:t>0</w:t>
            </w:r>
            <w:r w:rsidR="001D3B58" w:rsidRPr="00D160FB">
              <w:rPr>
                <w:color w:val="0D0D0D" w:themeColor="text1" w:themeTint="F2"/>
                <w:spacing w:val="-6"/>
                <w:lang w:val="en-GB"/>
              </w:rPr>
              <w:t>.</w:t>
            </w:r>
            <w:r w:rsidR="00E87D5B" w:rsidRPr="00D160FB">
              <w:rPr>
                <w:color w:val="0D0D0D" w:themeColor="text1" w:themeTint="F2"/>
                <w:spacing w:val="-6"/>
                <w:lang w:val="en-GB"/>
              </w:rPr>
              <w:t>3%).</w:t>
            </w:r>
          </w:p>
        </w:tc>
      </w:tr>
      <w:tr w:rsidR="00A7439C" w:rsidRPr="00D160FB" w14:paraId="3E3EBFCF" w14:textId="77777777" w:rsidTr="00976631">
        <w:trPr>
          <w:trHeight w:val="145"/>
        </w:trPr>
        <w:tc>
          <w:tcPr>
            <w:tcW w:w="1780" w:type="dxa"/>
            <w:tcBorders>
              <w:top w:val="nil"/>
              <w:left w:val="nil"/>
              <w:bottom w:val="nil"/>
              <w:right w:val="nil"/>
            </w:tcBorders>
            <w:shd w:val="clear" w:color="auto" w:fill="auto"/>
            <w:tcMar>
              <w:left w:w="0" w:type="dxa"/>
            </w:tcMar>
          </w:tcPr>
          <w:p w14:paraId="13F63114" w14:textId="68808AB5" w:rsidR="00E87D5B" w:rsidRPr="00D160FB" w:rsidRDefault="0028351F" w:rsidP="00C8019E">
            <w:pPr>
              <w:pStyle w:val="Marginlie"/>
              <w:rPr>
                <w:color w:val="0D0D0D" w:themeColor="text1" w:themeTint="F2"/>
                <w:spacing w:val="-4"/>
                <w:lang w:val="en-GB"/>
              </w:rPr>
            </w:pPr>
            <w:r w:rsidRPr="00D160FB">
              <w:rPr>
                <w:color w:val="0D0D0D" w:themeColor="text1" w:themeTint="F2"/>
                <w:spacing w:val="-4"/>
                <w:lang w:val="en-GB"/>
              </w:rPr>
              <w:t xml:space="preserve">Despite </w:t>
            </w:r>
            <w:r w:rsidR="00FA46B9" w:rsidRPr="00D160FB">
              <w:rPr>
                <w:color w:val="0D0D0D" w:themeColor="text1" w:themeTint="F2"/>
                <w:spacing w:val="-4"/>
                <w:lang w:val="en-GB"/>
              </w:rPr>
              <w:t>gr</w:t>
            </w:r>
            <w:r w:rsidR="00C7053D">
              <w:rPr>
                <w:color w:val="0D0D0D" w:themeColor="text1" w:themeTint="F2"/>
                <w:spacing w:val="-4"/>
                <w:lang w:val="en-GB"/>
              </w:rPr>
              <w:t>owing challenges, the division T</w:t>
            </w:r>
            <w:r w:rsidR="00FA46B9" w:rsidRPr="00D160FB">
              <w:rPr>
                <w:color w:val="0D0D0D" w:themeColor="text1" w:themeTint="F2"/>
                <w:spacing w:val="-4"/>
                <w:lang w:val="en-GB"/>
              </w:rPr>
              <w:t xml:space="preserve">rade, </w:t>
            </w:r>
            <w:r w:rsidR="005C0461" w:rsidRPr="00D160FB">
              <w:rPr>
                <w:color w:val="0D0D0D" w:themeColor="text1" w:themeTint="F2"/>
                <w:spacing w:val="-4"/>
                <w:lang w:val="en-GB"/>
              </w:rPr>
              <w:t>transportation</w:t>
            </w:r>
            <w:r w:rsidR="00FA46B9" w:rsidRPr="00D160FB">
              <w:rPr>
                <w:color w:val="0D0D0D" w:themeColor="text1" w:themeTint="F2"/>
                <w:spacing w:val="-4"/>
                <w:lang w:val="en-GB"/>
              </w:rPr>
              <w:t xml:space="preserve">, accommodation and food service </w:t>
            </w:r>
            <w:r w:rsidR="005C0461" w:rsidRPr="00D160FB">
              <w:rPr>
                <w:color w:val="0D0D0D" w:themeColor="text1" w:themeTint="F2"/>
                <w:spacing w:val="-4"/>
                <w:lang w:val="en-GB"/>
              </w:rPr>
              <w:t xml:space="preserve">fundamentally </w:t>
            </w:r>
            <w:r w:rsidR="00FA46B9" w:rsidRPr="00D160FB">
              <w:rPr>
                <w:color w:val="0D0D0D" w:themeColor="text1" w:themeTint="F2"/>
                <w:spacing w:val="-4"/>
                <w:lang w:val="en-GB"/>
              </w:rPr>
              <w:t>contributed</w:t>
            </w:r>
            <w:r w:rsidR="005C0461" w:rsidRPr="00D160FB">
              <w:rPr>
                <w:color w:val="0D0D0D" w:themeColor="text1" w:themeTint="F2"/>
                <w:spacing w:val="-4"/>
                <w:lang w:val="en-GB"/>
              </w:rPr>
              <w:t xml:space="preserve"> to the growth of the economy for the whole last year. </w:t>
            </w:r>
          </w:p>
          <w:p w14:paraId="66C57B52" w14:textId="77777777" w:rsidR="00E87D5B" w:rsidRPr="00D160FB" w:rsidRDefault="00E87D5B" w:rsidP="00C8019E">
            <w:pPr>
              <w:pStyle w:val="Marginlie"/>
              <w:rPr>
                <w:color w:val="0D0D0D" w:themeColor="text1" w:themeTint="F2"/>
                <w:spacing w:val="-4"/>
                <w:lang w:val="en-GB"/>
              </w:rPr>
            </w:pPr>
          </w:p>
          <w:p w14:paraId="4118D553" w14:textId="77777777" w:rsidR="00E87D5B" w:rsidRPr="00D160FB" w:rsidRDefault="00E87D5B" w:rsidP="00C8019E">
            <w:pPr>
              <w:pStyle w:val="Marginlie"/>
              <w:rPr>
                <w:color w:val="0D0D0D" w:themeColor="text1" w:themeTint="F2"/>
                <w:spacing w:val="-4"/>
                <w:lang w:val="en-GB"/>
              </w:rPr>
            </w:pPr>
          </w:p>
          <w:p w14:paraId="70BCB780" w14:textId="77777777" w:rsidR="00E87D5B" w:rsidRPr="00D160FB" w:rsidRDefault="00E87D5B" w:rsidP="00C8019E">
            <w:pPr>
              <w:pStyle w:val="Marginlie"/>
              <w:rPr>
                <w:color w:val="0D0D0D" w:themeColor="text1" w:themeTint="F2"/>
                <w:spacing w:val="-4"/>
                <w:lang w:val="en-GB"/>
              </w:rPr>
            </w:pPr>
          </w:p>
          <w:p w14:paraId="12D8AE5A" w14:textId="77777777" w:rsidR="00E87D5B" w:rsidRPr="00D160FB" w:rsidRDefault="00E87D5B" w:rsidP="00C8019E">
            <w:pPr>
              <w:pStyle w:val="Marginlie"/>
              <w:rPr>
                <w:color w:val="0D0D0D" w:themeColor="text1" w:themeTint="F2"/>
                <w:spacing w:val="-4"/>
                <w:lang w:val="en-GB"/>
              </w:rPr>
            </w:pPr>
          </w:p>
          <w:p w14:paraId="1DA5681F" w14:textId="78FBF142" w:rsidR="00E87D5B" w:rsidRPr="00D160FB" w:rsidRDefault="00522199" w:rsidP="00C8019E">
            <w:pPr>
              <w:pStyle w:val="Marginlie"/>
              <w:rPr>
                <w:color w:val="0D0D0D" w:themeColor="text1" w:themeTint="F2"/>
                <w:spacing w:val="-4"/>
                <w:lang w:val="en-GB"/>
              </w:rPr>
            </w:pPr>
            <w:r w:rsidRPr="00D160FB">
              <w:rPr>
                <w:color w:val="0D0D0D" w:themeColor="text1" w:themeTint="F2"/>
                <w:spacing w:val="-4"/>
                <w:lang w:val="en-GB"/>
              </w:rPr>
              <w:t xml:space="preserve">Long-term swift growth of GVA in the area of ICT </w:t>
            </w:r>
            <w:r w:rsidR="00092BF8" w:rsidRPr="00D160FB">
              <w:rPr>
                <w:color w:val="0D0D0D" w:themeColor="text1" w:themeTint="F2"/>
                <w:spacing w:val="-4"/>
                <w:lang w:val="en-GB"/>
              </w:rPr>
              <w:t xml:space="preserve">eased pace at the end of the year. </w:t>
            </w:r>
          </w:p>
        </w:tc>
        <w:tc>
          <w:tcPr>
            <w:tcW w:w="200" w:type="dxa"/>
            <w:tcBorders>
              <w:top w:val="nil"/>
              <w:left w:val="nil"/>
              <w:bottom w:val="nil"/>
              <w:right w:val="nil"/>
            </w:tcBorders>
            <w:shd w:val="clear" w:color="auto" w:fill="auto"/>
            <w:tcMar>
              <w:left w:w="0" w:type="dxa"/>
            </w:tcMar>
          </w:tcPr>
          <w:p w14:paraId="6D98344B" w14:textId="77777777" w:rsidR="00E87D5B" w:rsidRPr="00D160FB" w:rsidRDefault="00E87D5B" w:rsidP="00C8019E">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031B0295" w14:textId="296AF38D" w:rsidR="00E87D5B" w:rsidRPr="00D160FB" w:rsidRDefault="00632874" w:rsidP="00E2291F">
            <w:pPr>
              <w:spacing w:after="180"/>
              <w:rPr>
                <w:spacing w:val="-5"/>
                <w:lang w:val="en-GB"/>
              </w:rPr>
            </w:pPr>
            <w:r w:rsidRPr="00D160FB">
              <w:rPr>
                <w:color w:val="0D0D0D" w:themeColor="text1" w:themeTint="F2"/>
                <w:spacing w:val="-4"/>
                <w:lang w:val="en-GB"/>
              </w:rPr>
              <w:t xml:space="preserve">In the year-on-year view the GVA growth subsided </w:t>
            </w:r>
            <w:r w:rsidR="00E87D5B" w:rsidRPr="00D160FB">
              <w:rPr>
                <w:color w:val="0D0D0D" w:themeColor="text1" w:themeTint="F2"/>
                <w:spacing w:val="-4"/>
                <w:lang w:val="en-GB"/>
              </w:rPr>
              <w:t>(</w:t>
            </w:r>
            <w:r w:rsidR="00CB2AB0" w:rsidRPr="00D160FB">
              <w:rPr>
                <w:color w:val="0D0D0D" w:themeColor="text1" w:themeTint="F2"/>
                <w:spacing w:val="-4"/>
                <w:lang w:val="en-GB"/>
              </w:rPr>
              <w:t xml:space="preserve">down to even </w:t>
            </w:r>
            <w:r w:rsidR="00E87D5B" w:rsidRPr="00D160FB">
              <w:rPr>
                <w:color w:val="0D0D0D" w:themeColor="text1" w:themeTint="F2"/>
                <w:spacing w:val="-4"/>
                <w:lang w:val="en-GB"/>
              </w:rPr>
              <w:t>1%</w:t>
            </w:r>
            <w:r w:rsidR="00CB2AB0" w:rsidRPr="00D160FB">
              <w:rPr>
                <w:color w:val="0D0D0D" w:themeColor="text1" w:themeTint="F2"/>
                <w:spacing w:val="-4"/>
                <w:lang w:val="en-GB"/>
              </w:rPr>
              <w:t xml:space="preserve"> in Q</w:t>
            </w:r>
            <w:r w:rsidR="00E87D5B" w:rsidRPr="00D160FB">
              <w:rPr>
                <w:color w:val="0D0D0D" w:themeColor="text1" w:themeTint="F2"/>
                <w:spacing w:val="-4"/>
                <w:lang w:val="en-GB"/>
              </w:rPr>
              <w:t>4</w:t>
            </w:r>
            <w:r w:rsidR="00CB2AB0" w:rsidRPr="00D160FB">
              <w:rPr>
                <w:color w:val="0D0D0D" w:themeColor="text1" w:themeTint="F2"/>
                <w:spacing w:val="-4"/>
                <w:lang w:val="en-GB"/>
              </w:rPr>
              <w:t xml:space="preserve"> </w:t>
            </w:r>
            <w:r w:rsidR="00E87D5B" w:rsidRPr="00D160FB">
              <w:rPr>
                <w:color w:val="0D0D0D" w:themeColor="text1" w:themeTint="F2"/>
                <w:spacing w:val="-4"/>
                <w:lang w:val="en-GB"/>
              </w:rPr>
              <w:t xml:space="preserve">2022), </w:t>
            </w:r>
            <w:r w:rsidR="00115BC8" w:rsidRPr="00D160FB">
              <w:rPr>
                <w:color w:val="0D0D0D" w:themeColor="text1" w:themeTint="F2"/>
                <w:spacing w:val="-4"/>
                <w:lang w:val="en-GB"/>
              </w:rPr>
              <w:t xml:space="preserve">it was </w:t>
            </w:r>
            <w:r w:rsidR="00E87D5B" w:rsidRPr="00D160FB">
              <w:rPr>
                <w:spacing w:val="-5"/>
                <w:lang w:val="en-GB"/>
              </w:rPr>
              <w:t>2</w:t>
            </w:r>
            <w:r w:rsidR="00115BC8" w:rsidRPr="00D160FB">
              <w:rPr>
                <w:spacing w:val="-5"/>
                <w:lang w:val="en-GB"/>
              </w:rPr>
              <w:t>.</w:t>
            </w:r>
            <w:r w:rsidR="00E87D5B" w:rsidRPr="00D160FB">
              <w:rPr>
                <w:color w:val="0D0D0D" w:themeColor="text1" w:themeTint="F2"/>
                <w:spacing w:val="-4"/>
                <w:lang w:val="en-GB"/>
              </w:rPr>
              <w:t>5</w:t>
            </w:r>
            <w:r w:rsidR="00E87D5B" w:rsidRPr="00D160FB">
              <w:rPr>
                <w:spacing w:val="-5"/>
                <w:lang w:val="en-GB"/>
              </w:rPr>
              <w:t>%</w:t>
            </w:r>
            <w:r w:rsidR="00115BC8" w:rsidRPr="00D160FB">
              <w:rPr>
                <w:spacing w:val="-5"/>
                <w:lang w:val="en-GB"/>
              </w:rPr>
              <w:t xml:space="preserve"> for the whole year</w:t>
            </w:r>
            <w:r w:rsidR="00E87D5B" w:rsidRPr="00D160FB">
              <w:rPr>
                <w:spacing w:val="-5"/>
                <w:lang w:val="en-GB"/>
              </w:rPr>
              <w:t xml:space="preserve"> (</w:t>
            </w:r>
            <w:r w:rsidR="00115BC8" w:rsidRPr="00D160FB">
              <w:rPr>
                <w:spacing w:val="-5"/>
                <w:lang w:val="en-GB"/>
              </w:rPr>
              <w:t xml:space="preserve">after </w:t>
            </w:r>
            <w:r w:rsidR="00E87D5B" w:rsidRPr="00D160FB">
              <w:rPr>
                <w:spacing w:val="-5"/>
                <w:lang w:val="en-GB"/>
              </w:rPr>
              <w:t>3</w:t>
            </w:r>
            <w:r w:rsidR="00115BC8" w:rsidRPr="00D160FB">
              <w:rPr>
                <w:spacing w:val="-5"/>
                <w:lang w:val="en-GB"/>
              </w:rPr>
              <w:t>.</w:t>
            </w:r>
            <w:r w:rsidR="00E87D5B" w:rsidRPr="00D160FB">
              <w:rPr>
                <w:spacing w:val="-5"/>
                <w:lang w:val="en-GB"/>
              </w:rPr>
              <w:t>4%</w:t>
            </w:r>
            <w:r w:rsidR="00115BC8" w:rsidRPr="00D160FB">
              <w:rPr>
                <w:spacing w:val="-5"/>
                <w:lang w:val="en-GB"/>
              </w:rPr>
              <w:t xml:space="preserve"> from year </w:t>
            </w:r>
            <w:r w:rsidR="00E87D5B" w:rsidRPr="00D160FB">
              <w:rPr>
                <w:spacing w:val="-5"/>
                <w:lang w:val="en-GB"/>
              </w:rPr>
              <w:t xml:space="preserve">2021). </w:t>
            </w:r>
            <w:r w:rsidR="00AE207E" w:rsidRPr="00D160FB">
              <w:rPr>
                <w:spacing w:val="-5"/>
                <w:lang w:val="en-GB"/>
              </w:rPr>
              <w:t xml:space="preserve">Even despite this slowdown, </w:t>
            </w:r>
            <w:r w:rsidR="00DE3503" w:rsidRPr="00D160FB">
              <w:rPr>
                <w:spacing w:val="-5"/>
                <w:lang w:val="en-GB"/>
              </w:rPr>
              <w:t xml:space="preserve">all main divisions of services contributed to the economic growth last year </w:t>
            </w:r>
            <w:r w:rsidR="00E87D5B" w:rsidRPr="00D160FB">
              <w:rPr>
                <w:spacing w:val="-5"/>
                <w:lang w:val="en-GB"/>
              </w:rPr>
              <w:t xml:space="preserve">– </w:t>
            </w:r>
            <w:r w:rsidR="00E2291F">
              <w:rPr>
                <w:spacing w:val="-5"/>
                <w:lang w:val="en-GB"/>
              </w:rPr>
              <w:t>the segment T</w:t>
            </w:r>
            <w:r w:rsidR="003F0CC3" w:rsidRPr="00D160FB">
              <w:rPr>
                <w:spacing w:val="-5"/>
                <w:lang w:val="en-GB"/>
              </w:rPr>
              <w:t xml:space="preserve">rade, transportation, accommodation and food service </w:t>
            </w:r>
            <w:r w:rsidR="00E87D5B" w:rsidRPr="00D160FB">
              <w:rPr>
                <w:spacing w:val="-4"/>
                <w:lang w:val="en-GB"/>
              </w:rPr>
              <w:t>(+0</w:t>
            </w:r>
            <w:r w:rsidR="003F0CC3" w:rsidRPr="00D160FB">
              <w:rPr>
                <w:spacing w:val="-4"/>
                <w:lang w:val="en-GB"/>
              </w:rPr>
              <w:t>.</w:t>
            </w:r>
            <w:r w:rsidR="00E87D5B" w:rsidRPr="00D160FB">
              <w:rPr>
                <w:spacing w:val="-4"/>
                <w:lang w:val="en-GB"/>
              </w:rPr>
              <w:t>6 p.</w:t>
            </w:r>
            <w:r w:rsidR="003F0CC3" w:rsidRPr="00D160FB">
              <w:rPr>
                <w:spacing w:val="-4"/>
                <w:lang w:val="en-GB"/>
              </w:rPr>
              <w:t>p</w:t>
            </w:r>
            <w:r w:rsidR="00E87D5B" w:rsidRPr="00D160FB">
              <w:rPr>
                <w:spacing w:val="-4"/>
                <w:lang w:val="en-GB"/>
              </w:rPr>
              <w:t>.)</w:t>
            </w:r>
            <w:r w:rsidR="003F0CC3" w:rsidRPr="00D160FB">
              <w:rPr>
                <w:spacing w:val="-4"/>
                <w:lang w:val="en-GB"/>
              </w:rPr>
              <w:t xml:space="preserve"> the most</w:t>
            </w:r>
            <w:r w:rsidR="00E87D5B" w:rsidRPr="00D160FB">
              <w:rPr>
                <w:spacing w:val="-4"/>
                <w:lang w:val="en-GB"/>
              </w:rPr>
              <w:t xml:space="preserve">. </w:t>
            </w:r>
            <w:r w:rsidR="00E2291F">
              <w:rPr>
                <w:spacing w:val="-4"/>
                <w:lang w:val="en-GB"/>
              </w:rPr>
              <w:t>The GVA</w:t>
            </w:r>
            <w:r w:rsidR="002024FA" w:rsidRPr="00D160FB">
              <w:rPr>
                <w:spacing w:val="-4"/>
                <w:lang w:val="en-GB"/>
              </w:rPr>
              <w:t xml:space="preserve"> however grew the most dynamically in other </w:t>
            </w:r>
            <w:r w:rsidR="00B659B0" w:rsidRPr="00D160FB">
              <w:rPr>
                <w:spacing w:val="-4"/>
                <w:lang w:val="en-GB"/>
              </w:rPr>
              <w:t>services activities</w:t>
            </w:r>
            <w:r w:rsidR="00E87D5B" w:rsidRPr="00D160FB">
              <w:rPr>
                <w:rStyle w:val="Znakapoznpodarou"/>
                <w:color w:val="0D0D0D" w:themeColor="text1" w:themeTint="F2"/>
                <w:spacing w:val="-4"/>
                <w:lang w:val="en-GB"/>
              </w:rPr>
              <w:footnoteReference w:id="4"/>
            </w:r>
            <w:r w:rsidR="00E87D5B" w:rsidRPr="00D160FB">
              <w:rPr>
                <w:color w:val="0D0D0D" w:themeColor="text1" w:themeTint="F2"/>
                <w:spacing w:val="-4"/>
                <w:lang w:val="en-GB"/>
              </w:rPr>
              <w:t xml:space="preserve"> (+9</w:t>
            </w:r>
            <w:r w:rsidR="00B659B0" w:rsidRPr="00D160FB">
              <w:rPr>
                <w:color w:val="0D0D0D" w:themeColor="text1" w:themeTint="F2"/>
                <w:spacing w:val="-4"/>
                <w:lang w:val="en-GB"/>
              </w:rPr>
              <w:t>.</w:t>
            </w:r>
            <w:r w:rsidR="00E87D5B" w:rsidRPr="00D160FB">
              <w:rPr>
                <w:color w:val="0D0D0D" w:themeColor="text1" w:themeTint="F2"/>
                <w:spacing w:val="-4"/>
                <w:lang w:val="en-GB"/>
              </w:rPr>
              <w:t xml:space="preserve">5%), </w:t>
            </w:r>
            <w:r w:rsidR="005346B6" w:rsidRPr="00D160FB">
              <w:rPr>
                <w:color w:val="0D0D0D" w:themeColor="text1" w:themeTint="F2"/>
                <w:spacing w:val="-4"/>
                <w:lang w:val="en-GB"/>
              </w:rPr>
              <w:t xml:space="preserve">partially due to the effect of low comparative basis from the beginning of year </w:t>
            </w:r>
            <w:r w:rsidR="00E87D5B" w:rsidRPr="00D160FB">
              <w:rPr>
                <w:spacing w:val="-4"/>
                <w:lang w:val="en-GB"/>
              </w:rPr>
              <w:t xml:space="preserve">2021, </w:t>
            </w:r>
            <w:r w:rsidR="005346B6" w:rsidRPr="00D160FB">
              <w:rPr>
                <w:spacing w:val="-4"/>
                <w:lang w:val="en-GB"/>
              </w:rPr>
              <w:t xml:space="preserve">when these services were </w:t>
            </w:r>
            <w:r w:rsidR="001A6CDD" w:rsidRPr="00D160FB">
              <w:rPr>
                <w:spacing w:val="-4"/>
                <w:lang w:val="en-GB"/>
              </w:rPr>
              <w:t xml:space="preserve">as a result of government counter pandemic measures considerably restricted. </w:t>
            </w:r>
            <w:r w:rsidR="001E6DD9" w:rsidRPr="00D160FB">
              <w:rPr>
                <w:spacing w:val="-4"/>
                <w:lang w:val="en-GB"/>
              </w:rPr>
              <w:t xml:space="preserve">In the long-term prospering information and communication the GVA increased by even </w:t>
            </w:r>
            <w:r w:rsidR="00E87D5B" w:rsidRPr="00D160FB">
              <w:rPr>
                <w:spacing w:val="-4"/>
                <w:lang w:val="en-GB"/>
              </w:rPr>
              <w:t>5%</w:t>
            </w:r>
            <w:r w:rsidR="001E6DD9" w:rsidRPr="00D160FB">
              <w:rPr>
                <w:spacing w:val="-4"/>
                <w:lang w:val="en-GB"/>
              </w:rPr>
              <w:t xml:space="preserve"> last year</w:t>
            </w:r>
            <w:r w:rsidR="00E87D5B" w:rsidRPr="00D160FB">
              <w:rPr>
                <w:spacing w:val="-4"/>
                <w:lang w:val="en-GB"/>
              </w:rPr>
              <w:t xml:space="preserve"> (</w:t>
            </w:r>
            <w:r w:rsidR="00513175" w:rsidRPr="00D160FB">
              <w:rPr>
                <w:spacing w:val="-4"/>
                <w:lang w:val="en-GB"/>
              </w:rPr>
              <w:t xml:space="preserve">the growth narrowed to </w:t>
            </w:r>
            <w:r w:rsidR="00E87D5B" w:rsidRPr="00D160FB">
              <w:rPr>
                <w:spacing w:val="-4"/>
                <w:lang w:val="en-GB"/>
              </w:rPr>
              <w:t>2</w:t>
            </w:r>
            <w:r w:rsidR="00513175" w:rsidRPr="00D160FB">
              <w:rPr>
                <w:spacing w:val="-4"/>
                <w:lang w:val="en-GB"/>
              </w:rPr>
              <w:t>.</w:t>
            </w:r>
            <w:r w:rsidR="00E87D5B" w:rsidRPr="00D160FB">
              <w:rPr>
                <w:spacing w:val="-4"/>
                <w:lang w:val="en-GB"/>
              </w:rPr>
              <w:t>5%</w:t>
            </w:r>
            <w:r w:rsidR="00513175" w:rsidRPr="00D160FB">
              <w:rPr>
                <w:spacing w:val="-4"/>
                <w:lang w:val="en-GB"/>
              </w:rPr>
              <w:t xml:space="preserve"> in Q4 </w:t>
            </w:r>
            <w:r w:rsidR="00E2291F">
              <w:rPr>
                <w:spacing w:val="-4"/>
                <w:lang w:val="en-GB"/>
              </w:rPr>
              <w:t xml:space="preserve">2022 </w:t>
            </w:r>
            <w:r w:rsidR="00513175" w:rsidRPr="00D160FB">
              <w:rPr>
                <w:spacing w:val="-4"/>
                <w:lang w:val="en-GB"/>
              </w:rPr>
              <w:t>itself</w:t>
            </w:r>
            <w:r w:rsidR="00E87D5B" w:rsidRPr="00D160FB">
              <w:rPr>
                <w:spacing w:val="-4"/>
                <w:lang w:val="en-GB"/>
              </w:rPr>
              <w:t>,</w:t>
            </w:r>
            <w:r w:rsidR="00513175" w:rsidRPr="00D160FB">
              <w:rPr>
                <w:spacing w:val="-4"/>
                <w:lang w:val="en-GB"/>
              </w:rPr>
              <w:t xml:space="preserve"> which was the least since the end of year </w:t>
            </w:r>
            <w:r w:rsidR="00E87D5B" w:rsidRPr="00D160FB">
              <w:rPr>
                <w:spacing w:val="-4"/>
                <w:lang w:val="en-GB"/>
              </w:rPr>
              <w:t xml:space="preserve">2016). </w:t>
            </w:r>
            <w:r w:rsidR="00CB42C0" w:rsidRPr="00D160FB">
              <w:rPr>
                <w:spacing w:val="-4"/>
                <w:lang w:val="en-GB"/>
              </w:rPr>
              <w:t>It was associated with weakening demand in the wider spectrum of services for businesses</w:t>
            </w:r>
            <w:r w:rsidR="00E87D5B" w:rsidRPr="00D160FB">
              <w:rPr>
                <w:spacing w:val="-4"/>
                <w:lang w:val="en-GB"/>
              </w:rPr>
              <w:t xml:space="preserve">. </w:t>
            </w:r>
            <w:r w:rsidR="00CB42C0" w:rsidRPr="00D160FB">
              <w:rPr>
                <w:spacing w:val="-4"/>
                <w:lang w:val="en-GB"/>
              </w:rPr>
              <w:t xml:space="preserve">On the contrary, </w:t>
            </w:r>
            <w:r w:rsidR="001C2439" w:rsidRPr="00D160FB">
              <w:rPr>
                <w:spacing w:val="-4"/>
                <w:lang w:val="en-GB"/>
              </w:rPr>
              <w:t>the bloom of activities in the area of real estate continued despite the slump of the mortgage m</w:t>
            </w:r>
            <w:r w:rsidR="00E2291F">
              <w:rPr>
                <w:spacing w:val="-4"/>
                <w:lang w:val="en-GB"/>
              </w:rPr>
              <w:t>arket throughout the whole year.</w:t>
            </w:r>
            <w:r w:rsidR="001C2439" w:rsidRPr="00D160FB">
              <w:rPr>
                <w:spacing w:val="-4"/>
                <w:lang w:val="en-GB"/>
              </w:rPr>
              <w:t xml:space="preserve"> </w:t>
            </w:r>
            <w:r w:rsidR="00E2291F">
              <w:rPr>
                <w:spacing w:val="-4"/>
                <w:lang w:val="en-GB"/>
              </w:rPr>
              <w:t>T</w:t>
            </w:r>
            <w:r w:rsidR="009A16E6" w:rsidRPr="00D160FB">
              <w:rPr>
                <w:spacing w:val="-4"/>
                <w:lang w:val="en-GB"/>
              </w:rPr>
              <w:t xml:space="preserve">he performance of this branch was however compared to year </w:t>
            </w:r>
            <w:r w:rsidR="00E87D5B" w:rsidRPr="00D160FB">
              <w:rPr>
                <w:spacing w:val="-4"/>
                <w:lang w:val="en-GB"/>
              </w:rPr>
              <w:t>2019</w:t>
            </w:r>
            <w:r w:rsidR="009A16E6" w:rsidRPr="00D160FB">
              <w:rPr>
                <w:spacing w:val="-4"/>
                <w:lang w:val="en-GB"/>
              </w:rPr>
              <w:t xml:space="preserve"> still lower at the end of the </w:t>
            </w:r>
            <w:r w:rsidR="00E2291F">
              <w:rPr>
                <w:spacing w:val="-4"/>
                <w:lang w:val="en-GB"/>
              </w:rPr>
              <w:t xml:space="preserve">last </w:t>
            </w:r>
            <w:r w:rsidR="009A16E6" w:rsidRPr="00D160FB">
              <w:rPr>
                <w:spacing w:val="-4"/>
                <w:lang w:val="en-GB"/>
              </w:rPr>
              <w:t xml:space="preserve">year </w:t>
            </w:r>
            <w:r w:rsidR="00E87D5B" w:rsidRPr="00D160FB">
              <w:rPr>
                <w:spacing w:val="-4"/>
                <w:lang w:val="en-GB"/>
              </w:rPr>
              <w:t>(</w:t>
            </w:r>
            <w:r w:rsidR="009A16E6" w:rsidRPr="00D160FB">
              <w:rPr>
                <w:spacing w:val="-4"/>
                <w:lang w:val="en-GB"/>
              </w:rPr>
              <w:t xml:space="preserve">by </w:t>
            </w:r>
            <w:r w:rsidR="00E87D5B" w:rsidRPr="00D160FB">
              <w:rPr>
                <w:spacing w:val="-4"/>
                <w:lang w:val="en-GB"/>
              </w:rPr>
              <w:t xml:space="preserve">2%). </w:t>
            </w:r>
            <w:r w:rsidR="00540F2B" w:rsidRPr="00D160FB">
              <w:rPr>
                <w:spacing w:val="-4"/>
                <w:lang w:val="en-GB"/>
              </w:rPr>
              <w:t>Public services register</w:t>
            </w:r>
            <w:r w:rsidR="00E2291F">
              <w:rPr>
                <w:spacing w:val="-4"/>
                <w:lang w:val="en-GB"/>
              </w:rPr>
              <w:t>ed</w:t>
            </w:r>
            <w:r w:rsidR="00540F2B" w:rsidRPr="00D160FB">
              <w:rPr>
                <w:spacing w:val="-4"/>
                <w:lang w:val="en-GB"/>
              </w:rPr>
              <w:t xml:space="preserve"> moderate, </w:t>
            </w:r>
            <w:r w:rsidR="00424050" w:rsidRPr="00D160FB">
              <w:rPr>
                <w:spacing w:val="-4"/>
                <w:lang w:val="en-GB"/>
              </w:rPr>
              <w:t xml:space="preserve">nevertheless long-time </w:t>
            </w:r>
            <w:r w:rsidR="00540F2B" w:rsidRPr="00D160FB">
              <w:rPr>
                <w:spacing w:val="-4"/>
                <w:lang w:val="en-GB"/>
              </w:rPr>
              <w:t>stable</w:t>
            </w:r>
            <w:r w:rsidR="00424050" w:rsidRPr="00D160FB">
              <w:rPr>
                <w:spacing w:val="-4"/>
                <w:lang w:val="en-GB"/>
              </w:rPr>
              <w:t xml:space="preserve"> GVA growth </w:t>
            </w:r>
            <w:r w:rsidR="00E87D5B" w:rsidRPr="00D160FB">
              <w:rPr>
                <w:spacing w:val="-4"/>
                <w:lang w:val="en-GB"/>
              </w:rPr>
              <w:t>(1</w:t>
            </w:r>
            <w:r w:rsidR="00963B36" w:rsidRPr="00D160FB">
              <w:rPr>
                <w:spacing w:val="-4"/>
                <w:lang w:val="en-GB"/>
              </w:rPr>
              <w:t>.</w:t>
            </w:r>
            <w:r w:rsidR="00E87D5B" w:rsidRPr="00D160FB">
              <w:rPr>
                <w:spacing w:val="-4"/>
                <w:lang w:val="en-GB"/>
              </w:rPr>
              <w:t>2%</w:t>
            </w:r>
            <w:r w:rsidR="00963B36" w:rsidRPr="00D160FB">
              <w:rPr>
                <w:spacing w:val="-4"/>
                <w:lang w:val="en-GB"/>
              </w:rPr>
              <w:t xml:space="preserve"> last year</w:t>
            </w:r>
            <w:r w:rsidR="00E87D5B" w:rsidRPr="00D160FB">
              <w:rPr>
                <w:spacing w:val="-4"/>
                <w:lang w:val="en-GB"/>
              </w:rPr>
              <w:t xml:space="preserve">). </w:t>
            </w:r>
          </w:p>
        </w:tc>
      </w:tr>
      <w:tr w:rsidR="00A7439C" w:rsidRPr="00D160FB" w14:paraId="3536519D" w14:textId="77777777" w:rsidTr="00976631">
        <w:trPr>
          <w:trHeight w:val="145"/>
        </w:trPr>
        <w:tc>
          <w:tcPr>
            <w:tcW w:w="1780" w:type="dxa"/>
            <w:tcBorders>
              <w:top w:val="nil"/>
              <w:left w:val="nil"/>
              <w:bottom w:val="nil"/>
              <w:right w:val="nil"/>
            </w:tcBorders>
            <w:shd w:val="clear" w:color="auto" w:fill="auto"/>
            <w:tcMar>
              <w:left w:w="0" w:type="dxa"/>
            </w:tcMar>
          </w:tcPr>
          <w:p w14:paraId="08512C17" w14:textId="7FA4090B" w:rsidR="00E87D5B" w:rsidRPr="00D160FB" w:rsidRDefault="00E41463" w:rsidP="00C8019E">
            <w:pPr>
              <w:pStyle w:val="Marginlie"/>
              <w:rPr>
                <w:color w:val="0D0D0D" w:themeColor="text1" w:themeTint="F2"/>
                <w:spacing w:val="-4"/>
                <w:lang w:val="en-GB"/>
              </w:rPr>
            </w:pPr>
            <w:r w:rsidRPr="00D160FB">
              <w:rPr>
                <w:color w:val="0D0D0D" w:themeColor="text1" w:themeTint="F2"/>
                <w:spacing w:val="-4"/>
                <w:lang w:val="en-GB"/>
              </w:rPr>
              <w:t xml:space="preserve">GVA growth </w:t>
            </w:r>
            <w:r w:rsidR="00E917A5" w:rsidRPr="00D160FB">
              <w:rPr>
                <w:color w:val="0D0D0D" w:themeColor="text1" w:themeTint="F2"/>
                <w:spacing w:val="-4"/>
                <w:lang w:val="en-GB"/>
              </w:rPr>
              <w:t xml:space="preserve">in manufacturing </w:t>
            </w:r>
            <w:r w:rsidR="00A308D6" w:rsidRPr="00D160FB">
              <w:rPr>
                <w:color w:val="0D0D0D" w:themeColor="text1" w:themeTint="F2"/>
                <w:spacing w:val="-4"/>
                <w:lang w:val="en-GB"/>
              </w:rPr>
              <w:t xml:space="preserve">was maintained even at the end of year 2022 unlike the energy industry as well as construction. </w:t>
            </w:r>
            <w:r w:rsidR="00E87D5B" w:rsidRPr="00D160FB">
              <w:rPr>
                <w:color w:val="0D0D0D" w:themeColor="text1" w:themeTint="F2"/>
                <w:spacing w:val="-4"/>
                <w:lang w:val="en-GB"/>
              </w:rPr>
              <w:t xml:space="preserve"> </w:t>
            </w:r>
          </w:p>
          <w:p w14:paraId="2D152834" w14:textId="77777777" w:rsidR="00E87D5B" w:rsidRPr="00D160FB" w:rsidRDefault="00E87D5B" w:rsidP="00C8019E">
            <w:pPr>
              <w:pStyle w:val="Marginlie"/>
              <w:rPr>
                <w:color w:val="0D0D0D" w:themeColor="text1" w:themeTint="F2"/>
                <w:spacing w:val="-4"/>
                <w:lang w:val="en-GB"/>
              </w:rPr>
            </w:pPr>
          </w:p>
          <w:p w14:paraId="1FB40F0F" w14:textId="77777777" w:rsidR="00E87D5B" w:rsidRPr="00D160FB" w:rsidRDefault="00E87D5B" w:rsidP="00C8019E">
            <w:pPr>
              <w:pStyle w:val="Marginlie"/>
              <w:rPr>
                <w:color w:val="0D0D0D" w:themeColor="text1" w:themeTint="F2"/>
                <w:spacing w:val="-4"/>
                <w:lang w:val="en-GB"/>
              </w:rPr>
            </w:pPr>
          </w:p>
          <w:p w14:paraId="59B286D1" w14:textId="77777777" w:rsidR="00E87D5B" w:rsidRPr="00D160FB" w:rsidRDefault="00E87D5B" w:rsidP="00C8019E">
            <w:pPr>
              <w:pStyle w:val="Marginlie"/>
              <w:rPr>
                <w:color w:val="0D0D0D" w:themeColor="text1" w:themeTint="F2"/>
                <w:spacing w:val="-4"/>
                <w:lang w:val="en-GB"/>
              </w:rPr>
            </w:pPr>
          </w:p>
          <w:p w14:paraId="6BED332C" w14:textId="46D1F275" w:rsidR="00E87D5B" w:rsidRPr="00D160FB" w:rsidRDefault="00C50101" w:rsidP="00806C53">
            <w:pPr>
              <w:pStyle w:val="Marginlie"/>
              <w:rPr>
                <w:color w:val="0D0D0D" w:themeColor="text1" w:themeTint="F2"/>
                <w:spacing w:val="-4"/>
                <w:lang w:val="en-GB"/>
              </w:rPr>
            </w:pPr>
            <w:r w:rsidRPr="00D160FB">
              <w:rPr>
                <w:color w:val="0D0D0D" w:themeColor="text1" w:themeTint="F2"/>
                <w:spacing w:val="-4"/>
                <w:lang w:val="en-GB"/>
              </w:rPr>
              <w:t xml:space="preserve">Decrease of the </w:t>
            </w:r>
            <w:r w:rsidR="007E442B" w:rsidRPr="00D160FB">
              <w:rPr>
                <w:color w:val="0D0D0D" w:themeColor="text1" w:themeTint="F2"/>
                <w:spacing w:val="-4"/>
                <w:lang w:val="en-GB"/>
              </w:rPr>
              <w:t>wood logging continued for the second year in a row. T</w:t>
            </w:r>
            <w:r w:rsidR="00806C53" w:rsidRPr="00D160FB">
              <w:rPr>
                <w:color w:val="0D0D0D" w:themeColor="text1" w:themeTint="F2"/>
                <w:spacing w:val="-4"/>
                <w:lang w:val="en-GB"/>
              </w:rPr>
              <w:t xml:space="preserve">he crop of cereals was above average again. </w:t>
            </w:r>
          </w:p>
          <w:p w14:paraId="0AA6BB70" w14:textId="77777777" w:rsidR="006B662A" w:rsidRDefault="006B662A" w:rsidP="00C8019E">
            <w:pPr>
              <w:pStyle w:val="Marginlie"/>
              <w:rPr>
                <w:color w:val="0D0D0D" w:themeColor="text1" w:themeTint="F2"/>
                <w:spacing w:val="-4"/>
                <w:lang w:val="en-GB"/>
              </w:rPr>
            </w:pPr>
          </w:p>
          <w:p w14:paraId="05D11959" w14:textId="15ADDC5B" w:rsidR="00E87D5B" w:rsidRPr="00D160FB" w:rsidRDefault="00932098" w:rsidP="00C8019E">
            <w:pPr>
              <w:pStyle w:val="Marginlie"/>
              <w:rPr>
                <w:color w:val="0D0D0D" w:themeColor="text1" w:themeTint="F2"/>
                <w:spacing w:val="-4"/>
                <w:lang w:val="en-GB"/>
              </w:rPr>
            </w:pPr>
            <w:r w:rsidRPr="00D160FB">
              <w:rPr>
                <w:color w:val="0D0D0D" w:themeColor="text1" w:themeTint="F2"/>
                <w:spacing w:val="-4"/>
                <w:lang w:val="en-GB"/>
              </w:rPr>
              <w:lastRenderedPageBreak/>
              <w:t xml:space="preserve">Rising production costs as well as weaker consumer </w:t>
            </w:r>
            <w:r w:rsidR="006B662A">
              <w:rPr>
                <w:color w:val="0D0D0D" w:themeColor="text1" w:themeTint="F2"/>
                <w:spacing w:val="-4"/>
                <w:lang w:val="en-GB"/>
              </w:rPr>
              <w:t>demand</w:t>
            </w:r>
            <w:r w:rsidR="00D85668" w:rsidRPr="00D160FB">
              <w:rPr>
                <w:color w:val="0D0D0D" w:themeColor="text1" w:themeTint="F2"/>
                <w:spacing w:val="-4"/>
                <w:lang w:val="en-GB"/>
              </w:rPr>
              <w:t xml:space="preserve"> added to the decrease of the meat production. </w:t>
            </w:r>
          </w:p>
        </w:tc>
        <w:tc>
          <w:tcPr>
            <w:tcW w:w="200" w:type="dxa"/>
            <w:tcBorders>
              <w:top w:val="nil"/>
              <w:left w:val="nil"/>
              <w:bottom w:val="nil"/>
              <w:right w:val="nil"/>
            </w:tcBorders>
            <w:shd w:val="clear" w:color="auto" w:fill="auto"/>
            <w:tcMar>
              <w:left w:w="0" w:type="dxa"/>
            </w:tcMar>
          </w:tcPr>
          <w:p w14:paraId="41C61046" w14:textId="77777777" w:rsidR="00E87D5B" w:rsidRPr="00D160FB" w:rsidRDefault="00E87D5B" w:rsidP="00C8019E">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666B15F5" w14:textId="32A9549E" w:rsidR="00E87D5B" w:rsidRPr="00D160FB" w:rsidRDefault="00B55437" w:rsidP="00C8019E">
            <w:pPr>
              <w:rPr>
                <w:spacing w:val="-4"/>
                <w:lang w:val="en-GB"/>
              </w:rPr>
            </w:pPr>
            <w:r w:rsidRPr="00D160FB">
              <w:rPr>
                <w:color w:val="0D0D0D" w:themeColor="text1" w:themeTint="F2"/>
                <w:spacing w:val="-4"/>
                <w:lang w:val="en-GB"/>
              </w:rPr>
              <w:t xml:space="preserve">Among the branches outside the services sector, the GVA grew the most in manufacturing last year </w:t>
            </w:r>
            <w:r w:rsidR="00E87D5B" w:rsidRPr="00D160FB">
              <w:rPr>
                <w:color w:val="0D0D0D" w:themeColor="text1" w:themeTint="F2"/>
                <w:spacing w:val="-4"/>
                <w:lang w:val="en-GB"/>
              </w:rPr>
              <w:t>(+2</w:t>
            </w:r>
            <w:r w:rsidRPr="00D160FB">
              <w:rPr>
                <w:color w:val="0D0D0D" w:themeColor="text1" w:themeTint="F2"/>
                <w:spacing w:val="-4"/>
                <w:lang w:val="en-GB"/>
              </w:rPr>
              <w:t>.</w:t>
            </w:r>
            <w:r w:rsidR="00E87D5B" w:rsidRPr="00D160FB">
              <w:rPr>
                <w:color w:val="0D0D0D" w:themeColor="text1" w:themeTint="F2"/>
                <w:spacing w:val="-4"/>
                <w:lang w:val="en-GB"/>
              </w:rPr>
              <w:t xml:space="preserve">9%, </w:t>
            </w:r>
            <w:r w:rsidR="0020473C" w:rsidRPr="00D160FB">
              <w:rPr>
                <w:color w:val="0D0D0D" w:themeColor="text1" w:themeTint="F2"/>
                <w:spacing w:val="-4"/>
                <w:lang w:val="en-GB"/>
              </w:rPr>
              <w:t xml:space="preserve">contribution to the growth of the whole economy </w:t>
            </w:r>
            <w:r w:rsidR="00E87D5B" w:rsidRPr="00D160FB">
              <w:rPr>
                <w:color w:val="0D0D0D" w:themeColor="text1" w:themeTint="F2"/>
                <w:spacing w:val="-4"/>
                <w:lang w:val="en-GB"/>
              </w:rPr>
              <w:t>+0</w:t>
            </w:r>
            <w:r w:rsidR="0020473C" w:rsidRPr="00D160FB">
              <w:rPr>
                <w:color w:val="0D0D0D" w:themeColor="text1" w:themeTint="F2"/>
                <w:spacing w:val="-4"/>
                <w:lang w:val="en-GB"/>
              </w:rPr>
              <w:t>.</w:t>
            </w:r>
            <w:r w:rsidR="00E87D5B" w:rsidRPr="00D160FB">
              <w:rPr>
                <w:color w:val="0D0D0D" w:themeColor="text1" w:themeTint="F2"/>
                <w:spacing w:val="-4"/>
                <w:lang w:val="en-GB"/>
              </w:rPr>
              <w:t>7 p.</w:t>
            </w:r>
            <w:r w:rsidR="0020473C" w:rsidRPr="00D160FB">
              <w:rPr>
                <w:color w:val="0D0D0D" w:themeColor="text1" w:themeTint="F2"/>
                <w:spacing w:val="-4"/>
                <w:lang w:val="en-GB"/>
              </w:rPr>
              <w:t>p</w:t>
            </w:r>
            <w:r w:rsidR="00E87D5B" w:rsidRPr="00D160FB">
              <w:rPr>
                <w:color w:val="0D0D0D" w:themeColor="text1" w:themeTint="F2"/>
                <w:spacing w:val="-4"/>
                <w:lang w:val="en-GB"/>
              </w:rPr>
              <w:t xml:space="preserve">.), </w:t>
            </w:r>
            <w:r w:rsidR="00DA2E21" w:rsidRPr="00D160FB">
              <w:rPr>
                <w:color w:val="0D0D0D" w:themeColor="text1" w:themeTint="F2"/>
                <w:spacing w:val="-4"/>
                <w:lang w:val="en-GB"/>
              </w:rPr>
              <w:t xml:space="preserve">which profited from the solid both domestic and foreign demand and thus maintained its growth </w:t>
            </w:r>
            <w:r w:rsidRPr="00D160FB">
              <w:rPr>
                <w:color w:val="0D0D0D" w:themeColor="text1" w:themeTint="F2"/>
                <w:spacing w:val="-4"/>
                <w:lang w:val="en-GB"/>
              </w:rPr>
              <w:t xml:space="preserve">at the end of the year as well. </w:t>
            </w:r>
            <w:r w:rsidR="00E87D5B" w:rsidRPr="00D160FB">
              <w:rPr>
                <w:color w:val="0D0D0D" w:themeColor="text1" w:themeTint="F2"/>
                <w:spacing w:val="-4"/>
                <w:lang w:val="en-GB"/>
              </w:rPr>
              <w:t>T</w:t>
            </w:r>
            <w:r w:rsidR="00783B17" w:rsidRPr="00D160FB">
              <w:rPr>
                <w:color w:val="0D0D0D" w:themeColor="text1" w:themeTint="F2"/>
                <w:spacing w:val="-4"/>
                <w:lang w:val="en-GB"/>
              </w:rPr>
              <w:t xml:space="preserve">his is not valid for other branches – energy industry or construction. </w:t>
            </w:r>
            <w:r w:rsidR="00E2291F">
              <w:rPr>
                <w:color w:val="0D0D0D" w:themeColor="text1" w:themeTint="F2"/>
                <w:spacing w:val="-4"/>
                <w:lang w:val="en-GB"/>
              </w:rPr>
              <w:t>The GVA fell by 2.4% in the branch A</w:t>
            </w:r>
            <w:r w:rsidR="00744F9D" w:rsidRPr="00D160FB">
              <w:rPr>
                <w:color w:val="0D0D0D" w:themeColor="text1" w:themeTint="F2"/>
                <w:spacing w:val="-4"/>
                <w:lang w:val="en-GB"/>
              </w:rPr>
              <w:t xml:space="preserve">griculture, forestry and fishing last year and mitigated the </w:t>
            </w:r>
            <w:r w:rsidR="00E2291F">
              <w:rPr>
                <w:color w:val="0D0D0D" w:themeColor="text1" w:themeTint="F2"/>
                <w:spacing w:val="-4"/>
                <w:lang w:val="en-GB"/>
              </w:rPr>
              <w:t xml:space="preserve">15% </w:t>
            </w:r>
            <w:r w:rsidR="00744F9D" w:rsidRPr="00D160FB">
              <w:rPr>
                <w:color w:val="0D0D0D" w:themeColor="text1" w:themeTint="F2"/>
                <w:spacing w:val="-4"/>
                <w:lang w:val="en-GB"/>
              </w:rPr>
              <w:t xml:space="preserve">slump </w:t>
            </w:r>
            <w:r w:rsidR="0010748A" w:rsidRPr="00D160FB">
              <w:rPr>
                <w:color w:val="0D0D0D" w:themeColor="text1" w:themeTint="F2"/>
                <w:spacing w:val="-4"/>
                <w:lang w:val="en-GB"/>
              </w:rPr>
              <w:t xml:space="preserve">from year </w:t>
            </w:r>
            <w:r w:rsidR="00E87D5B" w:rsidRPr="00D160FB">
              <w:rPr>
                <w:spacing w:val="-4"/>
                <w:lang w:val="en-GB"/>
              </w:rPr>
              <w:t xml:space="preserve">2021. </w:t>
            </w:r>
            <w:r w:rsidR="00923AE5" w:rsidRPr="00D160FB">
              <w:rPr>
                <w:spacing w:val="-4"/>
                <w:lang w:val="en-GB"/>
              </w:rPr>
              <w:t xml:space="preserve">The situation </w:t>
            </w:r>
            <w:r w:rsidR="00C113FF" w:rsidRPr="00D160FB">
              <w:rPr>
                <w:spacing w:val="-4"/>
                <w:lang w:val="en-GB"/>
              </w:rPr>
              <w:t xml:space="preserve">in forestry, where the receding bark beetle </w:t>
            </w:r>
            <w:r w:rsidR="00492BBA" w:rsidRPr="00D160FB">
              <w:rPr>
                <w:spacing w:val="-4"/>
                <w:lang w:val="en-GB"/>
              </w:rPr>
              <w:t xml:space="preserve">outbreak </w:t>
            </w:r>
            <w:r w:rsidR="0097053D" w:rsidRPr="00D160FB">
              <w:rPr>
                <w:spacing w:val="-4"/>
                <w:lang w:val="en-GB"/>
              </w:rPr>
              <w:t xml:space="preserve">drastically </w:t>
            </w:r>
            <w:r w:rsidR="00492BBA" w:rsidRPr="00D160FB">
              <w:rPr>
                <w:spacing w:val="-4"/>
                <w:lang w:val="en-GB"/>
              </w:rPr>
              <w:t xml:space="preserve">lowered the need </w:t>
            </w:r>
            <w:r w:rsidR="00A77AE6" w:rsidRPr="00D160FB">
              <w:rPr>
                <w:spacing w:val="-4"/>
                <w:lang w:val="en-GB"/>
              </w:rPr>
              <w:t>for the wood logging</w:t>
            </w:r>
            <w:r w:rsidR="00C50101" w:rsidRPr="00D160FB">
              <w:rPr>
                <w:spacing w:val="-4"/>
                <w:lang w:val="en-GB"/>
              </w:rPr>
              <w:t xml:space="preserve"> for the second year in a row</w:t>
            </w:r>
            <w:r w:rsidR="00A77AE6" w:rsidRPr="00D160FB">
              <w:rPr>
                <w:spacing w:val="-4"/>
                <w:lang w:val="en-GB"/>
              </w:rPr>
              <w:t xml:space="preserve">, </w:t>
            </w:r>
            <w:r w:rsidR="00C113FF" w:rsidRPr="00D160FB">
              <w:rPr>
                <w:spacing w:val="-4"/>
                <w:lang w:val="en-GB"/>
              </w:rPr>
              <w:t>was likely still essential for the development of the whole primary sector</w:t>
            </w:r>
            <w:r w:rsidR="00E87D5B" w:rsidRPr="00D160FB">
              <w:rPr>
                <w:spacing w:val="-4"/>
                <w:lang w:val="en-GB"/>
              </w:rPr>
              <w:t xml:space="preserve">. </w:t>
            </w:r>
            <w:r w:rsidR="00120D41" w:rsidRPr="00D160FB">
              <w:rPr>
                <w:spacing w:val="-4"/>
                <w:lang w:val="en-GB"/>
              </w:rPr>
              <w:t>Total last year</w:t>
            </w:r>
            <w:r w:rsidR="00734926" w:rsidRPr="00D160FB">
              <w:rPr>
                <w:spacing w:val="-4"/>
                <w:lang w:val="en-GB"/>
              </w:rPr>
              <w:t xml:space="preserve">’s harvest of cereals </w:t>
            </w:r>
            <w:r w:rsidR="00F4680A" w:rsidRPr="00D160FB">
              <w:rPr>
                <w:spacing w:val="-4"/>
                <w:lang w:val="en-GB"/>
              </w:rPr>
              <w:t xml:space="preserve">only </w:t>
            </w:r>
            <w:r w:rsidR="00D53AD9" w:rsidRPr="00D160FB">
              <w:rPr>
                <w:spacing w:val="-4"/>
                <w:lang w:val="en-GB"/>
              </w:rPr>
              <w:t>negligibly</w:t>
            </w:r>
            <w:r w:rsidR="00F4680A" w:rsidRPr="00D160FB">
              <w:rPr>
                <w:spacing w:val="-4"/>
                <w:lang w:val="en-GB"/>
              </w:rPr>
              <w:t xml:space="preserve"> lagged behind the </w:t>
            </w:r>
            <w:r w:rsidR="00165310">
              <w:rPr>
                <w:spacing w:val="-4"/>
                <w:lang w:val="en-GB"/>
              </w:rPr>
              <w:t xml:space="preserve">above average </w:t>
            </w:r>
            <w:r w:rsidR="00CF42CB" w:rsidRPr="00D160FB">
              <w:rPr>
                <w:spacing w:val="-4"/>
                <w:lang w:val="en-GB"/>
              </w:rPr>
              <w:t xml:space="preserve">crop </w:t>
            </w:r>
            <w:r w:rsidR="00165310">
              <w:rPr>
                <w:spacing w:val="-4"/>
                <w:lang w:val="en-GB"/>
              </w:rPr>
              <w:t xml:space="preserve">form 2021 </w:t>
            </w:r>
            <w:r w:rsidR="00CF42CB" w:rsidRPr="00D160FB">
              <w:rPr>
                <w:spacing w:val="-4"/>
                <w:lang w:val="en-GB"/>
              </w:rPr>
              <w:t xml:space="preserve">by </w:t>
            </w:r>
            <w:r w:rsidR="00E87D5B" w:rsidRPr="00D160FB">
              <w:rPr>
                <w:spacing w:val="-4"/>
                <w:lang w:val="en-GB"/>
              </w:rPr>
              <w:t>0</w:t>
            </w:r>
            <w:r w:rsidR="00CF42CB" w:rsidRPr="00D160FB">
              <w:rPr>
                <w:spacing w:val="-4"/>
                <w:lang w:val="en-GB"/>
              </w:rPr>
              <w:t>.</w:t>
            </w:r>
            <w:r w:rsidR="00E87D5B" w:rsidRPr="00D160FB">
              <w:rPr>
                <w:spacing w:val="-4"/>
                <w:lang w:val="en-GB"/>
              </w:rPr>
              <w:t>1%</w:t>
            </w:r>
            <w:r w:rsidR="00E87D5B" w:rsidRPr="00D160FB">
              <w:rPr>
                <w:rStyle w:val="Znakapoznpodarou"/>
                <w:spacing w:val="-4"/>
                <w:lang w:val="en-GB"/>
              </w:rPr>
              <w:footnoteReference w:id="5"/>
            </w:r>
            <w:r w:rsidR="00E87D5B" w:rsidRPr="00D160FB">
              <w:rPr>
                <w:spacing w:val="-4"/>
                <w:lang w:val="en-GB"/>
              </w:rPr>
              <w:t xml:space="preserve">. </w:t>
            </w:r>
            <w:r w:rsidR="006C2EAB" w:rsidRPr="00D160FB">
              <w:rPr>
                <w:spacing w:val="-4"/>
                <w:lang w:val="en-GB"/>
              </w:rPr>
              <w:t>Deeper slump of the harvest of</w:t>
            </w:r>
            <w:r w:rsidR="009227A9" w:rsidRPr="00D160FB">
              <w:rPr>
                <w:spacing w:val="-4"/>
                <w:lang w:val="en-GB"/>
              </w:rPr>
              <w:t xml:space="preserve"> grain maize</w:t>
            </w:r>
            <w:r w:rsidR="00B54058" w:rsidRPr="00D160FB">
              <w:rPr>
                <w:spacing w:val="-4"/>
                <w:lang w:val="en-GB"/>
              </w:rPr>
              <w:t xml:space="preserve"> </w:t>
            </w:r>
            <w:r w:rsidR="005C31D1" w:rsidRPr="00D160FB">
              <w:rPr>
                <w:spacing w:val="-4"/>
                <w:lang w:val="en-GB"/>
              </w:rPr>
              <w:t>was offset by the growth for wheat and barley</w:t>
            </w:r>
            <w:r w:rsidR="0073044E" w:rsidRPr="00D160FB">
              <w:rPr>
                <w:spacing w:val="-4"/>
                <w:lang w:val="en-GB"/>
              </w:rPr>
              <w:t xml:space="preserve">. </w:t>
            </w:r>
            <w:r w:rsidR="00EF0DA4" w:rsidRPr="00D160FB">
              <w:rPr>
                <w:spacing w:val="-4"/>
                <w:lang w:val="en-GB"/>
              </w:rPr>
              <w:t xml:space="preserve">Oilseed rape </w:t>
            </w:r>
            <w:r w:rsidR="007F6638" w:rsidRPr="00D160FB">
              <w:rPr>
                <w:spacing w:val="-4"/>
                <w:lang w:val="en-GB"/>
              </w:rPr>
              <w:t xml:space="preserve">and other </w:t>
            </w:r>
            <w:r w:rsidR="00237669" w:rsidRPr="00D160FB">
              <w:rPr>
                <w:spacing w:val="-4"/>
                <w:lang w:val="en-GB"/>
              </w:rPr>
              <w:t xml:space="preserve">industrial crops </w:t>
            </w:r>
            <w:r w:rsidR="0041710D" w:rsidRPr="00D160FB">
              <w:rPr>
                <w:spacing w:val="-4"/>
                <w:lang w:val="en-GB"/>
              </w:rPr>
              <w:t>or fruit farming</w:t>
            </w:r>
            <w:r w:rsidR="00237669" w:rsidRPr="00D160FB">
              <w:rPr>
                <w:spacing w:val="-4"/>
                <w:lang w:val="en-GB"/>
              </w:rPr>
              <w:t xml:space="preserve"> </w:t>
            </w:r>
            <w:r w:rsidR="007F6638" w:rsidRPr="00D160FB">
              <w:rPr>
                <w:spacing w:val="-4"/>
                <w:lang w:val="en-GB"/>
              </w:rPr>
              <w:t>flourished</w:t>
            </w:r>
            <w:r w:rsidR="00E87D5B" w:rsidRPr="00D160FB">
              <w:rPr>
                <w:spacing w:val="-4"/>
                <w:lang w:val="en-GB"/>
              </w:rPr>
              <w:t>. M</w:t>
            </w:r>
            <w:r w:rsidR="0059687F" w:rsidRPr="00D160FB">
              <w:rPr>
                <w:spacing w:val="-4"/>
                <w:lang w:val="en-GB"/>
              </w:rPr>
              <w:t xml:space="preserve">oderate </w:t>
            </w:r>
            <w:r w:rsidR="00E87D5B" w:rsidRPr="00D160FB">
              <w:rPr>
                <w:spacing w:val="-4"/>
                <w:lang w:val="en-GB"/>
              </w:rPr>
              <w:t xml:space="preserve">2% </w:t>
            </w:r>
            <w:r w:rsidR="0059687F" w:rsidRPr="00D160FB">
              <w:rPr>
                <w:spacing w:val="-4"/>
                <w:lang w:val="en-GB"/>
              </w:rPr>
              <w:t>year-on-year decrease of crop</w:t>
            </w:r>
            <w:r w:rsidR="008167EC" w:rsidRPr="00D160FB">
              <w:rPr>
                <w:spacing w:val="-4"/>
                <w:lang w:val="en-GB"/>
              </w:rPr>
              <w:t xml:space="preserve">s however occurred for both potatoes and </w:t>
            </w:r>
            <w:r w:rsidR="006D4F16" w:rsidRPr="00D160FB">
              <w:rPr>
                <w:spacing w:val="-4"/>
                <w:lang w:val="en-GB"/>
              </w:rPr>
              <w:t>sugar beet</w:t>
            </w:r>
            <w:r w:rsidR="00E87D5B" w:rsidRPr="00D160FB">
              <w:rPr>
                <w:spacing w:val="-4"/>
                <w:lang w:val="en-GB"/>
              </w:rPr>
              <w:t xml:space="preserve">, </w:t>
            </w:r>
            <w:r w:rsidR="00165310">
              <w:rPr>
                <w:spacing w:val="-4"/>
                <w:lang w:val="en-GB"/>
              </w:rPr>
              <w:t xml:space="preserve">deeper decline </w:t>
            </w:r>
            <w:r w:rsidR="00165310" w:rsidRPr="00165310">
              <w:rPr>
                <w:spacing w:val="-4"/>
                <w:lang w:val="en-GB"/>
              </w:rPr>
              <w:t>affected</w:t>
            </w:r>
            <w:r w:rsidR="00C22546" w:rsidRPr="00D160FB">
              <w:rPr>
                <w:spacing w:val="-4"/>
                <w:lang w:val="en-GB"/>
              </w:rPr>
              <w:t xml:space="preserve"> </w:t>
            </w:r>
            <w:r w:rsidR="00165310">
              <w:rPr>
                <w:spacing w:val="-4"/>
                <w:lang w:val="en-GB"/>
              </w:rPr>
              <w:t>forage plant</w:t>
            </w:r>
            <w:r w:rsidR="00ED62B7" w:rsidRPr="00D160FB">
              <w:rPr>
                <w:spacing w:val="-4"/>
                <w:lang w:val="en-GB"/>
              </w:rPr>
              <w:t xml:space="preserve">s and majority of vegetable types. </w:t>
            </w:r>
            <w:r w:rsidR="005F23DC" w:rsidRPr="00D160FB">
              <w:rPr>
                <w:spacing w:val="-4"/>
                <w:lang w:val="en-GB"/>
              </w:rPr>
              <w:t>Hop plant recorded a slump of harvest</w:t>
            </w:r>
            <w:r w:rsidR="00E87D5B" w:rsidRPr="00D160FB">
              <w:rPr>
                <w:rStyle w:val="Znakapoznpodarou"/>
                <w:spacing w:val="-4"/>
                <w:lang w:val="en-GB"/>
              </w:rPr>
              <w:footnoteReference w:id="6"/>
            </w:r>
            <w:r w:rsidR="00E87D5B" w:rsidRPr="00D160FB">
              <w:rPr>
                <w:spacing w:val="-4"/>
                <w:lang w:val="en-GB"/>
              </w:rPr>
              <w:t xml:space="preserve">, </w:t>
            </w:r>
            <w:r w:rsidR="00AA3734" w:rsidRPr="00D160FB">
              <w:rPr>
                <w:spacing w:val="-4"/>
                <w:lang w:val="en-GB"/>
              </w:rPr>
              <w:t xml:space="preserve">on the </w:t>
            </w:r>
            <w:r w:rsidR="00AA3734" w:rsidRPr="00D160FB">
              <w:rPr>
                <w:spacing w:val="-4"/>
                <w:lang w:val="en-GB"/>
              </w:rPr>
              <w:lastRenderedPageBreak/>
              <w:t xml:space="preserve">contrary the long-term trend of harvest growth continued for </w:t>
            </w:r>
            <w:r w:rsidR="007C7242" w:rsidRPr="00D160FB">
              <w:rPr>
                <w:spacing w:val="-4"/>
                <w:lang w:val="en-GB"/>
              </w:rPr>
              <w:t>vineyards</w:t>
            </w:r>
            <w:r w:rsidR="00E87D5B" w:rsidRPr="00D160FB">
              <w:rPr>
                <w:spacing w:val="-4"/>
                <w:lang w:val="en-GB"/>
              </w:rPr>
              <w:t xml:space="preserve">. </w:t>
            </w:r>
            <w:r w:rsidR="00C21B30" w:rsidRPr="00D160FB">
              <w:rPr>
                <w:spacing w:val="-4"/>
                <w:lang w:val="en-GB"/>
              </w:rPr>
              <w:t xml:space="preserve">Four years lasting growth of the </w:t>
            </w:r>
            <w:r w:rsidR="00723553" w:rsidRPr="00D160FB">
              <w:rPr>
                <w:spacing w:val="-4"/>
                <w:lang w:val="en-GB"/>
              </w:rPr>
              <w:t>natural production of meat halted last year</w:t>
            </w:r>
            <w:r w:rsidR="00FA6E38" w:rsidRPr="00D160FB">
              <w:rPr>
                <w:spacing w:val="-4"/>
                <w:lang w:val="en-GB"/>
              </w:rPr>
              <w:t xml:space="preserve"> </w:t>
            </w:r>
            <w:r w:rsidR="00E87D5B" w:rsidRPr="00D160FB">
              <w:rPr>
                <w:spacing w:val="-4"/>
                <w:lang w:val="en-GB"/>
              </w:rPr>
              <w:t>(</w:t>
            </w:r>
            <w:r w:rsidR="00FA6E38" w:rsidRPr="00D160FB">
              <w:rPr>
                <w:spacing w:val="-4"/>
                <w:lang w:val="en-GB"/>
              </w:rPr>
              <w:t xml:space="preserve">its level returned to the </w:t>
            </w:r>
            <w:r w:rsidR="00E4273C" w:rsidRPr="00D160FB">
              <w:rPr>
                <w:spacing w:val="-4"/>
                <w:lang w:val="en-GB"/>
              </w:rPr>
              <w:t xml:space="preserve">extent from year </w:t>
            </w:r>
            <w:r w:rsidR="00E87D5B" w:rsidRPr="00D160FB">
              <w:rPr>
                <w:spacing w:val="-4"/>
                <w:lang w:val="en-GB"/>
              </w:rPr>
              <w:t>2018). L</w:t>
            </w:r>
            <w:r w:rsidR="00040088" w:rsidRPr="00D160FB">
              <w:rPr>
                <w:spacing w:val="-4"/>
                <w:lang w:val="en-GB"/>
              </w:rPr>
              <w:t xml:space="preserve">ast year’s </w:t>
            </w:r>
            <w:r w:rsidR="005912C9" w:rsidRPr="00D160FB">
              <w:rPr>
                <w:spacing w:val="-4"/>
                <w:lang w:val="en-GB"/>
              </w:rPr>
              <w:t xml:space="preserve">decrease </w:t>
            </w:r>
            <w:r w:rsidR="00E87D5B" w:rsidRPr="00D160FB">
              <w:rPr>
                <w:spacing w:val="-4"/>
                <w:lang w:val="en-GB"/>
              </w:rPr>
              <w:t>(4</w:t>
            </w:r>
            <w:r w:rsidR="005912C9" w:rsidRPr="00D160FB">
              <w:rPr>
                <w:spacing w:val="-4"/>
                <w:lang w:val="en-GB"/>
              </w:rPr>
              <w:t>.</w:t>
            </w:r>
            <w:r w:rsidR="00E87D5B" w:rsidRPr="00D160FB">
              <w:rPr>
                <w:spacing w:val="-4"/>
                <w:lang w:val="en-GB"/>
              </w:rPr>
              <w:t xml:space="preserve">2%) </w:t>
            </w:r>
            <w:r w:rsidR="005912C9" w:rsidRPr="00D160FB">
              <w:rPr>
                <w:spacing w:val="-4"/>
                <w:lang w:val="en-GB"/>
              </w:rPr>
              <w:t xml:space="preserve">was affected the most by lower production of pork meat, the decrease however occurred for </w:t>
            </w:r>
            <w:r w:rsidR="007C79C0" w:rsidRPr="00D160FB">
              <w:rPr>
                <w:spacing w:val="-4"/>
                <w:lang w:val="en-GB"/>
              </w:rPr>
              <w:t>all other main types of meat</w:t>
            </w:r>
            <w:r w:rsidR="00E87D5B" w:rsidRPr="00D160FB">
              <w:rPr>
                <w:spacing w:val="-4"/>
                <w:lang w:val="en-GB"/>
              </w:rPr>
              <w:t xml:space="preserve">. </w:t>
            </w:r>
            <w:r w:rsidR="000A65D5" w:rsidRPr="00D160FB">
              <w:rPr>
                <w:spacing w:val="-4"/>
                <w:lang w:val="en-GB"/>
              </w:rPr>
              <w:t xml:space="preserve">High growth of the production costs </w:t>
            </w:r>
            <w:r w:rsidR="00E87D5B" w:rsidRPr="00D160FB">
              <w:rPr>
                <w:spacing w:val="-4"/>
                <w:lang w:val="en-GB"/>
              </w:rPr>
              <w:t>(</w:t>
            </w:r>
            <w:r w:rsidR="00465934" w:rsidRPr="00D160FB">
              <w:rPr>
                <w:spacing w:val="-4"/>
                <w:lang w:val="en-GB"/>
              </w:rPr>
              <w:t>feed, energies</w:t>
            </w:r>
            <w:r w:rsidR="00E87D5B" w:rsidRPr="00D160FB">
              <w:rPr>
                <w:spacing w:val="-4"/>
                <w:lang w:val="en-GB"/>
              </w:rPr>
              <w:t xml:space="preserve">) </w:t>
            </w:r>
            <w:r w:rsidR="000A65D5" w:rsidRPr="00D160FB">
              <w:rPr>
                <w:spacing w:val="-4"/>
                <w:lang w:val="en-GB"/>
              </w:rPr>
              <w:t xml:space="preserve">as well as lower consumption in households manifested. </w:t>
            </w:r>
            <w:r w:rsidR="00926C8A" w:rsidRPr="00D160FB">
              <w:rPr>
                <w:spacing w:val="-4"/>
                <w:lang w:val="en-GB"/>
              </w:rPr>
              <w:t>Decline within the animal production was partially</w:t>
            </w:r>
            <w:r w:rsidR="00AD5DD8" w:rsidRPr="00D160FB">
              <w:rPr>
                <w:spacing w:val="-4"/>
                <w:lang w:val="en-GB"/>
              </w:rPr>
              <w:t xml:space="preserve"> </w:t>
            </w:r>
            <w:r w:rsidR="007E7623" w:rsidRPr="00D160FB">
              <w:rPr>
                <w:spacing w:val="-4"/>
                <w:lang w:val="en-GB"/>
              </w:rPr>
              <w:t>softened by mildly growing production of mil</w:t>
            </w:r>
            <w:r w:rsidR="00F977DB" w:rsidRPr="00D160FB">
              <w:rPr>
                <w:spacing w:val="-4"/>
                <w:lang w:val="en-GB"/>
              </w:rPr>
              <w:t>k</w:t>
            </w:r>
            <w:r w:rsidR="007E7623" w:rsidRPr="00D160FB">
              <w:rPr>
                <w:spacing w:val="-4"/>
                <w:lang w:val="en-GB"/>
              </w:rPr>
              <w:t>. The GVA</w:t>
            </w:r>
            <w:r w:rsidR="00BC507A" w:rsidRPr="00D160FB">
              <w:rPr>
                <w:spacing w:val="-4"/>
                <w:lang w:val="en-GB"/>
              </w:rPr>
              <w:t xml:space="preserve"> </w:t>
            </w:r>
            <w:r w:rsidR="007B0587" w:rsidRPr="00D160FB">
              <w:rPr>
                <w:spacing w:val="-4"/>
                <w:lang w:val="en-GB"/>
              </w:rPr>
              <w:t xml:space="preserve">in all main branches of the primary as well as secondary sector was </w:t>
            </w:r>
            <w:r w:rsidR="00E62429" w:rsidRPr="00D160FB">
              <w:rPr>
                <w:spacing w:val="-4"/>
                <w:lang w:val="en-GB"/>
              </w:rPr>
              <w:t>in Q4</w:t>
            </w:r>
            <w:r w:rsidR="00144375">
              <w:rPr>
                <w:spacing w:val="-4"/>
                <w:lang w:val="en-GB"/>
              </w:rPr>
              <w:t xml:space="preserve"> 2022</w:t>
            </w:r>
            <w:r w:rsidR="00E62429" w:rsidRPr="00D160FB">
              <w:rPr>
                <w:spacing w:val="-4"/>
                <w:lang w:val="en-GB"/>
              </w:rPr>
              <w:t xml:space="preserve"> below the level of year 2019 </w:t>
            </w:r>
            <w:r w:rsidR="00E87D5B" w:rsidRPr="00D160FB">
              <w:rPr>
                <w:spacing w:val="-10"/>
                <w:lang w:val="en-GB"/>
              </w:rPr>
              <w:t>(</w:t>
            </w:r>
            <w:r w:rsidR="00F977DB" w:rsidRPr="00D160FB">
              <w:rPr>
                <w:spacing w:val="-10"/>
                <w:lang w:val="en-GB"/>
              </w:rPr>
              <w:t xml:space="preserve">the most in construction </w:t>
            </w:r>
            <w:r w:rsidR="00E87D5B" w:rsidRPr="00D160FB">
              <w:rPr>
                <w:spacing w:val="-10"/>
                <w:lang w:val="en-GB"/>
              </w:rPr>
              <w:t xml:space="preserve">– </w:t>
            </w:r>
            <w:r w:rsidR="00F977DB" w:rsidRPr="00D160FB">
              <w:rPr>
                <w:spacing w:val="-10"/>
                <w:lang w:val="en-GB"/>
              </w:rPr>
              <w:t>by</w:t>
            </w:r>
            <w:r w:rsidR="00E87D5B" w:rsidRPr="00D160FB">
              <w:rPr>
                <w:spacing w:val="-10"/>
                <w:lang w:val="en-GB"/>
              </w:rPr>
              <w:t xml:space="preserve"> 11%).</w:t>
            </w:r>
          </w:p>
        </w:tc>
      </w:tr>
      <w:tr w:rsidR="00A7439C" w:rsidRPr="00D160FB" w14:paraId="241931F9" w14:textId="77777777" w:rsidTr="00976631">
        <w:trPr>
          <w:trHeight w:val="145"/>
        </w:trPr>
        <w:tc>
          <w:tcPr>
            <w:tcW w:w="1780" w:type="dxa"/>
            <w:tcBorders>
              <w:top w:val="nil"/>
              <w:left w:val="nil"/>
              <w:bottom w:val="nil"/>
              <w:right w:val="nil"/>
            </w:tcBorders>
            <w:shd w:val="clear" w:color="auto" w:fill="auto"/>
            <w:tcMar>
              <w:left w:w="0" w:type="dxa"/>
            </w:tcMar>
          </w:tcPr>
          <w:p w14:paraId="7FE5C64E" w14:textId="38977AF3" w:rsidR="00E87D5B" w:rsidRPr="00D160FB" w:rsidRDefault="002F4E46" w:rsidP="00C8019E">
            <w:pPr>
              <w:pStyle w:val="Marginlie"/>
              <w:rPr>
                <w:color w:val="0D0D0D" w:themeColor="text1" w:themeTint="F2"/>
                <w:spacing w:val="-4"/>
                <w:lang w:val="en-GB"/>
              </w:rPr>
            </w:pPr>
            <w:r w:rsidRPr="00D160FB">
              <w:rPr>
                <w:color w:val="0D0D0D" w:themeColor="text1" w:themeTint="F2"/>
                <w:spacing w:val="-4"/>
                <w:lang w:val="en-GB"/>
              </w:rPr>
              <w:lastRenderedPageBreak/>
              <w:t>The quarter-on-quarter growth of the industrial output continued in the period Q1 to Q3</w:t>
            </w:r>
            <w:r w:rsidR="00E87D5B" w:rsidRPr="00D160FB">
              <w:rPr>
                <w:color w:val="0D0D0D" w:themeColor="text1" w:themeTint="F2"/>
                <w:spacing w:val="-4"/>
                <w:lang w:val="en-GB"/>
              </w:rPr>
              <w:t xml:space="preserve">. </w:t>
            </w:r>
            <w:r w:rsidR="00646C3A" w:rsidRPr="00D160FB">
              <w:rPr>
                <w:color w:val="0D0D0D" w:themeColor="text1" w:themeTint="F2"/>
                <w:spacing w:val="-4"/>
                <w:lang w:val="en-GB"/>
              </w:rPr>
              <w:t xml:space="preserve">Its volume </w:t>
            </w:r>
            <w:r w:rsidRPr="00D160FB">
              <w:rPr>
                <w:color w:val="0D0D0D" w:themeColor="text1" w:themeTint="F2"/>
                <w:spacing w:val="-4"/>
                <w:lang w:val="en-GB"/>
              </w:rPr>
              <w:t xml:space="preserve">for the first time overtook the maximum level from year </w:t>
            </w:r>
            <w:r w:rsidR="00E87D5B" w:rsidRPr="00D160FB">
              <w:rPr>
                <w:color w:val="0D0D0D" w:themeColor="text1" w:themeTint="F2"/>
                <w:spacing w:val="-4"/>
                <w:lang w:val="en-GB"/>
              </w:rPr>
              <w:t>2019.</w:t>
            </w:r>
          </w:p>
          <w:p w14:paraId="2CF5891C" w14:textId="77777777" w:rsidR="00E87D5B" w:rsidRPr="00D160FB" w:rsidRDefault="00E87D5B" w:rsidP="00C8019E">
            <w:pPr>
              <w:pStyle w:val="Marginlie"/>
              <w:rPr>
                <w:color w:val="0D0D0D" w:themeColor="text1" w:themeTint="F2"/>
                <w:spacing w:val="-4"/>
                <w:lang w:val="en-GB"/>
              </w:rPr>
            </w:pPr>
          </w:p>
          <w:p w14:paraId="6299CADD" w14:textId="77777777" w:rsidR="00E87D5B" w:rsidRPr="00D160FB" w:rsidRDefault="00E87D5B" w:rsidP="00C8019E">
            <w:pPr>
              <w:pStyle w:val="Marginlie"/>
              <w:rPr>
                <w:color w:val="0D0D0D" w:themeColor="text1" w:themeTint="F2"/>
                <w:spacing w:val="-4"/>
                <w:lang w:val="en-GB"/>
              </w:rPr>
            </w:pPr>
          </w:p>
          <w:p w14:paraId="41087C5E" w14:textId="77777777" w:rsidR="00E87D5B" w:rsidRPr="00D160FB" w:rsidRDefault="00E87D5B" w:rsidP="00C8019E">
            <w:pPr>
              <w:pStyle w:val="Marginlie"/>
              <w:rPr>
                <w:color w:val="0D0D0D" w:themeColor="text1" w:themeTint="F2"/>
                <w:spacing w:val="-4"/>
                <w:lang w:val="en-GB"/>
              </w:rPr>
            </w:pPr>
          </w:p>
          <w:p w14:paraId="7D97F431" w14:textId="77777777" w:rsidR="00E87D5B" w:rsidRPr="00D160FB" w:rsidRDefault="00E87D5B" w:rsidP="00C8019E">
            <w:pPr>
              <w:pStyle w:val="Marginlie"/>
              <w:rPr>
                <w:color w:val="0D0D0D" w:themeColor="text1" w:themeTint="F2"/>
                <w:spacing w:val="-4"/>
                <w:lang w:val="en-GB"/>
              </w:rPr>
            </w:pPr>
          </w:p>
          <w:p w14:paraId="497FF808" w14:textId="77777777" w:rsidR="00E87D5B" w:rsidRPr="00D160FB" w:rsidRDefault="00E87D5B" w:rsidP="00C8019E">
            <w:pPr>
              <w:pStyle w:val="Marginlie"/>
              <w:rPr>
                <w:color w:val="0D0D0D" w:themeColor="text1" w:themeTint="F2"/>
                <w:spacing w:val="-4"/>
                <w:lang w:val="en-GB"/>
              </w:rPr>
            </w:pPr>
          </w:p>
          <w:p w14:paraId="4D5B2B0A" w14:textId="77777777" w:rsidR="00E87D5B" w:rsidRPr="00D160FB" w:rsidRDefault="00E87D5B" w:rsidP="00C8019E">
            <w:pPr>
              <w:pStyle w:val="Marginlie"/>
              <w:rPr>
                <w:color w:val="0D0D0D" w:themeColor="text1" w:themeTint="F2"/>
                <w:spacing w:val="-4"/>
                <w:lang w:val="en-GB"/>
              </w:rPr>
            </w:pPr>
          </w:p>
          <w:p w14:paraId="3D8EFA32" w14:textId="561E0DFB" w:rsidR="00E87D5B" w:rsidRPr="00D160FB" w:rsidRDefault="00F54C62" w:rsidP="00C8019E">
            <w:pPr>
              <w:pStyle w:val="Marginlie"/>
              <w:rPr>
                <w:color w:val="0D0D0D" w:themeColor="text1" w:themeTint="F2"/>
                <w:spacing w:val="-4"/>
                <w:lang w:val="en-GB"/>
              </w:rPr>
            </w:pPr>
            <w:r w:rsidRPr="00D160FB">
              <w:rPr>
                <w:color w:val="0D0D0D" w:themeColor="text1" w:themeTint="F2"/>
                <w:spacing w:val="-4"/>
                <w:lang w:val="en-GB"/>
              </w:rPr>
              <w:t>The industrial production was adversely affected by the impacts of sharp hike of prices of inputs</w:t>
            </w:r>
            <w:r w:rsidR="00997646" w:rsidRPr="00D160FB">
              <w:rPr>
                <w:color w:val="0D0D0D" w:themeColor="text1" w:themeTint="F2"/>
                <w:spacing w:val="-4"/>
                <w:lang w:val="en-GB"/>
              </w:rPr>
              <w:t>, rising difficulties with the supplies of production components as well as worsened performance of the euro area economy in Q</w:t>
            </w:r>
            <w:r w:rsidR="00E87D5B" w:rsidRPr="00D160FB">
              <w:rPr>
                <w:color w:val="0D0D0D" w:themeColor="text1" w:themeTint="F2"/>
                <w:spacing w:val="-4"/>
                <w:lang w:val="en-GB"/>
              </w:rPr>
              <w:t>4.</w:t>
            </w:r>
            <w:r w:rsidR="00997646" w:rsidRPr="00D160FB">
              <w:rPr>
                <w:color w:val="0D0D0D" w:themeColor="text1" w:themeTint="F2"/>
                <w:spacing w:val="-4"/>
                <w:lang w:val="en-GB"/>
              </w:rPr>
              <w:t xml:space="preserve"> </w:t>
            </w:r>
            <w:r w:rsidR="00E87D5B" w:rsidRPr="00D160FB">
              <w:rPr>
                <w:color w:val="0D0D0D" w:themeColor="text1" w:themeTint="F2"/>
                <w:spacing w:val="-4"/>
                <w:lang w:val="en-GB"/>
              </w:rPr>
              <w:t xml:space="preserve"> </w:t>
            </w:r>
          </w:p>
          <w:p w14:paraId="312128A8" w14:textId="77777777" w:rsidR="00E87D5B" w:rsidRPr="00D160FB" w:rsidRDefault="00E87D5B" w:rsidP="00C8019E">
            <w:pPr>
              <w:pStyle w:val="Marginlie"/>
              <w:rPr>
                <w:color w:val="0D0D0D" w:themeColor="text1" w:themeTint="F2"/>
                <w:spacing w:val="-4"/>
                <w:lang w:val="en-GB"/>
              </w:rPr>
            </w:pPr>
            <w:r w:rsidRPr="00D160FB">
              <w:rPr>
                <w:color w:val="0D0D0D" w:themeColor="text1" w:themeTint="F2"/>
                <w:spacing w:val="-4"/>
                <w:lang w:val="en-GB"/>
              </w:rPr>
              <w:t xml:space="preserve"> </w:t>
            </w:r>
          </w:p>
        </w:tc>
        <w:tc>
          <w:tcPr>
            <w:tcW w:w="200" w:type="dxa"/>
            <w:tcBorders>
              <w:top w:val="nil"/>
              <w:left w:val="nil"/>
              <w:bottom w:val="nil"/>
              <w:right w:val="nil"/>
            </w:tcBorders>
            <w:shd w:val="clear" w:color="auto" w:fill="auto"/>
            <w:tcMar>
              <w:left w:w="0" w:type="dxa"/>
            </w:tcMar>
          </w:tcPr>
          <w:p w14:paraId="60217C5D" w14:textId="77777777" w:rsidR="00E87D5B" w:rsidRPr="00D160FB" w:rsidRDefault="00E87D5B" w:rsidP="00C8019E">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7FACD2A0" w14:textId="71C92BBE" w:rsidR="00E87D5B" w:rsidRPr="006176EF" w:rsidRDefault="00377007" w:rsidP="006176EF">
            <w:pPr>
              <w:spacing w:after="220"/>
              <w:rPr>
                <w:color w:val="0D0D0D" w:themeColor="text1" w:themeTint="F2"/>
                <w:spacing w:val="-4"/>
                <w:lang w:val="en-GB"/>
              </w:rPr>
            </w:pPr>
            <w:r w:rsidRPr="00D160FB">
              <w:rPr>
                <w:spacing w:val="-4"/>
                <w:lang w:val="en-GB"/>
              </w:rPr>
              <w:t xml:space="preserve">Data from the business statistics also confirm, </w:t>
            </w:r>
            <w:r w:rsidR="000F07C9" w:rsidRPr="00D160FB">
              <w:rPr>
                <w:spacing w:val="-4"/>
                <w:lang w:val="en-GB"/>
              </w:rPr>
              <w:t xml:space="preserve">that the </w:t>
            </w:r>
            <w:r w:rsidR="00BF0099" w:rsidRPr="00D160FB">
              <w:rPr>
                <w:spacing w:val="-4"/>
                <w:lang w:val="en-GB"/>
              </w:rPr>
              <w:t xml:space="preserve">domestic </w:t>
            </w:r>
            <w:r w:rsidR="001F4A57" w:rsidRPr="00D160FB">
              <w:rPr>
                <w:spacing w:val="-4"/>
                <w:lang w:val="en-GB"/>
              </w:rPr>
              <w:t xml:space="preserve">industry </w:t>
            </w:r>
            <w:r w:rsidR="009F026B" w:rsidRPr="00D160FB">
              <w:rPr>
                <w:spacing w:val="-4"/>
                <w:lang w:val="en-GB"/>
              </w:rPr>
              <w:t xml:space="preserve">continued in mild post-pandemic revival for the most part of the last year. </w:t>
            </w:r>
            <w:r w:rsidR="0022639E" w:rsidRPr="00D160FB">
              <w:rPr>
                <w:spacing w:val="-4"/>
                <w:lang w:val="en-GB"/>
              </w:rPr>
              <w:t xml:space="preserve">It managed to </w:t>
            </w:r>
            <w:r w:rsidR="00F205AB" w:rsidRPr="00D160FB">
              <w:rPr>
                <w:spacing w:val="-4"/>
                <w:lang w:val="en-GB"/>
              </w:rPr>
              <w:t xml:space="preserve">offset the weaker performance of the motor vehicle segment at the beginning of the year </w:t>
            </w:r>
            <w:r w:rsidR="00761774">
              <w:rPr>
                <w:spacing w:val="-4"/>
                <w:lang w:val="en-GB"/>
              </w:rPr>
              <w:t xml:space="preserve">2022 </w:t>
            </w:r>
            <w:r w:rsidR="00F205AB" w:rsidRPr="00D160FB">
              <w:rPr>
                <w:spacing w:val="-4"/>
                <w:lang w:val="en-GB"/>
              </w:rPr>
              <w:t xml:space="preserve">and later also of some significant businesses in other branches, which were affected by the </w:t>
            </w:r>
            <w:r w:rsidR="008D3CEE" w:rsidRPr="00D160FB">
              <w:rPr>
                <w:spacing w:val="-4"/>
                <w:lang w:val="en-GB"/>
              </w:rPr>
              <w:t>disruption</w:t>
            </w:r>
            <w:r w:rsidR="00F205AB" w:rsidRPr="00D160FB">
              <w:rPr>
                <w:spacing w:val="-4"/>
                <w:lang w:val="en-GB"/>
              </w:rPr>
              <w:t xml:space="preserve"> of the supply chains due to the unexpected </w:t>
            </w:r>
            <w:r w:rsidR="008D3CEE" w:rsidRPr="00D160FB">
              <w:rPr>
                <w:spacing w:val="-4"/>
                <w:lang w:val="en-GB"/>
              </w:rPr>
              <w:t xml:space="preserve">ignition of the war in Ukraine. </w:t>
            </w:r>
            <w:r w:rsidR="001E74E8" w:rsidRPr="00D160FB">
              <w:rPr>
                <w:spacing w:val="-4"/>
                <w:lang w:val="en-GB"/>
              </w:rPr>
              <w:t>During Q</w:t>
            </w:r>
            <w:r w:rsidR="00E87D5B" w:rsidRPr="00D160FB">
              <w:rPr>
                <w:color w:val="0D0D0D" w:themeColor="text1" w:themeTint="F2"/>
                <w:spacing w:val="-4"/>
                <w:lang w:val="en-GB"/>
              </w:rPr>
              <w:t>3,</w:t>
            </w:r>
            <w:r w:rsidR="001E74E8" w:rsidRPr="00D160FB">
              <w:rPr>
                <w:color w:val="0D0D0D" w:themeColor="text1" w:themeTint="F2"/>
                <w:spacing w:val="-4"/>
                <w:lang w:val="en-GB"/>
              </w:rPr>
              <w:t xml:space="preserve"> when the quarter-on-quarter growth of the domestic economy stopped, the industrial output</w:t>
            </w:r>
            <w:r w:rsidR="00E87D5B" w:rsidRPr="00D160FB">
              <w:rPr>
                <w:rStyle w:val="Znakapoznpodarou"/>
                <w:color w:val="0D0D0D" w:themeColor="text1" w:themeTint="F2"/>
                <w:spacing w:val="-4"/>
                <w:lang w:val="en-GB"/>
              </w:rPr>
              <w:footnoteReference w:id="7"/>
            </w:r>
            <w:r w:rsidR="001E74E8" w:rsidRPr="00D160FB">
              <w:rPr>
                <w:color w:val="0D0D0D" w:themeColor="text1" w:themeTint="F2"/>
                <w:spacing w:val="-4"/>
                <w:lang w:val="en-GB"/>
              </w:rPr>
              <w:t xml:space="preserve"> </w:t>
            </w:r>
            <w:r w:rsidR="00761774">
              <w:rPr>
                <w:color w:val="0D0D0D" w:themeColor="text1" w:themeTint="F2"/>
                <w:spacing w:val="-4"/>
                <w:lang w:val="en-GB"/>
              </w:rPr>
              <w:t xml:space="preserve">however </w:t>
            </w:r>
            <w:r w:rsidR="001E74E8" w:rsidRPr="00D160FB">
              <w:rPr>
                <w:color w:val="0D0D0D" w:themeColor="text1" w:themeTint="F2"/>
                <w:spacing w:val="-4"/>
                <w:lang w:val="en-GB"/>
              </w:rPr>
              <w:t xml:space="preserve">increased by </w:t>
            </w:r>
            <w:r w:rsidR="00E87D5B" w:rsidRPr="00D160FB">
              <w:rPr>
                <w:color w:val="0D0D0D" w:themeColor="text1" w:themeTint="F2"/>
                <w:spacing w:val="-4"/>
                <w:lang w:val="en-GB"/>
              </w:rPr>
              <w:t>1</w:t>
            </w:r>
            <w:r w:rsidR="001E74E8" w:rsidRPr="00D160FB">
              <w:rPr>
                <w:color w:val="0D0D0D" w:themeColor="text1" w:themeTint="F2"/>
                <w:spacing w:val="-4"/>
                <w:lang w:val="en-GB"/>
              </w:rPr>
              <w:t>.</w:t>
            </w:r>
            <w:r w:rsidR="00761774">
              <w:rPr>
                <w:color w:val="0D0D0D" w:themeColor="text1" w:themeTint="F2"/>
                <w:spacing w:val="-4"/>
                <w:lang w:val="en-GB"/>
              </w:rPr>
              <w:t>9% (</w:t>
            </w:r>
            <w:r w:rsidR="006C2764" w:rsidRPr="00D160FB">
              <w:rPr>
                <w:color w:val="0D0D0D" w:themeColor="text1" w:themeTint="F2"/>
                <w:spacing w:val="-4"/>
                <w:lang w:val="en-GB"/>
              </w:rPr>
              <w:t xml:space="preserve">which was the most since the end of year </w:t>
            </w:r>
            <w:r w:rsidR="00E87D5B" w:rsidRPr="00D160FB">
              <w:rPr>
                <w:color w:val="0D0D0D" w:themeColor="text1" w:themeTint="F2"/>
                <w:spacing w:val="-4"/>
                <w:lang w:val="en-GB"/>
              </w:rPr>
              <w:t>2020</w:t>
            </w:r>
            <w:r w:rsidR="00761774">
              <w:rPr>
                <w:color w:val="0D0D0D" w:themeColor="text1" w:themeTint="F2"/>
                <w:spacing w:val="-4"/>
                <w:lang w:val="en-GB"/>
              </w:rPr>
              <w:t>)</w:t>
            </w:r>
            <w:r w:rsidR="00E87D5B" w:rsidRPr="00D160FB">
              <w:rPr>
                <w:color w:val="0D0D0D" w:themeColor="text1" w:themeTint="F2"/>
                <w:spacing w:val="-4"/>
                <w:lang w:val="en-GB"/>
              </w:rPr>
              <w:t xml:space="preserve">. </w:t>
            </w:r>
            <w:r w:rsidR="00C66509" w:rsidRPr="00D160FB">
              <w:rPr>
                <w:color w:val="0D0D0D" w:themeColor="text1" w:themeTint="F2"/>
                <w:spacing w:val="-4"/>
                <w:lang w:val="en-GB"/>
              </w:rPr>
              <w:t xml:space="preserve">The </w:t>
            </w:r>
            <w:r w:rsidR="00761774">
              <w:rPr>
                <w:color w:val="0D0D0D" w:themeColor="text1" w:themeTint="F2"/>
                <w:spacing w:val="-4"/>
                <w:lang w:val="en-GB"/>
              </w:rPr>
              <w:t>fact</w:t>
            </w:r>
            <w:r w:rsidR="00C66509" w:rsidRPr="00D160FB">
              <w:rPr>
                <w:color w:val="0D0D0D" w:themeColor="text1" w:themeTint="F2"/>
                <w:spacing w:val="-4"/>
                <w:lang w:val="en-GB"/>
              </w:rPr>
              <w:t xml:space="preserve">, that the investment activity in the economy did not weaken </w:t>
            </w:r>
            <w:r w:rsidR="00F5199B" w:rsidRPr="00D160FB">
              <w:rPr>
                <w:color w:val="0D0D0D" w:themeColor="text1" w:themeTint="F2"/>
                <w:spacing w:val="-4"/>
                <w:lang w:val="en-GB"/>
              </w:rPr>
              <w:t xml:space="preserve">markedly </w:t>
            </w:r>
            <w:r w:rsidR="00C66509" w:rsidRPr="00D160FB">
              <w:rPr>
                <w:color w:val="0D0D0D" w:themeColor="text1" w:themeTint="F2"/>
                <w:spacing w:val="-4"/>
                <w:lang w:val="en-GB"/>
              </w:rPr>
              <w:t>also contribute</w:t>
            </w:r>
            <w:r w:rsidR="00F5199B" w:rsidRPr="00D160FB">
              <w:rPr>
                <w:color w:val="0D0D0D" w:themeColor="text1" w:themeTint="F2"/>
                <w:spacing w:val="-4"/>
                <w:lang w:val="en-GB"/>
              </w:rPr>
              <w:t>d</w:t>
            </w:r>
            <w:r w:rsidR="00E87D5B" w:rsidRPr="00D160FB">
              <w:rPr>
                <w:color w:val="0D0D0D" w:themeColor="text1" w:themeTint="F2"/>
                <w:spacing w:val="-4"/>
                <w:lang w:val="en-GB"/>
              </w:rPr>
              <w:t xml:space="preserve">. </w:t>
            </w:r>
            <w:r w:rsidR="00F5199B" w:rsidRPr="00D160FB">
              <w:rPr>
                <w:color w:val="0D0D0D" w:themeColor="text1" w:themeTint="F2"/>
                <w:spacing w:val="-4"/>
                <w:lang w:val="en-GB"/>
              </w:rPr>
              <w:t xml:space="preserve">The same was also valid for the </w:t>
            </w:r>
            <w:r w:rsidR="00FE00E7" w:rsidRPr="00D160FB">
              <w:rPr>
                <w:color w:val="0D0D0D" w:themeColor="text1" w:themeTint="F2"/>
                <w:spacing w:val="-4"/>
                <w:lang w:val="en-GB"/>
              </w:rPr>
              <w:t xml:space="preserve">value of foreign </w:t>
            </w:r>
            <w:r w:rsidR="00761774">
              <w:rPr>
                <w:color w:val="0D0D0D" w:themeColor="text1" w:themeTint="F2"/>
                <w:spacing w:val="-4"/>
                <w:lang w:val="en-GB"/>
              </w:rPr>
              <w:t xml:space="preserve">industrial </w:t>
            </w:r>
            <w:r w:rsidR="006A1C31" w:rsidRPr="00D160FB">
              <w:rPr>
                <w:color w:val="0D0D0D" w:themeColor="text1" w:themeTint="F2"/>
                <w:spacing w:val="-4"/>
                <w:lang w:val="en-GB"/>
              </w:rPr>
              <w:t>orders since</w:t>
            </w:r>
            <w:r w:rsidR="009E4DFB" w:rsidRPr="00D160FB">
              <w:rPr>
                <w:color w:val="0D0D0D" w:themeColor="text1" w:themeTint="F2"/>
                <w:spacing w:val="-4"/>
                <w:lang w:val="en-GB"/>
              </w:rPr>
              <w:t xml:space="preserve"> the euro area as well as the German economy itself still </w:t>
            </w:r>
            <w:r w:rsidR="000351A6" w:rsidRPr="00D160FB">
              <w:rPr>
                <w:color w:val="0D0D0D" w:themeColor="text1" w:themeTint="F2"/>
                <w:spacing w:val="-4"/>
                <w:lang w:val="en-GB"/>
              </w:rPr>
              <w:t xml:space="preserve">resisted the </w:t>
            </w:r>
            <w:r w:rsidR="0053593E" w:rsidRPr="00D160FB">
              <w:rPr>
                <w:color w:val="0D0D0D" w:themeColor="text1" w:themeTint="F2"/>
                <w:spacing w:val="-4"/>
                <w:lang w:val="en-GB"/>
              </w:rPr>
              <w:t xml:space="preserve">threat of recession. </w:t>
            </w:r>
            <w:r w:rsidR="00156013" w:rsidRPr="00D160FB">
              <w:rPr>
                <w:color w:val="0D0D0D" w:themeColor="text1" w:themeTint="F2"/>
                <w:spacing w:val="-4"/>
                <w:lang w:val="en-GB"/>
              </w:rPr>
              <w:t>The</w:t>
            </w:r>
            <w:r w:rsidR="00361A59" w:rsidRPr="00D160FB">
              <w:rPr>
                <w:color w:val="0D0D0D" w:themeColor="text1" w:themeTint="F2"/>
                <w:spacing w:val="-4"/>
                <w:lang w:val="en-GB"/>
              </w:rPr>
              <w:t xml:space="preserve"> fact, that the situation with the supplies of the production components for the motor vehicle industry </w:t>
            </w:r>
            <w:r w:rsidR="00D160FB">
              <w:rPr>
                <w:color w:val="0D0D0D" w:themeColor="text1" w:themeTint="F2"/>
                <w:spacing w:val="-4"/>
                <w:lang w:val="en-GB"/>
              </w:rPr>
              <w:t xml:space="preserve">temporarily improved, </w:t>
            </w:r>
            <w:r w:rsidR="0053593E" w:rsidRPr="00D160FB">
              <w:rPr>
                <w:spacing w:val="-5"/>
                <w:lang w:val="en-GB"/>
              </w:rPr>
              <w:t>played an important role</w:t>
            </w:r>
            <w:r w:rsidR="00E87D5B" w:rsidRPr="00D160FB">
              <w:rPr>
                <w:spacing w:val="-5"/>
                <w:lang w:val="en-GB"/>
              </w:rPr>
              <w:t>.</w:t>
            </w:r>
            <w:r w:rsidR="0053593E" w:rsidRPr="00D160FB">
              <w:rPr>
                <w:spacing w:val="-5"/>
                <w:lang w:val="en-GB"/>
              </w:rPr>
              <w:t xml:space="preserve"> The total industrial </w:t>
            </w:r>
            <w:r w:rsidR="00ED1FB8" w:rsidRPr="00D160FB">
              <w:rPr>
                <w:spacing w:val="-5"/>
                <w:lang w:val="en-GB"/>
              </w:rPr>
              <w:t>output th</w:t>
            </w:r>
            <w:r w:rsidR="006A1C31" w:rsidRPr="00D160FB">
              <w:rPr>
                <w:spacing w:val="-5"/>
                <w:lang w:val="en-GB"/>
              </w:rPr>
              <w:t>u</w:t>
            </w:r>
            <w:r w:rsidR="00ED1FB8" w:rsidRPr="00D160FB">
              <w:rPr>
                <w:spacing w:val="-5"/>
                <w:lang w:val="en-GB"/>
              </w:rPr>
              <w:t>s</w:t>
            </w:r>
            <w:r w:rsidR="00B73D35" w:rsidRPr="00D160FB">
              <w:rPr>
                <w:spacing w:val="-5"/>
                <w:lang w:val="en-GB"/>
              </w:rPr>
              <w:t xml:space="preserve"> exceeded the level from the pre-pandemic </w:t>
            </w:r>
            <w:r w:rsidR="00EE222F" w:rsidRPr="00D160FB">
              <w:rPr>
                <w:spacing w:val="-5"/>
                <w:lang w:val="en-GB"/>
              </w:rPr>
              <w:t>boom for the first time last year in</w:t>
            </w:r>
            <w:r w:rsidR="00A263BA">
              <w:rPr>
                <w:spacing w:val="-5"/>
                <w:lang w:val="en-GB"/>
              </w:rPr>
              <w:t xml:space="preserve"> summer</w:t>
            </w:r>
            <w:r w:rsidR="00E87D5B" w:rsidRPr="00D160FB">
              <w:rPr>
                <w:rStyle w:val="Znakapoznpodarou"/>
                <w:color w:val="0D0D0D" w:themeColor="text1" w:themeTint="F2"/>
                <w:spacing w:val="-4"/>
                <w:lang w:val="en-GB"/>
              </w:rPr>
              <w:footnoteReference w:id="8"/>
            </w:r>
            <w:r w:rsidR="00E87D5B" w:rsidRPr="00D160FB">
              <w:rPr>
                <w:color w:val="0D0D0D" w:themeColor="text1" w:themeTint="F2"/>
                <w:spacing w:val="-4"/>
                <w:lang w:val="en-GB"/>
              </w:rPr>
              <w:t xml:space="preserve">. </w:t>
            </w:r>
            <w:r w:rsidR="00E062CF" w:rsidRPr="00D160FB">
              <w:rPr>
                <w:color w:val="0D0D0D" w:themeColor="text1" w:themeTint="F2"/>
                <w:spacing w:val="-4"/>
                <w:lang w:val="en-GB"/>
              </w:rPr>
              <w:t>However, the</w:t>
            </w:r>
            <w:r w:rsidR="00C829C2" w:rsidRPr="00D160FB">
              <w:rPr>
                <w:color w:val="0D0D0D" w:themeColor="text1" w:themeTint="F2"/>
                <w:spacing w:val="-4"/>
                <w:lang w:val="en-GB"/>
              </w:rPr>
              <w:t xml:space="preserve"> stock prices </w:t>
            </w:r>
            <w:r w:rsidR="00E062CF" w:rsidRPr="00D160FB">
              <w:rPr>
                <w:color w:val="0D0D0D" w:themeColor="text1" w:themeTint="F2"/>
                <w:spacing w:val="-4"/>
                <w:lang w:val="en-GB"/>
              </w:rPr>
              <w:t xml:space="preserve">of both electricity and gas escalated </w:t>
            </w:r>
            <w:r w:rsidR="00AB5901" w:rsidRPr="00D160FB">
              <w:rPr>
                <w:color w:val="0D0D0D" w:themeColor="text1" w:themeTint="F2"/>
                <w:spacing w:val="-4"/>
                <w:lang w:val="en-GB"/>
              </w:rPr>
              <w:t>in Europe in August last year</w:t>
            </w:r>
            <w:r w:rsidR="00E87D5B" w:rsidRPr="00D160FB">
              <w:rPr>
                <w:color w:val="0D0D0D" w:themeColor="text1" w:themeTint="F2"/>
                <w:spacing w:val="-4"/>
                <w:lang w:val="en-GB"/>
              </w:rPr>
              <w:t>,</w:t>
            </w:r>
            <w:r w:rsidR="006176EF">
              <w:rPr>
                <w:color w:val="0D0D0D" w:themeColor="text1" w:themeTint="F2"/>
                <w:spacing w:val="-4"/>
                <w:lang w:val="en-GB"/>
              </w:rPr>
              <w:t xml:space="preserve"> which</w:t>
            </w:r>
            <w:r w:rsidR="0011492C" w:rsidRPr="00D160FB">
              <w:rPr>
                <w:color w:val="0D0D0D" w:themeColor="text1" w:themeTint="F2"/>
                <w:spacing w:val="-4"/>
                <w:lang w:val="en-GB"/>
              </w:rPr>
              <w:t xml:space="preserve"> </w:t>
            </w:r>
            <w:r w:rsidR="00AB5901" w:rsidRPr="00D160FB">
              <w:rPr>
                <w:color w:val="0D0D0D" w:themeColor="text1" w:themeTint="F2"/>
                <w:spacing w:val="-4"/>
                <w:lang w:val="en-GB"/>
              </w:rPr>
              <w:t xml:space="preserve">together with the ongoing swift growth of prices </w:t>
            </w:r>
            <w:r w:rsidR="0011492C" w:rsidRPr="00D160FB">
              <w:rPr>
                <w:color w:val="0D0D0D" w:themeColor="text1" w:themeTint="F2"/>
                <w:spacing w:val="-4"/>
                <w:lang w:val="en-GB"/>
              </w:rPr>
              <w:t xml:space="preserve">of other material inputs adversely reflected in the performance especially of </w:t>
            </w:r>
            <w:r w:rsidR="003755A0" w:rsidRPr="00D160FB">
              <w:rPr>
                <w:color w:val="0D0D0D" w:themeColor="text1" w:themeTint="F2"/>
                <w:spacing w:val="-4"/>
                <w:lang w:val="en-GB"/>
              </w:rPr>
              <w:t xml:space="preserve">more </w:t>
            </w:r>
            <w:r w:rsidR="0011492C" w:rsidRPr="00D160FB">
              <w:rPr>
                <w:color w:val="0D0D0D" w:themeColor="text1" w:themeTint="F2"/>
                <w:spacing w:val="-4"/>
                <w:lang w:val="en-GB"/>
              </w:rPr>
              <w:t>energy</w:t>
            </w:r>
            <w:r w:rsidR="006176EF">
              <w:rPr>
                <w:color w:val="0D0D0D" w:themeColor="text1" w:themeTint="F2"/>
                <w:spacing w:val="-4"/>
                <w:lang w:val="en-GB"/>
              </w:rPr>
              <w:t>-</w:t>
            </w:r>
            <w:r w:rsidR="003755A0" w:rsidRPr="00D160FB">
              <w:rPr>
                <w:color w:val="0D0D0D" w:themeColor="text1" w:themeTint="F2"/>
                <w:spacing w:val="-4"/>
                <w:lang w:val="en-GB"/>
              </w:rPr>
              <w:t>inte</w:t>
            </w:r>
            <w:r w:rsidR="005F6B2D" w:rsidRPr="00D160FB">
              <w:rPr>
                <w:color w:val="0D0D0D" w:themeColor="text1" w:themeTint="F2"/>
                <w:spacing w:val="-4"/>
                <w:lang w:val="en-GB"/>
              </w:rPr>
              <w:t xml:space="preserve">nsive branches </w:t>
            </w:r>
            <w:r w:rsidR="00E87D5B" w:rsidRPr="00D160FB">
              <w:rPr>
                <w:color w:val="0D0D0D" w:themeColor="text1" w:themeTint="F2"/>
                <w:spacing w:val="-4"/>
                <w:lang w:val="en-GB"/>
              </w:rPr>
              <w:t>(</w:t>
            </w:r>
            <w:r w:rsidR="00C041F5" w:rsidRPr="00D160FB">
              <w:rPr>
                <w:color w:val="0D0D0D" w:themeColor="text1" w:themeTint="F2"/>
                <w:spacing w:val="-4"/>
                <w:lang w:val="en-GB"/>
              </w:rPr>
              <w:t xml:space="preserve">metallurgy, </w:t>
            </w:r>
            <w:r w:rsidR="001F78A8" w:rsidRPr="00D160FB">
              <w:rPr>
                <w:color w:val="0D0D0D" w:themeColor="text1" w:themeTint="F2"/>
                <w:spacing w:val="-4"/>
                <w:lang w:val="en-GB"/>
              </w:rPr>
              <w:t xml:space="preserve">metalworking industry, </w:t>
            </w:r>
            <w:r w:rsidR="007C0319" w:rsidRPr="00D160FB">
              <w:rPr>
                <w:color w:val="0D0D0D" w:themeColor="text1" w:themeTint="F2"/>
                <w:spacing w:val="-4"/>
                <w:lang w:val="en-GB"/>
              </w:rPr>
              <w:t>manufacturing</w:t>
            </w:r>
            <w:r w:rsidR="001F78A8" w:rsidRPr="00D160FB">
              <w:rPr>
                <w:color w:val="0D0D0D" w:themeColor="text1" w:themeTint="F2"/>
                <w:spacing w:val="-4"/>
                <w:lang w:val="en-GB"/>
              </w:rPr>
              <w:t xml:space="preserve"> of glass or </w:t>
            </w:r>
            <w:r w:rsidR="004D0FB7" w:rsidRPr="00D160FB">
              <w:rPr>
                <w:color w:val="0D0D0D" w:themeColor="text1" w:themeTint="F2"/>
                <w:spacing w:val="-4"/>
                <w:lang w:val="en-GB"/>
              </w:rPr>
              <w:t xml:space="preserve">extraction </w:t>
            </w:r>
            <w:r w:rsidR="001F78A8" w:rsidRPr="00D160FB">
              <w:rPr>
                <w:color w:val="0D0D0D" w:themeColor="text1" w:themeTint="F2"/>
                <w:spacing w:val="-4"/>
                <w:lang w:val="en-GB"/>
              </w:rPr>
              <w:t xml:space="preserve">and </w:t>
            </w:r>
            <w:r w:rsidR="0034081B" w:rsidRPr="00D160FB">
              <w:rPr>
                <w:color w:val="0D0D0D" w:themeColor="text1" w:themeTint="F2"/>
                <w:spacing w:val="-4"/>
                <w:lang w:val="en-GB"/>
              </w:rPr>
              <w:t xml:space="preserve">manufacturing of </w:t>
            </w:r>
            <w:r w:rsidR="007C477C" w:rsidRPr="00D160FB">
              <w:rPr>
                <w:color w:val="0D0D0D" w:themeColor="text1" w:themeTint="F2"/>
                <w:spacing w:val="-4"/>
                <w:lang w:val="en-GB"/>
              </w:rPr>
              <w:t>building materials</w:t>
            </w:r>
            <w:r w:rsidR="00E87D5B" w:rsidRPr="00D160FB">
              <w:rPr>
                <w:color w:val="0D0D0D" w:themeColor="text1" w:themeTint="F2"/>
                <w:spacing w:val="-4"/>
                <w:lang w:val="en-GB"/>
              </w:rPr>
              <w:t>)</w:t>
            </w:r>
            <w:r w:rsidR="006176EF">
              <w:rPr>
                <w:color w:val="0D0D0D" w:themeColor="text1" w:themeTint="F2"/>
                <w:spacing w:val="-4"/>
                <w:lang w:val="en-GB"/>
              </w:rPr>
              <w:t>.</w:t>
            </w:r>
            <w:r w:rsidR="00E87D5B" w:rsidRPr="00D160FB">
              <w:rPr>
                <w:color w:val="0D0D0D" w:themeColor="text1" w:themeTint="F2"/>
                <w:spacing w:val="-4"/>
                <w:lang w:val="en-GB"/>
              </w:rPr>
              <w:t xml:space="preserve"> </w:t>
            </w:r>
            <w:r w:rsidR="006176EF">
              <w:rPr>
                <w:color w:val="0D0D0D" w:themeColor="text1" w:themeTint="F2"/>
                <w:spacing w:val="-4"/>
                <w:lang w:val="en-GB"/>
              </w:rPr>
              <w:t>S</w:t>
            </w:r>
            <w:r w:rsidR="006176EF" w:rsidRPr="006176EF">
              <w:rPr>
                <w:color w:val="0D0D0D" w:themeColor="text1" w:themeTint="F2"/>
                <w:spacing w:val="-4"/>
                <w:lang w:val="en-GB"/>
              </w:rPr>
              <w:t>avings translated into falling demand</w:t>
            </w:r>
            <w:r w:rsidR="006176EF">
              <w:rPr>
                <w:color w:val="0D0D0D" w:themeColor="text1" w:themeTint="F2"/>
                <w:spacing w:val="-4"/>
                <w:lang w:val="en-GB"/>
              </w:rPr>
              <w:t xml:space="preserve"> (both of households and enterprises) affected the </w:t>
            </w:r>
            <w:r w:rsidR="00612680" w:rsidRPr="00D160FB">
              <w:rPr>
                <w:color w:val="0D0D0D" w:themeColor="text1" w:themeTint="F2"/>
                <w:spacing w:val="-4"/>
                <w:lang w:val="en-GB"/>
              </w:rPr>
              <w:t>branch of energy industry</w:t>
            </w:r>
            <w:r w:rsidR="00E87D5B" w:rsidRPr="00D160FB">
              <w:rPr>
                <w:color w:val="0D0D0D" w:themeColor="text1" w:themeTint="F2"/>
                <w:spacing w:val="-4"/>
                <w:lang w:val="en-GB"/>
              </w:rPr>
              <w:t xml:space="preserve">. </w:t>
            </w:r>
            <w:r w:rsidR="0075236C" w:rsidRPr="00D160FB">
              <w:rPr>
                <w:color w:val="0D0D0D" w:themeColor="text1" w:themeTint="F2"/>
                <w:spacing w:val="-4"/>
                <w:lang w:val="en-GB"/>
              </w:rPr>
              <w:t>In addition the industria</w:t>
            </w:r>
            <w:r w:rsidR="00E0768A" w:rsidRPr="00D160FB">
              <w:rPr>
                <w:color w:val="0D0D0D" w:themeColor="text1" w:themeTint="F2"/>
                <w:spacing w:val="-4"/>
                <w:lang w:val="en-GB"/>
              </w:rPr>
              <w:t>l</w:t>
            </w:r>
            <w:r w:rsidR="0075236C" w:rsidRPr="00D160FB">
              <w:rPr>
                <w:color w:val="0D0D0D" w:themeColor="text1" w:themeTint="F2"/>
                <w:spacing w:val="-4"/>
                <w:lang w:val="en-GB"/>
              </w:rPr>
              <w:t xml:space="preserve"> businesses </w:t>
            </w:r>
            <w:r w:rsidR="00E0768A" w:rsidRPr="00D160FB">
              <w:rPr>
                <w:color w:val="0D0D0D" w:themeColor="text1" w:themeTint="F2"/>
                <w:spacing w:val="-4"/>
                <w:lang w:val="en-GB"/>
              </w:rPr>
              <w:t xml:space="preserve">in the CR </w:t>
            </w:r>
            <w:r w:rsidR="0075236C" w:rsidRPr="00D160FB">
              <w:rPr>
                <w:color w:val="0D0D0D" w:themeColor="text1" w:themeTint="F2"/>
                <w:spacing w:val="-4"/>
                <w:lang w:val="en-GB"/>
              </w:rPr>
              <w:t>started</w:t>
            </w:r>
            <w:r w:rsidR="00E0768A" w:rsidRPr="00D160FB">
              <w:rPr>
                <w:color w:val="0D0D0D" w:themeColor="text1" w:themeTint="F2"/>
                <w:spacing w:val="-4"/>
                <w:lang w:val="en-GB"/>
              </w:rPr>
              <w:t xml:space="preserve"> still more to experience concerns associated with the worsening economic situation in the number of </w:t>
            </w:r>
            <w:r w:rsidR="000411B1" w:rsidRPr="00D160FB">
              <w:rPr>
                <w:color w:val="0D0D0D" w:themeColor="text1" w:themeTint="F2"/>
                <w:spacing w:val="-4"/>
                <w:lang w:val="en-GB"/>
              </w:rPr>
              <w:t xml:space="preserve">significant export territories, which also became apparent in the negative </w:t>
            </w:r>
            <w:r w:rsidR="006B3FBA" w:rsidRPr="00D160FB">
              <w:rPr>
                <w:color w:val="0D0D0D" w:themeColor="text1" w:themeTint="F2"/>
                <w:spacing w:val="-4"/>
                <w:lang w:val="en-GB"/>
              </w:rPr>
              <w:t xml:space="preserve">business cycle </w:t>
            </w:r>
            <w:r w:rsidR="000411B1" w:rsidRPr="00D160FB">
              <w:rPr>
                <w:color w:val="0D0D0D" w:themeColor="text1" w:themeTint="F2"/>
                <w:spacing w:val="-4"/>
                <w:lang w:val="en-GB"/>
              </w:rPr>
              <w:t xml:space="preserve">expectations of </w:t>
            </w:r>
            <w:r w:rsidR="0065235A">
              <w:rPr>
                <w:color w:val="0D0D0D" w:themeColor="text1" w:themeTint="F2"/>
                <w:spacing w:val="-4"/>
                <w:lang w:val="en-GB"/>
              </w:rPr>
              <w:t xml:space="preserve">domestic </w:t>
            </w:r>
            <w:r w:rsidR="000411B1" w:rsidRPr="00D160FB">
              <w:rPr>
                <w:color w:val="0D0D0D" w:themeColor="text1" w:themeTint="F2"/>
                <w:spacing w:val="-4"/>
                <w:lang w:val="en-GB"/>
              </w:rPr>
              <w:t>busin</w:t>
            </w:r>
            <w:r w:rsidR="006B3FBA" w:rsidRPr="00D160FB">
              <w:rPr>
                <w:color w:val="0D0D0D" w:themeColor="text1" w:themeTint="F2"/>
                <w:spacing w:val="-4"/>
                <w:lang w:val="en-GB"/>
              </w:rPr>
              <w:t xml:space="preserve">esses. </w:t>
            </w:r>
            <w:r w:rsidR="00A670A0" w:rsidRPr="00D160FB">
              <w:rPr>
                <w:color w:val="0D0D0D" w:themeColor="text1" w:themeTint="F2"/>
                <w:spacing w:val="-4"/>
                <w:lang w:val="en-GB"/>
              </w:rPr>
              <w:t>T</w:t>
            </w:r>
            <w:r w:rsidR="00281D1B" w:rsidRPr="00D160FB">
              <w:rPr>
                <w:color w:val="0D0D0D" w:themeColor="text1" w:themeTint="F2"/>
                <w:spacing w:val="-4"/>
                <w:lang w:val="en-GB"/>
              </w:rPr>
              <w:t>hus t</w:t>
            </w:r>
            <w:r w:rsidR="00A670A0" w:rsidRPr="00D160FB">
              <w:rPr>
                <w:color w:val="0D0D0D" w:themeColor="text1" w:themeTint="F2"/>
                <w:spacing w:val="-4"/>
                <w:lang w:val="en-GB"/>
              </w:rPr>
              <w:t xml:space="preserve">he quarter-on-quarter growth of production in industry as well as its key segment of manufacturing of motor vehicles </w:t>
            </w:r>
            <w:r w:rsidR="008132F7" w:rsidRPr="00D160FB">
              <w:rPr>
                <w:color w:val="0D0D0D" w:themeColor="text1" w:themeTint="F2"/>
                <w:spacing w:val="-4"/>
                <w:lang w:val="en-GB"/>
              </w:rPr>
              <w:t xml:space="preserve">in effect </w:t>
            </w:r>
            <w:r w:rsidR="00281D1B" w:rsidRPr="00D160FB">
              <w:rPr>
                <w:color w:val="0D0D0D" w:themeColor="text1" w:themeTint="F2"/>
                <w:spacing w:val="-4"/>
                <w:lang w:val="en-GB"/>
              </w:rPr>
              <w:t>halte</w:t>
            </w:r>
            <w:r w:rsidR="00D160FB">
              <w:rPr>
                <w:color w:val="0D0D0D" w:themeColor="text1" w:themeTint="F2"/>
                <w:spacing w:val="-4"/>
                <w:lang w:val="en-GB"/>
              </w:rPr>
              <w:t xml:space="preserve">d </w:t>
            </w:r>
            <w:r w:rsidR="00281D1B" w:rsidRPr="00D160FB">
              <w:rPr>
                <w:color w:val="0D0D0D" w:themeColor="text1" w:themeTint="F2"/>
                <w:spacing w:val="-4"/>
                <w:lang w:val="en-GB"/>
              </w:rPr>
              <w:t>in Q</w:t>
            </w:r>
            <w:r w:rsidR="00E87D5B" w:rsidRPr="00D160FB">
              <w:rPr>
                <w:color w:val="0D0D0D" w:themeColor="text1" w:themeTint="F2"/>
                <w:spacing w:val="-4"/>
                <w:lang w:val="en-GB"/>
              </w:rPr>
              <w:t xml:space="preserve">4. </w:t>
            </w:r>
          </w:p>
        </w:tc>
      </w:tr>
      <w:tr w:rsidR="00A7439C" w:rsidRPr="00D160FB" w14:paraId="3BF66136" w14:textId="77777777" w:rsidTr="00976631">
        <w:trPr>
          <w:trHeight w:val="145"/>
        </w:trPr>
        <w:tc>
          <w:tcPr>
            <w:tcW w:w="1780" w:type="dxa"/>
            <w:tcBorders>
              <w:top w:val="nil"/>
              <w:left w:val="nil"/>
              <w:bottom w:val="nil"/>
              <w:right w:val="nil"/>
            </w:tcBorders>
            <w:shd w:val="clear" w:color="auto" w:fill="auto"/>
            <w:tcMar>
              <w:left w:w="0" w:type="dxa"/>
            </w:tcMar>
          </w:tcPr>
          <w:p w14:paraId="6A6B9F5B" w14:textId="7F66F4EB" w:rsidR="00E87D5B" w:rsidRPr="00D160FB" w:rsidRDefault="00EF75D0" w:rsidP="00EF75D0">
            <w:pPr>
              <w:pStyle w:val="Marginlie"/>
              <w:rPr>
                <w:color w:val="0D0D0D" w:themeColor="text1" w:themeTint="F2"/>
                <w:spacing w:val="-4"/>
                <w:lang w:val="en-GB"/>
              </w:rPr>
            </w:pPr>
            <w:r w:rsidRPr="00D160FB">
              <w:rPr>
                <w:color w:val="0D0D0D" w:themeColor="text1" w:themeTint="F2"/>
                <w:spacing w:val="-4"/>
                <w:lang w:val="en-GB"/>
              </w:rPr>
              <w:t xml:space="preserve">Last year’s </w:t>
            </w:r>
            <w:r w:rsidR="000B614F" w:rsidRPr="00D160FB">
              <w:rPr>
                <w:color w:val="0D0D0D" w:themeColor="text1" w:themeTint="F2"/>
                <w:spacing w:val="-4"/>
                <w:lang w:val="en-GB"/>
              </w:rPr>
              <w:t>growth</w:t>
            </w:r>
            <w:r w:rsidRPr="00D160FB">
              <w:rPr>
                <w:color w:val="0D0D0D" w:themeColor="text1" w:themeTint="F2"/>
                <w:spacing w:val="-4"/>
                <w:lang w:val="en-GB"/>
              </w:rPr>
              <w:t xml:space="preserve"> of industrial output was driven mainly by the manufacturing of motor vehicles. </w:t>
            </w:r>
            <w:r w:rsidR="001D55CF" w:rsidRPr="00D160FB">
              <w:rPr>
                <w:color w:val="0D0D0D" w:themeColor="text1" w:themeTint="F2"/>
                <w:spacing w:val="-4"/>
                <w:lang w:val="en-GB"/>
              </w:rPr>
              <w:t xml:space="preserve">It however also faced difficulties. </w:t>
            </w:r>
            <w:r w:rsidR="00E87D5B" w:rsidRPr="00D160FB">
              <w:rPr>
                <w:color w:val="0D0D0D" w:themeColor="text1" w:themeTint="F2"/>
                <w:spacing w:val="-4"/>
                <w:lang w:val="en-GB"/>
              </w:rPr>
              <w:t xml:space="preserve"> </w:t>
            </w:r>
          </w:p>
        </w:tc>
        <w:tc>
          <w:tcPr>
            <w:tcW w:w="200" w:type="dxa"/>
            <w:tcBorders>
              <w:top w:val="nil"/>
              <w:left w:val="nil"/>
              <w:bottom w:val="nil"/>
              <w:right w:val="nil"/>
            </w:tcBorders>
            <w:shd w:val="clear" w:color="auto" w:fill="auto"/>
            <w:tcMar>
              <w:left w:w="0" w:type="dxa"/>
            </w:tcMar>
          </w:tcPr>
          <w:p w14:paraId="3DCD437F" w14:textId="77777777" w:rsidR="00E87D5B" w:rsidRPr="00D160FB" w:rsidRDefault="00E87D5B" w:rsidP="00C8019E">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06A32606" w14:textId="250DD784" w:rsidR="00E87D5B" w:rsidRPr="00D160FB" w:rsidRDefault="001D55CF" w:rsidP="00C8019E">
            <w:pPr>
              <w:spacing w:after="220"/>
              <w:rPr>
                <w:spacing w:val="-4"/>
                <w:lang w:val="en-GB"/>
              </w:rPr>
            </w:pPr>
            <w:r w:rsidRPr="00D160FB">
              <w:rPr>
                <w:spacing w:val="-4"/>
                <w:lang w:val="en-GB"/>
              </w:rPr>
              <w:t xml:space="preserve">Even though </w:t>
            </w:r>
            <w:r w:rsidR="00ED4380" w:rsidRPr="00D160FB">
              <w:rPr>
                <w:spacing w:val="-4"/>
                <w:lang w:val="en-GB"/>
              </w:rPr>
              <w:t xml:space="preserve">the output dropped in approximately one third of industrial </w:t>
            </w:r>
            <w:r w:rsidR="00593591" w:rsidRPr="00D160FB">
              <w:rPr>
                <w:spacing w:val="-4"/>
                <w:lang w:val="en-GB"/>
              </w:rPr>
              <w:t>activities for the last year</w:t>
            </w:r>
            <w:r w:rsidR="00E87D5B" w:rsidRPr="00D160FB">
              <w:rPr>
                <w:spacing w:val="-4"/>
                <w:lang w:val="en-GB"/>
              </w:rPr>
              <w:t xml:space="preserve">, </w:t>
            </w:r>
            <w:r w:rsidRPr="00D160FB">
              <w:rPr>
                <w:spacing w:val="-4"/>
                <w:lang w:val="en-GB"/>
              </w:rPr>
              <w:t xml:space="preserve">it went slightly up in total for the whole industry </w:t>
            </w:r>
            <w:r w:rsidR="00E87D5B" w:rsidRPr="00D160FB">
              <w:rPr>
                <w:color w:val="0D0D0D" w:themeColor="text1" w:themeTint="F2"/>
                <w:spacing w:val="-4"/>
                <w:lang w:val="en-GB"/>
              </w:rPr>
              <w:t>(+2</w:t>
            </w:r>
            <w:r w:rsidRPr="00D160FB">
              <w:rPr>
                <w:color w:val="0D0D0D" w:themeColor="text1" w:themeTint="F2"/>
                <w:spacing w:val="-4"/>
                <w:lang w:val="en-GB"/>
              </w:rPr>
              <w:t>.</w:t>
            </w:r>
            <w:r w:rsidR="00E87D5B" w:rsidRPr="00D160FB">
              <w:rPr>
                <w:color w:val="0D0D0D" w:themeColor="text1" w:themeTint="F2"/>
                <w:spacing w:val="-4"/>
                <w:lang w:val="en-GB"/>
              </w:rPr>
              <w:t xml:space="preserve">5%). </w:t>
            </w:r>
            <w:r w:rsidR="00D832FA" w:rsidRPr="00D160FB">
              <w:rPr>
                <w:color w:val="0D0D0D" w:themeColor="text1" w:themeTint="F2"/>
                <w:spacing w:val="-4"/>
                <w:lang w:val="en-GB"/>
              </w:rPr>
              <w:t xml:space="preserve">It was mainly thanks to the manufacturing of motor </w:t>
            </w:r>
            <w:r w:rsidR="00C97D83" w:rsidRPr="00D160FB">
              <w:rPr>
                <w:color w:val="0D0D0D" w:themeColor="text1" w:themeTint="F2"/>
                <w:spacing w:val="-4"/>
                <w:lang w:val="en-GB"/>
              </w:rPr>
              <w:t>vehicles</w:t>
            </w:r>
            <w:r w:rsidR="00D832FA" w:rsidRPr="00D160FB">
              <w:rPr>
                <w:color w:val="0D0D0D" w:themeColor="text1" w:themeTint="F2"/>
                <w:spacing w:val="-4"/>
                <w:lang w:val="en-GB"/>
              </w:rPr>
              <w:t xml:space="preserve">, which </w:t>
            </w:r>
            <w:r w:rsidR="00593591" w:rsidRPr="00D160FB">
              <w:rPr>
                <w:color w:val="0D0D0D" w:themeColor="text1" w:themeTint="F2"/>
                <w:spacing w:val="-4"/>
                <w:lang w:val="en-GB"/>
              </w:rPr>
              <w:t xml:space="preserve">even despite weaker basis </w:t>
            </w:r>
            <w:r w:rsidR="00E87D5B" w:rsidRPr="00D160FB">
              <w:rPr>
                <w:spacing w:val="-4"/>
                <w:lang w:val="en-GB"/>
              </w:rPr>
              <w:t>(</w:t>
            </w:r>
            <w:r w:rsidR="00593591" w:rsidRPr="00D160FB">
              <w:rPr>
                <w:spacing w:val="-4"/>
                <w:lang w:val="en-GB"/>
              </w:rPr>
              <w:t xml:space="preserve">because of </w:t>
            </w:r>
            <w:r w:rsidR="00423519" w:rsidRPr="00D160FB">
              <w:rPr>
                <w:spacing w:val="-4"/>
                <w:lang w:val="en-GB"/>
              </w:rPr>
              <w:t>forced shutdowns of operations in Q</w:t>
            </w:r>
            <w:r w:rsidR="00E87D5B" w:rsidRPr="00D160FB">
              <w:rPr>
                <w:spacing w:val="-4"/>
                <w:lang w:val="en-GB"/>
              </w:rPr>
              <w:t>3</w:t>
            </w:r>
            <w:r w:rsidR="00423519" w:rsidRPr="00D160FB">
              <w:rPr>
                <w:spacing w:val="-4"/>
                <w:lang w:val="en-GB"/>
              </w:rPr>
              <w:t xml:space="preserve"> </w:t>
            </w:r>
            <w:r w:rsidR="00E87D5B" w:rsidRPr="00D160FB">
              <w:rPr>
                <w:spacing w:val="-4"/>
                <w:lang w:val="en-GB"/>
              </w:rPr>
              <w:t xml:space="preserve">2021) </w:t>
            </w:r>
            <w:r w:rsidR="00EA04C3" w:rsidRPr="00D160FB">
              <w:rPr>
                <w:spacing w:val="-4"/>
                <w:lang w:val="en-GB"/>
              </w:rPr>
              <w:t xml:space="preserve">increased by </w:t>
            </w:r>
            <w:r w:rsidR="00E87D5B" w:rsidRPr="00D160FB">
              <w:rPr>
                <w:spacing w:val="-4"/>
                <w:lang w:val="en-GB"/>
              </w:rPr>
              <w:t>11</w:t>
            </w:r>
            <w:r w:rsidR="00EA04C3" w:rsidRPr="00D160FB">
              <w:rPr>
                <w:spacing w:val="-4"/>
                <w:lang w:val="en-GB"/>
              </w:rPr>
              <w:t>.</w:t>
            </w:r>
            <w:r w:rsidR="00E87D5B" w:rsidRPr="00D160FB">
              <w:rPr>
                <w:spacing w:val="-4"/>
                <w:lang w:val="en-GB"/>
              </w:rPr>
              <w:t>8% a</w:t>
            </w:r>
            <w:r w:rsidR="004F6AFB" w:rsidRPr="00D160FB">
              <w:rPr>
                <w:spacing w:val="-4"/>
                <w:lang w:val="en-GB"/>
              </w:rPr>
              <w:t xml:space="preserve">nd contributed even </w:t>
            </w:r>
            <w:r w:rsidR="00E87D5B" w:rsidRPr="00D160FB">
              <w:rPr>
                <w:spacing w:val="-4"/>
                <w:lang w:val="en-GB"/>
              </w:rPr>
              <w:t>2 p.</w:t>
            </w:r>
            <w:r w:rsidR="004F6AFB" w:rsidRPr="00D160FB">
              <w:rPr>
                <w:spacing w:val="-4"/>
                <w:lang w:val="en-GB"/>
              </w:rPr>
              <w:t>p</w:t>
            </w:r>
            <w:r w:rsidR="00E87D5B" w:rsidRPr="00D160FB">
              <w:rPr>
                <w:spacing w:val="-4"/>
                <w:lang w:val="en-GB"/>
              </w:rPr>
              <w:t>.</w:t>
            </w:r>
            <w:r w:rsidR="004F6AFB" w:rsidRPr="00D160FB">
              <w:rPr>
                <w:spacing w:val="-4"/>
                <w:lang w:val="en-GB"/>
              </w:rPr>
              <w:t xml:space="preserve"> to the growth of the whole industry. </w:t>
            </w:r>
            <w:r w:rsidR="00011FC2" w:rsidRPr="00D160FB">
              <w:rPr>
                <w:spacing w:val="-4"/>
                <w:lang w:val="en-GB"/>
              </w:rPr>
              <w:t>It was assisted by the strong demand connected to the renewal of the company</w:t>
            </w:r>
            <w:r w:rsidR="00AC4D34" w:rsidRPr="00D160FB">
              <w:rPr>
                <w:spacing w:val="-4"/>
                <w:lang w:val="en-GB"/>
              </w:rPr>
              <w:t xml:space="preserve"> vehicle fleet </w:t>
            </w:r>
            <w:r w:rsidR="00E87D5B" w:rsidRPr="00D160FB">
              <w:rPr>
                <w:color w:val="0D0D0D" w:themeColor="text1" w:themeTint="F2"/>
                <w:spacing w:val="-4"/>
                <w:lang w:val="en-GB"/>
              </w:rPr>
              <w:t>(</w:t>
            </w:r>
            <w:r w:rsidR="00011FC2" w:rsidRPr="00D160FB">
              <w:rPr>
                <w:color w:val="0D0D0D" w:themeColor="text1" w:themeTint="F2"/>
                <w:spacing w:val="-4"/>
                <w:lang w:val="en-GB"/>
              </w:rPr>
              <w:t>interrupted during the pandemics</w:t>
            </w:r>
            <w:r w:rsidR="00E87D5B" w:rsidRPr="00D160FB">
              <w:rPr>
                <w:color w:val="0D0D0D" w:themeColor="text1" w:themeTint="F2"/>
                <w:spacing w:val="-4"/>
                <w:lang w:val="en-GB"/>
              </w:rPr>
              <w:t xml:space="preserve">) </w:t>
            </w:r>
            <w:r w:rsidR="00955655" w:rsidRPr="00D160FB">
              <w:rPr>
                <w:color w:val="0D0D0D" w:themeColor="text1" w:themeTint="F2"/>
                <w:spacing w:val="-4"/>
                <w:lang w:val="en-GB"/>
              </w:rPr>
              <w:t>as well as the gradually develop</w:t>
            </w:r>
            <w:r w:rsidR="000735EF" w:rsidRPr="00D160FB">
              <w:rPr>
                <w:color w:val="0D0D0D" w:themeColor="text1" w:themeTint="F2"/>
                <w:spacing w:val="-4"/>
                <w:lang w:val="en-GB"/>
              </w:rPr>
              <w:t xml:space="preserve">ing </w:t>
            </w:r>
            <w:r w:rsidR="00955655" w:rsidRPr="00D160FB">
              <w:rPr>
                <w:color w:val="0D0D0D" w:themeColor="text1" w:themeTint="F2"/>
                <w:spacing w:val="-4"/>
                <w:lang w:val="en-GB"/>
              </w:rPr>
              <w:t>segment of el</w:t>
            </w:r>
            <w:r w:rsidR="00D06CA2" w:rsidRPr="00D160FB">
              <w:rPr>
                <w:color w:val="0D0D0D" w:themeColor="text1" w:themeTint="F2"/>
                <w:spacing w:val="-4"/>
                <w:lang w:val="en-GB"/>
              </w:rPr>
              <w:t xml:space="preserve">ectrical </w:t>
            </w:r>
            <w:r w:rsidR="00DD6003" w:rsidRPr="00D160FB">
              <w:rPr>
                <w:color w:val="0D0D0D" w:themeColor="text1" w:themeTint="F2"/>
                <w:spacing w:val="-4"/>
                <w:lang w:val="en-GB"/>
              </w:rPr>
              <w:t>vehicles</w:t>
            </w:r>
            <w:r w:rsidR="00AC4D34" w:rsidRPr="00D160FB">
              <w:rPr>
                <w:color w:val="0D0D0D" w:themeColor="text1" w:themeTint="F2"/>
                <w:spacing w:val="-4"/>
                <w:lang w:val="en-GB"/>
              </w:rPr>
              <w:t xml:space="preserve"> </w:t>
            </w:r>
            <w:r w:rsidR="00E87D5B" w:rsidRPr="00D160FB">
              <w:rPr>
                <w:color w:val="0D0D0D" w:themeColor="text1" w:themeTint="F2"/>
                <w:spacing w:val="-4"/>
                <w:lang w:val="en-GB"/>
              </w:rPr>
              <w:t xml:space="preserve">– </w:t>
            </w:r>
            <w:r w:rsidR="000735EF" w:rsidRPr="00D160FB">
              <w:rPr>
                <w:color w:val="0D0D0D" w:themeColor="text1" w:themeTint="F2"/>
                <w:spacing w:val="-4"/>
                <w:lang w:val="en-GB"/>
              </w:rPr>
              <w:t>as also evident from the data regarding the physical production</w:t>
            </w:r>
            <w:r w:rsidR="00E87D5B" w:rsidRPr="00D160FB">
              <w:rPr>
                <w:rStyle w:val="Znakapoznpodarou"/>
                <w:color w:val="0D0D0D" w:themeColor="text1" w:themeTint="F2"/>
                <w:spacing w:val="-4"/>
                <w:lang w:val="en-GB"/>
              </w:rPr>
              <w:footnoteReference w:id="9"/>
            </w:r>
            <w:r w:rsidR="00E87D5B" w:rsidRPr="00D160FB">
              <w:rPr>
                <w:color w:val="0D0D0D" w:themeColor="text1" w:themeTint="F2"/>
                <w:spacing w:val="-4"/>
                <w:lang w:val="en-GB"/>
              </w:rPr>
              <w:t xml:space="preserve">. </w:t>
            </w:r>
            <w:r w:rsidR="00813AED" w:rsidRPr="00D160FB">
              <w:rPr>
                <w:color w:val="0D0D0D" w:themeColor="text1" w:themeTint="F2"/>
                <w:spacing w:val="-4"/>
                <w:lang w:val="en-GB"/>
              </w:rPr>
              <w:t xml:space="preserve">Still the situation in the manufacturing of motor vehicles remains complicated. </w:t>
            </w:r>
            <w:r w:rsidR="00391B9F" w:rsidRPr="00D160FB">
              <w:rPr>
                <w:color w:val="0D0D0D" w:themeColor="text1" w:themeTint="F2"/>
                <w:spacing w:val="-4"/>
                <w:lang w:val="en-GB"/>
              </w:rPr>
              <w:t>Utilisation of production capacities</w:t>
            </w:r>
            <w:r w:rsidR="009D25FB" w:rsidRPr="00D160FB">
              <w:rPr>
                <w:color w:val="0D0D0D" w:themeColor="text1" w:themeTint="F2"/>
                <w:spacing w:val="-4"/>
                <w:lang w:val="en-GB"/>
              </w:rPr>
              <w:t xml:space="preserve"> was around</w:t>
            </w:r>
            <w:r w:rsidR="00391B9F" w:rsidRPr="00D160FB">
              <w:rPr>
                <w:color w:val="0D0D0D" w:themeColor="text1" w:themeTint="F2"/>
                <w:spacing w:val="-4"/>
                <w:lang w:val="en-GB"/>
              </w:rPr>
              <w:t xml:space="preserve"> </w:t>
            </w:r>
            <w:r w:rsidR="00E87D5B" w:rsidRPr="00D160FB">
              <w:rPr>
                <w:color w:val="0D0D0D" w:themeColor="text1" w:themeTint="F2"/>
                <w:spacing w:val="-4"/>
                <w:lang w:val="en-GB"/>
              </w:rPr>
              <w:t>80%</w:t>
            </w:r>
            <w:r w:rsidR="009D25FB" w:rsidRPr="00D160FB">
              <w:rPr>
                <w:color w:val="0D0D0D" w:themeColor="text1" w:themeTint="F2"/>
                <w:spacing w:val="-4"/>
                <w:lang w:val="en-GB"/>
              </w:rPr>
              <w:t xml:space="preserve"> here nearly for the whole </w:t>
            </w:r>
            <w:r w:rsidR="009D25FB" w:rsidRPr="00D160FB">
              <w:rPr>
                <w:color w:val="0D0D0D" w:themeColor="text1" w:themeTint="F2"/>
                <w:spacing w:val="-4"/>
                <w:lang w:val="en-GB"/>
              </w:rPr>
              <w:lastRenderedPageBreak/>
              <w:t xml:space="preserve">last year </w:t>
            </w:r>
            <w:r w:rsidR="00E87D5B" w:rsidRPr="00D160FB">
              <w:rPr>
                <w:color w:val="0D0D0D" w:themeColor="text1" w:themeTint="F2"/>
                <w:spacing w:val="-4"/>
                <w:lang w:val="en-GB"/>
              </w:rPr>
              <w:t>(</w:t>
            </w:r>
            <w:r w:rsidR="009D25FB" w:rsidRPr="00D160FB">
              <w:rPr>
                <w:color w:val="0D0D0D" w:themeColor="text1" w:themeTint="F2"/>
                <w:spacing w:val="-4"/>
                <w:lang w:val="en-GB"/>
              </w:rPr>
              <w:t xml:space="preserve">while the long-term average </w:t>
            </w:r>
            <w:r w:rsidR="007B0820" w:rsidRPr="00D160FB">
              <w:rPr>
                <w:color w:val="0D0D0D" w:themeColor="text1" w:themeTint="F2"/>
                <w:spacing w:val="-4"/>
                <w:lang w:val="en-GB"/>
              </w:rPr>
              <w:t xml:space="preserve">slightly exceeds </w:t>
            </w:r>
            <w:r w:rsidR="00E87D5B" w:rsidRPr="00D160FB">
              <w:rPr>
                <w:color w:val="0D0D0D" w:themeColor="text1" w:themeTint="F2"/>
                <w:spacing w:val="-4"/>
                <w:lang w:val="en-GB"/>
              </w:rPr>
              <w:t xml:space="preserve">90%). </w:t>
            </w:r>
            <w:r w:rsidR="00A46502" w:rsidRPr="00D160FB">
              <w:rPr>
                <w:color w:val="0D0D0D" w:themeColor="text1" w:themeTint="F2"/>
                <w:spacing w:val="-4"/>
                <w:lang w:val="en-GB"/>
              </w:rPr>
              <w:t xml:space="preserve">In addition, </w:t>
            </w:r>
            <w:r w:rsidR="00E87D5B" w:rsidRPr="00D160FB">
              <w:rPr>
                <w:color w:val="0D0D0D" w:themeColor="text1" w:themeTint="F2"/>
                <w:spacing w:val="-4"/>
                <w:lang w:val="en-GB"/>
              </w:rPr>
              <w:t>85%</w:t>
            </w:r>
            <w:r w:rsidR="00E87D5B" w:rsidRPr="00D160FB">
              <w:rPr>
                <w:rStyle w:val="Znakapoznpodarou"/>
                <w:color w:val="0D0D0D" w:themeColor="text1" w:themeTint="F2"/>
                <w:spacing w:val="-4"/>
                <w:lang w:val="en-GB"/>
              </w:rPr>
              <w:footnoteReference w:id="10"/>
            </w:r>
            <w:r w:rsidR="00E87D5B" w:rsidRPr="00D160FB">
              <w:rPr>
                <w:color w:val="0D0D0D" w:themeColor="text1" w:themeTint="F2"/>
                <w:spacing w:val="-4"/>
                <w:lang w:val="en-GB"/>
              </w:rPr>
              <w:t xml:space="preserve"> </w:t>
            </w:r>
            <w:r w:rsidR="00152A72" w:rsidRPr="00D160FB">
              <w:rPr>
                <w:color w:val="0D0D0D" w:themeColor="text1" w:themeTint="F2"/>
                <w:spacing w:val="-4"/>
                <w:lang w:val="en-GB"/>
              </w:rPr>
              <w:t xml:space="preserve">of businesses in the manufacturing of motor vehicles </w:t>
            </w:r>
            <w:r w:rsidR="00A46502" w:rsidRPr="00D160FB">
              <w:rPr>
                <w:color w:val="0D0D0D" w:themeColor="text1" w:themeTint="F2"/>
                <w:spacing w:val="-4"/>
                <w:lang w:val="en-GB"/>
              </w:rPr>
              <w:t xml:space="preserve">declared </w:t>
            </w:r>
            <w:r w:rsidR="00DB51B9">
              <w:rPr>
                <w:color w:val="0D0D0D" w:themeColor="text1" w:themeTint="F2"/>
                <w:spacing w:val="-4"/>
                <w:lang w:val="en-GB"/>
              </w:rPr>
              <w:t xml:space="preserve">a shortage of material or equipment </w:t>
            </w:r>
            <w:r w:rsidR="00115B00" w:rsidRPr="00D160FB">
              <w:rPr>
                <w:color w:val="0D0D0D" w:themeColor="text1" w:themeTint="F2"/>
                <w:spacing w:val="-4"/>
                <w:lang w:val="en-GB"/>
              </w:rPr>
              <w:t>in January</w:t>
            </w:r>
            <w:r w:rsidR="00DB51B9">
              <w:rPr>
                <w:color w:val="0D0D0D" w:themeColor="text1" w:themeTint="F2"/>
                <w:spacing w:val="-4"/>
                <w:lang w:val="en-GB"/>
              </w:rPr>
              <w:t xml:space="preserve"> 2023</w:t>
            </w:r>
            <w:r w:rsidR="00115B00" w:rsidRPr="00D160FB">
              <w:rPr>
                <w:color w:val="0D0D0D" w:themeColor="text1" w:themeTint="F2"/>
                <w:spacing w:val="-4"/>
                <w:lang w:val="en-GB"/>
              </w:rPr>
              <w:t xml:space="preserve"> </w:t>
            </w:r>
            <w:r w:rsidR="00E87D5B" w:rsidRPr="00D160FB">
              <w:rPr>
                <w:color w:val="0D0D0D" w:themeColor="text1" w:themeTint="F2"/>
                <w:spacing w:val="-4"/>
                <w:lang w:val="en-GB"/>
              </w:rPr>
              <w:t>(</w:t>
            </w:r>
            <w:r w:rsidR="00115B00" w:rsidRPr="00D160FB">
              <w:rPr>
                <w:color w:val="0D0D0D" w:themeColor="text1" w:themeTint="F2"/>
                <w:spacing w:val="-4"/>
                <w:lang w:val="en-GB"/>
              </w:rPr>
              <w:t xml:space="preserve">their share </w:t>
            </w:r>
            <w:r w:rsidR="00152A72" w:rsidRPr="00D160FB">
              <w:rPr>
                <w:color w:val="0D0D0D" w:themeColor="text1" w:themeTint="F2"/>
                <w:spacing w:val="-4"/>
                <w:lang w:val="en-GB"/>
              </w:rPr>
              <w:t>did not lower as opposed to other industrial branches in the last half-year</w:t>
            </w:r>
            <w:r w:rsidR="00E87D5B" w:rsidRPr="00D160FB">
              <w:rPr>
                <w:color w:val="0D0D0D" w:themeColor="text1" w:themeTint="F2"/>
                <w:spacing w:val="-4"/>
                <w:lang w:val="en-GB"/>
              </w:rPr>
              <w:t xml:space="preserve">). </w:t>
            </w:r>
          </w:p>
        </w:tc>
      </w:tr>
      <w:tr w:rsidR="00A7439C" w:rsidRPr="00D160FB" w14:paraId="0CB53B7A" w14:textId="77777777" w:rsidTr="00976631">
        <w:trPr>
          <w:trHeight w:val="145"/>
        </w:trPr>
        <w:tc>
          <w:tcPr>
            <w:tcW w:w="1780" w:type="dxa"/>
            <w:tcBorders>
              <w:top w:val="nil"/>
              <w:left w:val="nil"/>
              <w:bottom w:val="nil"/>
              <w:right w:val="nil"/>
            </w:tcBorders>
            <w:shd w:val="clear" w:color="auto" w:fill="auto"/>
            <w:tcMar>
              <w:left w:w="0" w:type="dxa"/>
            </w:tcMar>
          </w:tcPr>
          <w:p w14:paraId="6783652E" w14:textId="5C4AFEF9" w:rsidR="00E87D5B" w:rsidRPr="00D160FB" w:rsidRDefault="00666104" w:rsidP="00666104">
            <w:pPr>
              <w:pStyle w:val="Marginlie"/>
              <w:rPr>
                <w:color w:val="0D0D0D" w:themeColor="text1" w:themeTint="F2"/>
                <w:spacing w:val="-4"/>
                <w:lang w:val="en-GB"/>
              </w:rPr>
            </w:pPr>
            <w:r w:rsidRPr="00D160FB">
              <w:rPr>
                <w:color w:val="0D0D0D" w:themeColor="text1" w:themeTint="F2"/>
                <w:spacing w:val="-4"/>
                <w:lang w:val="en-GB"/>
              </w:rPr>
              <w:lastRenderedPageBreak/>
              <w:t xml:space="preserve">Manufacturing of electrical equipment, computers or machinery also thrived. Some smaller branches strongly hit by the slump of demand during the pandemics markedly </w:t>
            </w:r>
            <w:r w:rsidR="00DB51B9">
              <w:rPr>
                <w:color w:val="0D0D0D" w:themeColor="text1" w:themeTint="F2"/>
                <w:spacing w:val="-4"/>
                <w:lang w:val="en-GB"/>
              </w:rPr>
              <w:t>revived.</w:t>
            </w:r>
            <w:r w:rsidR="00E87D5B" w:rsidRPr="00D160FB">
              <w:rPr>
                <w:color w:val="0D0D0D" w:themeColor="text1" w:themeTint="F2"/>
                <w:spacing w:val="-4"/>
                <w:lang w:val="en-GB"/>
              </w:rPr>
              <w:t xml:space="preserve"> </w:t>
            </w:r>
          </w:p>
        </w:tc>
        <w:tc>
          <w:tcPr>
            <w:tcW w:w="200" w:type="dxa"/>
            <w:tcBorders>
              <w:top w:val="nil"/>
              <w:left w:val="nil"/>
              <w:bottom w:val="nil"/>
              <w:right w:val="nil"/>
            </w:tcBorders>
            <w:shd w:val="clear" w:color="auto" w:fill="auto"/>
            <w:tcMar>
              <w:left w:w="0" w:type="dxa"/>
            </w:tcMar>
          </w:tcPr>
          <w:p w14:paraId="36CD9085" w14:textId="77777777" w:rsidR="00E87D5B" w:rsidRPr="00D160FB" w:rsidRDefault="00E87D5B" w:rsidP="00C8019E">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072E0CFF" w14:textId="1AC798FC" w:rsidR="00E87D5B" w:rsidRPr="00D160FB" w:rsidRDefault="0064378A" w:rsidP="00C8019E">
            <w:pPr>
              <w:spacing w:after="200"/>
              <w:rPr>
                <w:color w:val="0D0D0D" w:themeColor="text1" w:themeTint="F2"/>
                <w:spacing w:val="-6"/>
                <w:lang w:val="en-GB"/>
              </w:rPr>
            </w:pPr>
            <w:r w:rsidRPr="00D160FB">
              <w:rPr>
                <w:color w:val="0D0D0D" w:themeColor="text1" w:themeTint="F2"/>
                <w:spacing w:val="-6"/>
                <w:lang w:val="en-GB"/>
              </w:rPr>
              <w:t xml:space="preserve">Next to the manufacturing or motor vehicles, </w:t>
            </w:r>
            <w:r w:rsidR="00D86B80" w:rsidRPr="00D160FB">
              <w:rPr>
                <w:color w:val="0D0D0D" w:themeColor="text1" w:themeTint="F2"/>
                <w:spacing w:val="-6"/>
                <w:lang w:val="en-GB"/>
              </w:rPr>
              <w:t xml:space="preserve">the diversified branch of manufacturing of electrical equipment </w:t>
            </w:r>
            <w:r w:rsidRPr="00D160FB">
              <w:rPr>
                <w:color w:val="0D0D0D" w:themeColor="text1" w:themeTint="F2"/>
                <w:spacing w:val="-6"/>
                <w:lang w:val="en-GB"/>
              </w:rPr>
              <w:t xml:space="preserve">also more notably added to the </w:t>
            </w:r>
            <w:r w:rsidR="00D86B80" w:rsidRPr="00D160FB">
              <w:rPr>
                <w:color w:val="0D0D0D" w:themeColor="text1" w:themeTint="F2"/>
                <w:spacing w:val="-6"/>
                <w:lang w:val="en-GB"/>
              </w:rPr>
              <w:t xml:space="preserve">industry growth </w:t>
            </w:r>
            <w:r w:rsidR="00E87D5B" w:rsidRPr="00D160FB">
              <w:rPr>
                <w:color w:val="0D0D0D" w:themeColor="text1" w:themeTint="F2"/>
                <w:spacing w:val="-6"/>
                <w:lang w:val="en-GB"/>
              </w:rPr>
              <w:t>(+0</w:t>
            </w:r>
            <w:r w:rsidR="00D86B80" w:rsidRPr="00D160FB">
              <w:rPr>
                <w:color w:val="0D0D0D" w:themeColor="text1" w:themeTint="F2"/>
                <w:spacing w:val="-6"/>
                <w:lang w:val="en-GB"/>
              </w:rPr>
              <w:t>.</w:t>
            </w:r>
            <w:r w:rsidR="00E87D5B" w:rsidRPr="00D160FB">
              <w:rPr>
                <w:color w:val="0D0D0D" w:themeColor="text1" w:themeTint="F2"/>
                <w:spacing w:val="-6"/>
                <w:lang w:val="en-GB"/>
              </w:rPr>
              <w:t xml:space="preserve">5 </w:t>
            </w:r>
            <w:r w:rsidR="00DE3E22" w:rsidRPr="00D160FB">
              <w:rPr>
                <w:color w:val="0D0D0D" w:themeColor="text1" w:themeTint="F2"/>
                <w:spacing w:val="-6"/>
                <w:lang w:val="en-GB"/>
              </w:rPr>
              <w:t>p.</w:t>
            </w:r>
            <w:r w:rsidR="00D86B80" w:rsidRPr="00D160FB">
              <w:rPr>
                <w:color w:val="0D0D0D" w:themeColor="text1" w:themeTint="F2"/>
                <w:spacing w:val="-6"/>
                <w:lang w:val="en-GB"/>
              </w:rPr>
              <w:t>p.</w:t>
            </w:r>
            <w:r w:rsidR="00E87D5B" w:rsidRPr="00D160FB">
              <w:rPr>
                <w:color w:val="0D0D0D" w:themeColor="text1" w:themeTint="F2"/>
                <w:spacing w:val="-6"/>
                <w:lang w:val="en-GB"/>
              </w:rPr>
              <w:t xml:space="preserve">, </w:t>
            </w:r>
            <w:r w:rsidR="000F3B45">
              <w:rPr>
                <w:color w:val="0D0D0D" w:themeColor="text1" w:themeTint="F2"/>
                <w:spacing w:val="-6"/>
                <w:lang w:val="en-GB"/>
              </w:rPr>
              <w:t>given the branch</w:t>
            </w:r>
            <w:r w:rsidR="004C6D4D" w:rsidRPr="00D160FB">
              <w:rPr>
                <w:color w:val="0D0D0D" w:themeColor="text1" w:themeTint="F2"/>
                <w:spacing w:val="-6"/>
                <w:lang w:val="en-GB"/>
              </w:rPr>
              <w:t xml:space="preserve"> growth of </w:t>
            </w:r>
            <w:r w:rsidR="00E87D5B" w:rsidRPr="00D160FB">
              <w:rPr>
                <w:color w:val="0D0D0D" w:themeColor="text1" w:themeTint="F2"/>
                <w:spacing w:val="-6"/>
                <w:lang w:val="en-GB"/>
              </w:rPr>
              <w:t>6</w:t>
            </w:r>
            <w:r w:rsidR="004C6D4D" w:rsidRPr="00D160FB">
              <w:rPr>
                <w:color w:val="0D0D0D" w:themeColor="text1" w:themeTint="F2"/>
                <w:spacing w:val="-6"/>
                <w:lang w:val="en-GB"/>
              </w:rPr>
              <w:t>.</w:t>
            </w:r>
            <w:r w:rsidR="00E87D5B" w:rsidRPr="00D160FB">
              <w:rPr>
                <w:color w:val="0D0D0D" w:themeColor="text1" w:themeTint="F2"/>
                <w:spacing w:val="-6"/>
                <w:lang w:val="en-GB"/>
              </w:rPr>
              <w:t xml:space="preserve">7%), </w:t>
            </w:r>
            <w:r w:rsidR="004C6D4D" w:rsidRPr="00D160FB">
              <w:rPr>
                <w:color w:val="0D0D0D" w:themeColor="text1" w:themeTint="F2"/>
                <w:spacing w:val="-6"/>
                <w:lang w:val="en-GB"/>
              </w:rPr>
              <w:t>since it was supported by a solid demand both</w:t>
            </w:r>
            <w:r w:rsidR="000F3B45">
              <w:rPr>
                <w:color w:val="0D0D0D" w:themeColor="text1" w:themeTint="F2"/>
                <w:spacing w:val="-6"/>
                <w:lang w:val="en-GB"/>
              </w:rPr>
              <w:t xml:space="preserve"> locally and abroad. The output in the</w:t>
            </w:r>
            <w:r w:rsidR="004C6D4D" w:rsidRPr="00D160FB">
              <w:rPr>
                <w:color w:val="0D0D0D" w:themeColor="text1" w:themeTint="F2"/>
                <w:spacing w:val="-6"/>
                <w:lang w:val="en-GB"/>
              </w:rPr>
              <w:t xml:space="preserve"> significant branch of </w:t>
            </w:r>
            <w:r w:rsidR="005D2873" w:rsidRPr="00D160FB">
              <w:rPr>
                <w:color w:val="0D0D0D" w:themeColor="text1" w:themeTint="F2"/>
                <w:spacing w:val="-6"/>
                <w:lang w:val="en-GB"/>
              </w:rPr>
              <w:t>machinery</w:t>
            </w:r>
            <w:r w:rsidR="004C6D4D" w:rsidRPr="00D160FB">
              <w:rPr>
                <w:color w:val="0D0D0D" w:themeColor="text1" w:themeTint="F2"/>
                <w:spacing w:val="-6"/>
                <w:lang w:val="en-GB"/>
              </w:rPr>
              <w:t xml:space="preserve"> increased by </w:t>
            </w:r>
            <w:r w:rsidR="00E87D5B" w:rsidRPr="00D160FB">
              <w:rPr>
                <w:color w:val="0D0D0D" w:themeColor="text1" w:themeTint="F2"/>
                <w:spacing w:val="-6"/>
                <w:lang w:val="en-GB"/>
              </w:rPr>
              <w:t xml:space="preserve">5%, </w:t>
            </w:r>
            <w:r w:rsidR="004C6D4D" w:rsidRPr="00D160FB">
              <w:rPr>
                <w:color w:val="0D0D0D" w:themeColor="text1" w:themeTint="F2"/>
                <w:spacing w:val="-6"/>
                <w:lang w:val="en-GB"/>
              </w:rPr>
              <w:t xml:space="preserve">its output thus </w:t>
            </w:r>
            <w:r w:rsidR="005D2873" w:rsidRPr="00D160FB">
              <w:rPr>
                <w:color w:val="0D0D0D" w:themeColor="text1" w:themeTint="F2"/>
                <w:spacing w:val="-6"/>
                <w:lang w:val="en-GB"/>
              </w:rPr>
              <w:t>even</w:t>
            </w:r>
            <w:r w:rsidR="00B33DE5" w:rsidRPr="00D160FB">
              <w:rPr>
                <w:color w:val="0D0D0D" w:themeColor="text1" w:themeTint="F2"/>
                <w:spacing w:val="-6"/>
                <w:lang w:val="en-GB"/>
              </w:rPr>
              <w:t>ed</w:t>
            </w:r>
            <w:r w:rsidR="005D2873" w:rsidRPr="00D160FB">
              <w:rPr>
                <w:color w:val="0D0D0D" w:themeColor="text1" w:themeTint="F2"/>
                <w:spacing w:val="-6"/>
                <w:lang w:val="en-GB"/>
              </w:rPr>
              <w:t xml:space="preserve"> up the level from the peak of the pre-pandemic boom in Q</w:t>
            </w:r>
            <w:r w:rsidR="00E87D5B" w:rsidRPr="00D160FB">
              <w:rPr>
                <w:color w:val="0D0D0D" w:themeColor="text1" w:themeTint="F2"/>
                <w:spacing w:val="-6"/>
                <w:lang w:val="en-GB"/>
              </w:rPr>
              <w:t>4</w:t>
            </w:r>
            <w:r w:rsidR="000F3B45">
              <w:rPr>
                <w:color w:val="0D0D0D" w:themeColor="text1" w:themeTint="F2"/>
                <w:spacing w:val="-6"/>
                <w:lang w:val="en-GB"/>
              </w:rPr>
              <w:t xml:space="preserve"> 2022</w:t>
            </w:r>
            <w:r w:rsidR="00E87D5B" w:rsidRPr="00D160FB">
              <w:rPr>
                <w:color w:val="0D0D0D" w:themeColor="text1" w:themeTint="F2"/>
                <w:spacing w:val="-6"/>
                <w:lang w:val="en-GB"/>
              </w:rPr>
              <w:t>.</w:t>
            </w:r>
            <w:r w:rsidR="005D2873" w:rsidRPr="00D160FB">
              <w:rPr>
                <w:color w:val="0D0D0D" w:themeColor="text1" w:themeTint="F2"/>
                <w:spacing w:val="-6"/>
                <w:lang w:val="en-GB"/>
              </w:rPr>
              <w:t xml:space="preserve"> </w:t>
            </w:r>
            <w:r w:rsidR="00805A7E" w:rsidRPr="00D160FB">
              <w:rPr>
                <w:color w:val="0D0D0D" w:themeColor="text1" w:themeTint="F2"/>
                <w:spacing w:val="-6"/>
                <w:lang w:val="en-GB"/>
              </w:rPr>
              <w:t xml:space="preserve">The last year’s growth of output </w:t>
            </w:r>
            <w:r w:rsidR="002443BC" w:rsidRPr="00D160FB">
              <w:rPr>
                <w:color w:val="0D0D0D" w:themeColor="text1" w:themeTint="F2"/>
                <w:spacing w:val="-6"/>
                <w:lang w:val="en-GB"/>
              </w:rPr>
              <w:t>was supported by the growing domestic demand in the manufact</w:t>
            </w:r>
            <w:r w:rsidR="00D160FB">
              <w:rPr>
                <w:color w:val="0D0D0D" w:themeColor="text1" w:themeTint="F2"/>
                <w:spacing w:val="-6"/>
                <w:lang w:val="en-GB"/>
              </w:rPr>
              <w:t>uring of computers, electronic</w:t>
            </w:r>
            <w:r w:rsidR="002443BC" w:rsidRPr="00D160FB">
              <w:rPr>
                <w:color w:val="0D0D0D" w:themeColor="text1" w:themeTint="F2"/>
                <w:spacing w:val="-6"/>
                <w:lang w:val="en-GB"/>
              </w:rPr>
              <w:t xml:space="preserve"> and optical </w:t>
            </w:r>
            <w:r w:rsidR="005A6032">
              <w:rPr>
                <w:color w:val="0D0D0D" w:themeColor="text1" w:themeTint="F2"/>
                <w:spacing w:val="-6"/>
                <w:lang w:val="en-GB"/>
              </w:rPr>
              <w:t>products</w:t>
            </w:r>
            <w:r w:rsidR="002443BC" w:rsidRPr="00D160FB">
              <w:rPr>
                <w:color w:val="0D0D0D" w:themeColor="text1" w:themeTint="F2"/>
                <w:spacing w:val="-6"/>
                <w:lang w:val="en-GB"/>
              </w:rPr>
              <w:t xml:space="preserve"> </w:t>
            </w:r>
            <w:r w:rsidR="00E87D5B" w:rsidRPr="00D160FB">
              <w:rPr>
                <w:color w:val="0D0D0D" w:themeColor="text1" w:themeTint="F2"/>
                <w:spacing w:val="-6"/>
                <w:lang w:val="en-GB"/>
              </w:rPr>
              <w:t xml:space="preserve">(+4%). </w:t>
            </w:r>
            <w:r w:rsidR="00D778EB" w:rsidRPr="00D160FB">
              <w:rPr>
                <w:color w:val="0D0D0D" w:themeColor="text1" w:themeTint="F2"/>
                <w:spacing w:val="-6"/>
                <w:lang w:val="en-GB"/>
              </w:rPr>
              <w:t xml:space="preserve">Among smaller branches, mainly leatherworking and footwear industries </w:t>
            </w:r>
            <w:r w:rsidR="00E87D5B" w:rsidRPr="00D160FB">
              <w:rPr>
                <w:color w:val="0D0D0D" w:themeColor="text1" w:themeTint="F2"/>
                <w:spacing w:val="-6"/>
                <w:lang w:val="en-GB"/>
              </w:rPr>
              <w:t>(</w:t>
            </w:r>
            <w:r w:rsidR="00107C3A" w:rsidRPr="00D160FB">
              <w:rPr>
                <w:color w:val="0D0D0D" w:themeColor="text1" w:themeTint="F2"/>
                <w:spacing w:val="-6"/>
                <w:lang w:val="en-GB"/>
              </w:rPr>
              <w:t>output</w:t>
            </w:r>
            <w:r w:rsidR="00660CD3" w:rsidRPr="00D160FB">
              <w:rPr>
                <w:color w:val="0D0D0D" w:themeColor="text1" w:themeTint="F2"/>
                <w:spacing w:val="-6"/>
                <w:lang w:val="en-GB"/>
              </w:rPr>
              <w:t xml:space="preserve"> growth by record </w:t>
            </w:r>
            <w:r w:rsidR="00E87D5B" w:rsidRPr="00D160FB">
              <w:rPr>
                <w:color w:val="0D0D0D" w:themeColor="text1" w:themeTint="F2"/>
                <w:spacing w:val="-6"/>
                <w:lang w:val="en-GB"/>
              </w:rPr>
              <w:t>20</w:t>
            </w:r>
            <w:r w:rsidR="00660CD3" w:rsidRPr="00D160FB">
              <w:rPr>
                <w:color w:val="0D0D0D" w:themeColor="text1" w:themeTint="F2"/>
                <w:spacing w:val="-6"/>
                <w:lang w:val="en-GB"/>
              </w:rPr>
              <w:t>.</w:t>
            </w:r>
            <w:r w:rsidR="00E87D5B" w:rsidRPr="00D160FB">
              <w:rPr>
                <w:color w:val="0D0D0D" w:themeColor="text1" w:themeTint="F2"/>
                <w:spacing w:val="-6"/>
                <w:lang w:val="en-GB"/>
              </w:rPr>
              <w:t xml:space="preserve">7%) </w:t>
            </w:r>
            <w:r w:rsidR="00660CD3" w:rsidRPr="00D160FB">
              <w:rPr>
                <w:color w:val="0D0D0D" w:themeColor="text1" w:themeTint="F2"/>
                <w:spacing w:val="-6"/>
                <w:lang w:val="en-GB"/>
              </w:rPr>
              <w:t xml:space="preserve">or wearing apparel industry </w:t>
            </w:r>
            <w:r w:rsidR="00E87D5B" w:rsidRPr="00D160FB">
              <w:rPr>
                <w:color w:val="0D0D0D" w:themeColor="text1" w:themeTint="F2"/>
                <w:spacing w:val="-6"/>
                <w:lang w:val="en-GB"/>
              </w:rPr>
              <w:t>(+13</w:t>
            </w:r>
            <w:r w:rsidR="00660CD3" w:rsidRPr="00D160FB">
              <w:rPr>
                <w:color w:val="0D0D0D" w:themeColor="text1" w:themeTint="F2"/>
                <w:spacing w:val="-6"/>
                <w:lang w:val="en-GB"/>
              </w:rPr>
              <w:t>.</w:t>
            </w:r>
            <w:r w:rsidR="00E87D5B" w:rsidRPr="00D160FB">
              <w:rPr>
                <w:color w:val="0D0D0D" w:themeColor="text1" w:themeTint="F2"/>
                <w:spacing w:val="-6"/>
                <w:lang w:val="en-GB"/>
              </w:rPr>
              <w:t>0%),</w:t>
            </w:r>
            <w:r w:rsidR="00107C3A" w:rsidRPr="00D160FB">
              <w:rPr>
                <w:color w:val="0D0D0D" w:themeColor="text1" w:themeTint="F2"/>
                <w:spacing w:val="-6"/>
                <w:lang w:val="en-GB"/>
              </w:rPr>
              <w:t xml:space="preserve"> which were also assisted by the domestic demand</w:t>
            </w:r>
            <w:r w:rsidR="00E449A8" w:rsidRPr="00D160FB">
              <w:rPr>
                <w:color w:val="0D0D0D" w:themeColor="text1" w:themeTint="F2"/>
                <w:spacing w:val="-6"/>
                <w:lang w:val="en-GB"/>
              </w:rPr>
              <w:t>, prospered</w:t>
            </w:r>
            <w:r w:rsidR="00E87D5B" w:rsidRPr="00D160FB">
              <w:rPr>
                <w:color w:val="0D0D0D" w:themeColor="text1" w:themeTint="F2"/>
                <w:spacing w:val="-6"/>
                <w:lang w:val="en-GB"/>
              </w:rPr>
              <w:t>.</w:t>
            </w:r>
            <w:r w:rsidR="00E449A8" w:rsidRPr="00D160FB">
              <w:rPr>
                <w:color w:val="0D0D0D" w:themeColor="text1" w:themeTint="F2"/>
                <w:spacing w:val="-6"/>
                <w:lang w:val="en-GB"/>
              </w:rPr>
              <w:t xml:space="preserve"> The gradually expanding numbers of foreign tourists in the CR </w:t>
            </w:r>
            <w:r w:rsidR="00107C3A" w:rsidRPr="00D160FB">
              <w:rPr>
                <w:color w:val="0D0D0D" w:themeColor="text1" w:themeTint="F2"/>
                <w:spacing w:val="-6"/>
                <w:lang w:val="en-GB"/>
              </w:rPr>
              <w:t>fuelled</w:t>
            </w:r>
            <w:r w:rsidR="00D0676F" w:rsidRPr="00D160FB">
              <w:rPr>
                <w:color w:val="0D0D0D" w:themeColor="text1" w:themeTint="F2"/>
                <w:spacing w:val="-6"/>
                <w:lang w:val="en-GB"/>
              </w:rPr>
              <w:t xml:space="preserve"> the manufacturing of beverages, </w:t>
            </w:r>
            <w:r w:rsidR="00C87EB8" w:rsidRPr="00D160FB">
              <w:rPr>
                <w:color w:val="0D0D0D" w:themeColor="text1" w:themeTint="F2"/>
                <w:spacing w:val="-6"/>
                <w:lang w:val="en-GB"/>
              </w:rPr>
              <w:t xml:space="preserve">whose output increased by </w:t>
            </w:r>
            <w:r w:rsidR="00E87D5B" w:rsidRPr="00D160FB">
              <w:rPr>
                <w:color w:val="0D0D0D" w:themeColor="text1" w:themeTint="F2"/>
                <w:spacing w:val="-4"/>
                <w:lang w:val="en-GB"/>
              </w:rPr>
              <w:t>7</w:t>
            </w:r>
            <w:r w:rsidR="00C87EB8" w:rsidRPr="00D160FB">
              <w:rPr>
                <w:color w:val="0D0D0D" w:themeColor="text1" w:themeTint="F2"/>
                <w:spacing w:val="-4"/>
                <w:lang w:val="en-GB"/>
              </w:rPr>
              <w:t>.</w:t>
            </w:r>
            <w:r w:rsidR="00E87D5B" w:rsidRPr="00D160FB">
              <w:rPr>
                <w:color w:val="0D0D0D" w:themeColor="text1" w:themeTint="F2"/>
                <w:spacing w:val="-4"/>
                <w:lang w:val="en-GB"/>
              </w:rPr>
              <w:t>8%</w:t>
            </w:r>
            <w:r w:rsidR="00C87EB8" w:rsidRPr="00D160FB">
              <w:rPr>
                <w:color w:val="0D0D0D" w:themeColor="text1" w:themeTint="F2"/>
                <w:spacing w:val="-4"/>
                <w:lang w:val="en-GB"/>
              </w:rPr>
              <w:t xml:space="preserve"> last year</w:t>
            </w:r>
            <w:r w:rsidR="00E87D5B" w:rsidRPr="00D160FB">
              <w:rPr>
                <w:color w:val="0D0D0D" w:themeColor="text1" w:themeTint="F2"/>
                <w:spacing w:val="-4"/>
                <w:lang w:val="en-GB"/>
              </w:rPr>
              <w:t xml:space="preserve"> (</w:t>
            </w:r>
            <w:r w:rsidR="00C87EB8" w:rsidRPr="00D160FB">
              <w:rPr>
                <w:color w:val="0D0D0D" w:themeColor="text1" w:themeTint="F2"/>
                <w:spacing w:val="-4"/>
                <w:lang w:val="en-GB"/>
              </w:rPr>
              <w:t xml:space="preserve">the most after year </w:t>
            </w:r>
            <w:r w:rsidR="00E87D5B" w:rsidRPr="00D160FB">
              <w:rPr>
                <w:color w:val="0D0D0D" w:themeColor="text1" w:themeTint="F2"/>
                <w:spacing w:val="-4"/>
                <w:lang w:val="en-GB"/>
              </w:rPr>
              <w:t xml:space="preserve">2006). </w:t>
            </w:r>
            <w:r w:rsidR="00653601" w:rsidRPr="00D160FB">
              <w:rPr>
                <w:color w:val="0D0D0D" w:themeColor="text1" w:themeTint="F2"/>
                <w:spacing w:val="-4"/>
                <w:lang w:val="en-GB"/>
              </w:rPr>
              <w:t xml:space="preserve">Long-time developing and </w:t>
            </w:r>
            <w:r w:rsidR="00C375DE" w:rsidRPr="00D160FB">
              <w:rPr>
                <w:color w:val="0D0D0D" w:themeColor="text1" w:themeTint="F2"/>
                <w:spacing w:val="-4"/>
                <w:lang w:val="en-GB"/>
              </w:rPr>
              <w:t xml:space="preserve">substantially export oriented pharmaceutical industry fared well </w:t>
            </w:r>
            <w:r w:rsidR="00E87D5B" w:rsidRPr="00D160FB">
              <w:rPr>
                <w:color w:val="0D0D0D" w:themeColor="text1" w:themeTint="F2"/>
                <w:spacing w:val="-4"/>
                <w:lang w:val="en-GB"/>
              </w:rPr>
              <w:t>(+8</w:t>
            </w:r>
            <w:r w:rsidR="00C375DE" w:rsidRPr="00D160FB">
              <w:rPr>
                <w:color w:val="0D0D0D" w:themeColor="text1" w:themeTint="F2"/>
                <w:spacing w:val="-4"/>
                <w:lang w:val="en-GB"/>
              </w:rPr>
              <w:t>.</w:t>
            </w:r>
            <w:r w:rsidR="00E87D5B" w:rsidRPr="00D160FB">
              <w:rPr>
                <w:color w:val="0D0D0D" w:themeColor="text1" w:themeTint="F2"/>
                <w:spacing w:val="-4"/>
                <w:lang w:val="en-GB"/>
              </w:rPr>
              <w:t>0%).</w:t>
            </w:r>
          </w:p>
        </w:tc>
      </w:tr>
      <w:tr w:rsidR="00A7439C" w:rsidRPr="00D160FB" w14:paraId="3C6C8DB6" w14:textId="77777777" w:rsidTr="00976631">
        <w:trPr>
          <w:trHeight w:val="170"/>
        </w:trPr>
        <w:tc>
          <w:tcPr>
            <w:tcW w:w="1780" w:type="dxa"/>
            <w:vMerge w:val="restart"/>
            <w:tcBorders>
              <w:top w:val="nil"/>
              <w:left w:val="nil"/>
              <w:bottom w:val="nil"/>
              <w:right w:val="nil"/>
            </w:tcBorders>
            <w:shd w:val="clear" w:color="auto" w:fill="auto"/>
            <w:tcMar>
              <w:left w:w="0" w:type="dxa"/>
            </w:tcMar>
          </w:tcPr>
          <w:p w14:paraId="3BBEA19F" w14:textId="77777777" w:rsidR="00E87D5B" w:rsidRPr="00D160FB" w:rsidRDefault="00E87D5B" w:rsidP="00C8019E">
            <w:pPr>
              <w:pStyle w:val="Marginlie"/>
              <w:rPr>
                <w:lang w:val="en-GB"/>
              </w:rPr>
            </w:pPr>
          </w:p>
        </w:tc>
        <w:tc>
          <w:tcPr>
            <w:tcW w:w="200" w:type="dxa"/>
            <w:vMerge w:val="restart"/>
            <w:tcBorders>
              <w:top w:val="nil"/>
              <w:left w:val="nil"/>
              <w:bottom w:val="nil"/>
              <w:right w:val="nil"/>
            </w:tcBorders>
            <w:shd w:val="clear" w:color="auto" w:fill="auto"/>
            <w:tcMar>
              <w:left w:w="0" w:type="dxa"/>
            </w:tcMar>
          </w:tcPr>
          <w:p w14:paraId="1B4B2C07" w14:textId="77777777" w:rsidR="00E87D5B" w:rsidRPr="00D160FB" w:rsidRDefault="00E87D5B" w:rsidP="00C8019E">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2DE4C529" w14:textId="5B266176" w:rsidR="00E87D5B" w:rsidRPr="00D160FB" w:rsidRDefault="00204A71" w:rsidP="00C8019E">
            <w:pPr>
              <w:spacing w:after="0"/>
              <w:rPr>
                <w:spacing w:val="-4"/>
                <w:lang w:val="en-GB"/>
              </w:rPr>
            </w:pPr>
            <w:r w:rsidRPr="00D160FB">
              <w:rPr>
                <w:rFonts w:cs="Arial"/>
                <w:b/>
                <w:bCs/>
                <w:color w:val="000000"/>
                <w:szCs w:val="20"/>
                <w:lang w:val="en-GB"/>
              </w:rPr>
              <w:t xml:space="preserve">Chart </w:t>
            </w:r>
            <w:r w:rsidR="00E87D5B" w:rsidRPr="00D160FB">
              <w:rPr>
                <w:rFonts w:cs="Arial"/>
                <w:b/>
                <w:bCs/>
                <w:color w:val="000000"/>
                <w:szCs w:val="20"/>
                <w:lang w:val="en-GB"/>
              </w:rPr>
              <w:t xml:space="preserve">4 </w:t>
            </w:r>
            <w:r w:rsidR="003650D9" w:rsidRPr="00D160FB">
              <w:rPr>
                <w:b/>
                <w:spacing w:val="-2"/>
                <w:lang w:val="en-GB"/>
              </w:rPr>
              <w:t xml:space="preserve">Contributions of sub-branches to the year-on-year change of the total industrial output </w:t>
            </w:r>
            <w:r w:rsidR="003650D9" w:rsidRPr="00D160FB">
              <w:rPr>
                <w:spacing w:val="-2"/>
                <w:lang w:val="en-GB"/>
              </w:rPr>
              <w:t xml:space="preserve">(adjusted for calendar effects, real, in p.p.) </w:t>
            </w:r>
            <w:r w:rsidR="005279E0">
              <w:rPr>
                <w:b/>
                <w:bCs/>
                <w:spacing w:val="-2"/>
                <w:lang w:val="en-GB"/>
              </w:rPr>
              <w:t>and sales</w:t>
            </w:r>
            <w:r w:rsidR="003650D9" w:rsidRPr="00D160FB">
              <w:rPr>
                <w:b/>
                <w:bCs/>
                <w:spacing w:val="-2"/>
                <w:lang w:val="en-GB"/>
              </w:rPr>
              <w:t xml:space="preserve"> and output in the entire industry</w:t>
            </w:r>
            <w:r w:rsidR="003650D9" w:rsidRPr="00D160FB">
              <w:rPr>
                <w:spacing w:val="-2"/>
                <w:lang w:val="en-GB"/>
              </w:rPr>
              <w:t xml:space="preserve"> (seasonally adjusted, level of year 2015=100, right axis)</w:t>
            </w:r>
          </w:p>
        </w:tc>
      </w:tr>
      <w:tr w:rsidR="00A7439C" w:rsidRPr="00D160FB" w14:paraId="65539438" w14:textId="77777777" w:rsidTr="00976631">
        <w:tblPrEx>
          <w:tblCellMar>
            <w:left w:w="70" w:type="dxa"/>
            <w:right w:w="70" w:type="dxa"/>
          </w:tblCellMar>
        </w:tblPrEx>
        <w:trPr>
          <w:trHeight w:val="170"/>
        </w:trPr>
        <w:tc>
          <w:tcPr>
            <w:tcW w:w="1780" w:type="dxa"/>
            <w:vMerge/>
            <w:tcBorders>
              <w:top w:val="nil"/>
              <w:left w:val="nil"/>
              <w:bottom w:val="nil"/>
              <w:right w:val="nil"/>
            </w:tcBorders>
            <w:shd w:val="clear" w:color="auto" w:fill="auto"/>
          </w:tcPr>
          <w:p w14:paraId="2B855476" w14:textId="77777777" w:rsidR="00E87D5B" w:rsidRPr="00D160FB" w:rsidRDefault="00E87D5B" w:rsidP="00C8019E">
            <w:pPr>
              <w:pStyle w:val="Marginlie"/>
              <w:rPr>
                <w:lang w:val="en-GB"/>
              </w:rPr>
            </w:pPr>
          </w:p>
        </w:tc>
        <w:tc>
          <w:tcPr>
            <w:tcW w:w="200" w:type="dxa"/>
            <w:vMerge/>
            <w:tcBorders>
              <w:top w:val="nil"/>
              <w:left w:val="nil"/>
              <w:bottom w:val="nil"/>
              <w:right w:val="nil"/>
            </w:tcBorders>
            <w:shd w:val="clear" w:color="auto" w:fill="auto"/>
          </w:tcPr>
          <w:p w14:paraId="35060870" w14:textId="77777777" w:rsidR="00E87D5B" w:rsidRPr="00D160FB" w:rsidRDefault="00E87D5B" w:rsidP="00C8019E">
            <w:pPr>
              <w:pStyle w:val="Textpoznpodarou"/>
              <w:jc w:val="both"/>
              <w:rPr>
                <w:spacing w:val="-4"/>
                <w:lang w:val="en-GB"/>
              </w:rPr>
            </w:pPr>
          </w:p>
        </w:tc>
        <w:tc>
          <w:tcPr>
            <w:tcW w:w="7730" w:type="dxa"/>
            <w:tcBorders>
              <w:top w:val="nil"/>
              <w:left w:val="nil"/>
              <w:bottom w:val="nil"/>
              <w:right w:val="nil"/>
            </w:tcBorders>
            <w:shd w:val="clear" w:color="auto" w:fill="auto"/>
          </w:tcPr>
          <w:p w14:paraId="437E74CC" w14:textId="7D507D1F" w:rsidR="00E87D5B" w:rsidRPr="00D160FB" w:rsidRDefault="00181788" w:rsidP="00C8019E">
            <w:pPr>
              <w:spacing w:after="0"/>
              <w:rPr>
                <w:spacing w:val="-6"/>
                <w:lang w:val="en-GB"/>
              </w:rPr>
            </w:pPr>
            <w:r>
              <w:rPr>
                <w:noProof/>
              </w:rPr>
              <w:drawing>
                <wp:inline distT="0" distB="0" distL="0" distR="0" wp14:anchorId="13DD0D1E" wp14:editId="403B141A">
                  <wp:extent cx="4600332" cy="3432421"/>
                  <wp:effectExtent l="0" t="0" r="0" b="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A7439C" w:rsidRPr="00D160FB" w14:paraId="32278D1E" w14:textId="77777777" w:rsidTr="00976631">
        <w:trPr>
          <w:trHeight w:val="170"/>
        </w:trPr>
        <w:tc>
          <w:tcPr>
            <w:tcW w:w="1780" w:type="dxa"/>
            <w:vMerge/>
            <w:tcBorders>
              <w:top w:val="nil"/>
              <w:left w:val="nil"/>
              <w:bottom w:val="nil"/>
              <w:right w:val="nil"/>
            </w:tcBorders>
            <w:shd w:val="clear" w:color="auto" w:fill="auto"/>
            <w:tcMar>
              <w:left w:w="0" w:type="dxa"/>
            </w:tcMar>
          </w:tcPr>
          <w:p w14:paraId="526A0794" w14:textId="77777777" w:rsidR="00E87D5B" w:rsidRPr="00D160FB" w:rsidRDefault="00E87D5B" w:rsidP="00C8019E">
            <w:pPr>
              <w:pStyle w:val="Marginlie"/>
              <w:rPr>
                <w:lang w:val="en-GB"/>
              </w:rPr>
            </w:pPr>
          </w:p>
        </w:tc>
        <w:tc>
          <w:tcPr>
            <w:tcW w:w="200" w:type="dxa"/>
            <w:vMerge/>
            <w:tcBorders>
              <w:top w:val="nil"/>
              <w:left w:val="nil"/>
              <w:bottom w:val="nil"/>
              <w:right w:val="nil"/>
            </w:tcBorders>
            <w:shd w:val="clear" w:color="auto" w:fill="auto"/>
            <w:tcMar>
              <w:left w:w="0" w:type="dxa"/>
            </w:tcMar>
          </w:tcPr>
          <w:p w14:paraId="48B18D6F" w14:textId="77777777" w:rsidR="00E87D5B" w:rsidRPr="00D160FB" w:rsidRDefault="00E87D5B" w:rsidP="00C8019E">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266DFD25" w14:textId="60EC94C2" w:rsidR="00181788" w:rsidRDefault="003650D9" w:rsidP="00181788">
            <w:pPr>
              <w:tabs>
                <w:tab w:val="right" w:pos="7683"/>
              </w:tabs>
              <w:spacing w:after="0"/>
              <w:jc w:val="left"/>
              <w:rPr>
                <w:rFonts w:cs="Arial"/>
                <w:sz w:val="14"/>
                <w:szCs w:val="14"/>
                <w:lang w:val="en-GB"/>
              </w:rPr>
            </w:pPr>
            <w:r w:rsidRPr="00D160FB">
              <w:rPr>
                <w:rFonts w:cs="Arial"/>
                <w:sz w:val="14"/>
                <w:szCs w:val="14"/>
                <w:lang w:val="en-GB"/>
              </w:rPr>
              <w:t>Note</w:t>
            </w:r>
            <w:r w:rsidR="00E87D5B" w:rsidRPr="00D160FB">
              <w:rPr>
                <w:rFonts w:cs="Arial"/>
                <w:sz w:val="14"/>
                <w:szCs w:val="14"/>
                <w:lang w:val="en-GB"/>
              </w:rPr>
              <w:t xml:space="preserve">: </w:t>
            </w:r>
            <w:r w:rsidRPr="00D160FB">
              <w:rPr>
                <w:rFonts w:cs="Arial"/>
                <w:sz w:val="14"/>
                <w:szCs w:val="14"/>
                <w:lang w:val="en-GB"/>
              </w:rPr>
              <w:t>Sal</w:t>
            </w:r>
            <w:r w:rsidR="00D50BC3">
              <w:rPr>
                <w:rFonts w:cs="Arial"/>
                <w:sz w:val="14"/>
                <w:szCs w:val="14"/>
                <w:lang w:val="en-GB"/>
              </w:rPr>
              <w:t>es are given in current prices, Output in constant prices.</w:t>
            </w:r>
            <w:r w:rsidR="00E87D5B" w:rsidRPr="00D160FB">
              <w:rPr>
                <w:rFonts w:cs="Arial"/>
                <w:sz w:val="14"/>
                <w:szCs w:val="14"/>
                <w:lang w:val="en-GB"/>
              </w:rPr>
              <w:tab/>
              <w:t xml:space="preserve"> </w:t>
            </w:r>
          </w:p>
          <w:p w14:paraId="5E8BBEE7" w14:textId="7BD7F20E" w:rsidR="00E87D5B" w:rsidRPr="00D160FB" w:rsidRDefault="00204A71" w:rsidP="00181788">
            <w:pPr>
              <w:tabs>
                <w:tab w:val="right" w:pos="7683"/>
              </w:tabs>
              <w:spacing w:after="200"/>
              <w:jc w:val="left"/>
              <w:rPr>
                <w:spacing w:val="-2"/>
                <w:sz w:val="14"/>
                <w:szCs w:val="14"/>
                <w:lang w:val="en-GB"/>
              </w:rPr>
            </w:pPr>
            <w:r w:rsidRPr="00D160FB">
              <w:rPr>
                <w:rFonts w:cs="Arial"/>
                <w:sz w:val="14"/>
                <w:szCs w:val="14"/>
                <w:lang w:val="en-GB"/>
              </w:rPr>
              <w:t>Source</w:t>
            </w:r>
            <w:r w:rsidR="00E87D5B" w:rsidRPr="00D160FB">
              <w:rPr>
                <w:rFonts w:cs="Arial"/>
                <w:sz w:val="14"/>
                <w:szCs w:val="14"/>
                <w:lang w:val="en-GB"/>
              </w:rPr>
              <w:t xml:space="preserve">: </w:t>
            </w:r>
            <w:r w:rsidRPr="00D160FB">
              <w:rPr>
                <w:rFonts w:cs="Arial"/>
                <w:sz w:val="14"/>
                <w:szCs w:val="14"/>
                <w:lang w:val="en-GB"/>
              </w:rPr>
              <w:t>CZSO</w:t>
            </w:r>
          </w:p>
        </w:tc>
      </w:tr>
      <w:tr w:rsidR="00D152B6" w:rsidRPr="00D160FB" w14:paraId="50A5A579" w14:textId="77777777" w:rsidTr="00976631">
        <w:trPr>
          <w:trHeight w:val="170"/>
        </w:trPr>
        <w:tc>
          <w:tcPr>
            <w:tcW w:w="1780" w:type="dxa"/>
            <w:tcBorders>
              <w:top w:val="nil"/>
              <w:left w:val="nil"/>
              <w:bottom w:val="nil"/>
              <w:right w:val="nil"/>
            </w:tcBorders>
            <w:shd w:val="clear" w:color="auto" w:fill="auto"/>
            <w:tcMar>
              <w:left w:w="0" w:type="dxa"/>
            </w:tcMar>
          </w:tcPr>
          <w:p w14:paraId="0E46B9AD" w14:textId="77777777" w:rsidR="00D152B6" w:rsidRPr="00D160FB" w:rsidRDefault="00D152B6" w:rsidP="00D152B6">
            <w:pPr>
              <w:pStyle w:val="Marginlie"/>
              <w:rPr>
                <w:color w:val="0D0D0D" w:themeColor="text1" w:themeTint="F2"/>
                <w:spacing w:val="-4"/>
                <w:lang w:val="en-GB"/>
              </w:rPr>
            </w:pPr>
            <w:r w:rsidRPr="00D160FB">
              <w:rPr>
                <w:color w:val="0D0D0D" w:themeColor="text1" w:themeTint="F2"/>
                <w:spacing w:val="-4"/>
                <w:lang w:val="en-GB"/>
              </w:rPr>
              <w:t>The fall of output d</w:t>
            </w:r>
            <w:r>
              <w:rPr>
                <w:color w:val="0D0D0D" w:themeColor="text1" w:themeTint="F2"/>
                <w:spacing w:val="-4"/>
                <w:lang w:val="en-GB"/>
              </w:rPr>
              <w:t>eepened in the majority of high energy-</w:t>
            </w:r>
            <w:r w:rsidRPr="00D160FB">
              <w:rPr>
                <w:color w:val="0D0D0D" w:themeColor="text1" w:themeTint="F2"/>
                <w:spacing w:val="-4"/>
                <w:lang w:val="en-GB"/>
              </w:rPr>
              <w:t>intensive industrial branches in H2</w:t>
            </w:r>
            <w:r>
              <w:rPr>
                <w:color w:val="0D0D0D" w:themeColor="text1" w:themeTint="F2"/>
                <w:spacing w:val="-4"/>
                <w:lang w:val="en-GB"/>
              </w:rPr>
              <w:t xml:space="preserve"> 2022.</w:t>
            </w:r>
          </w:p>
          <w:p w14:paraId="4A4DD34D" w14:textId="77777777" w:rsidR="00D152B6" w:rsidRPr="00D160FB" w:rsidRDefault="00D152B6" w:rsidP="00D152B6">
            <w:pPr>
              <w:pStyle w:val="Marginlie"/>
              <w:rPr>
                <w:color w:val="0D0D0D" w:themeColor="text1" w:themeTint="F2"/>
                <w:spacing w:val="-4"/>
                <w:lang w:val="en-GB"/>
              </w:rPr>
            </w:pPr>
          </w:p>
          <w:p w14:paraId="26B00651" w14:textId="77777777" w:rsidR="00D152B6" w:rsidRPr="00D160FB" w:rsidRDefault="00D152B6" w:rsidP="00D152B6">
            <w:pPr>
              <w:pStyle w:val="Marginlie"/>
              <w:rPr>
                <w:color w:val="0D0D0D" w:themeColor="text1" w:themeTint="F2"/>
                <w:spacing w:val="-4"/>
                <w:lang w:val="en-GB"/>
              </w:rPr>
            </w:pPr>
          </w:p>
          <w:p w14:paraId="49EF26FE" w14:textId="77777777" w:rsidR="00D152B6" w:rsidRPr="00D160FB" w:rsidRDefault="00D152B6" w:rsidP="00D152B6">
            <w:pPr>
              <w:pStyle w:val="Marginlie"/>
              <w:rPr>
                <w:color w:val="0D0D0D" w:themeColor="text1" w:themeTint="F2"/>
                <w:spacing w:val="-4"/>
                <w:lang w:val="en-GB"/>
              </w:rPr>
            </w:pPr>
          </w:p>
          <w:p w14:paraId="76B7C8BE" w14:textId="77777777" w:rsidR="00D152B6" w:rsidRPr="00D160FB" w:rsidRDefault="00D152B6" w:rsidP="00D152B6">
            <w:pPr>
              <w:pStyle w:val="Marginlie"/>
              <w:rPr>
                <w:color w:val="0D0D0D" w:themeColor="text1" w:themeTint="F2"/>
                <w:spacing w:val="-4"/>
                <w:lang w:val="en-GB"/>
              </w:rPr>
            </w:pPr>
          </w:p>
          <w:p w14:paraId="039D2580" w14:textId="77777777" w:rsidR="00D152B6" w:rsidRPr="00D160FB" w:rsidRDefault="00D152B6" w:rsidP="00D152B6">
            <w:pPr>
              <w:pStyle w:val="Marginlie"/>
              <w:rPr>
                <w:color w:val="0D0D0D" w:themeColor="text1" w:themeTint="F2"/>
                <w:spacing w:val="-4"/>
                <w:lang w:val="en-GB"/>
              </w:rPr>
            </w:pPr>
          </w:p>
          <w:p w14:paraId="3EB4585F" w14:textId="77777777" w:rsidR="00D152B6" w:rsidRPr="00D160FB" w:rsidRDefault="00D152B6" w:rsidP="00D152B6">
            <w:pPr>
              <w:pStyle w:val="Marginlie"/>
              <w:rPr>
                <w:color w:val="0D0D0D" w:themeColor="text1" w:themeTint="F2"/>
                <w:spacing w:val="-4"/>
                <w:lang w:val="en-GB"/>
              </w:rPr>
            </w:pPr>
            <w:r w:rsidRPr="00D160FB">
              <w:rPr>
                <w:color w:val="0D0D0D" w:themeColor="text1" w:themeTint="F2"/>
                <w:spacing w:val="-4"/>
                <w:lang w:val="en-GB"/>
              </w:rPr>
              <w:lastRenderedPageBreak/>
              <w:t xml:space="preserve">Decline of the household consumption as well as the rising production costs led to the decreased output in the long-term growing food industry. </w:t>
            </w:r>
          </w:p>
          <w:p w14:paraId="3C74E7D1" w14:textId="27AF092F" w:rsidR="00D152B6" w:rsidRPr="00D160FB" w:rsidRDefault="00D152B6" w:rsidP="00D152B6">
            <w:pPr>
              <w:pStyle w:val="Marginlie"/>
              <w:rPr>
                <w:color w:val="0D0D0D" w:themeColor="text1" w:themeTint="F2"/>
                <w:lang w:val="en-GB"/>
              </w:rPr>
            </w:pPr>
            <w:r w:rsidRPr="00D160FB">
              <w:rPr>
                <w:color w:val="0D0D0D" w:themeColor="text1" w:themeTint="F2"/>
                <w:spacing w:val="-4"/>
                <w:lang w:val="en-GB"/>
              </w:rPr>
              <w:t xml:space="preserve"> </w:t>
            </w:r>
          </w:p>
        </w:tc>
        <w:tc>
          <w:tcPr>
            <w:tcW w:w="200" w:type="dxa"/>
            <w:tcBorders>
              <w:top w:val="nil"/>
              <w:left w:val="nil"/>
              <w:bottom w:val="nil"/>
              <w:right w:val="nil"/>
            </w:tcBorders>
            <w:shd w:val="clear" w:color="auto" w:fill="auto"/>
            <w:tcMar>
              <w:left w:w="0" w:type="dxa"/>
            </w:tcMar>
          </w:tcPr>
          <w:p w14:paraId="6BEE05D4" w14:textId="77777777" w:rsidR="00D152B6" w:rsidRPr="00D160FB" w:rsidRDefault="00D152B6" w:rsidP="00D152B6">
            <w:pPr>
              <w:pStyle w:val="Textpoznpodarou"/>
              <w:jc w:val="both"/>
              <w:rPr>
                <w:color w:val="0D0D0D" w:themeColor="text1" w:themeTint="F2"/>
                <w:spacing w:val="-4"/>
                <w:lang w:val="en-GB"/>
              </w:rPr>
            </w:pPr>
          </w:p>
        </w:tc>
        <w:tc>
          <w:tcPr>
            <w:tcW w:w="7730" w:type="dxa"/>
            <w:tcBorders>
              <w:top w:val="nil"/>
              <w:left w:val="nil"/>
              <w:bottom w:val="nil"/>
              <w:right w:val="nil"/>
            </w:tcBorders>
            <w:shd w:val="clear" w:color="auto" w:fill="auto"/>
            <w:tcMar>
              <w:left w:w="0" w:type="dxa"/>
            </w:tcMar>
          </w:tcPr>
          <w:p w14:paraId="25628C1B" w14:textId="01000D4B" w:rsidR="00D152B6" w:rsidRPr="00D160FB" w:rsidRDefault="00D152B6" w:rsidP="00D152B6">
            <w:pPr>
              <w:spacing w:after="200"/>
              <w:rPr>
                <w:color w:val="0D0D0D" w:themeColor="text1" w:themeTint="F2"/>
                <w:spacing w:val="-4"/>
                <w:lang w:val="en-GB"/>
              </w:rPr>
            </w:pPr>
            <w:r>
              <w:rPr>
                <w:color w:val="0D0D0D" w:themeColor="text1" w:themeTint="F2"/>
                <w:spacing w:val="-4"/>
                <w:lang w:val="en-GB"/>
              </w:rPr>
              <w:t>High energy-</w:t>
            </w:r>
            <w:r w:rsidRPr="00D160FB">
              <w:rPr>
                <w:color w:val="0D0D0D" w:themeColor="text1" w:themeTint="F2"/>
                <w:spacing w:val="-4"/>
                <w:lang w:val="en-GB"/>
              </w:rPr>
              <w:t xml:space="preserve">intensive branches of chemical, metallurgical and metalworking industries or manufacturing of glass and building materials on the contrary sank into still more complicated situation. Following the fast recovery in year 2021, when the performance of these branches climbed up above the level from the pre-crisis year 2019 </w:t>
            </w:r>
            <w:r>
              <w:rPr>
                <w:color w:val="0D0D0D" w:themeColor="text1" w:themeTint="F2"/>
                <w:spacing w:val="-4"/>
                <w:lang w:val="en-GB"/>
              </w:rPr>
              <w:t>(</w:t>
            </w:r>
            <w:r w:rsidRPr="00D160FB">
              <w:rPr>
                <w:color w:val="0D0D0D" w:themeColor="text1" w:themeTint="F2"/>
                <w:spacing w:val="-4"/>
                <w:lang w:val="en-GB"/>
              </w:rPr>
              <w:t>thanks to the swift demand both locally and abroad</w:t>
            </w:r>
            <w:r>
              <w:rPr>
                <w:color w:val="0D0D0D" w:themeColor="text1" w:themeTint="F2"/>
                <w:spacing w:val="-4"/>
                <w:lang w:val="en-GB"/>
              </w:rPr>
              <w:t>)</w:t>
            </w:r>
            <w:r w:rsidRPr="00D160FB">
              <w:rPr>
                <w:color w:val="0D0D0D" w:themeColor="text1" w:themeTint="F2"/>
                <w:spacing w:val="-4"/>
                <w:lang w:val="en-GB"/>
              </w:rPr>
              <w:t>, a slump occurred due to the sharp jump of prices of inputs, which deepened during H2</w:t>
            </w:r>
            <w:r>
              <w:rPr>
                <w:color w:val="0D0D0D" w:themeColor="text1" w:themeTint="F2"/>
                <w:spacing w:val="-4"/>
                <w:lang w:val="en-GB"/>
              </w:rPr>
              <w:t xml:space="preserve"> 2022</w:t>
            </w:r>
            <w:r w:rsidRPr="00D160FB">
              <w:rPr>
                <w:color w:val="0D0D0D" w:themeColor="text1" w:themeTint="F2"/>
                <w:spacing w:val="-4"/>
                <w:lang w:val="en-GB"/>
              </w:rPr>
              <w:t xml:space="preserve">. At the same time, the largest slump afflicted metallurgy, where the output fell by 8.3% due to the weakening of the foreign demand last year (it last recorded a deeper slump during recession in year 2009). Milder, however still significant in the view of the whole industry was the output decrease, which affected the chemical and also the </w:t>
            </w:r>
            <w:r w:rsidRPr="00D160FB">
              <w:rPr>
                <w:rFonts w:cs="Arial"/>
                <w:szCs w:val="20"/>
                <w:lang w:val="en-GB"/>
              </w:rPr>
              <w:lastRenderedPageBreak/>
              <w:t>fabricated metal product industry</w:t>
            </w:r>
            <w:r w:rsidRPr="00D160FB">
              <w:rPr>
                <w:color w:val="0D0D0D" w:themeColor="text1" w:themeTint="F2"/>
                <w:spacing w:val="-4"/>
                <w:lang w:val="en-GB"/>
              </w:rPr>
              <w:t>, which was not aided much even by the growing demand in the small segment of the arms production. The food industry also struggled with high growth of production costs together with the weakening consumer demand, whose output lowered for the first time after year 2013 (by 1.5%). In contrast the slump in the wood industry, which manifested for the second year in a row (last year by 7%) had a different background. The performance of the follow-up branches (paper and furniture industries) stagnated; the weaker demand started to be evident also here in H2</w:t>
            </w:r>
            <w:r>
              <w:rPr>
                <w:color w:val="0D0D0D" w:themeColor="text1" w:themeTint="F2"/>
                <w:spacing w:val="-4"/>
                <w:lang w:val="en-GB"/>
              </w:rPr>
              <w:t xml:space="preserve"> 2022</w:t>
            </w:r>
            <w:r w:rsidRPr="00D160FB">
              <w:rPr>
                <w:color w:val="0D0D0D" w:themeColor="text1" w:themeTint="F2"/>
                <w:spacing w:val="-4"/>
                <w:lang w:val="en-GB"/>
              </w:rPr>
              <w:t>. The output in the manufacturing of other (especially rail) transport equipment features traditionally fluctuating character. It dived mainly due to the high comparative basis by 7.5%</w:t>
            </w:r>
            <w:r w:rsidRPr="00D160FB">
              <w:rPr>
                <w:rStyle w:val="Znakapoznpodarou"/>
                <w:color w:val="0D0D0D" w:themeColor="text1" w:themeTint="F2"/>
                <w:spacing w:val="-4"/>
                <w:lang w:val="en-GB"/>
              </w:rPr>
              <w:footnoteReference w:id="11"/>
            </w:r>
            <w:r w:rsidRPr="00D160FB">
              <w:rPr>
                <w:color w:val="0D0D0D" w:themeColor="text1" w:themeTint="F2"/>
                <w:spacing w:val="-4"/>
                <w:lang w:val="en-GB"/>
              </w:rPr>
              <w:t xml:space="preserve"> last year. </w:t>
            </w:r>
          </w:p>
        </w:tc>
      </w:tr>
      <w:tr w:rsidR="00D152B6" w:rsidRPr="00D160FB" w14:paraId="435D2229" w14:textId="77777777" w:rsidTr="00976631">
        <w:trPr>
          <w:trHeight w:val="170"/>
        </w:trPr>
        <w:tc>
          <w:tcPr>
            <w:tcW w:w="1780" w:type="dxa"/>
            <w:tcBorders>
              <w:top w:val="nil"/>
              <w:left w:val="nil"/>
              <w:bottom w:val="nil"/>
              <w:right w:val="nil"/>
            </w:tcBorders>
            <w:shd w:val="clear" w:color="auto" w:fill="auto"/>
            <w:tcMar>
              <w:left w:w="0" w:type="dxa"/>
            </w:tcMar>
          </w:tcPr>
          <w:p w14:paraId="325D92A3" w14:textId="10EB20EC" w:rsidR="00D152B6" w:rsidRPr="00D160FB" w:rsidRDefault="00D152B6" w:rsidP="00D152B6">
            <w:pPr>
              <w:pStyle w:val="Marginlie"/>
              <w:rPr>
                <w:color w:val="0D0D0D" w:themeColor="text1" w:themeTint="F2"/>
                <w:lang w:val="en-GB"/>
              </w:rPr>
            </w:pPr>
            <w:r w:rsidRPr="00D160FB">
              <w:rPr>
                <w:color w:val="0D0D0D" w:themeColor="text1" w:themeTint="F2"/>
                <w:lang w:val="en-GB"/>
              </w:rPr>
              <w:lastRenderedPageBreak/>
              <w:t xml:space="preserve">Output growth in the coal mining reached record level last year, the quarrying of building materials on the other hand decreased. </w:t>
            </w:r>
          </w:p>
          <w:p w14:paraId="4ACF4FC8" w14:textId="77777777" w:rsidR="00D152B6" w:rsidRPr="00D160FB" w:rsidRDefault="00D152B6" w:rsidP="00D152B6">
            <w:pPr>
              <w:pStyle w:val="Marginlie"/>
              <w:rPr>
                <w:color w:val="0D0D0D" w:themeColor="text1" w:themeTint="F2"/>
                <w:lang w:val="en-GB"/>
              </w:rPr>
            </w:pPr>
          </w:p>
          <w:p w14:paraId="0E3479F6" w14:textId="77777777" w:rsidR="00D152B6" w:rsidRPr="00D160FB" w:rsidRDefault="00D152B6" w:rsidP="00D152B6">
            <w:pPr>
              <w:pStyle w:val="Marginlie"/>
              <w:rPr>
                <w:color w:val="0D0D0D" w:themeColor="text1" w:themeTint="F2"/>
                <w:lang w:val="en-GB"/>
              </w:rPr>
            </w:pPr>
          </w:p>
          <w:p w14:paraId="0E377EBA" w14:textId="77777777" w:rsidR="00D152B6" w:rsidRPr="00D160FB" w:rsidRDefault="00D152B6" w:rsidP="00D152B6">
            <w:pPr>
              <w:pStyle w:val="Marginlie"/>
              <w:rPr>
                <w:color w:val="0D0D0D" w:themeColor="text1" w:themeTint="F2"/>
                <w:lang w:val="en-GB"/>
              </w:rPr>
            </w:pPr>
          </w:p>
          <w:p w14:paraId="02056D6E" w14:textId="3902D0B6" w:rsidR="00D152B6" w:rsidRPr="00D160FB" w:rsidRDefault="00D152B6" w:rsidP="00D152B6">
            <w:pPr>
              <w:pStyle w:val="Marginlie"/>
              <w:rPr>
                <w:color w:val="0D0D0D" w:themeColor="text1" w:themeTint="F2"/>
                <w:lang w:val="en-GB"/>
              </w:rPr>
            </w:pPr>
            <w:r w:rsidRPr="00D160FB">
              <w:rPr>
                <w:color w:val="0D0D0D" w:themeColor="text1" w:themeTint="F2"/>
                <w:lang w:val="en-GB"/>
              </w:rPr>
              <w:t xml:space="preserve">Warmer weather as well as savings of customers stood behind the decrease of output of the energy industry, especially at the end of the </w:t>
            </w:r>
            <w:r w:rsidR="00F65460">
              <w:rPr>
                <w:color w:val="0D0D0D" w:themeColor="text1" w:themeTint="F2"/>
                <w:lang w:val="en-GB"/>
              </w:rPr>
              <w:t xml:space="preserve">last </w:t>
            </w:r>
            <w:r w:rsidRPr="00D160FB">
              <w:rPr>
                <w:color w:val="0D0D0D" w:themeColor="text1" w:themeTint="F2"/>
                <w:lang w:val="en-GB"/>
              </w:rPr>
              <w:t xml:space="preserve">year. </w:t>
            </w:r>
          </w:p>
          <w:p w14:paraId="2543CFDB" w14:textId="77777777" w:rsidR="00D152B6" w:rsidRPr="00D160FB" w:rsidRDefault="00D152B6" w:rsidP="00D152B6">
            <w:pPr>
              <w:pStyle w:val="Marginlie"/>
              <w:rPr>
                <w:color w:val="0D0D0D" w:themeColor="text1" w:themeTint="F2"/>
                <w:lang w:val="en-GB"/>
              </w:rPr>
            </w:pPr>
          </w:p>
        </w:tc>
        <w:tc>
          <w:tcPr>
            <w:tcW w:w="200" w:type="dxa"/>
            <w:tcBorders>
              <w:top w:val="nil"/>
              <w:left w:val="nil"/>
              <w:bottom w:val="nil"/>
              <w:right w:val="nil"/>
            </w:tcBorders>
            <w:shd w:val="clear" w:color="auto" w:fill="auto"/>
            <w:tcMar>
              <w:left w:w="0" w:type="dxa"/>
            </w:tcMar>
          </w:tcPr>
          <w:p w14:paraId="3589D58F" w14:textId="77777777" w:rsidR="00D152B6" w:rsidRPr="00D160FB" w:rsidRDefault="00D152B6" w:rsidP="00D152B6">
            <w:pPr>
              <w:pStyle w:val="Textpoznpodarou"/>
              <w:jc w:val="both"/>
              <w:rPr>
                <w:color w:val="0D0D0D" w:themeColor="text1" w:themeTint="F2"/>
                <w:spacing w:val="-4"/>
                <w:lang w:val="en-GB"/>
              </w:rPr>
            </w:pPr>
          </w:p>
        </w:tc>
        <w:tc>
          <w:tcPr>
            <w:tcW w:w="7730" w:type="dxa"/>
            <w:tcBorders>
              <w:top w:val="nil"/>
              <w:left w:val="nil"/>
              <w:bottom w:val="nil"/>
              <w:right w:val="nil"/>
            </w:tcBorders>
            <w:shd w:val="clear" w:color="auto" w:fill="auto"/>
            <w:tcMar>
              <w:left w:w="0" w:type="dxa"/>
            </w:tcMar>
          </w:tcPr>
          <w:p w14:paraId="03D2A6FE" w14:textId="18AC9D22" w:rsidR="00D152B6" w:rsidRPr="00D160FB" w:rsidRDefault="00D152B6" w:rsidP="00D152B6">
            <w:pPr>
              <w:spacing w:after="200"/>
              <w:rPr>
                <w:color w:val="0D0D0D" w:themeColor="text1" w:themeTint="F2"/>
                <w:spacing w:val="-4"/>
                <w:lang w:val="en-GB"/>
              </w:rPr>
            </w:pPr>
            <w:r w:rsidRPr="00D160FB">
              <w:rPr>
                <w:color w:val="0D0D0D" w:themeColor="text1" w:themeTint="F2"/>
                <w:spacing w:val="-4"/>
                <w:lang w:val="en-GB"/>
              </w:rPr>
              <w:t xml:space="preserve">The energy shock, which shook the so far relatively stable energy mix in the number of European economies and </w:t>
            </w:r>
            <w:r w:rsidR="00A83177">
              <w:rPr>
                <w:color w:val="0D0D0D" w:themeColor="text1" w:themeTint="F2"/>
                <w:spacing w:val="-4"/>
                <w:lang w:val="en-GB"/>
              </w:rPr>
              <w:t>interrupted</w:t>
            </w:r>
            <w:r w:rsidRPr="00D160FB">
              <w:rPr>
                <w:color w:val="0D0D0D" w:themeColor="text1" w:themeTint="F2"/>
                <w:spacing w:val="-4"/>
                <w:lang w:val="en-GB"/>
              </w:rPr>
              <w:t xml:space="preserve"> long-term trends in the demand for important </w:t>
            </w:r>
            <w:r w:rsidR="00A83177">
              <w:rPr>
                <w:color w:val="0D0D0D" w:themeColor="text1" w:themeTint="F2"/>
                <w:spacing w:val="-4"/>
                <w:lang w:val="en-GB"/>
              </w:rPr>
              <w:t xml:space="preserve">commodities </w:t>
            </w:r>
            <w:r w:rsidRPr="00D160FB">
              <w:rPr>
                <w:color w:val="0D0D0D" w:themeColor="text1" w:themeTint="F2"/>
                <w:spacing w:val="-4"/>
                <w:lang w:val="en-GB"/>
              </w:rPr>
              <w:t xml:space="preserve">substantially influenced the situation in the non-manufacturing industrial branches last year. Output in the mining and quarrying went mildly up for the second year in a row. In that the output in the segment of coal mining increased </w:t>
            </w:r>
            <w:r w:rsidR="00A83177">
              <w:rPr>
                <w:color w:val="0D0D0D" w:themeColor="text1" w:themeTint="F2"/>
                <w:spacing w:val="-4"/>
                <w:lang w:val="en-GB"/>
              </w:rPr>
              <w:t xml:space="preserve">in 2022 </w:t>
            </w:r>
            <w:r w:rsidRPr="00D160FB">
              <w:rPr>
                <w:color w:val="0D0D0D" w:themeColor="text1" w:themeTint="F2"/>
                <w:spacing w:val="-4"/>
                <w:lang w:val="en-GB"/>
              </w:rPr>
              <w:t xml:space="preserve">by nearly one tenth year-on-year, when it grew for the first time since year 2011 and its pace was the highest in the comparable time series (since year 2000). On the contrary the output slightly decreased in the extraction of building materials (by 1.6%), which was related to the weakening of demand on the part of builders as well as the high energy intensity of this branch. The output decreased also in the energy industry </w:t>
            </w:r>
            <w:r w:rsidR="00F65460">
              <w:rPr>
                <w:color w:val="0D0D0D" w:themeColor="text1" w:themeTint="F2"/>
                <w:spacing w:val="-4"/>
                <w:lang w:val="en-GB"/>
              </w:rPr>
              <w:t xml:space="preserve">last year </w:t>
            </w:r>
            <w:r w:rsidR="00F65460" w:rsidRPr="00D160FB">
              <w:rPr>
                <w:color w:val="0D0D0D" w:themeColor="text1" w:themeTint="F2"/>
                <w:spacing w:val="-4"/>
                <w:lang w:val="en-GB"/>
              </w:rPr>
              <w:t>(by 2.9%)</w:t>
            </w:r>
            <w:r w:rsidRPr="00D160FB">
              <w:rPr>
                <w:color w:val="0D0D0D" w:themeColor="text1" w:themeTint="F2"/>
                <w:spacing w:val="-4"/>
                <w:lang w:val="en-GB"/>
              </w:rPr>
              <w:t xml:space="preserve">, primarily due to the development in Q4, when the </w:t>
            </w:r>
            <w:r w:rsidR="00F65460">
              <w:rPr>
                <w:color w:val="0D0D0D" w:themeColor="text1" w:themeTint="F2"/>
                <w:spacing w:val="-4"/>
                <w:lang w:val="en-GB"/>
              </w:rPr>
              <w:t>marked</w:t>
            </w:r>
            <w:r w:rsidRPr="00D160FB">
              <w:rPr>
                <w:color w:val="0D0D0D" w:themeColor="text1" w:themeTint="F2"/>
                <w:spacing w:val="-4"/>
                <w:lang w:val="en-GB"/>
              </w:rPr>
              <w:t xml:space="preserve"> cut down of consumption as a result of warmer weather as well as expected operating savings in business and households was felt. Consumption of the natural gas dived by record 20% in the CR last year and it</w:t>
            </w:r>
            <w:r w:rsidR="00F65460">
              <w:rPr>
                <w:color w:val="0D0D0D" w:themeColor="text1" w:themeTint="F2"/>
                <w:spacing w:val="-4"/>
                <w:lang w:val="en-GB"/>
              </w:rPr>
              <w:t>s volume</w:t>
            </w:r>
            <w:r w:rsidRPr="00D160FB">
              <w:rPr>
                <w:color w:val="0D0D0D" w:themeColor="text1" w:themeTint="F2"/>
                <w:spacing w:val="-4"/>
                <w:lang w:val="en-GB"/>
              </w:rPr>
              <w:t xml:space="preserve"> was the lowest in the last eight years</w:t>
            </w:r>
            <w:r w:rsidRPr="00D160FB">
              <w:rPr>
                <w:rStyle w:val="Znakapoznpodarou"/>
                <w:color w:val="0D0D0D" w:themeColor="text1" w:themeTint="F2"/>
                <w:spacing w:val="-4"/>
                <w:lang w:val="en-GB"/>
              </w:rPr>
              <w:footnoteReference w:id="12"/>
            </w:r>
            <w:r w:rsidRPr="00D160FB">
              <w:rPr>
                <w:color w:val="0D0D0D" w:themeColor="text1" w:themeTint="F2"/>
                <w:spacing w:val="-4"/>
                <w:lang w:val="en-GB"/>
              </w:rPr>
              <w:t>. Decline also occurred for the manufactured heat</w:t>
            </w:r>
            <w:r w:rsidRPr="00D160FB">
              <w:rPr>
                <w:rStyle w:val="Znakapoznpodarou"/>
                <w:color w:val="0D0D0D" w:themeColor="text1" w:themeTint="F2"/>
                <w:spacing w:val="-6"/>
                <w:lang w:val="en-GB"/>
              </w:rPr>
              <w:footnoteReference w:id="13"/>
            </w:r>
            <w:r w:rsidRPr="00D160FB">
              <w:rPr>
                <w:color w:val="0D0D0D" w:themeColor="text1" w:themeTint="F2"/>
                <w:spacing w:val="-6"/>
                <w:lang w:val="en-GB"/>
              </w:rPr>
              <w:t>. The amount of manufactured electricity lowered by negligible 0.4%</w:t>
            </w:r>
            <w:r w:rsidRPr="00D160FB">
              <w:rPr>
                <w:rStyle w:val="Znakapoznpodarou"/>
                <w:color w:val="0D0D0D" w:themeColor="text1" w:themeTint="F2"/>
                <w:spacing w:val="-6"/>
                <w:lang w:val="en-GB"/>
              </w:rPr>
              <w:footnoteReference w:id="14"/>
            </w:r>
            <w:r w:rsidRPr="00D160FB">
              <w:rPr>
                <w:color w:val="0D0D0D" w:themeColor="text1" w:themeTint="F2"/>
                <w:spacing w:val="-6"/>
                <w:lang w:val="en-GB"/>
              </w:rPr>
              <w:t xml:space="preserve"> year-on-year (it was however by 2.9% lower compared to year 2019). Since the domestic consumption of electricity dropped faster last year (by 3.9%), the long-time surplus of the CR foreign trade with this commodity further widened</w:t>
            </w:r>
            <w:r w:rsidRPr="00D160FB">
              <w:rPr>
                <w:rStyle w:val="Znakapoznpodarou"/>
                <w:color w:val="0D0D0D" w:themeColor="text1" w:themeTint="F2"/>
                <w:spacing w:val="-6"/>
                <w:lang w:val="en-GB"/>
              </w:rPr>
              <w:footnoteReference w:id="15"/>
            </w:r>
            <w:r w:rsidRPr="00D160FB">
              <w:rPr>
                <w:color w:val="0D0D0D" w:themeColor="text1" w:themeTint="F2"/>
                <w:spacing w:val="-6"/>
                <w:lang w:val="en-GB"/>
              </w:rPr>
              <w:t>.</w:t>
            </w:r>
          </w:p>
        </w:tc>
      </w:tr>
      <w:tr w:rsidR="00D152B6" w:rsidRPr="00D160FB" w14:paraId="78BBC85C" w14:textId="77777777" w:rsidTr="00976631">
        <w:trPr>
          <w:trHeight w:val="170"/>
        </w:trPr>
        <w:tc>
          <w:tcPr>
            <w:tcW w:w="1780" w:type="dxa"/>
            <w:tcBorders>
              <w:top w:val="nil"/>
              <w:left w:val="nil"/>
              <w:bottom w:val="nil"/>
              <w:right w:val="nil"/>
            </w:tcBorders>
            <w:shd w:val="clear" w:color="auto" w:fill="auto"/>
            <w:tcMar>
              <w:left w:w="0" w:type="dxa"/>
            </w:tcMar>
          </w:tcPr>
          <w:p w14:paraId="66F44819" w14:textId="4EF8F7D9" w:rsidR="00D152B6" w:rsidRPr="00D160FB" w:rsidRDefault="00D152B6" w:rsidP="00D152B6">
            <w:pPr>
              <w:pStyle w:val="Marginlie"/>
              <w:rPr>
                <w:color w:val="0D0D0D" w:themeColor="text1" w:themeTint="F2"/>
                <w:lang w:val="en-GB"/>
              </w:rPr>
            </w:pPr>
            <w:r w:rsidRPr="00D160FB">
              <w:rPr>
                <w:color w:val="0D0D0D" w:themeColor="text1" w:themeTint="F2"/>
                <w:lang w:val="en-GB"/>
              </w:rPr>
              <w:t xml:space="preserve">Domestic sales grew more swiftly than sales from direct export to the industrial businesses year-on-year. </w:t>
            </w:r>
          </w:p>
          <w:p w14:paraId="447ED2AE" w14:textId="77777777" w:rsidR="00D152B6" w:rsidRPr="00D160FB" w:rsidRDefault="00D152B6" w:rsidP="00D152B6">
            <w:pPr>
              <w:pStyle w:val="Marginlie"/>
              <w:rPr>
                <w:color w:val="0D0D0D" w:themeColor="text1" w:themeTint="F2"/>
                <w:lang w:val="en-GB"/>
              </w:rPr>
            </w:pPr>
          </w:p>
          <w:p w14:paraId="506530C1" w14:textId="77777777" w:rsidR="00D152B6" w:rsidRPr="00D160FB" w:rsidRDefault="00D152B6" w:rsidP="00D152B6">
            <w:pPr>
              <w:pStyle w:val="Marginlie"/>
              <w:rPr>
                <w:color w:val="0D0D0D" w:themeColor="text1" w:themeTint="F2"/>
                <w:lang w:val="en-GB"/>
              </w:rPr>
            </w:pPr>
          </w:p>
          <w:p w14:paraId="550C4A42" w14:textId="77777777" w:rsidR="00D152B6" w:rsidRPr="00D160FB" w:rsidRDefault="00D152B6" w:rsidP="00D152B6">
            <w:pPr>
              <w:pStyle w:val="Marginlie"/>
              <w:rPr>
                <w:color w:val="0D0D0D" w:themeColor="text1" w:themeTint="F2"/>
                <w:lang w:val="en-GB"/>
              </w:rPr>
            </w:pPr>
          </w:p>
          <w:p w14:paraId="5389A044" w14:textId="2E67E7B8" w:rsidR="00D152B6" w:rsidRDefault="00D152B6" w:rsidP="00D152B6">
            <w:pPr>
              <w:pStyle w:val="Marginlie"/>
              <w:rPr>
                <w:color w:val="0D0D0D" w:themeColor="text1" w:themeTint="F2"/>
                <w:lang w:val="en-GB"/>
              </w:rPr>
            </w:pPr>
          </w:p>
          <w:p w14:paraId="633139EF" w14:textId="5CA1B439" w:rsidR="003837B1" w:rsidRDefault="003837B1" w:rsidP="00D152B6">
            <w:pPr>
              <w:pStyle w:val="Marginlie"/>
              <w:rPr>
                <w:color w:val="0D0D0D" w:themeColor="text1" w:themeTint="F2"/>
                <w:lang w:val="en-GB"/>
              </w:rPr>
            </w:pPr>
          </w:p>
          <w:p w14:paraId="428BD07E" w14:textId="77777777" w:rsidR="003837B1" w:rsidRPr="00D160FB" w:rsidRDefault="003837B1" w:rsidP="00D152B6">
            <w:pPr>
              <w:pStyle w:val="Marginlie"/>
              <w:rPr>
                <w:color w:val="0D0D0D" w:themeColor="text1" w:themeTint="F2"/>
                <w:lang w:val="en-GB"/>
              </w:rPr>
            </w:pPr>
          </w:p>
          <w:p w14:paraId="61D625D2" w14:textId="77777777" w:rsidR="00D152B6" w:rsidRPr="00D160FB" w:rsidRDefault="00D152B6" w:rsidP="00D152B6">
            <w:pPr>
              <w:pStyle w:val="Marginlie"/>
              <w:rPr>
                <w:color w:val="0D0D0D" w:themeColor="text1" w:themeTint="F2"/>
                <w:lang w:val="en-GB"/>
              </w:rPr>
            </w:pPr>
          </w:p>
          <w:p w14:paraId="6F75D050" w14:textId="43FCF4E5" w:rsidR="00D152B6" w:rsidRPr="00D160FB" w:rsidRDefault="00D152B6" w:rsidP="00D152B6">
            <w:pPr>
              <w:pStyle w:val="Marginlie"/>
              <w:rPr>
                <w:color w:val="0D0D0D" w:themeColor="text1" w:themeTint="F2"/>
                <w:lang w:val="en-GB"/>
              </w:rPr>
            </w:pPr>
            <w:r w:rsidRPr="00D160FB">
              <w:rPr>
                <w:color w:val="0D0D0D" w:themeColor="text1" w:themeTint="F2"/>
                <w:lang w:val="en-GB"/>
              </w:rPr>
              <w:lastRenderedPageBreak/>
              <w:t xml:space="preserve">Quarter-on-quarter growth of sales ceased at the end of the year. </w:t>
            </w:r>
          </w:p>
          <w:p w14:paraId="15C583E7" w14:textId="77777777" w:rsidR="00D152B6" w:rsidRPr="00D160FB" w:rsidRDefault="00D152B6" w:rsidP="00D152B6">
            <w:pPr>
              <w:pStyle w:val="Marginlie"/>
              <w:rPr>
                <w:color w:val="0D0D0D" w:themeColor="text1" w:themeTint="F2"/>
                <w:lang w:val="en-GB"/>
              </w:rPr>
            </w:pPr>
          </w:p>
        </w:tc>
        <w:tc>
          <w:tcPr>
            <w:tcW w:w="200" w:type="dxa"/>
            <w:tcBorders>
              <w:top w:val="nil"/>
              <w:left w:val="nil"/>
              <w:bottom w:val="nil"/>
              <w:right w:val="nil"/>
            </w:tcBorders>
            <w:shd w:val="clear" w:color="auto" w:fill="auto"/>
            <w:tcMar>
              <w:left w:w="0" w:type="dxa"/>
            </w:tcMar>
          </w:tcPr>
          <w:p w14:paraId="5561EBB1" w14:textId="77777777" w:rsidR="00D152B6" w:rsidRPr="00D160FB" w:rsidRDefault="00D152B6" w:rsidP="00D152B6">
            <w:pPr>
              <w:pStyle w:val="Textpoznpodarou"/>
              <w:jc w:val="both"/>
              <w:rPr>
                <w:color w:val="0D0D0D" w:themeColor="text1" w:themeTint="F2"/>
                <w:spacing w:val="-4"/>
                <w:lang w:val="en-GB"/>
              </w:rPr>
            </w:pPr>
          </w:p>
        </w:tc>
        <w:tc>
          <w:tcPr>
            <w:tcW w:w="7730" w:type="dxa"/>
            <w:tcBorders>
              <w:top w:val="nil"/>
              <w:left w:val="nil"/>
              <w:bottom w:val="nil"/>
              <w:right w:val="nil"/>
            </w:tcBorders>
            <w:shd w:val="clear" w:color="auto" w:fill="auto"/>
            <w:tcMar>
              <w:left w:w="0" w:type="dxa"/>
            </w:tcMar>
          </w:tcPr>
          <w:p w14:paraId="289BB6AD" w14:textId="22765C96" w:rsidR="00D152B6" w:rsidRPr="00D160FB" w:rsidRDefault="00D152B6" w:rsidP="00D152B6">
            <w:pPr>
              <w:spacing w:after="200"/>
              <w:rPr>
                <w:rFonts w:cs="Arial"/>
                <w:bCs/>
                <w:color w:val="0D0D0D" w:themeColor="text1" w:themeTint="F2"/>
                <w:spacing w:val="-5"/>
                <w:szCs w:val="20"/>
                <w:lang w:val="en-GB"/>
              </w:rPr>
            </w:pPr>
            <w:r w:rsidRPr="00D160FB">
              <w:rPr>
                <w:rFonts w:cs="Arial"/>
                <w:bCs/>
                <w:color w:val="0D0D0D" w:themeColor="text1" w:themeTint="F2"/>
                <w:spacing w:val="-5"/>
                <w:szCs w:val="20"/>
                <w:lang w:val="en-GB"/>
              </w:rPr>
              <w:t>Nominal sales of industrial businesses</w:t>
            </w:r>
            <w:r w:rsidRPr="00D160FB">
              <w:rPr>
                <w:rStyle w:val="Znakapoznpodarou"/>
                <w:bCs/>
                <w:color w:val="0D0D0D" w:themeColor="text1" w:themeTint="F2"/>
                <w:spacing w:val="-5"/>
                <w:szCs w:val="20"/>
                <w:lang w:val="en-GB"/>
              </w:rPr>
              <w:footnoteReference w:id="16"/>
            </w:r>
            <w:r w:rsidRPr="00D160FB">
              <w:rPr>
                <w:rFonts w:cs="Arial"/>
                <w:bCs/>
                <w:color w:val="0D0D0D" w:themeColor="text1" w:themeTint="F2"/>
                <w:spacing w:val="-5"/>
                <w:szCs w:val="20"/>
                <w:lang w:val="en-GB"/>
              </w:rPr>
              <w:t xml:space="preserve"> increased by 16.1% in year 2022, when they grew in all its main branches. Domestic sales strengthened by more than one fifth year-on-year, by more than double the pace of sales from direct export. Number of branches traditionally oriented on the domestic market faced strong cost pressures, which were reflected in the realised sales – that is why these e.g. in coal mining or energy industry rose in total by nearly one third, in food industry by nearly one fifth. On the contrary the sales were only by 5.4% higher in the significantly pro-export manufacturing of computers, electronic and optical products and the price growth was out of the more moderate here. In Q4 2022 however, the quarter-on-quarter growth of sales halted in </w:t>
            </w:r>
            <w:r w:rsidR="00526C1E">
              <w:rPr>
                <w:rFonts w:cs="Arial"/>
                <w:bCs/>
                <w:color w:val="0D0D0D" w:themeColor="text1" w:themeTint="F2"/>
                <w:spacing w:val="-5"/>
                <w:szCs w:val="20"/>
                <w:lang w:val="en-GB"/>
              </w:rPr>
              <w:t xml:space="preserve">the whole </w:t>
            </w:r>
            <w:r w:rsidRPr="00D160FB">
              <w:rPr>
                <w:rFonts w:cs="Arial"/>
                <w:bCs/>
                <w:color w:val="0D0D0D" w:themeColor="text1" w:themeTint="F2"/>
                <w:spacing w:val="-5"/>
                <w:szCs w:val="20"/>
                <w:lang w:val="en-GB"/>
              </w:rPr>
              <w:t xml:space="preserve">industry (for the first time since summer 2021), which was connected to the weakening of the economy as well as the fact, that the </w:t>
            </w:r>
            <w:r w:rsidRPr="00D160FB">
              <w:rPr>
                <w:rFonts w:cs="Arial"/>
                <w:bCs/>
                <w:color w:val="0D0D0D" w:themeColor="text1" w:themeTint="F2"/>
                <w:spacing w:val="-5"/>
                <w:szCs w:val="20"/>
                <w:lang w:val="en-GB"/>
              </w:rPr>
              <w:lastRenderedPageBreak/>
              <w:t xml:space="preserve">price growth of the number of inputs had been weakening already since the last summer. The sales were thus shrinking especially in the energy industry (by 19%), </w:t>
            </w:r>
            <w:r w:rsidR="00526C1E">
              <w:rPr>
                <w:rFonts w:cs="Arial"/>
                <w:bCs/>
                <w:color w:val="0D0D0D" w:themeColor="text1" w:themeTint="F2"/>
                <w:spacing w:val="-5"/>
                <w:szCs w:val="20"/>
                <w:lang w:val="en-GB"/>
              </w:rPr>
              <w:t>a milder decrease was observed i</w:t>
            </w:r>
            <w:r w:rsidRPr="00D160FB">
              <w:rPr>
                <w:rFonts w:cs="Arial"/>
                <w:bCs/>
                <w:color w:val="0D0D0D" w:themeColor="text1" w:themeTint="F2"/>
                <w:spacing w:val="-5"/>
                <w:szCs w:val="20"/>
                <w:lang w:val="en-GB"/>
              </w:rPr>
              <w:t>n metallurgy o</w:t>
            </w:r>
            <w:r>
              <w:rPr>
                <w:rFonts w:cs="Arial"/>
                <w:bCs/>
                <w:color w:val="0D0D0D" w:themeColor="text1" w:themeTint="F2"/>
                <w:spacing w:val="-5"/>
                <w:szCs w:val="20"/>
                <w:lang w:val="en-GB"/>
              </w:rPr>
              <w:t>r manufacturing of chemical and</w:t>
            </w:r>
            <w:r w:rsidR="00526C1E">
              <w:rPr>
                <w:rFonts w:cs="Arial"/>
                <w:bCs/>
                <w:color w:val="0D0D0D" w:themeColor="text1" w:themeTint="F2"/>
                <w:spacing w:val="-5"/>
                <w:szCs w:val="20"/>
                <w:lang w:val="en-GB"/>
              </w:rPr>
              <w:t xml:space="preserve"> paper products</w:t>
            </w:r>
            <w:r w:rsidRPr="00D160FB">
              <w:rPr>
                <w:rFonts w:cs="Arial"/>
                <w:bCs/>
                <w:color w:val="0D0D0D" w:themeColor="text1" w:themeTint="F2"/>
                <w:spacing w:val="-5"/>
                <w:szCs w:val="20"/>
                <w:lang w:val="en-GB"/>
              </w:rPr>
              <w:t xml:space="preserve"> in comparison to Q3</w:t>
            </w:r>
            <w:r w:rsidR="00526C1E">
              <w:rPr>
                <w:rFonts w:cs="Arial"/>
                <w:bCs/>
                <w:color w:val="0D0D0D" w:themeColor="text1" w:themeTint="F2"/>
                <w:spacing w:val="-5"/>
                <w:szCs w:val="20"/>
                <w:lang w:val="en-GB"/>
              </w:rPr>
              <w:t xml:space="preserve"> 2022</w:t>
            </w:r>
            <w:r w:rsidRPr="00D160FB">
              <w:rPr>
                <w:rFonts w:cs="Arial"/>
                <w:bCs/>
                <w:color w:val="0D0D0D" w:themeColor="text1" w:themeTint="F2"/>
                <w:spacing w:val="-5"/>
                <w:szCs w:val="20"/>
                <w:lang w:val="en-GB"/>
              </w:rPr>
              <w:t>.</w:t>
            </w:r>
          </w:p>
        </w:tc>
      </w:tr>
      <w:tr w:rsidR="00D152B6" w:rsidRPr="00D160FB" w14:paraId="6FC6EAE8" w14:textId="77777777" w:rsidTr="00976631">
        <w:trPr>
          <w:trHeight w:val="170"/>
        </w:trPr>
        <w:tc>
          <w:tcPr>
            <w:tcW w:w="1780" w:type="dxa"/>
            <w:tcBorders>
              <w:top w:val="nil"/>
              <w:left w:val="nil"/>
              <w:bottom w:val="nil"/>
              <w:right w:val="nil"/>
            </w:tcBorders>
            <w:shd w:val="clear" w:color="auto" w:fill="auto"/>
            <w:tcMar>
              <w:left w:w="0" w:type="dxa"/>
            </w:tcMar>
          </w:tcPr>
          <w:p w14:paraId="5702767E" w14:textId="2522ED5F" w:rsidR="00D152B6" w:rsidRPr="00D160FB" w:rsidRDefault="00D152B6" w:rsidP="00D152B6">
            <w:pPr>
              <w:pStyle w:val="Marginlie"/>
              <w:rPr>
                <w:lang w:val="en-GB"/>
              </w:rPr>
            </w:pPr>
            <w:r w:rsidRPr="00D160FB">
              <w:rPr>
                <w:lang w:val="en-GB"/>
              </w:rPr>
              <w:lastRenderedPageBreak/>
              <w:t xml:space="preserve">Growth of the value of new industrial orders lagged behind the sales dynamics since the beginning of the year. </w:t>
            </w:r>
          </w:p>
          <w:p w14:paraId="104BAAC7" w14:textId="77777777" w:rsidR="00D152B6" w:rsidRPr="00D160FB" w:rsidRDefault="00D152B6" w:rsidP="00D152B6">
            <w:pPr>
              <w:pStyle w:val="Marginlie"/>
              <w:rPr>
                <w:lang w:val="en-GB"/>
              </w:rPr>
            </w:pPr>
          </w:p>
          <w:p w14:paraId="1488B065" w14:textId="77777777" w:rsidR="00D152B6" w:rsidRPr="00D160FB" w:rsidRDefault="00D152B6" w:rsidP="00D152B6">
            <w:pPr>
              <w:pStyle w:val="Marginlie"/>
              <w:rPr>
                <w:lang w:val="en-GB"/>
              </w:rPr>
            </w:pPr>
          </w:p>
          <w:p w14:paraId="5AE3C664" w14:textId="77777777" w:rsidR="00D152B6" w:rsidRPr="00D160FB" w:rsidRDefault="00D152B6" w:rsidP="00D152B6">
            <w:pPr>
              <w:pStyle w:val="Marginlie"/>
              <w:rPr>
                <w:lang w:val="en-GB"/>
              </w:rPr>
            </w:pPr>
          </w:p>
          <w:p w14:paraId="6F3ED0E7" w14:textId="197B7E8C" w:rsidR="00D152B6" w:rsidRPr="00D160FB" w:rsidRDefault="00A853BB" w:rsidP="00D152B6">
            <w:pPr>
              <w:pStyle w:val="Marginlie"/>
              <w:rPr>
                <w:color w:val="0D0D0D" w:themeColor="text1" w:themeTint="F2"/>
                <w:lang w:val="en-GB"/>
              </w:rPr>
            </w:pPr>
            <w:r>
              <w:rPr>
                <w:lang w:val="en-GB"/>
              </w:rPr>
              <w:t>Demand in the most energy-</w:t>
            </w:r>
            <w:r w:rsidR="00D152B6" w:rsidRPr="00D160FB">
              <w:rPr>
                <w:lang w:val="en-GB"/>
              </w:rPr>
              <w:t xml:space="preserve">intensive branches was decreasing. </w:t>
            </w:r>
          </w:p>
        </w:tc>
        <w:tc>
          <w:tcPr>
            <w:tcW w:w="200" w:type="dxa"/>
            <w:tcBorders>
              <w:top w:val="nil"/>
              <w:left w:val="nil"/>
              <w:bottom w:val="nil"/>
              <w:right w:val="nil"/>
            </w:tcBorders>
            <w:shd w:val="clear" w:color="auto" w:fill="auto"/>
            <w:tcMar>
              <w:left w:w="0" w:type="dxa"/>
            </w:tcMar>
          </w:tcPr>
          <w:p w14:paraId="57E1214E" w14:textId="77777777" w:rsidR="00D152B6" w:rsidRPr="00D160FB" w:rsidRDefault="00D152B6" w:rsidP="00D152B6">
            <w:pPr>
              <w:pStyle w:val="Textpoznpodarou"/>
              <w:jc w:val="both"/>
              <w:rPr>
                <w:color w:val="0D0D0D" w:themeColor="text1" w:themeTint="F2"/>
                <w:spacing w:val="-4"/>
                <w:lang w:val="en-GB"/>
              </w:rPr>
            </w:pPr>
          </w:p>
        </w:tc>
        <w:tc>
          <w:tcPr>
            <w:tcW w:w="7730" w:type="dxa"/>
            <w:tcBorders>
              <w:top w:val="nil"/>
              <w:left w:val="nil"/>
              <w:bottom w:val="nil"/>
              <w:right w:val="nil"/>
            </w:tcBorders>
            <w:shd w:val="clear" w:color="auto" w:fill="auto"/>
            <w:tcMar>
              <w:left w:w="0" w:type="dxa"/>
            </w:tcMar>
          </w:tcPr>
          <w:p w14:paraId="72C7A30C" w14:textId="3847CEF7" w:rsidR="00D152B6" w:rsidRPr="00D160FB" w:rsidRDefault="00A853BB" w:rsidP="00A40CD6">
            <w:pPr>
              <w:spacing w:after="200"/>
              <w:rPr>
                <w:rFonts w:cs="Arial"/>
                <w:bCs/>
                <w:color w:val="0D0D0D" w:themeColor="text1" w:themeTint="F2"/>
                <w:spacing w:val="-5"/>
                <w:szCs w:val="20"/>
                <w:lang w:val="en-GB"/>
              </w:rPr>
            </w:pPr>
            <w:r>
              <w:rPr>
                <w:color w:val="0D0D0D" w:themeColor="text1" w:themeTint="F2"/>
                <w:spacing w:val="-5"/>
                <w:lang w:val="en-GB"/>
              </w:rPr>
              <w:t>The g</w:t>
            </w:r>
            <w:r w:rsidR="00D152B6" w:rsidRPr="00D160FB">
              <w:rPr>
                <w:color w:val="0D0D0D" w:themeColor="text1" w:themeTint="F2"/>
                <w:spacing w:val="-5"/>
                <w:lang w:val="en-GB"/>
              </w:rPr>
              <w:t xml:space="preserve">rowth of the nominal value of new orders </w:t>
            </w:r>
            <w:r>
              <w:rPr>
                <w:color w:val="0D0D0D" w:themeColor="text1" w:themeTint="F2"/>
                <w:spacing w:val="-5"/>
                <w:lang w:val="en-GB"/>
              </w:rPr>
              <w:t>(</w:t>
            </w:r>
            <w:r w:rsidR="00D152B6" w:rsidRPr="00D160FB">
              <w:rPr>
                <w:color w:val="0D0D0D" w:themeColor="text1" w:themeTint="F2"/>
                <w:spacing w:val="-5"/>
                <w:lang w:val="en-GB"/>
              </w:rPr>
              <w:t>in selected industrial branches</w:t>
            </w:r>
            <w:r w:rsidR="00D152B6" w:rsidRPr="00D160FB">
              <w:rPr>
                <w:rStyle w:val="Znakapoznpodarou"/>
                <w:color w:val="0D0D0D" w:themeColor="text1" w:themeTint="F2"/>
                <w:spacing w:val="-5"/>
                <w:lang w:val="en-GB"/>
              </w:rPr>
              <w:footnoteReference w:id="17"/>
            </w:r>
            <w:r>
              <w:rPr>
                <w:color w:val="0D0D0D" w:themeColor="text1" w:themeTint="F2"/>
                <w:spacing w:val="-5"/>
                <w:lang w:val="en-GB"/>
              </w:rPr>
              <w:t>)</w:t>
            </w:r>
            <w:r w:rsidR="00D152B6" w:rsidRPr="00D160FB">
              <w:rPr>
                <w:color w:val="0D0D0D" w:themeColor="text1" w:themeTint="F2"/>
                <w:spacing w:val="-5"/>
                <w:lang w:val="en-GB"/>
              </w:rPr>
              <w:t xml:space="preserve"> </w:t>
            </w:r>
            <w:r>
              <w:rPr>
                <w:color w:val="0D0D0D" w:themeColor="text1" w:themeTint="F2"/>
                <w:spacing w:val="-5"/>
                <w:lang w:val="en-GB"/>
              </w:rPr>
              <w:t xml:space="preserve">was also </w:t>
            </w:r>
            <w:r w:rsidR="00D152B6" w:rsidRPr="00D160FB">
              <w:rPr>
                <w:color w:val="0D0D0D" w:themeColor="text1" w:themeTint="F2"/>
                <w:spacing w:val="-5"/>
                <w:lang w:val="en-GB"/>
              </w:rPr>
              <w:t xml:space="preserve">markedly impacted by the price effects for the whole last year. In addition it still lagged behind the dynamics of both sales and growth of industrial producer prices. The orders grew by 12.5% year-on-year in Q4, from more than two thirds aided by the demand in the manufacturing of motor vehicles. It was partially affected by the lower comparative basis. It </w:t>
            </w:r>
            <w:r>
              <w:rPr>
                <w:color w:val="0D0D0D" w:themeColor="text1" w:themeTint="F2"/>
                <w:spacing w:val="-5"/>
                <w:lang w:val="en-GB"/>
              </w:rPr>
              <w:t>is encouraging, that the size of these orders expanded</w:t>
            </w:r>
            <w:r w:rsidR="00D152B6" w:rsidRPr="00D160FB">
              <w:rPr>
                <w:color w:val="0D0D0D" w:themeColor="text1" w:themeTint="F2"/>
                <w:spacing w:val="-5"/>
                <w:lang w:val="en-GB"/>
              </w:rPr>
              <w:t xml:space="preserve"> also compared to Q</w:t>
            </w:r>
            <w:r w:rsidR="00D152B6" w:rsidRPr="00D160FB">
              <w:rPr>
                <w:color w:val="0D0D0D" w:themeColor="text1" w:themeTint="F2"/>
                <w:spacing w:val="-7"/>
                <w:lang w:val="en-GB"/>
              </w:rPr>
              <w:t xml:space="preserve">3 </w:t>
            </w:r>
            <w:r w:rsidR="00D152B6" w:rsidRPr="00D160FB">
              <w:rPr>
                <w:color w:val="0D0D0D" w:themeColor="text1" w:themeTint="F2"/>
                <w:spacing w:val="-5"/>
                <w:lang w:val="en-GB"/>
              </w:rPr>
              <w:t>2022. It cannot be claimed r</w:t>
            </w:r>
            <w:r>
              <w:rPr>
                <w:color w:val="0D0D0D" w:themeColor="text1" w:themeTint="F2"/>
                <w:spacing w:val="-5"/>
                <w:lang w:val="en-GB"/>
              </w:rPr>
              <w:t>egarding the most energy-</w:t>
            </w:r>
            <w:r w:rsidR="00D152B6" w:rsidRPr="00D160FB">
              <w:rPr>
                <w:color w:val="0D0D0D" w:themeColor="text1" w:themeTint="F2"/>
                <w:spacing w:val="-5"/>
                <w:lang w:val="en-GB"/>
              </w:rPr>
              <w:t>intensive industrial branches (metallurgy, chemical industry), where the demand was falling quar</w:t>
            </w:r>
            <w:r>
              <w:rPr>
                <w:color w:val="0D0D0D" w:themeColor="text1" w:themeTint="F2"/>
                <w:spacing w:val="-5"/>
                <w:lang w:val="en-GB"/>
              </w:rPr>
              <w:t>ter-on-quarter already</w:t>
            </w:r>
            <w:r w:rsidR="00D152B6" w:rsidRPr="00D160FB">
              <w:rPr>
                <w:color w:val="0D0D0D" w:themeColor="text1" w:themeTint="F2"/>
                <w:spacing w:val="-5"/>
                <w:lang w:val="en-GB"/>
              </w:rPr>
              <w:t xml:space="preserve"> in Summer</w:t>
            </w:r>
            <w:r>
              <w:rPr>
                <w:color w:val="0D0D0D" w:themeColor="text1" w:themeTint="F2"/>
                <w:spacing w:val="-5"/>
                <w:lang w:val="en-GB"/>
              </w:rPr>
              <w:t xml:space="preserve"> 2022</w:t>
            </w:r>
            <w:r w:rsidR="00D152B6" w:rsidRPr="00D160FB">
              <w:rPr>
                <w:color w:val="0D0D0D" w:themeColor="text1" w:themeTint="F2"/>
                <w:spacing w:val="-5"/>
                <w:lang w:val="en-GB"/>
              </w:rPr>
              <w:t xml:space="preserve">. </w:t>
            </w:r>
            <w:r>
              <w:rPr>
                <w:color w:val="0D0D0D" w:themeColor="text1" w:themeTint="F2"/>
                <w:spacing w:val="-5"/>
                <w:lang w:val="en-GB"/>
              </w:rPr>
              <w:t>With regard</w:t>
            </w:r>
            <w:r w:rsidR="00D152B6" w:rsidRPr="00D160FB">
              <w:rPr>
                <w:color w:val="0D0D0D" w:themeColor="text1" w:themeTint="F2"/>
                <w:spacing w:val="-5"/>
                <w:lang w:val="en-GB"/>
              </w:rPr>
              <w:t xml:space="preserve"> to the growth of prices of intermediate inputs</w:t>
            </w:r>
            <w:r>
              <w:rPr>
                <w:color w:val="0D0D0D" w:themeColor="text1" w:themeTint="F2"/>
                <w:spacing w:val="-5"/>
                <w:lang w:val="en-GB"/>
              </w:rPr>
              <w:t>,</w:t>
            </w:r>
            <w:r w:rsidR="00D152B6" w:rsidRPr="00D160FB">
              <w:rPr>
                <w:color w:val="0D0D0D" w:themeColor="text1" w:themeTint="F2"/>
                <w:spacing w:val="-5"/>
                <w:lang w:val="en-GB"/>
              </w:rPr>
              <w:t xml:space="preserve"> the dynamics </w:t>
            </w:r>
            <w:r>
              <w:rPr>
                <w:color w:val="0D0D0D" w:themeColor="text1" w:themeTint="F2"/>
                <w:spacing w:val="-5"/>
                <w:lang w:val="en-GB"/>
              </w:rPr>
              <w:t xml:space="preserve">of orders </w:t>
            </w:r>
            <w:r w:rsidR="005279E0">
              <w:rPr>
                <w:color w:val="0D0D0D" w:themeColor="text1" w:themeTint="F2"/>
                <w:spacing w:val="-5"/>
                <w:lang w:val="en-GB"/>
              </w:rPr>
              <w:t>can</w:t>
            </w:r>
            <w:r w:rsidR="00D152B6" w:rsidRPr="00D160FB">
              <w:rPr>
                <w:color w:val="0D0D0D" w:themeColor="text1" w:themeTint="F2"/>
                <w:spacing w:val="-5"/>
                <w:lang w:val="en-GB"/>
              </w:rPr>
              <w:t xml:space="preserve"> be </w:t>
            </w:r>
            <w:r w:rsidR="00A40CD6" w:rsidRPr="00D160FB">
              <w:rPr>
                <w:color w:val="0D0D0D" w:themeColor="text1" w:themeTint="F2"/>
                <w:spacing w:val="-5"/>
                <w:lang w:val="en-GB"/>
              </w:rPr>
              <w:t xml:space="preserve">assessed </w:t>
            </w:r>
            <w:r w:rsidR="00D152B6" w:rsidRPr="00D160FB">
              <w:rPr>
                <w:color w:val="0D0D0D" w:themeColor="text1" w:themeTint="F2"/>
                <w:spacing w:val="-5"/>
                <w:lang w:val="en-GB"/>
              </w:rPr>
              <w:t xml:space="preserve">favourably in manufacturing of wearing apparel, pharmaceutical industry and </w:t>
            </w:r>
            <w:r>
              <w:rPr>
                <w:color w:val="0D0D0D" w:themeColor="text1" w:themeTint="F2"/>
                <w:spacing w:val="-5"/>
                <w:lang w:val="en-GB"/>
              </w:rPr>
              <w:t>(</w:t>
            </w:r>
            <w:r w:rsidR="00D152B6" w:rsidRPr="00D160FB">
              <w:rPr>
                <w:color w:val="0D0D0D" w:themeColor="text1" w:themeTint="F2"/>
                <w:spacing w:val="-5"/>
                <w:lang w:val="en-GB"/>
              </w:rPr>
              <w:t>thanks to strengthening domestic demand</w:t>
            </w:r>
            <w:r>
              <w:rPr>
                <w:color w:val="0D0D0D" w:themeColor="text1" w:themeTint="F2"/>
                <w:spacing w:val="-5"/>
                <w:lang w:val="en-GB"/>
              </w:rPr>
              <w:t>)</w:t>
            </w:r>
            <w:r w:rsidR="00D152B6" w:rsidRPr="00D160FB">
              <w:rPr>
                <w:color w:val="0D0D0D" w:themeColor="text1" w:themeTint="F2"/>
                <w:spacing w:val="-5"/>
                <w:lang w:val="en-GB"/>
              </w:rPr>
              <w:t xml:space="preserve"> also in the manufacturing of computers, electronic and optical appliances.   </w:t>
            </w:r>
          </w:p>
        </w:tc>
      </w:tr>
      <w:tr w:rsidR="00D152B6" w:rsidRPr="00D160FB" w14:paraId="3B76EC34" w14:textId="77777777" w:rsidTr="00976631">
        <w:trPr>
          <w:trHeight w:val="134"/>
        </w:trPr>
        <w:tc>
          <w:tcPr>
            <w:tcW w:w="1780" w:type="dxa"/>
            <w:vMerge w:val="restart"/>
            <w:tcBorders>
              <w:top w:val="nil"/>
              <w:left w:val="nil"/>
              <w:bottom w:val="nil"/>
              <w:right w:val="nil"/>
            </w:tcBorders>
            <w:shd w:val="clear" w:color="auto" w:fill="auto"/>
            <w:tcMar>
              <w:left w:w="0" w:type="dxa"/>
            </w:tcMar>
          </w:tcPr>
          <w:p w14:paraId="38102944" w14:textId="77777777" w:rsidR="00D152B6" w:rsidRPr="00D160FB" w:rsidRDefault="00D152B6" w:rsidP="00D152B6">
            <w:pPr>
              <w:pStyle w:val="Marginlie"/>
              <w:rPr>
                <w:lang w:val="en-GB"/>
              </w:rPr>
            </w:pPr>
          </w:p>
        </w:tc>
        <w:tc>
          <w:tcPr>
            <w:tcW w:w="200" w:type="dxa"/>
            <w:vMerge w:val="restart"/>
            <w:tcBorders>
              <w:top w:val="nil"/>
              <w:left w:val="nil"/>
              <w:bottom w:val="nil"/>
              <w:right w:val="nil"/>
            </w:tcBorders>
            <w:shd w:val="clear" w:color="auto" w:fill="auto"/>
            <w:tcMar>
              <w:left w:w="0" w:type="dxa"/>
            </w:tcMar>
          </w:tcPr>
          <w:p w14:paraId="5F0BF7A2" w14:textId="77777777" w:rsidR="00D152B6" w:rsidRPr="00D160FB" w:rsidRDefault="00D152B6" w:rsidP="00D152B6">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6927EB33" w14:textId="302C188F" w:rsidR="00D152B6" w:rsidRPr="00D160FB" w:rsidRDefault="00D152B6" w:rsidP="00D152B6">
            <w:pPr>
              <w:spacing w:after="0"/>
              <w:rPr>
                <w:color w:val="0D0D0D" w:themeColor="text1" w:themeTint="F2"/>
                <w:spacing w:val="-5"/>
                <w:lang w:val="en-GB"/>
              </w:rPr>
            </w:pPr>
            <w:r w:rsidRPr="00D160FB">
              <w:rPr>
                <w:b/>
                <w:spacing w:val="-2"/>
                <w:lang w:val="en-GB"/>
              </w:rPr>
              <w:t xml:space="preserve">Chart 5 </w:t>
            </w:r>
            <w:r w:rsidRPr="00D160FB">
              <w:rPr>
                <w:b/>
                <w:lang w:val="en-GB"/>
              </w:rPr>
              <w:t xml:space="preserve">New orders in industry </w:t>
            </w:r>
            <w:r w:rsidRPr="00D160FB">
              <w:rPr>
                <w:bCs/>
                <w:lang w:val="en-GB"/>
              </w:rPr>
              <w:t xml:space="preserve">(nominal, year-on-year change in %), </w:t>
            </w:r>
            <w:r w:rsidRPr="00D160FB">
              <w:rPr>
                <w:b/>
                <w:lang w:val="en-GB"/>
              </w:rPr>
              <w:t>utilisation of production capacities in industry, selected growth barriers*</w:t>
            </w:r>
            <w:r w:rsidRPr="00D160FB">
              <w:rPr>
                <w:lang w:val="en-GB"/>
              </w:rPr>
              <w:t xml:space="preserve"> (in %, right axis) </w:t>
            </w:r>
            <w:r w:rsidRPr="00D160FB">
              <w:rPr>
                <w:b/>
                <w:bCs/>
                <w:lang w:val="en-GB"/>
              </w:rPr>
              <w:t>and balance of business confidence indicator in industry*</w:t>
            </w:r>
            <w:r w:rsidRPr="00D160FB">
              <w:rPr>
                <w:lang w:val="en-GB"/>
              </w:rPr>
              <w:t xml:space="preserve"> (in p.p., right axis)</w:t>
            </w:r>
          </w:p>
        </w:tc>
      </w:tr>
      <w:tr w:rsidR="00D152B6" w:rsidRPr="00D160FB" w14:paraId="4A966D80" w14:textId="77777777" w:rsidTr="00976631">
        <w:tblPrEx>
          <w:tblCellMar>
            <w:left w:w="70" w:type="dxa"/>
            <w:right w:w="70" w:type="dxa"/>
          </w:tblCellMar>
        </w:tblPrEx>
        <w:trPr>
          <w:trHeight w:val="133"/>
        </w:trPr>
        <w:tc>
          <w:tcPr>
            <w:tcW w:w="1780" w:type="dxa"/>
            <w:vMerge/>
            <w:tcBorders>
              <w:top w:val="nil"/>
              <w:left w:val="nil"/>
              <w:bottom w:val="nil"/>
              <w:right w:val="nil"/>
            </w:tcBorders>
            <w:shd w:val="clear" w:color="auto" w:fill="auto"/>
          </w:tcPr>
          <w:p w14:paraId="5C505736" w14:textId="77777777" w:rsidR="00D152B6" w:rsidRPr="00D160FB" w:rsidRDefault="00D152B6" w:rsidP="00D152B6">
            <w:pPr>
              <w:pStyle w:val="Marginlie"/>
              <w:rPr>
                <w:lang w:val="en-GB"/>
              </w:rPr>
            </w:pPr>
          </w:p>
        </w:tc>
        <w:tc>
          <w:tcPr>
            <w:tcW w:w="200" w:type="dxa"/>
            <w:vMerge/>
            <w:tcBorders>
              <w:top w:val="nil"/>
              <w:left w:val="nil"/>
              <w:bottom w:val="nil"/>
              <w:right w:val="nil"/>
            </w:tcBorders>
            <w:shd w:val="clear" w:color="auto" w:fill="auto"/>
          </w:tcPr>
          <w:p w14:paraId="112EA808" w14:textId="77777777" w:rsidR="00D152B6" w:rsidRPr="00D160FB" w:rsidRDefault="00D152B6" w:rsidP="00D152B6">
            <w:pPr>
              <w:pStyle w:val="Textpoznpodarou"/>
              <w:jc w:val="both"/>
              <w:rPr>
                <w:spacing w:val="-4"/>
                <w:lang w:val="en-GB"/>
              </w:rPr>
            </w:pPr>
          </w:p>
        </w:tc>
        <w:tc>
          <w:tcPr>
            <w:tcW w:w="7730" w:type="dxa"/>
            <w:tcBorders>
              <w:top w:val="nil"/>
              <w:left w:val="nil"/>
              <w:bottom w:val="nil"/>
              <w:right w:val="nil"/>
            </w:tcBorders>
            <w:shd w:val="clear" w:color="auto" w:fill="auto"/>
          </w:tcPr>
          <w:p w14:paraId="45F10695" w14:textId="336B4882" w:rsidR="00D152B6" w:rsidRPr="00D160FB" w:rsidRDefault="00D152B6" w:rsidP="00D152B6">
            <w:pPr>
              <w:spacing w:after="0"/>
              <w:rPr>
                <w:color w:val="0D0D0D" w:themeColor="text1" w:themeTint="F2"/>
                <w:spacing w:val="-5"/>
                <w:lang w:val="en-GB"/>
              </w:rPr>
            </w:pPr>
            <w:r>
              <w:rPr>
                <w:noProof/>
              </w:rPr>
              <w:drawing>
                <wp:inline distT="0" distB="0" distL="0" distR="0" wp14:anchorId="35C983CF" wp14:editId="0B24D596">
                  <wp:extent cx="4666080" cy="3636780"/>
                  <wp:effectExtent l="0" t="0" r="1270" b="1905"/>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D152B6" w:rsidRPr="00D160FB" w14:paraId="4E1B0883" w14:textId="77777777" w:rsidTr="00976631">
        <w:trPr>
          <w:trHeight w:val="133"/>
        </w:trPr>
        <w:tc>
          <w:tcPr>
            <w:tcW w:w="1780" w:type="dxa"/>
            <w:vMerge/>
            <w:tcBorders>
              <w:top w:val="nil"/>
              <w:left w:val="nil"/>
              <w:bottom w:val="nil"/>
              <w:right w:val="nil"/>
            </w:tcBorders>
            <w:shd w:val="clear" w:color="auto" w:fill="auto"/>
            <w:tcMar>
              <w:left w:w="0" w:type="dxa"/>
            </w:tcMar>
          </w:tcPr>
          <w:p w14:paraId="07F3AC82" w14:textId="77777777" w:rsidR="00D152B6" w:rsidRPr="00D160FB" w:rsidRDefault="00D152B6" w:rsidP="00D152B6">
            <w:pPr>
              <w:pStyle w:val="Marginlie"/>
              <w:rPr>
                <w:lang w:val="en-GB"/>
              </w:rPr>
            </w:pPr>
          </w:p>
        </w:tc>
        <w:tc>
          <w:tcPr>
            <w:tcW w:w="200" w:type="dxa"/>
            <w:vMerge/>
            <w:tcBorders>
              <w:top w:val="nil"/>
              <w:left w:val="nil"/>
              <w:bottom w:val="nil"/>
              <w:right w:val="nil"/>
            </w:tcBorders>
            <w:shd w:val="clear" w:color="auto" w:fill="auto"/>
            <w:tcMar>
              <w:left w:w="0" w:type="dxa"/>
            </w:tcMar>
          </w:tcPr>
          <w:p w14:paraId="2A2DA502" w14:textId="77777777" w:rsidR="00D152B6" w:rsidRPr="00D160FB" w:rsidRDefault="00D152B6" w:rsidP="00D152B6">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3F487161" w14:textId="77777777" w:rsidR="00D152B6" w:rsidRDefault="00D152B6" w:rsidP="00D152B6">
            <w:pPr>
              <w:spacing w:after="0"/>
              <w:rPr>
                <w:rFonts w:cs="Arial"/>
                <w:sz w:val="14"/>
                <w:szCs w:val="14"/>
                <w:lang w:val="en-GB"/>
              </w:rPr>
            </w:pPr>
            <w:r w:rsidRPr="00D160FB">
              <w:rPr>
                <w:color w:val="0D0D0D" w:themeColor="text1" w:themeTint="F2"/>
                <w:spacing w:val="-5"/>
                <w:lang w:val="en-GB"/>
              </w:rPr>
              <w:t>*</w:t>
            </w:r>
            <w:r w:rsidRPr="00D160FB">
              <w:rPr>
                <w:rFonts w:cs="Arial"/>
                <w:sz w:val="14"/>
                <w:szCs w:val="14"/>
                <w:lang w:val="en-GB"/>
              </w:rPr>
              <w:t>Both utilisation of production capacities and growth barriers express the level in the fi</w:t>
            </w:r>
            <w:r>
              <w:rPr>
                <w:rFonts w:cs="Arial"/>
                <w:sz w:val="14"/>
                <w:szCs w:val="14"/>
                <w:lang w:val="en-GB"/>
              </w:rPr>
              <w:t>rst month of the given quarter,</w:t>
            </w:r>
            <w:r w:rsidRPr="00D160FB">
              <w:rPr>
                <w:rFonts w:cs="Arial"/>
                <w:sz w:val="14"/>
                <w:szCs w:val="14"/>
                <w:lang w:val="en-GB"/>
              </w:rPr>
              <w:t xml:space="preserve"> business confidence balance relates to the second month in the quarter. Orders are adjusted for calendar effects; other indicators are seasonally adjusted. Businesses could have indicated more key growth barriers simultaneously.</w:t>
            </w:r>
          </w:p>
          <w:p w14:paraId="342016E4" w14:textId="691DFBF8" w:rsidR="00D152B6" w:rsidRPr="00181788" w:rsidRDefault="00D152B6" w:rsidP="00D152B6">
            <w:pPr>
              <w:spacing w:after="200"/>
              <w:rPr>
                <w:rFonts w:cs="Arial"/>
                <w:sz w:val="14"/>
                <w:szCs w:val="14"/>
                <w:lang w:val="en-GB"/>
              </w:rPr>
            </w:pPr>
            <w:r w:rsidRPr="00D160FB">
              <w:rPr>
                <w:rFonts w:cs="Arial"/>
                <w:sz w:val="14"/>
                <w:szCs w:val="14"/>
                <w:lang w:val="en-GB"/>
              </w:rPr>
              <w:t>Source: CZSO, Eurostat</w:t>
            </w:r>
          </w:p>
        </w:tc>
      </w:tr>
      <w:tr w:rsidR="005279E0" w:rsidRPr="00D160FB" w14:paraId="03D57F09" w14:textId="77777777" w:rsidTr="00976631">
        <w:trPr>
          <w:trHeight w:val="170"/>
        </w:trPr>
        <w:tc>
          <w:tcPr>
            <w:tcW w:w="1780" w:type="dxa"/>
            <w:tcBorders>
              <w:top w:val="nil"/>
              <w:left w:val="nil"/>
              <w:bottom w:val="nil"/>
              <w:right w:val="nil"/>
            </w:tcBorders>
            <w:shd w:val="clear" w:color="auto" w:fill="auto"/>
            <w:tcMar>
              <w:left w:w="0" w:type="dxa"/>
            </w:tcMar>
          </w:tcPr>
          <w:p w14:paraId="1D793B13" w14:textId="77777777" w:rsidR="005279E0" w:rsidRPr="00D160FB" w:rsidRDefault="005279E0" w:rsidP="005279E0">
            <w:pPr>
              <w:pStyle w:val="Marginlie"/>
              <w:rPr>
                <w:spacing w:val="-4"/>
                <w:lang w:val="en-GB"/>
              </w:rPr>
            </w:pPr>
            <w:r w:rsidRPr="00D160FB">
              <w:rPr>
                <w:spacing w:val="-4"/>
                <w:lang w:val="en-GB"/>
              </w:rPr>
              <w:t xml:space="preserve">Business confidence in industry perceptibly dropped since the last Spring. </w:t>
            </w:r>
          </w:p>
          <w:p w14:paraId="4EDC130E" w14:textId="77777777" w:rsidR="005279E0" w:rsidRPr="00D160FB" w:rsidRDefault="005279E0" w:rsidP="005279E0">
            <w:pPr>
              <w:pStyle w:val="Marginlie"/>
              <w:rPr>
                <w:spacing w:val="-4"/>
                <w:lang w:val="en-GB"/>
              </w:rPr>
            </w:pPr>
          </w:p>
          <w:p w14:paraId="6BD3E10A" w14:textId="77777777" w:rsidR="005279E0" w:rsidRPr="00D160FB" w:rsidRDefault="005279E0" w:rsidP="005279E0">
            <w:pPr>
              <w:pStyle w:val="Marginlie"/>
              <w:rPr>
                <w:spacing w:val="-4"/>
                <w:lang w:val="en-GB"/>
              </w:rPr>
            </w:pPr>
          </w:p>
          <w:p w14:paraId="3A6D3E7C" w14:textId="77777777" w:rsidR="005279E0" w:rsidRPr="00D160FB" w:rsidRDefault="005279E0" w:rsidP="005279E0">
            <w:pPr>
              <w:pStyle w:val="Marginlie"/>
              <w:rPr>
                <w:spacing w:val="-4"/>
                <w:lang w:val="en-GB"/>
              </w:rPr>
            </w:pPr>
          </w:p>
          <w:p w14:paraId="75162C61" w14:textId="0C02ECA6" w:rsidR="005279E0" w:rsidRPr="00D160FB" w:rsidRDefault="005279E0" w:rsidP="005279E0">
            <w:pPr>
              <w:pStyle w:val="Marginlie"/>
              <w:rPr>
                <w:color w:val="0D0D0D" w:themeColor="text1" w:themeTint="F2"/>
                <w:spacing w:val="-4"/>
                <w:lang w:val="en-GB"/>
              </w:rPr>
            </w:pPr>
            <w:r w:rsidRPr="00D160FB">
              <w:rPr>
                <w:spacing w:val="-4"/>
                <w:lang w:val="en-GB"/>
              </w:rPr>
              <w:t xml:space="preserve">Inadequate demand again became the key barrier to growth following a two-year pause. </w:t>
            </w:r>
          </w:p>
        </w:tc>
        <w:tc>
          <w:tcPr>
            <w:tcW w:w="200" w:type="dxa"/>
            <w:tcBorders>
              <w:top w:val="nil"/>
              <w:left w:val="nil"/>
              <w:bottom w:val="nil"/>
              <w:right w:val="nil"/>
            </w:tcBorders>
            <w:shd w:val="clear" w:color="auto" w:fill="auto"/>
            <w:tcMar>
              <w:left w:w="0" w:type="dxa"/>
            </w:tcMar>
          </w:tcPr>
          <w:p w14:paraId="6EB16FDC" w14:textId="77777777" w:rsidR="005279E0" w:rsidRPr="00D160FB" w:rsidRDefault="005279E0" w:rsidP="005279E0">
            <w:pPr>
              <w:pStyle w:val="Textpoznpodarou"/>
              <w:jc w:val="both"/>
              <w:rPr>
                <w:color w:val="0D0D0D" w:themeColor="text1" w:themeTint="F2"/>
                <w:spacing w:val="-4"/>
                <w:lang w:val="en-GB"/>
              </w:rPr>
            </w:pPr>
          </w:p>
        </w:tc>
        <w:tc>
          <w:tcPr>
            <w:tcW w:w="7730" w:type="dxa"/>
            <w:tcBorders>
              <w:top w:val="nil"/>
              <w:left w:val="nil"/>
              <w:bottom w:val="nil"/>
              <w:right w:val="nil"/>
            </w:tcBorders>
            <w:shd w:val="clear" w:color="auto" w:fill="auto"/>
            <w:tcMar>
              <w:left w:w="0" w:type="dxa"/>
            </w:tcMar>
          </w:tcPr>
          <w:p w14:paraId="281D370C" w14:textId="6ADAD4B7" w:rsidR="005279E0" w:rsidRPr="00D160FB" w:rsidRDefault="005279E0" w:rsidP="005279E0">
            <w:pPr>
              <w:spacing w:after="200"/>
              <w:rPr>
                <w:color w:val="0D0D0D" w:themeColor="text1" w:themeTint="F2"/>
                <w:spacing w:val="-6"/>
                <w:lang w:val="en-GB"/>
              </w:rPr>
            </w:pPr>
            <w:r w:rsidRPr="00D160FB">
              <w:rPr>
                <w:color w:val="0D0D0D" w:themeColor="text1" w:themeTint="F2"/>
                <w:spacing w:val="-8"/>
                <w:lang w:val="en-GB"/>
              </w:rPr>
              <w:t xml:space="preserve">Business confidence in industry was after a short growth in Q2 2022 (associated with the moderation of pressures in the supplier chains at the motor vehicle manufacturers) gradually decreasing in the subsequent months. The largest pessimism </w:t>
            </w:r>
            <w:r>
              <w:rPr>
                <w:color w:val="0D0D0D" w:themeColor="text1" w:themeTint="F2"/>
                <w:spacing w:val="-8"/>
                <w:lang w:val="en-GB"/>
              </w:rPr>
              <w:t>since June 2020 thus set in</w:t>
            </w:r>
            <w:r w:rsidRPr="00D160FB">
              <w:rPr>
                <w:color w:val="0D0D0D" w:themeColor="text1" w:themeTint="F2"/>
                <w:spacing w:val="-8"/>
                <w:lang w:val="en-GB"/>
              </w:rPr>
              <w:t xml:space="preserve"> February</w:t>
            </w:r>
            <w:r>
              <w:rPr>
                <w:color w:val="0D0D0D" w:themeColor="text1" w:themeTint="F2"/>
                <w:spacing w:val="-8"/>
                <w:lang w:val="en-GB"/>
              </w:rPr>
              <w:t xml:space="preserve"> 2023</w:t>
            </w:r>
            <w:r w:rsidRPr="00D160FB">
              <w:rPr>
                <w:color w:val="0D0D0D" w:themeColor="text1" w:themeTint="F2"/>
                <w:spacing w:val="-8"/>
                <w:lang w:val="en-GB"/>
              </w:rPr>
              <w:t xml:space="preserve">. Unfavourable assessment of the current demand prevailed; the inventory stock </w:t>
            </w:r>
            <w:r w:rsidRPr="00D160FB">
              <w:rPr>
                <w:color w:val="0D0D0D" w:themeColor="text1" w:themeTint="F2"/>
                <w:spacing w:val="-8"/>
                <w:lang w:val="en-GB"/>
              </w:rPr>
              <w:lastRenderedPageBreak/>
              <w:t xml:space="preserve">of finished products remained above the long-term average. With the rising number of businesses anticipating a decline in production in the short-term horizon (as far as </w:t>
            </w:r>
            <w:r>
              <w:rPr>
                <w:color w:val="0D0D0D" w:themeColor="text1" w:themeTint="F2"/>
                <w:spacing w:val="-8"/>
                <w:lang w:val="en-GB"/>
              </w:rPr>
              <w:t>15%)</w:t>
            </w:r>
            <w:r w:rsidRPr="00D160FB">
              <w:rPr>
                <w:color w:val="0D0D0D" w:themeColor="text1" w:themeTint="F2"/>
                <w:spacing w:val="-8"/>
                <w:lang w:val="en-GB"/>
              </w:rPr>
              <w:t xml:space="preserve"> the negative outlooks </w:t>
            </w:r>
            <w:r w:rsidRPr="003D13A6">
              <w:rPr>
                <w:color w:val="0D0D0D" w:themeColor="text1" w:themeTint="F2"/>
                <w:spacing w:val="-10"/>
                <w:lang w:val="en-GB"/>
              </w:rPr>
              <w:t>for the employment were deepening</w:t>
            </w:r>
            <w:r w:rsidRPr="003D13A6">
              <w:rPr>
                <w:rStyle w:val="Znakapoznpodarou"/>
                <w:color w:val="0D0D0D" w:themeColor="text1" w:themeTint="F2"/>
                <w:spacing w:val="-10"/>
                <w:lang w:val="en-GB"/>
              </w:rPr>
              <w:footnoteReference w:id="18"/>
            </w:r>
            <w:r w:rsidRPr="003D13A6">
              <w:rPr>
                <w:color w:val="0D0D0D" w:themeColor="text1" w:themeTint="F2"/>
                <w:spacing w:val="-10"/>
                <w:lang w:val="en-GB"/>
              </w:rPr>
              <w:t>. With the length of the outlook nevertheless, the expectations</w:t>
            </w:r>
            <w:r w:rsidRPr="00D160FB">
              <w:rPr>
                <w:color w:val="0D0D0D" w:themeColor="text1" w:themeTint="F2"/>
                <w:spacing w:val="-8"/>
                <w:lang w:val="en-GB"/>
              </w:rPr>
              <w:t xml:space="preserve"> of the total economic situation were improving</w:t>
            </w:r>
            <w:r w:rsidRPr="00D160FB">
              <w:rPr>
                <w:rStyle w:val="Znakapoznpodarou"/>
                <w:color w:val="0D0D0D" w:themeColor="text1" w:themeTint="F2"/>
                <w:spacing w:val="-8"/>
                <w:lang w:val="en-GB"/>
              </w:rPr>
              <w:footnoteReference w:id="19"/>
            </w:r>
            <w:r w:rsidRPr="00D160FB">
              <w:rPr>
                <w:color w:val="0D0D0D" w:themeColor="text1" w:themeTint="F2"/>
                <w:spacing w:val="-8"/>
                <w:lang w:val="en-GB"/>
              </w:rPr>
              <w:t>. Inadequate demand represented the key barrier to growth</w:t>
            </w:r>
            <w:r w:rsidRPr="00D160FB">
              <w:rPr>
                <w:rStyle w:val="Znakapoznpodarou"/>
                <w:color w:val="0D0D0D" w:themeColor="text1" w:themeTint="F2"/>
                <w:spacing w:val="-8"/>
                <w:lang w:val="en-GB"/>
              </w:rPr>
              <w:footnoteReference w:id="20"/>
            </w:r>
            <w:r w:rsidRPr="00D160FB">
              <w:rPr>
                <w:color w:val="0D0D0D" w:themeColor="text1" w:themeTint="F2"/>
                <w:spacing w:val="-8"/>
                <w:lang w:val="en-GB"/>
              </w:rPr>
              <w:t xml:space="preserve"> (for 42% of businesses), shortage of material or labour force played a smaller role since the last year’s Autumn (it still stayed essential for businesses in some branches). </w:t>
            </w:r>
          </w:p>
        </w:tc>
      </w:tr>
      <w:tr w:rsidR="005279E0" w:rsidRPr="00D160FB" w14:paraId="7A58C7F4" w14:textId="77777777" w:rsidTr="00976631">
        <w:trPr>
          <w:trHeight w:val="170"/>
        </w:trPr>
        <w:tc>
          <w:tcPr>
            <w:tcW w:w="1780" w:type="dxa"/>
            <w:tcBorders>
              <w:top w:val="nil"/>
              <w:left w:val="nil"/>
              <w:bottom w:val="nil"/>
              <w:right w:val="nil"/>
            </w:tcBorders>
            <w:shd w:val="clear" w:color="auto" w:fill="auto"/>
            <w:tcMar>
              <w:left w:w="0" w:type="dxa"/>
            </w:tcMar>
          </w:tcPr>
          <w:p w14:paraId="7E2261B4" w14:textId="583565CB" w:rsidR="005279E0" w:rsidRPr="00D160FB" w:rsidRDefault="005279E0" w:rsidP="005279E0">
            <w:pPr>
              <w:pStyle w:val="Marginlie"/>
              <w:rPr>
                <w:color w:val="0D0D0D" w:themeColor="text1" w:themeTint="F2"/>
                <w:spacing w:val="-4"/>
                <w:lang w:val="en-GB"/>
              </w:rPr>
            </w:pPr>
            <w:r w:rsidRPr="00D160FB">
              <w:rPr>
                <w:color w:val="0D0D0D" w:themeColor="text1" w:themeTint="F2"/>
                <w:spacing w:val="-4"/>
                <w:lang w:val="en-GB"/>
              </w:rPr>
              <w:lastRenderedPageBreak/>
              <w:t xml:space="preserve">Output mildly increased in construction for the last year, specifically thanks to its both main branches. </w:t>
            </w:r>
          </w:p>
        </w:tc>
        <w:tc>
          <w:tcPr>
            <w:tcW w:w="200" w:type="dxa"/>
            <w:tcBorders>
              <w:top w:val="nil"/>
              <w:left w:val="nil"/>
              <w:bottom w:val="nil"/>
              <w:right w:val="nil"/>
            </w:tcBorders>
            <w:shd w:val="clear" w:color="auto" w:fill="auto"/>
            <w:tcMar>
              <w:left w:w="0" w:type="dxa"/>
            </w:tcMar>
          </w:tcPr>
          <w:p w14:paraId="080B279C" w14:textId="77777777" w:rsidR="005279E0" w:rsidRPr="00D160FB" w:rsidRDefault="005279E0" w:rsidP="005279E0">
            <w:pPr>
              <w:pStyle w:val="Textpoznpodarou"/>
              <w:jc w:val="both"/>
              <w:rPr>
                <w:color w:val="0D0D0D" w:themeColor="text1" w:themeTint="F2"/>
                <w:spacing w:val="-4"/>
                <w:lang w:val="en-GB"/>
              </w:rPr>
            </w:pPr>
          </w:p>
        </w:tc>
        <w:tc>
          <w:tcPr>
            <w:tcW w:w="7730" w:type="dxa"/>
            <w:tcBorders>
              <w:top w:val="nil"/>
              <w:left w:val="nil"/>
              <w:bottom w:val="nil"/>
              <w:right w:val="nil"/>
            </w:tcBorders>
            <w:shd w:val="clear" w:color="auto" w:fill="auto"/>
            <w:tcMar>
              <w:left w:w="0" w:type="dxa"/>
            </w:tcMar>
          </w:tcPr>
          <w:p w14:paraId="2EFB50D5" w14:textId="181564FC" w:rsidR="005279E0" w:rsidRPr="00D160FB" w:rsidRDefault="005279E0" w:rsidP="005279E0">
            <w:pPr>
              <w:spacing w:after="200"/>
              <w:rPr>
                <w:color w:val="0D0D0D" w:themeColor="text1" w:themeTint="F2"/>
                <w:spacing w:val="-6"/>
                <w:lang w:val="en-GB"/>
              </w:rPr>
            </w:pPr>
            <w:r w:rsidRPr="00D160FB">
              <w:rPr>
                <w:color w:val="0D0D0D" w:themeColor="text1" w:themeTint="F2"/>
                <w:spacing w:val="-6"/>
                <w:lang w:val="en-GB"/>
              </w:rPr>
              <w:t xml:space="preserve">Construction performance displayed a fluctuating nature in the CR during the last year. In Q1, </w:t>
            </w:r>
            <w:r w:rsidR="00BB1CDD">
              <w:rPr>
                <w:color w:val="0D0D0D" w:themeColor="text1" w:themeTint="F2"/>
                <w:spacing w:val="-6"/>
                <w:lang w:val="en-GB"/>
              </w:rPr>
              <w:t xml:space="preserve">2022 </w:t>
            </w:r>
            <w:r w:rsidRPr="00D160FB">
              <w:rPr>
                <w:color w:val="0D0D0D" w:themeColor="text1" w:themeTint="F2"/>
                <w:spacing w:val="-6"/>
                <w:lang w:val="en-GB"/>
              </w:rPr>
              <w:t>the growth of its output</w:t>
            </w:r>
            <w:r w:rsidRPr="00D160FB">
              <w:rPr>
                <w:rStyle w:val="Znakapoznpodarou"/>
                <w:color w:val="0D0D0D" w:themeColor="text1" w:themeTint="F2"/>
                <w:spacing w:val="-6"/>
                <w:lang w:val="en-GB"/>
              </w:rPr>
              <w:footnoteReference w:id="21"/>
            </w:r>
            <w:r w:rsidRPr="00D160FB">
              <w:rPr>
                <w:color w:val="0D0D0D" w:themeColor="text1" w:themeTint="F2"/>
                <w:spacing w:val="-6"/>
                <w:lang w:val="en-GB"/>
              </w:rPr>
              <w:t xml:space="preserve"> accelerated </w:t>
            </w:r>
            <w:r w:rsidR="00BB1CDD">
              <w:rPr>
                <w:color w:val="0D0D0D" w:themeColor="text1" w:themeTint="F2"/>
                <w:spacing w:val="-6"/>
                <w:lang w:val="en-GB"/>
              </w:rPr>
              <w:t>(</w:t>
            </w:r>
            <w:r w:rsidRPr="00D160FB">
              <w:rPr>
                <w:color w:val="0D0D0D" w:themeColor="text1" w:themeTint="F2"/>
                <w:spacing w:val="-6"/>
                <w:lang w:val="en-GB"/>
              </w:rPr>
              <w:t>due to the effect of warm winter as well as large stock of</w:t>
            </w:r>
            <w:r w:rsidR="00BB1CDD">
              <w:rPr>
                <w:color w:val="0D0D0D" w:themeColor="text1" w:themeTint="F2"/>
                <w:spacing w:val="-6"/>
                <w:lang w:val="en-GB"/>
              </w:rPr>
              <w:t xml:space="preserve"> both public and private orders) </w:t>
            </w:r>
            <w:r w:rsidRPr="00D160FB">
              <w:rPr>
                <w:color w:val="0D0D0D" w:themeColor="text1" w:themeTint="F2"/>
                <w:spacing w:val="-6"/>
                <w:lang w:val="en-GB"/>
              </w:rPr>
              <w:t>to quarter-on-quarter 4.</w:t>
            </w:r>
            <w:r w:rsidR="00BB1CDD">
              <w:rPr>
                <w:color w:val="0D0D0D" w:themeColor="text1" w:themeTint="F2"/>
                <w:spacing w:val="-6"/>
                <w:lang w:val="en-GB"/>
              </w:rPr>
              <w:t>3%</w:t>
            </w:r>
            <w:r w:rsidRPr="00D160FB">
              <w:rPr>
                <w:color w:val="0D0D0D" w:themeColor="text1" w:themeTint="F2"/>
                <w:spacing w:val="-6"/>
                <w:lang w:val="en-GB"/>
              </w:rPr>
              <w:t xml:space="preserve"> </w:t>
            </w:r>
            <w:r w:rsidR="00BB1CDD">
              <w:rPr>
                <w:color w:val="0D0D0D" w:themeColor="text1" w:themeTint="F2"/>
                <w:spacing w:val="-6"/>
                <w:lang w:val="en-GB"/>
              </w:rPr>
              <w:t>(</w:t>
            </w:r>
            <w:r w:rsidRPr="00D160FB">
              <w:rPr>
                <w:color w:val="0D0D0D" w:themeColor="text1" w:themeTint="F2"/>
                <w:spacing w:val="-6"/>
                <w:lang w:val="en-GB"/>
              </w:rPr>
              <w:t xml:space="preserve">mainly thanks to the civil engineering construction) and with its size overtook the pre-crisis year 2019 for the first time. The output lowered quarter-on-quarter (in total by 6.1%) during both Q2 and </w:t>
            </w:r>
            <w:r w:rsidR="00BB1CDD">
              <w:rPr>
                <w:color w:val="0D0D0D" w:themeColor="text1" w:themeTint="F2"/>
                <w:spacing w:val="-6"/>
                <w:lang w:val="en-GB"/>
              </w:rPr>
              <w:t>Q</w:t>
            </w:r>
            <w:r w:rsidRPr="00D160FB">
              <w:rPr>
                <w:color w:val="0D0D0D" w:themeColor="text1" w:themeTint="F2"/>
                <w:spacing w:val="-6"/>
                <w:lang w:val="en-GB"/>
              </w:rPr>
              <w:t>3. The adverse impact of the strong price growth (energies, fuels as well as material inputs), worse accessibility of materials, equipment but also the labour force (partially as a result of the war in Ukraine)</w:t>
            </w:r>
            <w:r w:rsidR="00BB1CDD">
              <w:rPr>
                <w:color w:val="0D0D0D" w:themeColor="text1" w:themeTint="F2"/>
                <w:spacing w:val="-6"/>
                <w:lang w:val="en-GB"/>
              </w:rPr>
              <w:t xml:space="preserve"> became more</w:t>
            </w:r>
            <w:r w:rsidRPr="00D160FB">
              <w:rPr>
                <w:color w:val="0D0D0D" w:themeColor="text1" w:themeTint="F2"/>
                <w:spacing w:val="-6"/>
                <w:lang w:val="en-GB"/>
              </w:rPr>
              <w:t xml:space="preserve"> evident. This often led to the extension of completion of existing projects or to the postponement of commencement, or alternatively the revision of planned investment actions. A mild recovery occurred during the last quarter (both building construction and civil engineering construction equally participated on </w:t>
            </w:r>
            <w:r w:rsidR="00BB1CDD">
              <w:rPr>
                <w:color w:val="0D0D0D" w:themeColor="text1" w:themeTint="F2"/>
                <w:spacing w:val="-6"/>
                <w:lang w:val="en-GB"/>
              </w:rPr>
              <w:t>the total</w:t>
            </w:r>
            <w:r w:rsidRPr="00D160FB">
              <w:rPr>
                <w:color w:val="0D0D0D" w:themeColor="text1" w:themeTint="F2"/>
                <w:spacing w:val="-6"/>
                <w:lang w:val="en-GB"/>
              </w:rPr>
              <w:t xml:space="preserve"> 2.2% output growth). The output increased by 2.6% for the whole year 2022 and continued in the similar growth from the preceding year. </w:t>
            </w:r>
            <w:r w:rsidR="00BB1CDD">
              <w:rPr>
                <w:color w:val="0D0D0D" w:themeColor="text1" w:themeTint="F2"/>
                <w:spacing w:val="-6"/>
                <w:lang w:val="en-GB"/>
              </w:rPr>
              <w:t xml:space="preserve">Unlike the </w:t>
            </w:r>
            <w:r w:rsidRPr="00D160FB">
              <w:rPr>
                <w:color w:val="0D0D0D" w:themeColor="text1" w:themeTint="F2"/>
                <w:spacing w:val="-6"/>
                <w:lang w:val="en-GB"/>
              </w:rPr>
              <w:t>year</w:t>
            </w:r>
            <w:r w:rsidR="00BB1CDD">
              <w:rPr>
                <w:color w:val="0D0D0D" w:themeColor="text1" w:themeTint="F2"/>
                <w:spacing w:val="-6"/>
                <w:lang w:val="en-GB"/>
              </w:rPr>
              <w:t xml:space="preserve"> 2021</w:t>
            </w:r>
            <w:r w:rsidRPr="00D160FB">
              <w:rPr>
                <w:color w:val="0D0D0D" w:themeColor="text1" w:themeTint="F2"/>
                <w:spacing w:val="-6"/>
                <w:lang w:val="en-GB"/>
              </w:rPr>
              <w:t xml:space="preserve"> however</w:t>
            </w:r>
            <w:r w:rsidR="003369B0">
              <w:rPr>
                <w:color w:val="0D0D0D" w:themeColor="text1" w:themeTint="F2"/>
                <w:spacing w:val="-6"/>
                <w:lang w:val="en-GB"/>
              </w:rPr>
              <w:t>,</w:t>
            </w:r>
            <w:r w:rsidR="00836B5C">
              <w:rPr>
                <w:color w:val="0D0D0D" w:themeColor="text1" w:themeTint="F2"/>
                <w:spacing w:val="-6"/>
                <w:lang w:val="en-GB"/>
              </w:rPr>
              <w:t xml:space="preserve"> both main disciplines</w:t>
            </w:r>
            <w:r w:rsidRPr="00D160FB">
              <w:rPr>
                <w:color w:val="0D0D0D" w:themeColor="text1" w:themeTint="F2"/>
                <w:spacing w:val="-6"/>
                <w:lang w:val="en-GB"/>
              </w:rPr>
              <w:t xml:space="preserve"> contributed to its growth last year – weight more significant building construction </w:t>
            </w:r>
            <w:r w:rsidR="003369B0">
              <w:rPr>
                <w:color w:val="0D0D0D" w:themeColor="text1" w:themeTint="F2"/>
                <w:spacing w:val="-6"/>
                <w:lang w:val="en-GB"/>
              </w:rPr>
              <w:t xml:space="preserve">by </w:t>
            </w:r>
            <w:r w:rsidRPr="00D160FB">
              <w:rPr>
                <w:color w:val="0D0D0D" w:themeColor="text1" w:themeTint="F2"/>
                <w:spacing w:val="-6"/>
                <w:lang w:val="en-GB"/>
              </w:rPr>
              <w:t xml:space="preserve">1.7 p.p., civil engineering construction </w:t>
            </w:r>
            <w:r w:rsidR="003369B0">
              <w:rPr>
                <w:color w:val="0D0D0D" w:themeColor="text1" w:themeTint="F2"/>
                <w:spacing w:val="-6"/>
                <w:lang w:val="en-GB"/>
              </w:rPr>
              <w:t xml:space="preserve">by </w:t>
            </w:r>
            <w:r w:rsidRPr="00D160FB">
              <w:rPr>
                <w:color w:val="0D0D0D" w:themeColor="text1" w:themeTint="F2"/>
                <w:spacing w:val="-6"/>
                <w:lang w:val="en-GB"/>
              </w:rPr>
              <w:t>0.9 p.p.</w:t>
            </w:r>
          </w:p>
        </w:tc>
      </w:tr>
      <w:tr w:rsidR="005279E0" w:rsidRPr="00D160FB" w14:paraId="1F1D56BF" w14:textId="77777777" w:rsidTr="00976631">
        <w:trPr>
          <w:trHeight w:val="3119"/>
        </w:trPr>
        <w:tc>
          <w:tcPr>
            <w:tcW w:w="1780" w:type="dxa"/>
            <w:tcBorders>
              <w:top w:val="nil"/>
              <w:left w:val="nil"/>
              <w:bottom w:val="nil"/>
              <w:right w:val="nil"/>
            </w:tcBorders>
            <w:shd w:val="clear" w:color="auto" w:fill="auto"/>
            <w:tcMar>
              <w:left w:w="0" w:type="dxa"/>
            </w:tcMar>
          </w:tcPr>
          <w:p w14:paraId="3AFBCDE8" w14:textId="09BDAFF3" w:rsidR="005279E0" w:rsidRPr="00D160FB" w:rsidRDefault="005279E0" w:rsidP="005279E0">
            <w:pPr>
              <w:pStyle w:val="Marginlie"/>
              <w:rPr>
                <w:spacing w:val="-4"/>
                <w:lang w:val="en-GB"/>
              </w:rPr>
            </w:pPr>
            <w:r w:rsidRPr="00D160FB">
              <w:rPr>
                <w:spacing w:val="-4"/>
                <w:lang w:val="en-GB"/>
              </w:rPr>
              <w:t xml:space="preserve">Number of finished dwellings significantly expanded last year. Large number of unfinished works from the past manifested here. </w:t>
            </w:r>
          </w:p>
          <w:p w14:paraId="69171745" w14:textId="0E1A916C" w:rsidR="005279E0" w:rsidRDefault="005279E0" w:rsidP="005279E0">
            <w:pPr>
              <w:pStyle w:val="Marginlie"/>
              <w:rPr>
                <w:spacing w:val="-4"/>
                <w:lang w:val="en-GB"/>
              </w:rPr>
            </w:pPr>
          </w:p>
          <w:p w14:paraId="2C49896B" w14:textId="54867B6C" w:rsidR="003369B0" w:rsidRDefault="003369B0" w:rsidP="005279E0">
            <w:pPr>
              <w:pStyle w:val="Marginlie"/>
              <w:rPr>
                <w:spacing w:val="-4"/>
                <w:lang w:val="en-GB"/>
              </w:rPr>
            </w:pPr>
          </w:p>
          <w:p w14:paraId="4639C496" w14:textId="77777777" w:rsidR="003369B0" w:rsidRPr="00D160FB" w:rsidRDefault="003369B0" w:rsidP="005279E0">
            <w:pPr>
              <w:pStyle w:val="Marginlie"/>
              <w:rPr>
                <w:spacing w:val="-4"/>
                <w:lang w:val="en-GB"/>
              </w:rPr>
            </w:pPr>
          </w:p>
          <w:p w14:paraId="35E491AD" w14:textId="3F43A121" w:rsidR="005279E0" w:rsidRPr="00D160FB" w:rsidRDefault="005279E0" w:rsidP="005279E0">
            <w:pPr>
              <w:pStyle w:val="Marginlie"/>
              <w:rPr>
                <w:spacing w:val="-4"/>
                <w:lang w:val="en-GB"/>
              </w:rPr>
            </w:pPr>
            <w:r w:rsidRPr="00D160FB">
              <w:rPr>
                <w:spacing w:val="-4"/>
                <w:lang w:val="en-GB"/>
              </w:rPr>
              <w:t xml:space="preserve">Pace of the commenced construction subsided in H2. </w:t>
            </w:r>
          </w:p>
        </w:tc>
        <w:tc>
          <w:tcPr>
            <w:tcW w:w="200" w:type="dxa"/>
            <w:tcBorders>
              <w:top w:val="nil"/>
              <w:left w:val="nil"/>
              <w:bottom w:val="nil"/>
              <w:right w:val="nil"/>
            </w:tcBorders>
            <w:shd w:val="clear" w:color="auto" w:fill="auto"/>
            <w:tcMar>
              <w:left w:w="0" w:type="dxa"/>
            </w:tcMar>
          </w:tcPr>
          <w:p w14:paraId="1CB56AFF" w14:textId="77777777" w:rsidR="005279E0" w:rsidRPr="00D160FB" w:rsidRDefault="005279E0" w:rsidP="005279E0">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76D6879C" w14:textId="26117F1B" w:rsidR="005279E0" w:rsidRPr="00D160FB" w:rsidRDefault="005279E0" w:rsidP="00185FA4">
            <w:pPr>
              <w:spacing w:after="200"/>
              <w:rPr>
                <w:spacing w:val="-6"/>
                <w:lang w:val="en-GB"/>
              </w:rPr>
            </w:pPr>
            <w:r w:rsidRPr="00D160FB">
              <w:rPr>
                <w:color w:val="0D0D0D" w:themeColor="text1" w:themeTint="F2"/>
                <w:spacing w:val="-6"/>
                <w:lang w:val="en-GB"/>
              </w:rPr>
              <w:t>T</w:t>
            </w:r>
            <w:r w:rsidR="003369B0">
              <w:rPr>
                <w:color w:val="0D0D0D" w:themeColor="text1" w:themeTint="F2"/>
                <w:spacing w:val="-6"/>
                <w:lang w:val="en-GB"/>
              </w:rPr>
              <w:t xml:space="preserve">he building construction </w:t>
            </w:r>
            <w:r w:rsidR="00185FA4">
              <w:rPr>
                <w:color w:val="0D0D0D" w:themeColor="text1" w:themeTint="F2"/>
                <w:spacing w:val="-6"/>
                <w:lang w:val="en-GB"/>
              </w:rPr>
              <w:t>profited from</w:t>
            </w:r>
            <w:r w:rsidR="003369B0">
              <w:rPr>
                <w:color w:val="0D0D0D" w:themeColor="text1" w:themeTint="F2"/>
                <w:spacing w:val="-6"/>
                <w:lang w:val="en-GB"/>
              </w:rPr>
              <w:t xml:space="preserve"> the development of housing</w:t>
            </w:r>
            <w:r w:rsidRPr="00D160FB">
              <w:rPr>
                <w:color w:val="0D0D0D" w:themeColor="text1" w:themeTint="F2"/>
                <w:spacing w:val="-6"/>
                <w:lang w:val="en-GB"/>
              </w:rPr>
              <w:t xml:space="preserve"> construction. There were 13.9% more dwellings completed year-on-year last year. Their number (39.4 thousand) represented the second largest volume of construction in the history of the independent CR</w:t>
            </w:r>
            <w:r w:rsidRPr="00D160FB">
              <w:rPr>
                <w:rStyle w:val="Znakapoznpodarou"/>
                <w:color w:val="0D0D0D" w:themeColor="text1" w:themeTint="F2"/>
                <w:spacing w:val="-6"/>
                <w:lang w:val="en-GB"/>
              </w:rPr>
              <w:footnoteReference w:id="22"/>
            </w:r>
            <w:r w:rsidRPr="00D160FB">
              <w:rPr>
                <w:color w:val="0D0D0D" w:themeColor="text1" w:themeTint="F2"/>
                <w:spacing w:val="-6"/>
                <w:lang w:val="en-GB"/>
              </w:rPr>
              <w:t xml:space="preserve">. Units in the residential buildings formed two thirds of the last year increase, more flats were however created in all other construction categories. </w:t>
            </w:r>
            <w:r w:rsidR="003369B0">
              <w:rPr>
                <w:color w:val="0D0D0D" w:themeColor="text1" w:themeTint="F2"/>
                <w:spacing w:val="-6"/>
                <w:lang w:val="en-GB"/>
              </w:rPr>
              <w:t xml:space="preserve">Different situation was </w:t>
            </w:r>
            <w:r w:rsidR="003369B0" w:rsidRPr="003369B0">
              <w:rPr>
                <w:color w:val="0D0D0D" w:themeColor="text1" w:themeTint="F2"/>
                <w:spacing w:val="-6"/>
                <w:lang w:val="en-GB"/>
              </w:rPr>
              <w:t>in the area</w:t>
            </w:r>
            <w:r w:rsidR="003369B0">
              <w:rPr>
                <w:color w:val="0D0D0D" w:themeColor="text1" w:themeTint="F2"/>
                <w:spacing w:val="-6"/>
                <w:lang w:val="en-GB"/>
              </w:rPr>
              <w:t xml:space="preserve"> of </w:t>
            </w:r>
            <w:r w:rsidRPr="00D160FB">
              <w:rPr>
                <w:color w:val="0D0D0D" w:themeColor="text1" w:themeTint="F2"/>
                <w:spacing w:val="-6"/>
                <w:lang w:val="en-GB"/>
              </w:rPr>
              <w:t>commenced flats, whose number compared to the record construction form year 2021 (45 thousand) shrank by 6.1% last year, mainly due to the development in H2</w:t>
            </w:r>
            <w:r w:rsidR="003369B0">
              <w:rPr>
                <w:color w:val="0D0D0D" w:themeColor="text1" w:themeTint="F2"/>
                <w:spacing w:val="-6"/>
                <w:lang w:val="en-GB"/>
              </w:rPr>
              <w:t xml:space="preserve"> 2022</w:t>
            </w:r>
            <w:r w:rsidR="003369B0" w:rsidRPr="00D160FB">
              <w:rPr>
                <w:rStyle w:val="Znakapoznpodarou"/>
                <w:spacing w:val="-6"/>
                <w:lang w:val="en-GB"/>
              </w:rPr>
              <w:footnoteReference w:id="23"/>
            </w:r>
            <w:r w:rsidRPr="00D160FB">
              <w:rPr>
                <w:color w:val="0D0D0D" w:themeColor="text1" w:themeTint="F2"/>
                <w:spacing w:val="-6"/>
                <w:lang w:val="en-GB"/>
              </w:rPr>
              <w:t>. Weakening of the demand due to the perceptible cooling of the mortgage market, but also high and still growing costs of construction firms</w:t>
            </w:r>
            <w:r w:rsidRPr="00D160FB">
              <w:rPr>
                <w:spacing w:val="-6"/>
                <w:lang w:val="en-GB"/>
              </w:rPr>
              <w:t xml:space="preserve"> stood in the background. The civil engineering discipline, which consists of higher number of larger businesses </w:t>
            </w:r>
            <w:r w:rsidR="00836B5C">
              <w:rPr>
                <w:spacing w:val="-6"/>
                <w:lang w:val="en-GB"/>
              </w:rPr>
              <w:t>(</w:t>
            </w:r>
            <w:r w:rsidRPr="00D160FB">
              <w:rPr>
                <w:spacing w:val="-6"/>
                <w:lang w:val="en-GB"/>
              </w:rPr>
              <w:t>compared to the building construction area</w:t>
            </w:r>
            <w:r w:rsidR="00836B5C">
              <w:rPr>
                <w:spacing w:val="-6"/>
                <w:lang w:val="en-GB"/>
              </w:rPr>
              <w:t>)</w:t>
            </w:r>
            <w:r w:rsidRPr="00D160FB">
              <w:rPr>
                <w:spacing w:val="-6"/>
                <w:lang w:val="en-GB"/>
              </w:rPr>
              <w:t xml:space="preserve">, </w:t>
            </w:r>
            <w:r w:rsidR="00836B5C">
              <w:rPr>
                <w:spacing w:val="-6"/>
                <w:lang w:val="en-GB"/>
              </w:rPr>
              <w:t>could have profited from</w:t>
            </w:r>
            <w:r w:rsidRPr="00D160FB">
              <w:rPr>
                <w:spacing w:val="-6"/>
                <w:lang w:val="en-GB"/>
              </w:rPr>
              <w:t xml:space="preserve"> the solid pac</w:t>
            </w:r>
            <w:r w:rsidR="00836B5C">
              <w:rPr>
                <w:spacing w:val="-6"/>
                <w:lang w:val="en-GB"/>
              </w:rPr>
              <w:t>e of public expenditure</w:t>
            </w:r>
            <w:r w:rsidRPr="00D160FB">
              <w:rPr>
                <w:spacing w:val="-6"/>
                <w:lang w:val="en-GB"/>
              </w:rPr>
              <w:t xml:space="preserve"> in the area of transport infrastructure</w:t>
            </w:r>
            <w:r w:rsidR="00836B5C">
              <w:rPr>
                <w:spacing w:val="-6"/>
                <w:lang w:val="en-GB"/>
              </w:rPr>
              <w:t>,</w:t>
            </w:r>
            <w:r w:rsidRPr="00D160FB">
              <w:rPr>
                <w:spacing w:val="-6"/>
                <w:lang w:val="en-GB"/>
              </w:rPr>
              <w:t xml:space="preserve"> especially in the second half of the last year</w:t>
            </w:r>
            <w:r w:rsidRPr="00D160FB">
              <w:rPr>
                <w:rStyle w:val="Znakapoznpodarou"/>
                <w:spacing w:val="-6"/>
                <w:lang w:val="en-GB"/>
              </w:rPr>
              <w:footnoteReference w:id="24"/>
            </w:r>
            <w:r w:rsidRPr="00D160FB">
              <w:rPr>
                <w:spacing w:val="-6"/>
                <w:lang w:val="en-GB"/>
              </w:rPr>
              <w:t xml:space="preserve"> primarily linked to the drawing on European subsidies. </w:t>
            </w:r>
          </w:p>
        </w:tc>
      </w:tr>
      <w:tr w:rsidR="005279E0" w:rsidRPr="00D160FB" w14:paraId="3C46932B" w14:textId="77777777" w:rsidTr="00976631">
        <w:trPr>
          <w:trHeight w:val="170"/>
        </w:trPr>
        <w:tc>
          <w:tcPr>
            <w:tcW w:w="1780" w:type="dxa"/>
            <w:tcBorders>
              <w:top w:val="nil"/>
              <w:left w:val="nil"/>
              <w:bottom w:val="nil"/>
              <w:right w:val="nil"/>
            </w:tcBorders>
            <w:shd w:val="clear" w:color="auto" w:fill="auto"/>
            <w:tcMar>
              <w:left w:w="0" w:type="dxa"/>
            </w:tcMar>
          </w:tcPr>
          <w:p w14:paraId="4395A697" w14:textId="00D994C1" w:rsidR="005279E0" w:rsidRPr="00D160FB" w:rsidRDefault="005279E0" w:rsidP="005279E0">
            <w:pPr>
              <w:pStyle w:val="Marginlie"/>
              <w:rPr>
                <w:lang w:val="en-GB"/>
              </w:rPr>
            </w:pPr>
            <w:r w:rsidRPr="00D160FB">
              <w:rPr>
                <w:lang w:val="en-GB"/>
              </w:rPr>
              <w:t xml:space="preserve">Growth of the value of new construction orders as well as their total stock did not exceed the dynamics of the </w:t>
            </w:r>
            <w:r w:rsidRPr="00D160FB">
              <w:rPr>
                <w:lang w:val="en-GB"/>
              </w:rPr>
              <w:lastRenderedPageBreak/>
              <w:t xml:space="preserve">construction works last year. </w:t>
            </w:r>
          </w:p>
          <w:p w14:paraId="6C472654" w14:textId="77777777" w:rsidR="003D13A6" w:rsidRDefault="003D13A6" w:rsidP="005279E0">
            <w:pPr>
              <w:pStyle w:val="Marginlie"/>
              <w:rPr>
                <w:lang w:val="en-GB"/>
              </w:rPr>
            </w:pPr>
          </w:p>
          <w:p w14:paraId="45A70485" w14:textId="77777777" w:rsidR="003D13A6" w:rsidRDefault="003D13A6" w:rsidP="005279E0">
            <w:pPr>
              <w:pStyle w:val="Marginlie"/>
              <w:rPr>
                <w:lang w:val="en-GB"/>
              </w:rPr>
            </w:pPr>
          </w:p>
          <w:p w14:paraId="246690DA" w14:textId="77777777" w:rsidR="003D13A6" w:rsidRDefault="003D13A6" w:rsidP="005279E0">
            <w:pPr>
              <w:pStyle w:val="Marginlie"/>
              <w:rPr>
                <w:lang w:val="en-GB"/>
              </w:rPr>
            </w:pPr>
          </w:p>
          <w:p w14:paraId="04360ECD" w14:textId="77777777" w:rsidR="003D13A6" w:rsidRDefault="003D13A6" w:rsidP="005279E0">
            <w:pPr>
              <w:pStyle w:val="Marginlie"/>
              <w:rPr>
                <w:lang w:val="en-GB"/>
              </w:rPr>
            </w:pPr>
          </w:p>
          <w:p w14:paraId="096DCCF8" w14:textId="77777777" w:rsidR="003D13A6" w:rsidRDefault="003D13A6" w:rsidP="005279E0">
            <w:pPr>
              <w:pStyle w:val="Marginlie"/>
              <w:rPr>
                <w:lang w:val="en-GB"/>
              </w:rPr>
            </w:pPr>
          </w:p>
          <w:p w14:paraId="3E2A6BCE" w14:textId="77777777" w:rsidR="003D13A6" w:rsidRDefault="003D13A6" w:rsidP="005279E0">
            <w:pPr>
              <w:pStyle w:val="Marginlie"/>
              <w:rPr>
                <w:lang w:val="en-GB"/>
              </w:rPr>
            </w:pPr>
          </w:p>
          <w:p w14:paraId="0754A60F" w14:textId="77777777" w:rsidR="003D13A6" w:rsidRDefault="003D13A6" w:rsidP="005279E0">
            <w:pPr>
              <w:pStyle w:val="Marginlie"/>
              <w:rPr>
                <w:lang w:val="en-GB"/>
              </w:rPr>
            </w:pPr>
          </w:p>
          <w:p w14:paraId="0FA5CD23" w14:textId="77777777" w:rsidR="003D13A6" w:rsidRDefault="003D13A6" w:rsidP="005279E0">
            <w:pPr>
              <w:pStyle w:val="Marginlie"/>
              <w:rPr>
                <w:lang w:val="en-GB"/>
              </w:rPr>
            </w:pPr>
          </w:p>
          <w:p w14:paraId="17774A7E" w14:textId="59AAFC81" w:rsidR="005279E0" w:rsidRPr="00D160FB" w:rsidRDefault="005279E0" w:rsidP="005279E0">
            <w:pPr>
              <w:pStyle w:val="Marginlie"/>
              <w:rPr>
                <w:lang w:val="en-GB"/>
              </w:rPr>
            </w:pPr>
            <w:r w:rsidRPr="00D160FB">
              <w:rPr>
                <w:lang w:val="en-GB"/>
              </w:rPr>
              <w:t>Value of construction permits fell year-on-year in Q</w:t>
            </w:r>
            <w:r w:rsidR="00836B5C">
              <w:rPr>
                <w:lang w:val="en-GB"/>
              </w:rPr>
              <w:t>4 2022.</w:t>
            </w:r>
          </w:p>
          <w:p w14:paraId="56719020" w14:textId="77777777" w:rsidR="005279E0" w:rsidRPr="00D160FB" w:rsidRDefault="005279E0" w:rsidP="005279E0">
            <w:pPr>
              <w:pStyle w:val="Marginlie"/>
              <w:rPr>
                <w:spacing w:val="-4"/>
                <w:lang w:val="en-GB"/>
              </w:rPr>
            </w:pPr>
          </w:p>
        </w:tc>
        <w:tc>
          <w:tcPr>
            <w:tcW w:w="200" w:type="dxa"/>
            <w:tcBorders>
              <w:top w:val="nil"/>
              <w:left w:val="nil"/>
              <w:bottom w:val="nil"/>
              <w:right w:val="nil"/>
            </w:tcBorders>
            <w:shd w:val="clear" w:color="auto" w:fill="auto"/>
            <w:tcMar>
              <w:left w:w="0" w:type="dxa"/>
            </w:tcMar>
          </w:tcPr>
          <w:p w14:paraId="5DB2F8FC" w14:textId="77777777" w:rsidR="005279E0" w:rsidRPr="00D160FB" w:rsidRDefault="005279E0" w:rsidP="005279E0">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3606C1D3" w14:textId="5ACA3061" w:rsidR="005279E0" w:rsidRPr="00D160FB" w:rsidRDefault="00185FA4" w:rsidP="005279E0">
            <w:pPr>
              <w:spacing w:after="200"/>
              <w:rPr>
                <w:rFonts w:cs="Arial"/>
                <w:color w:val="0D0D0D" w:themeColor="text1" w:themeTint="F2"/>
                <w:spacing w:val="-6"/>
                <w:lang w:val="en-GB"/>
              </w:rPr>
            </w:pPr>
            <w:r>
              <w:rPr>
                <w:rFonts w:cs="Arial"/>
                <w:color w:val="0D0D0D" w:themeColor="text1" w:themeTint="F2"/>
                <w:spacing w:val="-6"/>
                <w:lang w:val="en-GB"/>
              </w:rPr>
              <w:t>T</w:t>
            </w:r>
            <w:r w:rsidR="005279E0" w:rsidRPr="00D160FB">
              <w:rPr>
                <w:rFonts w:cs="Arial"/>
                <w:color w:val="0D0D0D" w:themeColor="text1" w:themeTint="F2"/>
                <w:spacing w:val="-6"/>
                <w:lang w:val="en-GB"/>
              </w:rPr>
              <w:t xml:space="preserve">he year-on-year rate of growth </w:t>
            </w:r>
            <w:r>
              <w:rPr>
                <w:rFonts w:cs="Arial"/>
                <w:color w:val="0D0D0D" w:themeColor="text1" w:themeTint="F2"/>
                <w:spacing w:val="-6"/>
                <w:lang w:val="en-GB"/>
              </w:rPr>
              <w:t xml:space="preserve">of the nominal value of new </w:t>
            </w:r>
            <w:r w:rsidR="005279E0" w:rsidRPr="00D160FB">
              <w:rPr>
                <w:rFonts w:cs="Arial"/>
                <w:color w:val="0D0D0D" w:themeColor="text1" w:themeTint="F2"/>
                <w:spacing w:val="-6"/>
                <w:lang w:val="en-GB"/>
              </w:rPr>
              <w:t>l</w:t>
            </w:r>
            <w:r>
              <w:rPr>
                <w:rFonts w:cs="Arial"/>
                <w:color w:val="0D0D0D" w:themeColor="text1" w:themeTint="F2"/>
                <w:spacing w:val="-6"/>
                <w:lang w:val="en-GB"/>
              </w:rPr>
              <w:t>ocal</w:t>
            </w:r>
            <w:r w:rsidR="005279E0" w:rsidRPr="00D160FB">
              <w:rPr>
                <w:rFonts w:cs="Arial"/>
                <w:color w:val="0D0D0D" w:themeColor="text1" w:themeTint="F2"/>
                <w:spacing w:val="-6"/>
                <w:lang w:val="en-GB"/>
              </w:rPr>
              <w:t xml:space="preserve"> construction orders (in businesses with more than 50 employees) grew by double digit pace throughout the whole last year (by 13.0% in Q4</w:t>
            </w:r>
            <w:r>
              <w:rPr>
                <w:rFonts w:cs="Arial"/>
                <w:color w:val="0D0D0D" w:themeColor="text1" w:themeTint="F2"/>
                <w:spacing w:val="-6"/>
                <w:lang w:val="en-GB"/>
              </w:rPr>
              <w:t>). However,</w:t>
            </w:r>
            <w:r w:rsidR="005279E0" w:rsidRPr="00D160FB">
              <w:rPr>
                <w:rFonts w:cs="Arial"/>
                <w:color w:val="0D0D0D" w:themeColor="text1" w:themeTint="F2"/>
                <w:spacing w:val="-6"/>
                <w:lang w:val="en-GB"/>
              </w:rPr>
              <w:t xml:space="preserve"> when considering the growth of the price of construction works</w:t>
            </w:r>
            <w:r w:rsidR="005279E0" w:rsidRPr="00D160FB">
              <w:rPr>
                <w:rStyle w:val="Znakapoznpodarou"/>
                <w:color w:val="0D0D0D" w:themeColor="text1" w:themeTint="F2"/>
                <w:spacing w:val="-6"/>
                <w:lang w:val="en-GB"/>
              </w:rPr>
              <w:footnoteReference w:id="25"/>
            </w:r>
            <w:r>
              <w:rPr>
                <w:rFonts w:cs="Arial"/>
                <w:color w:val="0D0D0D" w:themeColor="text1" w:themeTint="F2"/>
                <w:spacing w:val="-6"/>
                <w:lang w:val="en-GB"/>
              </w:rPr>
              <w:t>,</w:t>
            </w:r>
            <w:r w:rsidR="005279E0" w:rsidRPr="00D160FB">
              <w:rPr>
                <w:rFonts w:cs="Arial"/>
                <w:color w:val="0D0D0D" w:themeColor="text1" w:themeTint="F2"/>
                <w:spacing w:val="-6"/>
                <w:lang w:val="en-GB"/>
              </w:rPr>
              <w:t xml:space="preserve"> it can be more assessed as stagnation of the real construction demand </w:t>
            </w:r>
            <w:r>
              <w:rPr>
                <w:rFonts w:cs="Arial"/>
                <w:color w:val="0D0D0D" w:themeColor="text1" w:themeTint="F2"/>
                <w:spacing w:val="-6"/>
                <w:lang w:val="en-GB"/>
              </w:rPr>
              <w:t xml:space="preserve">in the CR </w:t>
            </w:r>
            <w:r w:rsidR="005279E0" w:rsidRPr="00D160FB">
              <w:rPr>
                <w:rFonts w:cs="Arial"/>
                <w:color w:val="0D0D0D" w:themeColor="text1" w:themeTint="F2"/>
                <w:spacing w:val="-6"/>
                <w:lang w:val="en-GB"/>
              </w:rPr>
              <w:t xml:space="preserve">(this </w:t>
            </w:r>
            <w:r w:rsidR="005279E0" w:rsidRPr="00D160FB">
              <w:rPr>
                <w:rFonts w:cs="Arial"/>
                <w:color w:val="0D0D0D" w:themeColor="text1" w:themeTint="F2"/>
                <w:spacing w:val="-6"/>
                <w:lang w:val="en-GB"/>
              </w:rPr>
              <w:lastRenderedPageBreak/>
              <w:t>is also supported by the fact, that the number of new orders did not change compared to year 2021). Demand in the segment of the civil engineering construction gives a more positive impression (the value of new orders went up by nearly one fifth here year-on-year in Q4 2022). Total stock of work (in the form of value of the orders to be realised</w:t>
            </w:r>
            <w:r w:rsidR="005279E0" w:rsidRPr="00D160FB">
              <w:rPr>
                <w:rFonts w:cs="Arial"/>
                <w:color w:val="0D0D0D" w:themeColor="text1" w:themeTint="F2"/>
                <w:spacing w:val="-4"/>
                <w:lang w:val="en-GB"/>
              </w:rPr>
              <w:t>) was by 8.6% higher year-on-year last year at the end of December</w:t>
            </w:r>
            <w:r>
              <w:rPr>
                <w:rFonts w:cs="Arial"/>
                <w:color w:val="0D0D0D" w:themeColor="text1" w:themeTint="F2"/>
                <w:spacing w:val="-4"/>
                <w:lang w:val="en-GB"/>
              </w:rPr>
              <w:t xml:space="preserve"> 2022</w:t>
            </w:r>
            <w:r w:rsidR="005279E0" w:rsidRPr="00D160FB">
              <w:rPr>
                <w:rFonts w:cs="Arial"/>
                <w:color w:val="0D0D0D" w:themeColor="text1" w:themeTint="F2"/>
                <w:spacing w:val="-4"/>
                <w:lang w:val="en-GB"/>
              </w:rPr>
              <w:t>, for the most part however thanks to the public investors locally (they covered over 60% of all stock of orders in the portfolio of the construction firms). The stock of private orders was only by 2.4% higher in the CR year-on-year (after taking into account the prices, it can thus be talked about the decrease of the demand from this segment of the economy). Indications regarding the cooling of demand were apparent also for the granted building permits, which signal investment activity in the medium-term horizon. Their approximate value slightly decreased last year in Q4 (by 1.3% year-on-year). Except for the transportation structures (for both construction and reconstruction) all more important categories of structures experienced a decline</w:t>
            </w:r>
            <w:r w:rsidR="005279E0" w:rsidRPr="00D160FB">
              <w:rPr>
                <w:rStyle w:val="Znakapoznpodarou"/>
                <w:color w:val="0D0D0D" w:themeColor="text1" w:themeTint="F2"/>
                <w:spacing w:val="-4"/>
                <w:lang w:val="en-GB"/>
              </w:rPr>
              <w:footnoteReference w:id="26"/>
            </w:r>
            <w:r w:rsidR="005279E0" w:rsidRPr="00D160FB">
              <w:rPr>
                <w:rFonts w:cs="Arial"/>
                <w:color w:val="0D0D0D" w:themeColor="text1" w:themeTint="F2"/>
                <w:spacing w:val="-4"/>
                <w:lang w:val="en-GB"/>
              </w:rPr>
              <w:t>.</w:t>
            </w:r>
          </w:p>
        </w:tc>
      </w:tr>
      <w:tr w:rsidR="005279E0" w:rsidRPr="00D160FB" w14:paraId="324B9C56" w14:textId="77777777" w:rsidTr="00976631">
        <w:trPr>
          <w:trHeight w:val="170"/>
        </w:trPr>
        <w:tc>
          <w:tcPr>
            <w:tcW w:w="1780" w:type="dxa"/>
            <w:vMerge w:val="restart"/>
            <w:tcBorders>
              <w:top w:val="nil"/>
              <w:left w:val="nil"/>
              <w:bottom w:val="nil"/>
              <w:right w:val="nil"/>
            </w:tcBorders>
            <w:shd w:val="clear" w:color="auto" w:fill="auto"/>
            <w:tcMar>
              <w:left w:w="0" w:type="dxa"/>
            </w:tcMar>
          </w:tcPr>
          <w:p w14:paraId="6A192031" w14:textId="77777777" w:rsidR="005279E0" w:rsidRPr="00D160FB" w:rsidRDefault="005279E0" w:rsidP="005279E0">
            <w:pPr>
              <w:pStyle w:val="Marginlie"/>
              <w:rPr>
                <w:lang w:val="en-GB"/>
              </w:rPr>
            </w:pPr>
          </w:p>
        </w:tc>
        <w:tc>
          <w:tcPr>
            <w:tcW w:w="200" w:type="dxa"/>
            <w:vMerge w:val="restart"/>
            <w:tcBorders>
              <w:top w:val="nil"/>
              <w:left w:val="nil"/>
              <w:bottom w:val="nil"/>
              <w:right w:val="nil"/>
            </w:tcBorders>
            <w:shd w:val="clear" w:color="auto" w:fill="auto"/>
            <w:tcMar>
              <w:left w:w="0" w:type="dxa"/>
            </w:tcMar>
          </w:tcPr>
          <w:p w14:paraId="60F4E0EC" w14:textId="77777777" w:rsidR="005279E0" w:rsidRPr="00D160FB" w:rsidRDefault="005279E0" w:rsidP="005279E0">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2D65B7DE" w14:textId="6D735A71" w:rsidR="005279E0" w:rsidRPr="00D160FB" w:rsidRDefault="005279E0" w:rsidP="005279E0">
            <w:pPr>
              <w:spacing w:after="20"/>
              <w:rPr>
                <w:rFonts w:cs="Arial"/>
                <w:bCs/>
                <w:lang w:val="en-GB"/>
              </w:rPr>
            </w:pPr>
            <w:r w:rsidRPr="00D160FB">
              <w:rPr>
                <w:b/>
                <w:spacing w:val="-5"/>
                <w:lang w:val="en-GB"/>
              </w:rPr>
              <w:t xml:space="preserve">Chart 6 </w:t>
            </w:r>
            <w:r w:rsidRPr="00D160FB">
              <w:rPr>
                <w:b/>
                <w:spacing w:val="-4"/>
                <w:lang w:val="en-GB"/>
              </w:rPr>
              <w:t xml:space="preserve">Contributions of sub-branches to year-on-year change of the total construction output </w:t>
            </w:r>
            <w:r w:rsidRPr="00D160FB">
              <w:rPr>
                <w:spacing w:val="-4"/>
                <w:lang w:val="en-GB"/>
              </w:rPr>
              <w:t>(real, in p.p.)</w:t>
            </w:r>
            <w:r w:rsidRPr="00D160FB">
              <w:rPr>
                <w:b/>
                <w:bCs/>
                <w:spacing w:val="-4"/>
                <w:lang w:val="en-GB"/>
              </w:rPr>
              <w:t>, new construction orders</w:t>
            </w:r>
            <w:r w:rsidRPr="00D160FB">
              <w:rPr>
                <w:b/>
                <w:spacing w:val="-4"/>
                <w:lang w:val="en-GB"/>
              </w:rPr>
              <w:t xml:space="preserve"> </w:t>
            </w:r>
            <w:r w:rsidRPr="00D160FB">
              <w:rPr>
                <w:bCs/>
                <w:spacing w:val="-4"/>
                <w:lang w:val="en-GB"/>
              </w:rPr>
              <w:t>(nominal, year-on-year in %)</w:t>
            </w:r>
            <w:r w:rsidRPr="00D160FB">
              <w:rPr>
                <w:b/>
                <w:spacing w:val="-4"/>
                <w:lang w:val="en-GB"/>
              </w:rPr>
              <w:t>, balance of business confidence indicator in construction*</w:t>
            </w:r>
            <w:r w:rsidRPr="00D160FB">
              <w:rPr>
                <w:spacing w:val="-4"/>
                <w:lang w:val="en-GB"/>
              </w:rPr>
              <w:t xml:space="preserve"> (in p.p., right axis) </w:t>
            </w:r>
            <w:r w:rsidRPr="00D160FB">
              <w:rPr>
                <w:b/>
                <w:spacing w:val="-4"/>
                <w:lang w:val="en-GB"/>
              </w:rPr>
              <w:t>and selected barriers to growth</w:t>
            </w:r>
            <w:r w:rsidRPr="00D160FB">
              <w:rPr>
                <w:spacing w:val="-4"/>
                <w:lang w:val="en-GB"/>
              </w:rPr>
              <w:t>* (in %, right axis)</w:t>
            </w:r>
          </w:p>
        </w:tc>
      </w:tr>
      <w:tr w:rsidR="005279E0" w:rsidRPr="00D160FB" w14:paraId="3CCDE0EC" w14:textId="77777777" w:rsidTr="00976631">
        <w:tblPrEx>
          <w:tblCellMar>
            <w:left w:w="70" w:type="dxa"/>
            <w:right w:w="70" w:type="dxa"/>
          </w:tblCellMar>
        </w:tblPrEx>
        <w:trPr>
          <w:trHeight w:val="170"/>
        </w:trPr>
        <w:tc>
          <w:tcPr>
            <w:tcW w:w="1780" w:type="dxa"/>
            <w:vMerge/>
            <w:tcBorders>
              <w:top w:val="nil"/>
              <w:left w:val="nil"/>
              <w:bottom w:val="nil"/>
              <w:right w:val="nil"/>
            </w:tcBorders>
            <w:shd w:val="clear" w:color="auto" w:fill="auto"/>
          </w:tcPr>
          <w:p w14:paraId="19B95D2C" w14:textId="77777777" w:rsidR="005279E0" w:rsidRPr="00D160FB" w:rsidRDefault="005279E0" w:rsidP="005279E0">
            <w:pPr>
              <w:pStyle w:val="Marginlie"/>
              <w:rPr>
                <w:lang w:val="en-GB"/>
              </w:rPr>
            </w:pPr>
          </w:p>
        </w:tc>
        <w:tc>
          <w:tcPr>
            <w:tcW w:w="200" w:type="dxa"/>
            <w:vMerge/>
            <w:tcBorders>
              <w:top w:val="nil"/>
              <w:left w:val="nil"/>
              <w:bottom w:val="nil"/>
              <w:right w:val="nil"/>
            </w:tcBorders>
            <w:shd w:val="clear" w:color="auto" w:fill="auto"/>
          </w:tcPr>
          <w:p w14:paraId="773810DC" w14:textId="77777777" w:rsidR="005279E0" w:rsidRPr="00D160FB" w:rsidRDefault="005279E0" w:rsidP="005279E0">
            <w:pPr>
              <w:pStyle w:val="Textpoznpodarou"/>
              <w:jc w:val="both"/>
              <w:rPr>
                <w:spacing w:val="-4"/>
                <w:lang w:val="en-GB"/>
              </w:rPr>
            </w:pPr>
          </w:p>
        </w:tc>
        <w:tc>
          <w:tcPr>
            <w:tcW w:w="7730" w:type="dxa"/>
            <w:tcBorders>
              <w:top w:val="nil"/>
              <w:left w:val="nil"/>
              <w:bottom w:val="nil"/>
              <w:right w:val="nil"/>
            </w:tcBorders>
            <w:shd w:val="clear" w:color="auto" w:fill="auto"/>
          </w:tcPr>
          <w:p w14:paraId="3CEBCABF" w14:textId="1907FC7F" w:rsidR="005279E0" w:rsidRPr="00D160FB" w:rsidRDefault="005279E0" w:rsidP="005279E0">
            <w:pPr>
              <w:spacing w:after="40"/>
              <w:rPr>
                <w:spacing w:val="-6"/>
                <w:lang w:val="en-GB"/>
              </w:rPr>
            </w:pPr>
            <w:r>
              <w:rPr>
                <w:noProof/>
              </w:rPr>
              <w:drawing>
                <wp:inline distT="0" distB="0" distL="0" distR="0" wp14:anchorId="626E4D88" wp14:editId="6C10AF98">
                  <wp:extent cx="4681982" cy="3598018"/>
                  <wp:effectExtent l="0" t="0" r="4445" b="254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5279E0" w:rsidRPr="00D160FB" w14:paraId="0EB65E98" w14:textId="77777777" w:rsidTr="00976631">
        <w:trPr>
          <w:trHeight w:val="170"/>
        </w:trPr>
        <w:tc>
          <w:tcPr>
            <w:tcW w:w="1780" w:type="dxa"/>
            <w:vMerge/>
            <w:tcBorders>
              <w:top w:val="nil"/>
              <w:left w:val="nil"/>
              <w:bottom w:val="nil"/>
              <w:right w:val="nil"/>
            </w:tcBorders>
            <w:shd w:val="clear" w:color="auto" w:fill="auto"/>
            <w:tcMar>
              <w:left w:w="0" w:type="dxa"/>
            </w:tcMar>
          </w:tcPr>
          <w:p w14:paraId="413A87EA" w14:textId="77777777" w:rsidR="005279E0" w:rsidRPr="00D160FB" w:rsidRDefault="005279E0" w:rsidP="005279E0">
            <w:pPr>
              <w:pStyle w:val="Marginlie"/>
              <w:rPr>
                <w:lang w:val="en-GB"/>
              </w:rPr>
            </w:pPr>
          </w:p>
        </w:tc>
        <w:tc>
          <w:tcPr>
            <w:tcW w:w="200" w:type="dxa"/>
            <w:vMerge/>
            <w:tcBorders>
              <w:top w:val="nil"/>
              <w:left w:val="nil"/>
              <w:bottom w:val="nil"/>
              <w:right w:val="nil"/>
            </w:tcBorders>
            <w:shd w:val="clear" w:color="auto" w:fill="auto"/>
            <w:tcMar>
              <w:left w:w="0" w:type="dxa"/>
            </w:tcMar>
          </w:tcPr>
          <w:p w14:paraId="7D7CEF1A" w14:textId="77777777" w:rsidR="005279E0" w:rsidRPr="00D160FB" w:rsidRDefault="005279E0" w:rsidP="005279E0">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1096596A" w14:textId="77777777" w:rsidR="005279E0" w:rsidRPr="00612A85" w:rsidRDefault="005279E0" w:rsidP="005279E0">
            <w:pPr>
              <w:spacing w:after="0"/>
              <w:rPr>
                <w:rFonts w:cs="Arial"/>
                <w:sz w:val="14"/>
                <w:szCs w:val="14"/>
                <w:lang w:val="en-GB"/>
              </w:rPr>
            </w:pPr>
            <w:r w:rsidRPr="00612A85">
              <w:rPr>
                <w:rFonts w:cs="Arial"/>
                <w:sz w:val="14"/>
                <w:szCs w:val="14"/>
                <w:lang w:val="en-GB"/>
              </w:rPr>
              <w:t>Note: Data related to construction output are adjusted for calendar effects.</w:t>
            </w:r>
          </w:p>
          <w:p w14:paraId="5FE588D2" w14:textId="295135C2" w:rsidR="005279E0" w:rsidRPr="00612A85" w:rsidRDefault="005279E0" w:rsidP="005279E0">
            <w:pPr>
              <w:spacing w:after="0"/>
              <w:jc w:val="left"/>
              <w:rPr>
                <w:rFonts w:cs="Arial"/>
                <w:sz w:val="14"/>
                <w:szCs w:val="14"/>
                <w:lang w:val="en-GB"/>
              </w:rPr>
            </w:pPr>
            <w:r w:rsidRPr="00612A85">
              <w:rPr>
                <w:rFonts w:cs="Arial"/>
                <w:sz w:val="14"/>
                <w:szCs w:val="14"/>
                <w:lang w:val="en-GB"/>
              </w:rPr>
              <w:t>* Balance of business confidence as well as barriers to growth are seasonally adjusted and express the level in the second month of the given quarter. Businesses could have indicated more main barriers simultaneously.                                                                                  Source: CZSO, Eurostat</w:t>
            </w:r>
          </w:p>
          <w:p w14:paraId="03988F19" w14:textId="24E77E50" w:rsidR="005279E0" w:rsidRPr="00612A85" w:rsidRDefault="005279E0" w:rsidP="005279E0">
            <w:pPr>
              <w:pStyle w:val="Textpoznpodarou"/>
              <w:rPr>
                <w:sz w:val="14"/>
                <w:szCs w:val="14"/>
                <w:lang w:val="en-GB"/>
              </w:rPr>
            </w:pPr>
          </w:p>
        </w:tc>
      </w:tr>
      <w:tr w:rsidR="005279E0" w:rsidRPr="00D160FB" w14:paraId="420EB13C" w14:textId="77777777" w:rsidTr="00976631">
        <w:trPr>
          <w:trHeight w:val="170"/>
        </w:trPr>
        <w:tc>
          <w:tcPr>
            <w:tcW w:w="1780" w:type="dxa"/>
            <w:tcBorders>
              <w:top w:val="nil"/>
              <w:left w:val="nil"/>
              <w:bottom w:val="nil"/>
              <w:right w:val="nil"/>
            </w:tcBorders>
            <w:shd w:val="clear" w:color="auto" w:fill="auto"/>
            <w:tcMar>
              <w:left w:w="0" w:type="dxa"/>
            </w:tcMar>
          </w:tcPr>
          <w:p w14:paraId="05579CA7" w14:textId="789E9123" w:rsidR="005279E0" w:rsidRPr="00D160FB" w:rsidRDefault="005279E0" w:rsidP="005279E0">
            <w:pPr>
              <w:pStyle w:val="Marginlie"/>
              <w:rPr>
                <w:spacing w:val="-4"/>
                <w:lang w:val="en-GB"/>
              </w:rPr>
            </w:pPr>
            <w:r w:rsidRPr="00D160FB">
              <w:rPr>
                <w:spacing w:val="-4"/>
                <w:lang w:val="en-GB"/>
              </w:rPr>
              <w:t xml:space="preserve">Business confidence in construction was deteriorating since the last year\s Spring. Negative expectations were also apparent in the </w:t>
            </w:r>
            <w:r w:rsidRPr="00D160FB">
              <w:rPr>
                <w:spacing w:val="-4"/>
                <w:lang w:val="en-GB"/>
              </w:rPr>
              <w:lastRenderedPageBreak/>
              <w:t>outlook to the whole H1 2023.</w:t>
            </w:r>
          </w:p>
          <w:p w14:paraId="0D216553" w14:textId="77777777" w:rsidR="005279E0" w:rsidRPr="00D160FB" w:rsidRDefault="005279E0" w:rsidP="005279E0">
            <w:pPr>
              <w:pStyle w:val="Marginlie"/>
              <w:rPr>
                <w:lang w:val="en-GB"/>
              </w:rPr>
            </w:pPr>
          </w:p>
          <w:p w14:paraId="5538CC89" w14:textId="77777777" w:rsidR="005279E0" w:rsidRPr="00D160FB" w:rsidRDefault="005279E0" w:rsidP="005279E0">
            <w:pPr>
              <w:pStyle w:val="Marginlie"/>
              <w:rPr>
                <w:lang w:val="en-GB"/>
              </w:rPr>
            </w:pPr>
          </w:p>
          <w:p w14:paraId="7F0B8420" w14:textId="77777777" w:rsidR="005279E0" w:rsidRPr="00D160FB" w:rsidRDefault="005279E0" w:rsidP="005279E0">
            <w:pPr>
              <w:pStyle w:val="Marginlie"/>
              <w:rPr>
                <w:lang w:val="en-GB"/>
              </w:rPr>
            </w:pPr>
            <w:r w:rsidRPr="00D160FB">
              <w:rPr>
                <w:lang w:val="en-GB"/>
              </w:rPr>
              <w:t xml:space="preserve"> </w:t>
            </w:r>
          </w:p>
        </w:tc>
        <w:tc>
          <w:tcPr>
            <w:tcW w:w="200" w:type="dxa"/>
            <w:tcBorders>
              <w:top w:val="nil"/>
              <w:left w:val="nil"/>
              <w:bottom w:val="nil"/>
              <w:right w:val="nil"/>
            </w:tcBorders>
            <w:shd w:val="clear" w:color="auto" w:fill="auto"/>
            <w:tcMar>
              <w:left w:w="0" w:type="dxa"/>
            </w:tcMar>
          </w:tcPr>
          <w:p w14:paraId="77D8B017" w14:textId="77777777" w:rsidR="005279E0" w:rsidRPr="00D160FB" w:rsidRDefault="005279E0" w:rsidP="005279E0">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4EE854EC" w14:textId="1DEF5539" w:rsidR="005279E0" w:rsidRPr="00D160FB" w:rsidRDefault="005279E0" w:rsidP="005279E0">
            <w:pPr>
              <w:spacing w:after="200"/>
              <w:rPr>
                <w:rFonts w:cs="Arial"/>
                <w:color w:val="0D0D0D" w:themeColor="text1" w:themeTint="F2"/>
                <w:spacing w:val="-6"/>
                <w:lang w:val="en-GB"/>
              </w:rPr>
            </w:pPr>
            <w:r w:rsidRPr="00D160FB">
              <w:rPr>
                <w:rFonts w:cs="Arial"/>
                <w:color w:val="0D0D0D" w:themeColor="text1" w:themeTint="F2"/>
                <w:spacing w:val="-6"/>
                <w:lang w:val="en-GB"/>
              </w:rPr>
              <w:t xml:space="preserve">Positive results of construction supported the optimism of businesses in this branch at the beginning of the last year and the February balance of confidence indicator thus balanced out with the absolute maximum (from January 2019). The economic </w:t>
            </w:r>
            <w:r w:rsidR="00612A85">
              <w:rPr>
                <w:rFonts w:cs="Arial"/>
                <w:color w:val="0D0D0D" w:themeColor="text1" w:themeTint="F2"/>
                <w:spacing w:val="-6"/>
                <w:lang w:val="en-GB"/>
              </w:rPr>
              <w:t>sentiment in construction</w:t>
            </w:r>
            <w:r w:rsidRPr="00D160FB">
              <w:rPr>
                <w:rFonts w:cs="Arial"/>
                <w:color w:val="0D0D0D" w:themeColor="text1" w:themeTint="F2"/>
                <w:spacing w:val="-6"/>
                <w:lang w:val="en-GB"/>
              </w:rPr>
              <w:t xml:space="preserve"> however wor</w:t>
            </w:r>
            <w:r w:rsidR="00612A85">
              <w:rPr>
                <w:rFonts w:cs="Arial"/>
                <w:color w:val="0D0D0D" w:themeColor="text1" w:themeTint="F2"/>
                <w:spacing w:val="-6"/>
                <w:lang w:val="en-GB"/>
              </w:rPr>
              <w:t>sened later on, especially</w:t>
            </w:r>
            <w:r w:rsidRPr="00D160FB">
              <w:rPr>
                <w:rFonts w:cs="Arial"/>
                <w:color w:val="0D0D0D" w:themeColor="text1" w:themeTint="F2"/>
                <w:spacing w:val="-6"/>
                <w:lang w:val="en-GB"/>
              </w:rPr>
              <w:t xml:space="preserve"> at the turn of years 2022 and 2023, when it slid the lowest in the last two and a half years (it was</w:t>
            </w:r>
            <w:r w:rsidR="00612A85">
              <w:rPr>
                <w:rFonts w:cs="Arial"/>
                <w:color w:val="0D0D0D" w:themeColor="text1" w:themeTint="F2"/>
                <w:spacing w:val="-6"/>
                <w:lang w:val="en-GB"/>
              </w:rPr>
              <w:t>,</w:t>
            </w:r>
            <w:r w:rsidRPr="00D160FB">
              <w:rPr>
                <w:rFonts w:cs="Arial"/>
                <w:color w:val="0D0D0D" w:themeColor="text1" w:themeTint="F2"/>
                <w:spacing w:val="-6"/>
                <w:lang w:val="en-GB"/>
              </w:rPr>
              <w:t xml:space="preserve"> however still placed above the long-time average). </w:t>
            </w:r>
            <w:r w:rsidRPr="00E64D6C">
              <w:rPr>
                <w:rFonts w:cs="Arial"/>
                <w:color w:val="0D0D0D" w:themeColor="text1" w:themeTint="F2"/>
                <w:spacing w:val="-4"/>
                <w:lang w:val="en-GB"/>
              </w:rPr>
              <w:lastRenderedPageBreak/>
              <w:t xml:space="preserve">The fast growing cost pressures showed in the negative assessment of the current as well as expected demand, employment outlooks or future economic situation of businesses (pessimism persists here </w:t>
            </w:r>
            <w:r w:rsidR="00E53B5C" w:rsidRPr="00E64D6C">
              <w:rPr>
                <w:rFonts w:cs="Arial"/>
                <w:color w:val="0D0D0D" w:themeColor="text1" w:themeTint="F2"/>
                <w:spacing w:val="-4"/>
                <w:lang w:val="en-GB"/>
              </w:rPr>
              <w:t xml:space="preserve">- </w:t>
            </w:r>
            <w:r w:rsidRPr="00E64D6C">
              <w:rPr>
                <w:rFonts w:cs="Arial"/>
                <w:color w:val="0D0D0D" w:themeColor="text1" w:themeTint="F2"/>
                <w:spacing w:val="-4"/>
                <w:lang w:val="en-GB"/>
              </w:rPr>
              <w:t xml:space="preserve">in contrast to the industrial businesses </w:t>
            </w:r>
            <w:r w:rsidR="00E53B5C" w:rsidRPr="00E64D6C">
              <w:rPr>
                <w:rFonts w:cs="Arial"/>
                <w:color w:val="0D0D0D" w:themeColor="text1" w:themeTint="F2"/>
                <w:spacing w:val="-4"/>
                <w:lang w:val="en-GB"/>
              </w:rPr>
              <w:t xml:space="preserve">- </w:t>
            </w:r>
            <w:r w:rsidRPr="00E64D6C">
              <w:rPr>
                <w:rFonts w:cs="Arial"/>
                <w:color w:val="0D0D0D" w:themeColor="text1" w:themeTint="F2"/>
                <w:spacing w:val="-4"/>
                <w:lang w:val="en-GB"/>
              </w:rPr>
              <w:t>also in the</w:t>
            </w:r>
            <w:r w:rsidR="00E53B5C" w:rsidRPr="00E64D6C">
              <w:rPr>
                <w:rFonts w:cs="Arial"/>
                <w:color w:val="0D0D0D" w:themeColor="text1" w:themeTint="F2"/>
                <w:spacing w:val="-4"/>
                <w:lang w:val="en-GB"/>
              </w:rPr>
              <w:t xml:space="preserve"> outlook to the whole H1 2023</w:t>
            </w:r>
            <w:r w:rsidRPr="00E64D6C">
              <w:rPr>
                <w:rFonts w:cs="Arial"/>
                <w:color w:val="0D0D0D" w:themeColor="text1" w:themeTint="F2"/>
                <w:spacing w:val="-4"/>
                <w:lang w:val="en-GB"/>
              </w:rPr>
              <w:t>). In spite of the role of inadequate demand as a barrier to growth for the construction firms notably expanded at the beginning of this year (</w:t>
            </w:r>
            <w:r w:rsidR="00E53B5C" w:rsidRPr="00E64D6C">
              <w:rPr>
                <w:rFonts w:cs="Arial"/>
                <w:color w:val="0D0D0D" w:themeColor="text1" w:themeTint="F2"/>
                <w:spacing w:val="-4"/>
                <w:lang w:val="en-GB"/>
              </w:rPr>
              <w:t>in</w:t>
            </w:r>
            <w:r w:rsidRPr="00E64D6C">
              <w:rPr>
                <w:rFonts w:cs="Arial"/>
                <w:color w:val="0D0D0D" w:themeColor="text1" w:themeTint="F2"/>
                <w:spacing w:val="-4"/>
                <w:lang w:val="en-GB"/>
              </w:rPr>
              <w:t xml:space="preserve"> February </w:t>
            </w:r>
            <w:r w:rsidR="00E53B5C" w:rsidRPr="00E64D6C">
              <w:rPr>
                <w:rFonts w:cs="Arial"/>
                <w:color w:val="0D0D0D" w:themeColor="text1" w:themeTint="F2"/>
                <w:spacing w:val="-4"/>
                <w:lang w:val="en-GB"/>
              </w:rPr>
              <w:t xml:space="preserve">2022 to </w:t>
            </w:r>
            <w:r w:rsidRPr="00E64D6C">
              <w:rPr>
                <w:rFonts w:cs="Arial"/>
                <w:color w:val="0D0D0D" w:themeColor="text1" w:themeTint="F2"/>
                <w:spacing w:val="-4"/>
                <w:lang w:val="en-GB"/>
              </w:rPr>
              <w:t>32%, the most since May 2021), key restriction still lies in the shortage of the labour force (for 40% of businesses)</w:t>
            </w:r>
            <w:r w:rsidRPr="00E64D6C">
              <w:rPr>
                <w:rStyle w:val="Znakapoznpodarou"/>
                <w:color w:val="0D0D0D" w:themeColor="text1" w:themeTint="F2"/>
                <w:spacing w:val="-4"/>
                <w:lang w:val="en-GB"/>
              </w:rPr>
              <w:footnoteReference w:id="27"/>
            </w:r>
            <w:r w:rsidRPr="00E64D6C">
              <w:rPr>
                <w:rFonts w:cs="Arial"/>
                <w:color w:val="0D0D0D" w:themeColor="text1" w:themeTint="F2"/>
                <w:spacing w:val="-4"/>
                <w:lang w:val="en-GB"/>
              </w:rPr>
              <w:t>.</w:t>
            </w:r>
          </w:p>
        </w:tc>
      </w:tr>
      <w:tr w:rsidR="005279E0" w:rsidRPr="00D160FB" w14:paraId="6CFF7DF0" w14:textId="77777777" w:rsidTr="00976631">
        <w:trPr>
          <w:trHeight w:val="170"/>
        </w:trPr>
        <w:tc>
          <w:tcPr>
            <w:tcW w:w="1780" w:type="dxa"/>
            <w:tcBorders>
              <w:top w:val="nil"/>
              <w:left w:val="nil"/>
              <w:bottom w:val="nil"/>
              <w:right w:val="nil"/>
            </w:tcBorders>
            <w:shd w:val="clear" w:color="auto" w:fill="auto"/>
            <w:tcMar>
              <w:left w:w="0" w:type="dxa"/>
            </w:tcMar>
          </w:tcPr>
          <w:p w14:paraId="48B219EC" w14:textId="56F7A9D4" w:rsidR="005279E0" w:rsidRPr="00D160FB" w:rsidRDefault="005279E0" w:rsidP="005279E0">
            <w:pPr>
              <w:pStyle w:val="Marginlie"/>
              <w:rPr>
                <w:color w:val="0D0D0D" w:themeColor="text1" w:themeTint="F2"/>
                <w:lang w:val="en-GB"/>
              </w:rPr>
            </w:pPr>
            <w:r w:rsidRPr="00D160FB">
              <w:rPr>
                <w:color w:val="0D0D0D" w:themeColor="text1" w:themeTint="F2"/>
                <w:lang w:val="en-GB"/>
              </w:rPr>
              <w:lastRenderedPageBreak/>
              <w:t xml:space="preserve">Sales in services grew quarter-on-quarter only in the first half of the last year. Later they were influenced by the falling demand on the part of both households and businesses.  </w:t>
            </w:r>
          </w:p>
        </w:tc>
        <w:tc>
          <w:tcPr>
            <w:tcW w:w="200" w:type="dxa"/>
            <w:tcBorders>
              <w:top w:val="nil"/>
              <w:left w:val="nil"/>
              <w:bottom w:val="nil"/>
              <w:right w:val="nil"/>
            </w:tcBorders>
            <w:shd w:val="clear" w:color="auto" w:fill="auto"/>
            <w:tcMar>
              <w:left w:w="0" w:type="dxa"/>
            </w:tcMar>
          </w:tcPr>
          <w:p w14:paraId="73994561" w14:textId="77777777" w:rsidR="005279E0" w:rsidRPr="00D160FB" w:rsidRDefault="005279E0" w:rsidP="005279E0">
            <w:pPr>
              <w:pStyle w:val="Textpoznpodarou"/>
              <w:jc w:val="both"/>
              <w:rPr>
                <w:color w:val="0D0D0D" w:themeColor="text1" w:themeTint="F2"/>
                <w:spacing w:val="-5"/>
                <w:lang w:val="en-GB"/>
              </w:rPr>
            </w:pPr>
          </w:p>
        </w:tc>
        <w:tc>
          <w:tcPr>
            <w:tcW w:w="7730" w:type="dxa"/>
            <w:tcBorders>
              <w:top w:val="nil"/>
              <w:left w:val="nil"/>
              <w:bottom w:val="nil"/>
              <w:right w:val="nil"/>
            </w:tcBorders>
            <w:shd w:val="clear" w:color="auto" w:fill="auto"/>
            <w:tcMar>
              <w:left w:w="0" w:type="dxa"/>
            </w:tcMar>
          </w:tcPr>
          <w:p w14:paraId="5A07817D" w14:textId="0FB33EE6" w:rsidR="005279E0" w:rsidRPr="00D160FB" w:rsidRDefault="005279E0" w:rsidP="005279E0">
            <w:pPr>
              <w:spacing w:after="200"/>
              <w:rPr>
                <w:rFonts w:cs="Arial"/>
                <w:color w:val="0D0D0D" w:themeColor="text1" w:themeTint="F2"/>
                <w:spacing w:val="-5"/>
                <w:lang w:val="en-GB"/>
              </w:rPr>
            </w:pPr>
            <w:r w:rsidRPr="00D160FB">
              <w:rPr>
                <w:rFonts w:cs="Arial"/>
                <w:color w:val="0D0D0D" w:themeColor="text1" w:themeTint="F2"/>
                <w:spacing w:val="-5"/>
                <w:lang w:val="en-GB"/>
              </w:rPr>
              <w:t>Demand for services developed unevenly during the last year. Sales in selected services</w:t>
            </w:r>
            <w:r w:rsidRPr="00D160FB">
              <w:rPr>
                <w:color w:val="0D0D0D" w:themeColor="text1" w:themeTint="F2"/>
                <w:spacing w:val="-5"/>
                <w:vertAlign w:val="superscript"/>
                <w:lang w:val="en-GB"/>
              </w:rPr>
              <w:footnoteReference w:id="28"/>
            </w:r>
            <w:r w:rsidRPr="00D160FB">
              <w:rPr>
                <w:color w:val="0D0D0D" w:themeColor="text1" w:themeTint="F2"/>
                <w:spacing w:val="-5"/>
                <w:lang w:val="en-GB"/>
              </w:rPr>
              <w:t xml:space="preserve"> increased quarter-on-quarter by 2.1% at the beginning of the year and climbed above the level of the boom year 2019 for the first time. Services thrived also in Q2, when mainly the branches with tight link to tourism markedly revived. The growth of sales </w:t>
            </w:r>
            <w:r w:rsidR="00E64D6C">
              <w:rPr>
                <w:color w:val="0D0D0D" w:themeColor="text1" w:themeTint="F2"/>
                <w:spacing w:val="-5"/>
                <w:lang w:val="en-GB"/>
              </w:rPr>
              <w:t xml:space="preserve">however </w:t>
            </w:r>
            <w:r w:rsidRPr="00D160FB">
              <w:rPr>
                <w:color w:val="0D0D0D" w:themeColor="text1" w:themeTint="F2"/>
                <w:spacing w:val="-5"/>
                <w:lang w:val="en-GB"/>
              </w:rPr>
              <w:t xml:space="preserve">ceased in the remaining part of the year. The key branch of transportation and warehousing registered signs of the demand weakening (for the first time since half of year 2020). In addition the deteriorating economic situation of the domestic households was reflected in the area of food service and restaurants. Further, the businesses started to restrict their demand for some activities (of administrative and support service character, but also more sophisticated services). The decrease of sales deepened in warehousing (to 8.2% quarter-on-quarter) in Q3 2022, which was connected to the deteriorated performance of industry as well as the decrease of the turnover of the foreign trade </w:t>
            </w:r>
            <w:r w:rsidR="00E64D6C">
              <w:rPr>
                <w:color w:val="0D0D0D" w:themeColor="text1" w:themeTint="F2"/>
                <w:spacing w:val="-5"/>
                <w:lang w:val="en-GB"/>
              </w:rPr>
              <w:t xml:space="preserve">of the CR </w:t>
            </w:r>
            <w:r w:rsidRPr="00D160FB">
              <w:rPr>
                <w:color w:val="0D0D0D" w:themeColor="text1" w:themeTint="F2"/>
                <w:spacing w:val="-5"/>
                <w:lang w:val="en-GB"/>
              </w:rPr>
              <w:t>with goods</w:t>
            </w:r>
            <w:r w:rsidRPr="00D160FB">
              <w:rPr>
                <w:rStyle w:val="Znakapoznpodarou"/>
                <w:color w:val="0D0D0D" w:themeColor="text1" w:themeTint="F2"/>
                <w:spacing w:val="-5"/>
                <w:lang w:val="en-GB"/>
              </w:rPr>
              <w:footnoteReference w:id="29"/>
            </w:r>
            <w:r w:rsidRPr="00D160FB">
              <w:rPr>
                <w:color w:val="0D0D0D" w:themeColor="text1" w:themeTint="F2"/>
                <w:spacing w:val="-5"/>
                <w:lang w:val="en-GB"/>
              </w:rPr>
              <w:t>.</w:t>
            </w:r>
          </w:p>
        </w:tc>
      </w:tr>
      <w:tr w:rsidR="005279E0" w:rsidRPr="00D160FB" w14:paraId="6A292010" w14:textId="77777777" w:rsidTr="00976631">
        <w:trPr>
          <w:trHeight w:val="170"/>
        </w:trPr>
        <w:tc>
          <w:tcPr>
            <w:tcW w:w="1780" w:type="dxa"/>
            <w:tcBorders>
              <w:top w:val="nil"/>
              <w:left w:val="nil"/>
              <w:bottom w:val="nil"/>
              <w:right w:val="nil"/>
            </w:tcBorders>
            <w:shd w:val="clear" w:color="auto" w:fill="auto"/>
            <w:tcMar>
              <w:left w:w="0" w:type="dxa"/>
            </w:tcMar>
          </w:tcPr>
          <w:p w14:paraId="32670838" w14:textId="77777777" w:rsidR="005279E0" w:rsidRPr="00D160FB" w:rsidRDefault="005279E0" w:rsidP="005279E0">
            <w:pPr>
              <w:pStyle w:val="Marginlie"/>
              <w:rPr>
                <w:lang w:val="en-GB"/>
              </w:rPr>
            </w:pPr>
          </w:p>
        </w:tc>
        <w:tc>
          <w:tcPr>
            <w:tcW w:w="200" w:type="dxa"/>
            <w:tcBorders>
              <w:top w:val="nil"/>
              <w:left w:val="nil"/>
              <w:bottom w:val="nil"/>
              <w:right w:val="nil"/>
            </w:tcBorders>
            <w:shd w:val="clear" w:color="auto" w:fill="auto"/>
            <w:tcMar>
              <w:left w:w="0" w:type="dxa"/>
            </w:tcMar>
          </w:tcPr>
          <w:p w14:paraId="35B31639" w14:textId="77777777" w:rsidR="005279E0" w:rsidRPr="00D160FB" w:rsidRDefault="005279E0" w:rsidP="005279E0">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3268664B" w14:textId="6C4AC476" w:rsidR="005279E0" w:rsidRPr="00D160FB" w:rsidRDefault="005279E0" w:rsidP="005279E0">
            <w:pPr>
              <w:spacing w:after="40"/>
              <w:rPr>
                <w:b/>
                <w:spacing w:val="-4"/>
                <w:lang w:val="en-GB"/>
              </w:rPr>
            </w:pPr>
            <w:r w:rsidRPr="00D160FB">
              <w:rPr>
                <w:b/>
                <w:spacing w:val="-4"/>
                <w:lang w:val="en-GB"/>
              </w:rPr>
              <w:t xml:space="preserve">Chart 7 Contributions of sub-branches to year-on-year change of sales in services* </w:t>
            </w:r>
            <w:r w:rsidRPr="00D160FB">
              <w:rPr>
                <w:spacing w:val="-4"/>
                <w:lang w:val="en-GB"/>
              </w:rPr>
              <w:t xml:space="preserve">(real, in p.p.), </w:t>
            </w:r>
            <w:r w:rsidRPr="00D160FB">
              <w:rPr>
                <w:b/>
                <w:bCs/>
                <w:spacing w:val="-4"/>
                <w:lang w:val="en-GB"/>
              </w:rPr>
              <w:t>total sales in services</w:t>
            </w:r>
            <w:r w:rsidRPr="00D160FB">
              <w:rPr>
                <w:spacing w:val="-4"/>
                <w:lang w:val="en-GB"/>
              </w:rPr>
              <w:t xml:space="preserve">* (basis 2015=100, right axis), </w:t>
            </w:r>
            <w:r w:rsidRPr="00D160FB">
              <w:rPr>
                <w:b/>
                <w:spacing w:val="-4"/>
                <w:lang w:val="en-GB"/>
              </w:rPr>
              <w:t xml:space="preserve">balance of business confidence indicator in services** </w:t>
            </w:r>
            <w:r w:rsidRPr="00D160FB">
              <w:rPr>
                <w:spacing w:val="-4"/>
                <w:lang w:val="en-GB"/>
              </w:rPr>
              <w:t>(in p.p., right axis)</w:t>
            </w:r>
            <w:r>
              <w:rPr>
                <w:b/>
                <w:spacing w:val="-4"/>
                <w:lang w:val="en-GB"/>
              </w:rPr>
              <w:t>,</w:t>
            </w:r>
            <w:r w:rsidRPr="00D160FB">
              <w:rPr>
                <w:b/>
                <w:spacing w:val="-4"/>
                <w:lang w:val="en-GB"/>
              </w:rPr>
              <w:t xml:space="preserve"> selected growth barriers*</w:t>
            </w:r>
            <w:r w:rsidRPr="00D160FB">
              <w:rPr>
                <w:spacing w:val="-4"/>
                <w:lang w:val="en-GB"/>
              </w:rPr>
              <w:t>* (in %, right axis)</w:t>
            </w:r>
          </w:p>
        </w:tc>
      </w:tr>
      <w:tr w:rsidR="005279E0" w:rsidRPr="00D160FB" w14:paraId="5B7F11EF" w14:textId="77777777" w:rsidTr="00976631">
        <w:tblPrEx>
          <w:tblCellMar>
            <w:left w:w="70" w:type="dxa"/>
            <w:right w:w="70" w:type="dxa"/>
          </w:tblCellMar>
        </w:tblPrEx>
        <w:trPr>
          <w:trHeight w:val="170"/>
        </w:trPr>
        <w:tc>
          <w:tcPr>
            <w:tcW w:w="1780" w:type="dxa"/>
            <w:tcBorders>
              <w:top w:val="nil"/>
              <w:left w:val="nil"/>
              <w:bottom w:val="nil"/>
              <w:right w:val="nil"/>
            </w:tcBorders>
            <w:shd w:val="clear" w:color="auto" w:fill="auto"/>
          </w:tcPr>
          <w:p w14:paraId="46BFF754" w14:textId="77777777" w:rsidR="005279E0" w:rsidRPr="00D160FB" w:rsidRDefault="005279E0" w:rsidP="005279E0">
            <w:pPr>
              <w:pStyle w:val="Marginlie"/>
              <w:rPr>
                <w:lang w:val="en-GB"/>
              </w:rPr>
            </w:pPr>
          </w:p>
        </w:tc>
        <w:tc>
          <w:tcPr>
            <w:tcW w:w="200" w:type="dxa"/>
            <w:tcBorders>
              <w:top w:val="nil"/>
              <w:left w:val="nil"/>
              <w:bottom w:val="nil"/>
              <w:right w:val="nil"/>
            </w:tcBorders>
            <w:shd w:val="clear" w:color="auto" w:fill="auto"/>
          </w:tcPr>
          <w:p w14:paraId="4D803279" w14:textId="77777777" w:rsidR="005279E0" w:rsidRPr="00D160FB" w:rsidRDefault="005279E0" w:rsidP="005279E0">
            <w:pPr>
              <w:pStyle w:val="Textpoznpodarou"/>
              <w:jc w:val="both"/>
              <w:rPr>
                <w:spacing w:val="-4"/>
                <w:lang w:val="en-GB"/>
              </w:rPr>
            </w:pPr>
          </w:p>
        </w:tc>
        <w:tc>
          <w:tcPr>
            <w:tcW w:w="7730" w:type="dxa"/>
            <w:tcBorders>
              <w:top w:val="nil"/>
              <w:left w:val="nil"/>
              <w:bottom w:val="nil"/>
              <w:right w:val="nil"/>
            </w:tcBorders>
            <w:shd w:val="clear" w:color="auto" w:fill="auto"/>
          </w:tcPr>
          <w:p w14:paraId="4A1D2772" w14:textId="5581ED6C" w:rsidR="005279E0" w:rsidRPr="00D160FB" w:rsidRDefault="005279E0" w:rsidP="005279E0">
            <w:pPr>
              <w:spacing w:after="40"/>
              <w:rPr>
                <w:rFonts w:cs="Arial"/>
                <w:sz w:val="14"/>
                <w:szCs w:val="14"/>
                <w:lang w:val="en-GB"/>
              </w:rPr>
            </w:pPr>
            <w:r>
              <w:rPr>
                <w:noProof/>
              </w:rPr>
              <w:drawing>
                <wp:inline distT="0" distB="0" distL="0" distR="0" wp14:anchorId="747E3AF2" wp14:editId="1A5C346B">
                  <wp:extent cx="4659630" cy="3512820"/>
                  <wp:effectExtent l="0" t="0" r="7620" b="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5279E0" w:rsidRPr="00D160FB" w14:paraId="72571772" w14:textId="77777777" w:rsidTr="00976631">
        <w:trPr>
          <w:trHeight w:val="170"/>
        </w:trPr>
        <w:tc>
          <w:tcPr>
            <w:tcW w:w="1780" w:type="dxa"/>
            <w:tcBorders>
              <w:top w:val="nil"/>
              <w:left w:val="nil"/>
              <w:bottom w:val="nil"/>
              <w:right w:val="nil"/>
            </w:tcBorders>
            <w:shd w:val="clear" w:color="auto" w:fill="auto"/>
            <w:tcMar>
              <w:left w:w="0" w:type="dxa"/>
            </w:tcMar>
          </w:tcPr>
          <w:p w14:paraId="34DFEFA4" w14:textId="77777777" w:rsidR="005279E0" w:rsidRPr="00D160FB" w:rsidRDefault="005279E0" w:rsidP="005279E0">
            <w:pPr>
              <w:pStyle w:val="Marginlie"/>
              <w:rPr>
                <w:lang w:val="en-GB"/>
              </w:rPr>
            </w:pPr>
          </w:p>
        </w:tc>
        <w:tc>
          <w:tcPr>
            <w:tcW w:w="200" w:type="dxa"/>
            <w:tcBorders>
              <w:top w:val="nil"/>
              <w:left w:val="nil"/>
              <w:bottom w:val="nil"/>
              <w:right w:val="nil"/>
            </w:tcBorders>
            <w:shd w:val="clear" w:color="auto" w:fill="auto"/>
            <w:tcMar>
              <w:left w:w="0" w:type="dxa"/>
            </w:tcMar>
          </w:tcPr>
          <w:p w14:paraId="0DF93D0C" w14:textId="77777777" w:rsidR="005279E0" w:rsidRPr="00D160FB" w:rsidRDefault="005279E0" w:rsidP="005279E0">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3727905B" w14:textId="77777777" w:rsidR="005279E0" w:rsidRPr="00181788" w:rsidRDefault="005279E0" w:rsidP="005279E0">
            <w:pPr>
              <w:spacing w:after="0"/>
              <w:rPr>
                <w:color w:val="0D0D0D" w:themeColor="text1" w:themeTint="F2"/>
                <w:spacing w:val="-3"/>
                <w:sz w:val="14"/>
                <w:szCs w:val="14"/>
                <w:lang w:val="en-GB"/>
              </w:rPr>
            </w:pPr>
            <w:r w:rsidRPr="00181788">
              <w:rPr>
                <w:color w:val="0D0D0D" w:themeColor="text1" w:themeTint="F2"/>
                <w:spacing w:val="-3"/>
                <w:sz w:val="14"/>
                <w:szCs w:val="14"/>
                <w:lang w:val="en-GB"/>
              </w:rPr>
              <w:t xml:space="preserve">Note: all data are seasonally adjusted, only contributions of sub-branches to the growth of sales are adjusted only for calendar effect. </w:t>
            </w:r>
          </w:p>
          <w:p w14:paraId="20CE021A" w14:textId="718A512F" w:rsidR="005279E0" w:rsidRPr="00D160FB" w:rsidRDefault="005279E0" w:rsidP="005279E0">
            <w:pPr>
              <w:spacing w:after="0"/>
              <w:rPr>
                <w:rFonts w:cs="Arial"/>
                <w:sz w:val="14"/>
                <w:szCs w:val="14"/>
                <w:lang w:val="en-GB"/>
              </w:rPr>
            </w:pPr>
            <w:r w:rsidRPr="00D160FB">
              <w:rPr>
                <w:rFonts w:cs="Arial"/>
                <w:sz w:val="14"/>
                <w:szCs w:val="14"/>
                <w:lang w:val="en-GB"/>
              </w:rPr>
              <w:t>*</w:t>
            </w:r>
            <w:r w:rsidRPr="00D160FB">
              <w:rPr>
                <w:color w:val="0D0D0D" w:themeColor="text1" w:themeTint="F2"/>
                <w:sz w:val="14"/>
                <w:szCs w:val="14"/>
                <w:lang w:val="en-GB"/>
              </w:rPr>
              <w:t xml:space="preserve">Without branches trade, financial activities, insurance activities, science, research and public services.  </w:t>
            </w:r>
          </w:p>
          <w:p w14:paraId="68437388" w14:textId="3DD28BA0" w:rsidR="005279E0" w:rsidRDefault="005279E0" w:rsidP="005279E0">
            <w:pPr>
              <w:spacing w:after="0"/>
              <w:rPr>
                <w:rFonts w:cs="Arial"/>
                <w:sz w:val="14"/>
                <w:szCs w:val="14"/>
                <w:lang w:val="en-GB"/>
              </w:rPr>
            </w:pPr>
            <w:r w:rsidRPr="00D160FB">
              <w:rPr>
                <w:rFonts w:cs="Arial"/>
                <w:sz w:val="14"/>
                <w:szCs w:val="14"/>
                <w:lang w:val="en-GB"/>
              </w:rPr>
              <w:t>**Also includes the financial sector. Balance of business confidence indicator as well as the barriers to growth express the level in the first</w:t>
            </w:r>
            <w:r w:rsidR="00E64D6C">
              <w:rPr>
                <w:rFonts w:cs="Arial"/>
                <w:sz w:val="14"/>
                <w:szCs w:val="14"/>
                <w:lang w:val="en-GB"/>
              </w:rPr>
              <w:t>, resp.</w:t>
            </w:r>
            <w:r w:rsidRPr="00D160FB">
              <w:rPr>
                <w:rFonts w:cs="Arial"/>
                <w:sz w:val="14"/>
                <w:szCs w:val="14"/>
                <w:lang w:val="en-GB"/>
              </w:rPr>
              <w:t xml:space="preserve"> in the second month of the given quarter </w:t>
            </w:r>
            <w:r w:rsidRPr="00D160FB">
              <w:rPr>
                <w:rFonts w:cs="Arial"/>
                <w:spacing w:val="-2"/>
                <w:sz w:val="14"/>
                <w:szCs w:val="14"/>
                <w:lang w:val="en-GB"/>
              </w:rPr>
              <w:t>(growth barriers and confidence balance respectively). Businesses could have indicated more key barriers simultaneously.</w:t>
            </w:r>
          </w:p>
          <w:p w14:paraId="5E25FC90" w14:textId="72A887A6" w:rsidR="005279E0" w:rsidRPr="00D160FB" w:rsidRDefault="005279E0" w:rsidP="005279E0">
            <w:pPr>
              <w:spacing w:after="0"/>
              <w:rPr>
                <w:rFonts w:cs="Arial"/>
                <w:sz w:val="14"/>
                <w:szCs w:val="14"/>
                <w:lang w:val="en-GB"/>
              </w:rPr>
            </w:pPr>
            <w:r w:rsidRPr="00D160FB">
              <w:rPr>
                <w:rFonts w:cs="Arial"/>
                <w:sz w:val="14"/>
                <w:szCs w:val="14"/>
                <w:lang w:val="en-GB"/>
              </w:rPr>
              <w:t>Source: CZSO, Eurostat</w:t>
            </w:r>
          </w:p>
        </w:tc>
      </w:tr>
      <w:tr w:rsidR="005279E0" w:rsidRPr="00D160FB" w14:paraId="064B94B6" w14:textId="77777777" w:rsidTr="00976631">
        <w:trPr>
          <w:trHeight w:val="170"/>
        </w:trPr>
        <w:tc>
          <w:tcPr>
            <w:tcW w:w="1780" w:type="dxa"/>
            <w:tcBorders>
              <w:top w:val="nil"/>
              <w:left w:val="nil"/>
              <w:bottom w:val="nil"/>
              <w:right w:val="nil"/>
            </w:tcBorders>
            <w:shd w:val="clear" w:color="auto" w:fill="auto"/>
            <w:tcMar>
              <w:left w:w="0" w:type="dxa"/>
            </w:tcMar>
          </w:tcPr>
          <w:p w14:paraId="122B6947" w14:textId="269BF767" w:rsidR="005279E0" w:rsidRPr="00D160FB" w:rsidRDefault="005279E0" w:rsidP="005279E0">
            <w:pPr>
              <w:pStyle w:val="Marginlie"/>
              <w:rPr>
                <w:lang w:val="en-GB"/>
              </w:rPr>
            </w:pPr>
            <w:r w:rsidRPr="00D160FB">
              <w:rPr>
                <w:lang w:val="en-GB"/>
              </w:rPr>
              <w:lastRenderedPageBreak/>
              <w:t>Reverberations of the post-pandemic recovery of demand were still reflected in the high last year’s annual growth of sales in services.</w:t>
            </w:r>
          </w:p>
        </w:tc>
        <w:tc>
          <w:tcPr>
            <w:tcW w:w="200" w:type="dxa"/>
            <w:tcBorders>
              <w:top w:val="nil"/>
              <w:left w:val="nil"/>
              <w:bottom w:val="nil"/>
              <w:right w:val="nil"/>
            </w:tcBorders>
            <w:shd w:val="clear" w:color="auto" w:fill="auto"/>
            <w:tcMar>
              <w:left w:w="0" w:type="dxa"/>
            </w:tcMar>
          </w:tcPr>
          <w:p w14:paraId="26727BD2" w14:textId="77777777" w:rsidR="005279E0" w:rsidRPr="00D160FB" w:rsidRDefault="005279E0" w:rsidP="005279E0">
            <w:pPr>
              <w:pStyle w:val="Textpoznpodarou"/>
              <w:jc w:val="both"/>
              <w:rPr>
                <w:spacing w:val="-6"/>
                <w:lang w:val="en-GB"/>
              </w:rPr>
            </w:pPr>
          </w:p>
        </w:tc>
        <w:tc>
          <w:tcPr>
            <w:tcW w:w="7730" w:type="dxa"/>
            <w:tcBorders>
              <w:top w:val="nil"/>
              <w:left w:val="nil"/>
              <w:bottom w:val="nil"/>
              <w:right w:val="nil"/>
            </w:tcBorders>
            <w:shd w:val="clear" w:color="auto" w:fill="auto"/>
            <w:tcMar>
              <w:left w:w="0" w:type="dxa"/>
            </w:tcMar>
          </w:tcPr>
          <w:p w14:paraId="1104F584" w14:textId="5B84104D" w:rsidR="005279E0" w:rsidRPr="00D160FB" w:rsidRDefault="005279E0" w:rsidP="005279E0">
            <w:pPr>
              <w:spacing w:after="200"/>
              <w:rPr>
                <w:color w:val="0D0D0D" w:themeColor="text1" w:themeTint="F2"/>
                <w:spacing w:val="-4"/>
                <w:lang w:val="en-GB"/>
              </w:rPr>
            </w:pPr>
            <w:r w:rsidRPr="00D160FB">
              <w:rPr>
                <w:color w:val="0D0D0D" w:themeColor="text1" w:themeTint="F2"/>
                <w:spacing w:val="-4"/>
                <w:lang w:val="en-GB"/>
              </w:rPr>
              <w:t>Sales in services strengthened by 8.5% year-on-year for the whole last year. This pace, the fastest since year 2007, for the large part reflected the effect of the low comparative basis from the beginning of year 2021, when the strict counter-pandemic measures fundamentally restricted especially the development of tourism and number of other leisure activities of the population. As expected the sales in accommodation, food service and restaurants recovered the most last year (+27.0%), all main branches of services however felt the higher demand. At the level of sub-branches, the sales fell for the radio broadcasting and television programming (by 15.3%), job agencies (10.0%), advertising and market research (-6.7%) and postal and courier services (-3.5%). While the lower sales of couriers were more the consequences of the “post-pandemic“ return to the traditional forms of trade in the brick and mortar stores, declines in the other mentioned branches reflect mainly the cyclical slump of the demand resulting from th</w:t>
            </w:r>
            <w:r w:rsidR="00D03B6B">
              <w:rPr>
                <w:color w:val="0D0D0D" w:themeColor="text1" w:themeTint="F2"/>
                <w:spacing w:val="-4"/>
                <w:lang w:val="en-GB"/>
              </w:rPr>
              <w:t>e impacts of the energy crisis.</w:t>
            </w:r>
          </w:p>
        </w:tc>
      </w:tr>
      <w:tr w:rsidR="005279E0" w:rsidRPr="00D160FB" w14:paraId="42CF9C87" w14:textId="77777777" w:rsidTr="00976631">
        <w:trPr>
          <w:trHeight w:val="170"/>
        </w:trPr>
        <w:tc>
          <w:tcPr>
            <w:tcW w:w="1780" w:type="dxa"/>
            <w:tcBorders>
              <w:top w:val="nil"/>
              <w:left w:val="nil"/>
              <w:bottom w:val="nil"/>
              <w:right w:val="nil"/>
            </w:tcBorders>
            <w:shd w:val="clear" w:color="auto" w:fill="auto"/>
            <w:tcMar>
              <w:left w:w="0" w:type="dxa"/>
            </w:tcMar>
          </w:tcPr>
          <w:p w14:paraId="1C94AFBC" w14:textId="1C2088AA" w:rsidR="005279E0" w:rsidRPr="00D160FB" w:rsidRDefault="005279E0" w:rsidP="005279E0">
            <w:pPr>
              <w:pStyle w:val="Marginlie"/>
              <w:rPr>
                <w:lang w:val="en-GB"/>
              </w:rPr>
            </w:pPr>
            <w:r w:rsidRPr="00D160FB">
              <w:rPr>
                <w:lang w:val="en-GB"/>
              </w:rPr>
              <w:t>Year-on-year growth of sales in services was only modest in Q4 since the key branch of transportation was driven down by weaker demand in warehousing and support activities for transportation.</w:t>
            </w:r>
          </w:p>
          <w:p w14:paraId="0F2679D2" w14:textId="77777777" w:rsidR="005279E0" w:rsidRPr="00D160FB" w:rsidRDefault="005279E0" w:rsidP="005279E0">
            <w:pPr>
              <w:pStyle w:val="Marginlie"/>
              <w:rPr>
                <w:lang w:val="en-GB"/>
              </w:rPr>
            </w:pPr>
          </w:p>
        </w:tc>
        <w:tc>
          <w:tcPr>
            <w:tcW w:w="200" w:type="dxa"/>
            <w:tcBorders>
              <w:top w:val="nil"/>
              <w:left w:val="nil"/>
              <w:bottom w:val="nil"/>
              <w:right w:val="nil"/>
            </w:tcBorders>
            <w:shd w:val="clear" w:color="auto" w:fill="auto"/>
            <w:tcMar>
              <w:left w:w="0" w:type="dxa"/>
            </w:tcMar>
          </w:tcPr>
          <w:p w14:paraId="521C1B72" w14:textId="77777777" w:rsidR="005279E0" w:rsidRPr="00D160FB" w:rsidRDefault="005279E0" w:rsidP="005279E0">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1B55BA0F" w14:textId="74CD2299" w:rsidR="005279E0" w:rsidRPr="00D160FB" w:rsidRDefault="005279E0" w:rsidP="005279E0">
            <w:pPr>
              <w:spacing w:after="200"/>
              <w:rPr>
                <w:color w:val="0D0D0D" w:themeColor="text1" w:themeTint="F2"/>
                <w:spacing w:val="-6"/>
                <w:lang w:val="en-GB"/>
              </w:rPr>
            </w:pPr>
            <w:r w:rsidRPr="00D160FB">
              <w:rPr>
                <w:color w:val="0D0D0D" w:themeColor="text1" w:themeTint="F2"/>
                <w:spacing w:val="-6"/>
                <w:lang w:val="en-GB"/>
              </w:rPr>
              <w:t>This slump of demand is more plastically expressed in sales for services in Q4 2022. T</w:t>
            </w:r>
            <w:r w:rsidR="00D03B6B">
              <w:rPr>
                <w:color w:val="0D0D0D" w:themeColor="text1" w:themeTint="F2"/>
                <w:spacing w:val="-6"/>
                <w:lang w:val="en-GB"/>
              </w:rPr>
              <w:t>hese exceeded the preceding</w:t>
            </w:r>
            <w:r w:rsidRPr="00D160FB">
              <w:rPr>
                <w:color w:val="0D0D0D" w:themeColor="text1" w:themeTint="F2"/>
                <w:spacing w:val="-6"/>
                <w:lang w:val="en-GB"/>
              </w:rPr>
              <w:t xml:space="preserve"> year’s level only by 1.6%. Despite modest pace, all main branches added to the growth apart from the weight dominant transportation and warehousing, where the sales mildly decreased (-0.3%). The drop of demand in the long-time developing postal and courier services, similarly, to warehousing and support activities for transportation, was not fully offset by the growth of sales in the land and pipe transportation (3.2%), which was aided by higher sales in rail as well as road transportation. The recovery continued in both air and water transportation; these branches however still have not attained the pre-crisis level of demand.</w:t>
            </w:r>
          </w:p>
        </w:tc>
      </w:tr>
      <w:tr w:rsidR="005279E0" w:rsidRPr="00D160FB" w14:paraId="164F4F1E" w14:textId="77777777" w:rsidTr="00976631">
        <w:trPr>
          <w:trHeight w:val="170"/>
        </w:trPr>
        <w:tc>
          <w:tcPr>
            <w:tcW w:w="1780" w:type="dxa"/>
            <w:tcBorders>
              <w:top w:val="nil"/>
              <w:left w:val="nil"/>
              <w:bottom w:val="nil"/>
              <w:right w:val="nil"/>
            </w:tcBorders>
            <w:shd w:val="clear" w:color="auto" w:fill="auto"/>
            <w:tcMar>
              <w:left w:w="0" w:type="dxa"/>
            </w:tcMar>
          </w:tcPr>
          <w:p w14:paraId="31B4C108" w14:textId="479B8C26" w:rsidR="005279E0" w:rsidRPr="00D160FB" w:rsidRDefault="005279E0" w:rsidP="005279E0">
            <w:pPr>
              <w:pStyle w:val="Marginlie"/>
              <w:rPr>
                <w:lang w:val="en-GB"/>
              </w:rPr>
            </w:pPr>
            <w:r w:rsidRPr="00D160FB">
              <w:rPr>
                <w:lang w:val="en-GB"/>
              </w:rPr>
              <w:t xml:space="preserve">Sales in activities tied to tourism kept further recovering, they nevertheless have not reached the level from year 2019 so far.  </w:t>
            </w:r>
          </w:p>
          <w:p w14:paraId="7E5E2F83" w14:textId="77777777" w:rsidR="005279E0" w:rsidRPr="00D160FB" w:rsidRDefault="005279E0" w:rsidP="005279E0">
            <w:pPr>
              <w:pStyle w:val="Marginlie"/>
              <w:rPr>
                <w:lang w:val="en-GB"/>
              </w:rPr>
            </w:pPr>
          </w:p>
          <w:p w14:paraId="7E51AC19" w14:textId="77777777" w:rsidR="005279E0" w:rsidRPr="00D160FB" w:rsidRDefault="005279E0" w:rsidP="005279E0">
            <w:pPr>
              <w:pStyle w:val="Marginlie"/>
              <w:rPr>
                <w:lang w:val="en-GB"/>
              </w:rPr>
            </w:pPr>
          </w:p>
          <w:p w14:paraId="1E44307F" w14:textId="77777777" w:rsidR="005279E0" w:rsidRPr="00D160FB" w:rsidRDefault="005279E0" w:rsidP="005279E0">
            <w:pPr>
              <w:pStyle w:val="Marginlie"/>
              <w:rPr>
                <w:lang w:val="en-GB"/>
              </w:rPr>
            </w:pPr>
          </w:p>
          <w:p w14:paraId="390543E4" w14:textId="77777777" w:rsidR="005279E0" w:rsidRPr="00D160FB" w:rsidRDefault="005279E0" w:rsidP="005279E0">
            <w:pPr>
              <w:pStyle w:val="Marginlie"/>
              <w:rPr>
                <w:lang w:val="en-GB"/>
              </w:rPr>
            </w:pPr>
          </w:p>
          <w:p w14:paraId="1A0A4DCF" w14:textId="51D2140B" w:rsidR="005279E0" w:rsidRPr="00D160FB" w:rsidRDefault="005279E0" w:rsidP="005279E0">
            <w:pPr>
              <w:pStyle w:val="Marginlie"/>
              <w:rPr>
                <w:lang w:val="en-GB"/>
              </w:rPr>
            </w:pPr>
            <w:r w:rsidRPr="00D160FB">
              <w:rPr>
                <w:lang w:val="en-GB"/>
              </w:rPr>
              <w:t>Traditionally dynamic growth in the ICT area waned since the demand growth prevailed only in the area of programming.</w:t>
            </w:r>
          </w:p>
          <w:p w14:paraId="1857B8B9" w14:textId="77777777" w:rsidR="005279E0" w:rsidRPr="00D160FB" w:rsidRDefault="005279E0" w:rsidP="005279E0">
            <w:pPr>
              <w:pStyle w:val="Marginlie"/>
              <w:rPr>
                <w:lang w:val="en-GB"/>
              </w:rPr>
            </w:pPr>
          </w:p>
        </w:tc>
        <w:tc>
          <w:tcPr>
            <w:tcW w:w="200" w:type="dxa"/>
            <w:tcBorders>
              <w:top w:val="nil"/>
              <w:left w:val="nil"/>
              <w:bottom w:val="nil"/>
              <w:right w:val="nil"/>
            </w:tcBorders>
            <w:shd w:val="clear" w:color="auto" w:fill="auto"/>
            <w:tcMar>
              <w:left w:w="0" w:type="dxa"/>
            </w:tcMar>
          </w:tcPr>
          <w:p w14:paraId="78563F5C" w14:textId="77777777" w:rsidR="005279E0" w:rsidRPr="00D160FB" w:rsidRDefault="005279E0" w:rsidP="005279E0">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1FC9A86E" w14:textId="6E9FA230" w:rsidR="005279E0" w:rsidRPr="00D160FB" w:rsidRDefault="005279E0" w:rsidP="00955CDA">
            <w:pPr>
              <w:spacing w:after="190"/>
              <w:rPr>
                <w:color w:val="0D0D0D" w:themeColor="text1" w:themeTint="F2"/>
                <w:spacing w:val="-6"/>
                <w:lang w:val="en-GB"/>
              </w:rPr>
            </w:pPr>
            <w:r w:rsidRPr="00D160FB">
              <w:rPr>
                <w:rFonts w:cs="Arial"/>
                <w:color w:val="0D0D0D" w:themeColor="text1" w:themeTint="F2"/>
                <w:spacing w:val="-6"/>
                <w:lang w:val="en-GB"/>
              </w:rPr>
              <w:t xml:space="preserve">Sales were by one tenth higher year-on-year </w:t>
            </w:r>
            <w:r w:rsidRPr="00D160FB">
              <w:rPr>
                <w:color w:val="0D0D0D" w:themeColor="text1" w:themeTint="F2"/>
                <w:spacing w:val="-6"/>
                <w:lang w:val="en-GB"/>
              </w:rPr>
              <w:t xml:space="preserve">in the branch accommodation, food service and restaurants in Q4 2022 and contributed the most to the growth of all services (+0.5 p.p.). Gradual recovery of the arrival tourism substantially assisted this result. The demand however still considerably lagged behind the level from the end of year </w:t>
            </w:r>
            <w:r>
              <w:rPr>
                <w:color w:val="0D0D0D" w:themeColor="text1" w:themeTint="F2"/>
                <w:spacing w:val="-6"/>
                <w:lang w:val="en-GB"/>
              </w:rPr>
              <w:t>2019</w:t>
            </w:r>
            <w:r w:rsidRPr="00D160FB">
              <w:rPr>
                <w:color w:val="0D0D0D" w:themeColor="text1" w:themeTint="F2"/>
                <w:spacing w:val="-6"/>
                <w:lang w:val="en-GB"/>
              </w:rPr>
              <w:t xml:space="preserve"> – it was more pronounced in accommodation (by 25.4%) than in food service and restaurants (15.4%). In contrast the branch information and communication already overtook the pre-crisis level (by 6.0%), similarly to the real estate activities (+3.8%). The year-on-year growth of sales however weakened in the long-time developing ICT area last year and it arrived only at even 1% in the last quarter. The demand grew only in the information technology activities here (e.g. programming, computer facilities management activities), considerable slump manifested for radio and television broadcasting activities. Sales also fell in the so called music and motion picture industry (even though the segment of motion picture distribution activities flourished</w:t>
            </w:r>
            <w:r w:rsidRPr="00D160FB">
              <w:rPr>
                <w:rStyle w:val="Znakapoznpodarou"/>
                <w:color w:val="0D0D0D" w:themeColor="text1" w:themeTint="F2"/>
                <w:spacing w:val="-6"/>
                <w:lang w:val="en-GB"/>
              </w:rPr>
              <w:footnoteReference w:id="30"/>
            </w:r>
            <w:r w:rsidRPr="00D160FB">
              <w:rPr>
                <w:color w:val="0D0D0D" w:themeColor="text1" w:themeTint="F2"/>
                <w:spacing w:val="-6"/>
                <w:lang w:val="en-GB"/>
              </w:rPr>
              <w:t xml:space="preserve">) and a mild decrease of demand non-traditionally also hit the information activities (including hosting, web portals as well as </w:t>
            </w:r>
            <w:r w:rsidR="00D03B6B">
              <w:rPr>
                <w:color w:val="0D0D0D" w:themeColor="text1" w:themeTint="F2"/>
                <w:spacing w:val="-6"/>
                <w:lang w:val="en-GB"/>
              </w:rPr>
              <w:t>news agency activities).</w:t>
            </w:r>
          </w:p>
        </w:tc>
      </w:tr>
      <w:tr w:rsidR="005279E0" w:rsidRPr="00D160FB" w14:paraId="1C099386" w14:textId="77777777" w:rsidTr="00976631">
        <w:trPr>
          <w:trHeight w:val="170"/>
        </w:trPr>
        <w:tc>
          <w:tcPr>
            <w:tcW w:w="1780" w:type="dxa"/>
            <w:tcBorders>
              <w:top w:val="nil"/>
              <w:left w:val="nil"/>
              <w:bottom w:val="nil"/>
              <w:right w:val="nil"/>
            </w:tcBorders>
            <w:shd w:val="clear" w:color="auto" w:fill="auto"/>
            <w:tcMar>
              <w:left w:w="0" w:type="dxa"/>
            </w:tcMar>
          </w:tcPr>
          <w:p w14:paraId="7B9AEC7D" w14:textId="2F344987" w:rsidR="005279E0" w:rsidRPr="00D160FB" w:rsidRDefault="005279E0" w:rsidP="005279E0">
            <w:pPr>
              <w:pStyle w:val="Marginlie"/>
              <w:rPr>
                <w:lang w:val="en-GB"/>
              </w:rPr>
            </w:pPr>
            <w:r w:rsidRPr="00D160FB">
              <w:rPr>
                <w:lang w:val="en-GB"/>
              </w:rPr>
              <w:t xml:space="preserve">Sales for advertising and market research </w:t>
            </w:r>
            <w:r w:rsidR="00955CDA">
              <w:rPr>
                <w:lang w:val="en-GB"/>
              </w:rPr>
              <w:t>went down markedly.</w:t>
            </w:r>
            <w:r w:rsidRPr="00D160FB">
              <w:rPr>
                <w:lang w:val="en-GB"/>
              </w:rPr>
              <w:t xml:space="preserve"> </w:t>
            </w:r>
            <w:r w:rsidR="00955CDA">
              <w:rPr>
                <w:lang w:val="en-GB"/>
              </w:rPr>
              <w:t xml:space="preserve">The </w:t>
            </w:r>
            <w:r w:rsidRPr="00D160FB">
              <w:rPr>
                <w:lang w:val="en-GB"/>
              </w:rPr>
              <w:t>majority of b</w:t>
            </w:r>
            <w:r w:rsidR="00955CDA">
              <w:rPr>
                <w:lang w:val="en-GB"/>
              </w:rPr>
              <w:t>usiness support services</w:t>
            </w:r>
            <w:r w:rsidRPr="00D160FB">
              <w:rPr>
                <w:lang w:val="en-GB"/>
              </w:rPr>
              <w:t xml:space="preserve"> signalled lower demand. </w:t>
            </w:r>
          </w:p>
          <w:p w14:paraId="016F7944" w14:textId="77777777" w:rsidR="005279E0" w:rsidRPr="00D160FB" w:rsidRDefault="005279E0" w:rsidP="005279E0">
            <w:pPr>
              <w:pStyle w:val="Marginlie"/>
              <w:rPr>
                <w:lang w:val="en-GB"/>
              </w:rPr>
            </w:pPr>
          </w:p>
        </w:tc>
        <w:tc>
          <w:tcPr>
            <w:tcW w:w="200" w:type="dxa"/>
            <w:tcBorders>
              <w:top w:val="nil"/>
              <w:left w:val="nil"/>
              <w:bottom w:val="nil"/>
              <w:right w:val="nil"/>
            </w:tcBorders>
            <w:shd w:val="clear" w:color="auto" w:fill="auto"/>
            <w:tcMar>
              <w:left w:w="0" w:type="dxa"/>
            </w:tcMar>
          </w:tcPr>
          <w:p w14:paraId="2C8BD0F0" w14:textId="77777777" w:rsidR="005279E0" w:rsidRPr="00D160FB" w:rsidRDefault="005279E0" w:rsidP="005279E0">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0ADB599D" w14:textId="594245AE" w:rsidR="005279E0" w:rsidRPr="00D160FB" w:rsidRDefault="005279E0" w:rsidP="00955CDA">
            <w:pPr>
              <w:spacing w:after="0"/>
              <w:rPr>
                <w:color w:val="0D0D0D" w:themeColor="text1" w:themeTint="F2"/>
                <w:spacing w:val="-6"/>
                <w:lang w:val="en-GB"/>
              </w:rPr>
            </w:pPr>
            <w:r w:rsidRPr="00D160FB">
              <w:rPr>
                <w:rFonts w:cs="Arial"/>
                <w:color w:val="0D0D0D" w:themeColor="text1" w:themeTint="F2"/>
                <w:spacing w:val="-6"/>
                <w:lang w:val="en-GB"/>
              </w:rPr>
              <w:t>Weakening of the demand for business support services was the most evident in the branch professional, scientific and technical activities, where the sales only stagnated year-on-year last year in Q4</w:t>
            </w:r>
            <w:r w:rsidR="00955CDA">
              <w:rPr>
                <w:rFonts w:cs="Arial"/>
                <w:color w:val="0D0D0D" w:themeColor="text1" w:themeTint="F2"/>
                <w:spacing w:val="-6"/>
                <w:lang w:val="en-GB"/>
              </w:rPr>
              <w:t xml:space="preserve"> 2022</w:t>
            </w:r>
            <w:r w:rsidRPr="00D160FB">
              <w:rPr>
                <w:rFonts w:cs="Arial"/>
                <w:color w:val="0D0D0D" w:themeColor="text1" w:themeTint="F2"/>
                <w:spacing w:val="-6"/>
                <w:lang w:val="en-GB"/>
              </w:rPr>
              <w:t xml:space="preserve">. These were compressed mainly by the plunge of sales for advertising and market research (-9.7%), demand was also falling for other services. </w:t>
            </w:r>
            <w:r w:rsidR="00955CDA">
              <w:rPr>
                <w:rFonts w:cs="Arial"/>
                <w:color w:val="0D0D0D" w:themeColor="text1" w:themeTint="F2"/>
                <w:spacing w:val="-6"/>
                <w:lang w:val="en-GB"/>
              </w:rPr>
              <w:t>T</w:t>
            </w:r>
            <w:r w:rsidRPr="00D160FB">
              <w:rPr>
                <w:rFonts w:cs="Arial"/>
                <w:color w:val="0D0D0D" w:themeColor="text1" w:themeTint="F2"/>
                <w:spacing w:val="-6"/>
                <w:lang w:val="en-GB"/>
              </w:rPr>
              <w:t>he legal and accounting services (sales did not decrease meaningfully here even during the peak of the pandemics) and architectural and engineering activities (+3%) comprised the exception. Higher growth of sales (5.6%) still prevailed in the branch administrative and suppo</w:t>
            </w:r>
            <w:r w:rsidR="00955CDA">
              <w:rPr>
                <w:rFonts w:cs="Arial"/>
                <w:color w:val="0D0D0D" w:themeColor="text1" w:themeTint="F2"/>
                <w:spacing w:val="-6"/>
                <w:lang w:val="en-GB"/>
              </w:rPr>
              <w:t>rt service activities in Q4</w:t>
            </w:r>
            <w:r w:rsidRPr="00D160FB">
              <w:rPr>
                <w:rFonts w:cs="Arial"/>
                <w:color w:val="0D0D0D" w:themeColor="text1" w:themeTint="F2"/>
                <w:spacing w:val="-6"/>
                <w:lang w:val="en-GB"/>
              </w:rPr>
              <w:t>, it was however mainly thanks to travel agency agencies, which were catching up on the deep losses from year 2020. Demand on the contrary lowered in the areas responding sensitively to the business cycle, e.g. the rental and leasing activities (especially motor vehicles and machinery) by 3.4% and further also at the job agencies (-4.6%). Demand for the vast majority of sub-branches within the administrative and support services activities remained below the pre-pandemic level even at the end of the last year (the most at the job agencies, where the sales were by more than one quarter lower compared to Q4 2019).</w:t>
            </w:r>
          </w:p>
        </w:tc>
      </w:tr>
      <w:tr w:rsidR="005279E0" w:rsidRPr="00D160FB" w14:paraId="7E2635B8" w14:textId="77777777" w:rsidTr="00976631">
        <w:trPr>
          <w:trHeight w:val="170"/>
        </w:trPr>
        <w:tc>
          <w:tcPr>
            <w:tcW w:w="1780" w:type="dxa"/>
            <w:tcBorders>
              <w:top w:val="nil"/>
              <w:left w:val="nil"/>
              <w:bottom w:val="nil"/>
              <w:right w:val="nil"/>
            </w:tcBorders>
            <w:shd w:val="clear" w:color="auto" w:fill="auto"/>
            <w:tcMar>
              <w:left w:w="0" w:type="dxa"/>
            </w:tcMar>
          </w:tcPr>
          <w:p w14:paraId="366D2F58" w14:textId="69ED5BF5" w:rsidR="005279E0" w:rsidRPr="00D160FB" w:rsidRDefault="005279E0" w:rsidP="005279E0">
            <w:pPr>
              <w:pStyle w:val="Marginlie"/>
              <w:rPr>
                <w:color w:val="0D0D0D" w:themeColor="text1" w:themeTint="F2"/>
                <w:lang w:val="en-GB"/>
              </w:rPr>
            </w:pPr>
            <w:r w:rsidRPr="00D160FB">
              <w:rPr>
                <w:color w:val="0D0D0D" w:themeColor="text1" w:themeTint="F2"/>
                <w:lang w:val="en-GB"/>
              </w:rPr>
              <w:lastRenderedPageBreak/>
              <w:t>Quarter-on-quarter decrease of retail sales persisted for the fifth quarter in a row.</w:t>
            </w:r>
          </w:p>
          <w:p w14:paraId="32515FD3" w14:textId="53517143" w:rsidR="005279E0" w:rsidRDefault="005279E0" w:rsidP="005279E0">
            <w:pPr>
              <w:pStyle w:val="Marginlie"/>
              <w:rPr>
                <w:lang w:val="en-GB"/>
              </w:rPr>
            </w:pPr>
          </w:p>
          <w:p w14:paraId="7672FB11" w14:textId="55D51DBA" w:rsidR="0066345F" w:rsidRDefault="0066345F" w:rsidP="005279E0">
            <w:pPr>
              <w:pStyle w:val="Marginlie"/>
              <w:rPr>
                <w:lang w:val="en-GB"/>
              </w:rPr>
            </w:pPr>
          </w:p>
          <w:p w14:paraId="6BE23944" w14:textId="55756DD2" w:rsidR="0066345F" w:rsidRDefault="0066345F" w:rsidP="005279E0">
            <w:pPr>
              <w:pStyle w:val="Marginlie"/>
              <w:rPr>
                <w:lang w:val="en-GB"/>
              </w:rPr>
            </w:pPr>
          </w:p>
          <w:p w14:paraId="15030030" w14:textId="6C7A6572" w:rsidR="0066345F" w:rsidRDefault="0066345F" w:rsidP="005279E0">
            <w:pPr>
              <w:pStyle w:val="Marginlie"/>
              <w:rPr>
                <w:lang w:val="en-GB"/>
              </w:rPr>
            </w:pPr>
          </w:p>
          <w:p w14:paraId="2E92AEA4" w14:textId="77777777" w:rsidR="0066345F" w:rsidRPr="00D160FB" w:rsidRDefault="0066345F" w:rsidP="005279E0">
            <w:pPr>
              <w:pStyle w:val="Marginlie"/>
              <w:rPr>
                <w:lang w:val="en-GB"/>
              </w:rPr>
            </w:pPr>
          </w:p>
          <w:p w14:paraId="15BE12E2" w14:textId="40863BA7" w:rsidR="005279E0" w:rsidRPr="00D160FB" w:rsidRDefault="005279E0" w:rsidP="005279E0">
            <w:pPr>
              <w:pStyle w:val="Marginlie"/>
              <w:rPr>
                <w:lang w:val="en-GB"/>
              </w:rPr>
            </w:pPr>
            <w:r w:rsidRPr="00D160FB">
              <w:rPr>
                <w:lang w:val="en-GB"/>
              </w:rPr>
              <w:t>Very negative consumer confidence moderated at the turn of years 2022 and</w:t>
            </w:r>
            <w:r w:rsidRPr="00D160FB">
              <w:rPr>
                <w:color w:val="0D0D0D" w:themeColor="text1" w:themeTint="F2"/>
                <w:lang w:val="en-GB"/>
              </w:rPr>
              <w:t> </w:t>
            </w:r>
            <w:r w:rsidRPr="00D160FB">
              <w:rPr>
                <w:lang w:val="en-GB"/>
              </w:rPr>
              <w:t>2023.</w:t>
            </w:r>
          </w:p>
        </w:tc>
        <w:tc>
          <w:tcPr>
            <w:tcW w:w="200" w:type="dxa"/>
            <w:tcBorders>
              <w:top w:val="nil"/>
              <w:left w:val="nil"/>
              <w:bottom w:val="nil"/>
              <w:right w:val="nil"/>
            </w:tcBorders>
            <w:shd w:val="clear" w:color="auto" w:fill="auto"/>
            <w:tcMar>
              <w:left w:w="0" w:type="dxa"/>
            </w:tcMar>
          </w:tcPr>
          <w:p w14:paraId="37E7240C" w14:textId="77777777" w:rsidR="005279E0" w:rsidRPr="00D160FB" w:rsidRDefault="005279E0" w:rsidP="005279E0">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395E9FD3" w14:textId="0F4915D7" w:rsidR="005279E0" w:rsidRPr="00D160FB" w:rsidRDefault="005279E0" w:rsidP="0066345F">
            <w:pPr>
              <w:spacing w:after="200"/>
              <w:rPr>
                <w:rFonts w:cs="Arial"/>
                <w:color w:val="0D0D0D" w:themeColor="text1" w:themeTint="F2"/>
                <w:spacing w:val="-5"/>
                <w:szCs w:val="20"/>
                <w:lang w:val="en-GB"/>
              </w:rPr>
            </w:pPr>
            <w:r w:rsidRPr="00D160FB">
              <w:rPr>
                <w:rFonts w:cs="Arial"/>
                <w:color w:val="0D0D0D" w:themeColor="text1" w:themeTint="F2"/>
                <w:spacing w:val="-5"/>
                <w:szCs w:val="20"/>
                <w:lang w:val="en-GB"/>
              </w:rPr>
              <w:t>Retail sales</w:t>
            </w:r>
            <w:r w:rsidRPr="00D160FB">
              <w:rPr>
                <w:rStyle w:val="Znakapoznpodarou"/>
                <w:color w:val="0D0D0D" w:themeColor="text1" w:themeTint="F2"/>
                <w:spacing w:val="-5"/>
                <w:lang w:val="en-GB"/>
              </w:rPr>
              <w:footnoteReference w:id="31"/>
            </w:r>
            <w:r w:rsidRPr="00D160FB">
              <w:rPr>
                <w:rFonts w:cs="Arial"/>
                <w:color w:val="0D0D0D" w:themeColor="text1" w:themeTint="F2"/>
                <w:spacing w:val="-5"/>
                <w:szCs w:val="20"/>
                <w:lang w:val="en-GB"/>
              </w:rPr>
              <w:t xml:space="preserve"> were by even 2% lower quarter-on-quarter in Q4 2022, when they dropped in all its significant segments except of the sale of motor fuels. The slump of demand in retail continued for the fifth quarter in a row (similarly as in the case of total expenditures of domestic household on final consumption). </w:t>
            </w:r>
            <w:r w:rsidR="000E006A">
              <w:rPr>
                <w:rFonts w:cs="Arial"/>
                <w:color w:val="0D0D0D" w:themeColor="text1" w:themeTint="F2"/>
                <w:spacing w:val="-5"/>
                <w:szCs w:val="20"/>
                <w:lang w:val="en-GB"/>
              </w:rPr>
              <w:t>On contrary, h</w:t>
            </w:r>
            <w:r w:rsidRPr="00D160FB">
              <w:rPr>
                <w:rFonts w:cs="Arial"/>
                <w:color w:val="0D0D0D" w:themeColor="text1" w:themeTint="F2"/>
                <w:spacing w:val="-5"/>
                <w:szCs w:val="20"/>
                <w:lang w:val="en-GB"/>
              </w:rPr>
              <w:t xml:space="preserve">igher consumption expenditures of non-residents associated </w:t>
            </w:r>
            <w:r w:rsidR="000E006A">
              <w:rPr>
                <w:rFonts w:cs="Arial"/>
                <w:color w:val="0D0D0D" w:themeColor="text1" w:themeTint="F2"/>
                <w:spacing w:val="-5"/>
                <w:szCs w:val="20"/>
                <w:lang w:val="en-GB"/>
              </w:rPr>
              <w:t>both with the revival of tourism and</w:t>
            </w:r>
            <w:r w:rsidRPr="00D160FB">
              <w:rPr>
                <w:rFonts w:cs="Arial"/>
                <w:color w:val="0D0D0D" w:themeColor="text1" w:themeTint="F2"/>
                <w:spacing w:val="-5"/>
                <w:szCs w:val="20"/>
                <w:lang w:val="en-GB"/>
              </w:rPr>
              <w:t xml:space="preserve"> the refugee wave from Ukraine </w:t>
            </w:r>
            <w:r w:rsidRPr="00D160FB">
              <w:rPr>
                <w:rFonts w:cs="Arial"/>
                <w:color w:val="0D0D0D" w:themeColor="text1" w:themeTint="F2"/>
                <w:spacing w:val="-4"/>
                <w:szCs w:val="20"/>
                <w:lang w:val="en-GB"/>
              </w:rPr>
              <w:t>had a pro-growth effect.</w:t>
            </w:r>
            <w:r w:rsidRPr="00D160FB">
              <w:rPr>
                <w:rFonts w:cs="Arial"/>
                <w:color w:val="0D0D0D" w:themeColor="text1" w:themeTint="F2"/>
                <w:spacing w:val="-5"/>
                <w:szCs w:val="20"/>
                <w:lang w:val="en-GB"/>
              </w:rPr>
              <w:t xml:space="preserve"> The month-on-month decrease of the retail sales ceased in January 2023, their size however only balanced out the level from October 2018. The slump of the consumer confidence down to the historical minimum (in October 2022)</w:t>
            </w:r>
            <w:r w:rsidRPr="00D160FB">
              <w:rPr>
                <w:rStyle w:val="Znakapoznpodarou"/>
                <w:color w:val="0D0D0D" w:themeColor="text1" w:themeTint="F2"/>
                <w:spacing w:val="-5"/>
                <w:szCs w:val="20"/>
                <w:lang w:val="en-GB"/>
              </w:rPr>
              <w:footnoteReference w:id="32"/>
            </w:r>
            <w:r w:rsidRPr="00D160FB">
              <w:rPr>
                <w:rFonts w:cs="Arial"/>
                <w:color w:val="0D0D0D" w:themeColor="text1" w:themeTint="F2"/>
                <w:spacing w:val="-5"/>
                <w:szCs w:val="20"/>
                <w:lang w:val="en-GB"/>
              </w:rPr>
              <w:t xml:space="preserve"> </w:t>
            </w:r>
            <w:r w:rsidR="0066345F" w:rsidRPr="00D160FB">
              <w:rPr>
                <w:rFonts w:cs="Arial"/>
                <w:color w:val="0D0D0D" w:themeColor="text1" w:themeTint="F2"/>
                <w:spacing w:val="-5"/>
                <w:szCs w:val="20"/>
                <w:lang w:val="en-GB"/>
              </w:rPr>
              <w:t>fully manifested here</w:t>
            </w:r>
            <w:r w:rsidR="0066345F">
              <w:rPr>
                <w:rFonts w:cs="Arial"/>
                <w:color w:val="0D0D0D" w:themeColor="text1" w:themeTint="F2"/>
                <w:spacing w:val="-5"/>
                <w:szCs w:val="20"/>
                <w:lang w:val="en-GB"/>
              </w:rPr>
              <w:t>.</w:t>
            </w:r>
            <w:r w:rsidR="0066345F" w:rsidRPr="00D160FB">
              <w:rPr>
                <w:rFonts w:cs="Arial"/>
                <w:color w:val="0D0D0D" w:themeColor="text1" w:themeTint="F2"/>
                <w:spacing w:val="-5"/>
                <w:szCs w:val="20"/>
                <w:lang w:val="en-GB"/>
              </w:rPr>
              <w:t xml:space="preserve"> </w:t>
            </w:r>
            <w:r w:rsidRPr="00D160FB">
              <w:rPr>
                <w:rFonts w:cs="Arial"/>
                <w:color w:val="0D0D0D" w:themeColor="text1" w:themeTint="F2"/>
                <w:spacing w:val="-5"/>
                <w:szCs w:val="20"/>
                <w:lang w:val="en-GB"/>
              </w:rPr>
              <w:t xml:space="preserve">Household confidence partially recovered at the beginning of year 2023, since the pessimism in the area of the </w:t>
            </w:r>
            <w:r w:rsidR="0066345F">
              <w:rPr>
                <w:rFonts w:cs="Arial"/>
                <w:color w:val="0D0D0D" w:themeColor="text1" w:themeTint="F2"/>
                <w:spacing w:val="-5"/>
                <w:szCs w:val="20"/>
                <w:lang w:val="en-GB"/>
              </w:rPr>
              <w:t xml:space="preserve">anticipated </w:t>
            </w:r>
            <w:r w:rsidRPr="00D160FB">
              <w:rPr>
                <w:rFonts w:cs="Arial"/>
                <w:color w:val="0D0D0D" w:themeColor="text1" w:themeTint="F2"/>
                <w:spacing w:val="-5"/>
                <w:szCs w:val="20"/>
                <w:lang w:val="en-GB"/>
              </w:rPr>
              <w:t>household financial situation</w:t>
            </w:r>
            <w:r w:rsidR="0066345F">
              <w:rPr>
                <w:rFonts w:cs="Arial"/>
                <w:color w:val="0D0D0D" w:themeColor="text1" w:themeTint="F2"/>
                <w:spacing w:val="-5"/>
                <w:szCs w:val="20"/>
                <w:lang w:val="en-GB"/>
              </w:rPr>
              <w:t xml:space="preserve"> (for </w:t>
            </w:r>
            <w:r w:rsidRPr="00D160FB">
              <w:rPr>
                <w:rFonts w:cs="Arial"/>
                <w:color w:val="0D0D0D" w:themeColor="text1" w:themeTint="F2"/>
                <w:spacing w:val="-5"/>
                <w:szCs w:val="20"/>
                <w:lang w:val="en-GB"/>
              </w:rPr>
              <w:t>year</w:t>
            </w:r>
            <w:r w:rsidR="0066345F">
              <w:rPr>
                <w:rFonts w:cs="Arial"/>
                <w:color w:val="0D0D0D" w:themeColor="text1" w:themeTint="F2"/>
                <w:spacing w:val="-5"/>
                <w:szCs w:val="20"/>
                <w:lang w:val="en-GB"/>
              </w:rPr>
              <w:t xml:space="preserve"> 2023)</w:t>
            </w:r>
            <w:r w:rsidRPr="00D160FB">
              <w:rPr>
                <w:rFonts w:cs="Arial"/>
                <w:color w:val="0D0D0D" w:themeColor="text1" w:themeTint="F2"/>
                <w:spacing w:val="-5"/>
                <w:szCs w:val="20"/>
                <w:lang w:val="en-GB"/>
              </w:rPr>
              <w:t xml:space="preserve"> eased up. Their concerns regarding the growth of prices as well as unemployment also lowered. It could have been connected to the relatively favourable trends in the area of the up-to-date development of prices on the market with energies and motor fuels. On the other hand, people remained fairly careful in the area of planning large purchases (mainly durable goods or investment). </w:t>
            </w:r>
          </w:p>
        </w:tc>
      </w:tr>
      <w:tr w:rsidR="005279E0" w:rsidRPr="00D160FB" w14:paraId="649FC10F" w14:textId="77777777" w:rsidTr="00976631">
        <w:trPr>
          <w:trHeight w:val="170"/>
        </w:trPr>
        <w:tc>
          <w:tcPr>
            <w:tcW w:w="1780" w:type="dxa"/>
            <w:tcBorders>
              <w:top w:val="nil"/>
              <w:left w:val="nil"/>
              <w:bottom w:val="nil"/>
              <w:right w:val="nil"/>
            </w:tcBorders>
            <w:shd w:val="clear" w:color="auto" w:fill="auto"/>
            <w:tcMar>
              <w:left w:w="0" w:type="dxa"/>
            </w:tcMar>
          </w:tcPr>
          <w:p w14:paraId="49996F4C" w14:textId="77777777" w:rsidR="005279E0" w:rsidRPr="00D160FB" w:rsidRDefault="005279E0" w:rsidP="005279E0">
            <w:pPr>
              <w:pStyle w:val="Marginlie"/>
              <w:rPr>
                <w:color w:val="0D0D0D" w:themeColor="text1" w:themeTint="F2"/>
                <w:lang w:val="en-GB"/>
              </w:rPr>
            </w:pPr>
          </w:p>
        </w:tc>
        <w:tc>
          <w:tcPr>
            <w:tcW w:w="200" w:type="dxa"/>
            <w:tcBorders>
              <w:top w:val="nil"/>
              <w:left w:val="nil"/>
              <w:bottom w:val="nil"/>
              <w:right w:val="nil"/>
            </w:tcBorders>
            <w:shd w:val="clear" w:color="auto" w:fill="auto"/>
            <w:tcMar>
              <w:left w:w="0" w:type="dxa"/>
            </w:tcMar>
          </w:tcPr>
          <w:p w14:paraId="1E4F9552" w14:textId="77777777" w:rsidR="005279E0" w:rsidRPr="00D160FB" w:rsidRDefault="005279E0" w:rsidP="005279E0">
            <w:pPr>
              <w:pStyle w:val="Textpoznpodarou"/>
              <w:jc w:val="both"/>
              <w:rPr>
                <w:color w:val="0D0D0D" w:themeColor="text1" w:themeTint="F2"/>
                <w:spacing w:val="-4"/>
                <w:lang w:val="en-GB"/>
              </w:rPr>
            </w:pPr>
          </w:p>
        </w:tc>
        <w:tc>
          <w:tcPr>
            <w:tcW w:w="7730" w:type="dxa"/>
            <w:tcBorders>
              <w:top w:val="nil"/>
              <w:left w:val="nil"/>
              <w:bottom w:val="nil"/>
              <w:right w:val="nil"/>
            </w:tcBorders>
            <w:shd w:val="clear" w:color="auto" w:fill="auto"/>
            <w:tcMar>
              <w:left w:w="0" w:type="dxa"/>
            </w:tcMar>
          </w:tcPr>
          <w:p w14:paraId="6E20350A" w14:textId="33314A61" w:rsidR="005279E0" w:rsidRPr="00D160FB" w:rsidRDefault="005279E0" w:rsidP="005279E0">
            <w:pPr>
              <w:spacing w:after="40"/>
              <w:rPr>
                <w:rFonts w:cs="Arial"/>
                <w:color w:val="0D0D0D" w:themeColor="text1" w:themeTint="F2"/>
                <w:spacing w:val="-4"/>
                <w:szCs w:val="20"/>
                <w:lang w:val="en-GB"/>
              </w:rPr>
            </w:pPr>
            <w:r w:rsidRPr="00D160FB">
              <w:rPr>
                <w:b/>
                <w:lang w:val="en-GB"/>
              </w:rPr>
              <w:t>Chart 8 Contributions of sub-branches to year-on-year change of retail sales</w:t>
            </w:r>
            <w:r w:rsidRPr="00D160FB">
              <w:rPr>
                <w:rFonts w:cs="Arial"/>
                <w:b/>
                <w:bCs/>
                <w:color w:val="0D0D0D" w:themeColor="text1" w:themeTint="F2"/>
                <w:spacing w:val="-6"/>
                <w:lang w:val="en-GB"/>
              </w:rPr>
              <w:t xml:space="preserve">* </w:t>
            </w:r>
            <w:r w:rsidRPr="00D160FB">
              <w:rPr>
                <w:rFonts w:cs="Arial"/>
                <w:color w:val="0D0D0D" w:themeColor="text1" w:themeTint="F2"/>
                <w:spacing w:val="-6"/>
                <w:lang w:val="en-GB"/>
              </w:rPr>
              <w:t xml:space="preserve">(real, in p.p.), </w:t>
            </w:r>
            <w:r w:rsidR="0066345F" w:rsidRPr="0066345F">
              <w:rPr>
                <w:rFonts w:cs="Arial"/>
                <w:b/>
                <w:color w:val="0D0D0D" w:themeColor="text1" w:themeTint="F2"/>
                <w:spacing w:val="-6"/>
                <w:lang w:val="en-GB"/>
              </w:rPr>
              <w:t>total</w:t>
            </w:r>
            <w:r w:rsidR="0066345F">
              <w:rPr>
                <w:rFonts w:cs="Arial"/>
                <w:color w:val="0D0D0D" w:themeColor="text1" w:themeTint="F2"/>
                <w:spacing w:val="-6"/>
                <w:lang w:val="en-GB"/>
              </w:rPr>
              <w:t xml:space="preserve"> </w:t>
            </w:r>
            <w:r w:rsidRPr="00D160FB">
              <w:rPr>
                <w:rFonts w:cs="Arial"/>
                <w:b/>
                <w:bCs/>
                <w:color w:val="0D0D0D" w:themeColor="text1" w:themeTint="F2"/>
                <w:spacing w:val="-6"/>
                <w:lang w:val="en-GB"/>
              </w:rPr>
              <w:t>r</w:t>
            </w:r>
            <w:r w:rsidRPr="00D160FB">
              <w:rPr>
                <w:rFonts w:cs="Arial"/>
                <w:b/>
                <w:bCs/>
                <w:color w:val="0D0D0D" w:themeColor="text1" w:themeTint="F2"/>
                <w:spacing w:val="-4"/>
                <w:szCs w:val="20"/>
                <w:lang w:val="en-GB"/>
              </w:rPr>
              <w:t xml:space="preserve">etail sales and sales of motor vehicles** </w:t>
            </w:r>
            <w:r w:rsidRPr="00D160FB">
              <w:rPr>
                <w:rFonts w:cs="Arial"/>
                <w:color w:val="0D0D0D" w:themeColor="text1" w:themeTint="F2"/>
                <w:spacing w:val="-4"/>
                <w:szCs w:val="20"/>
                <w:lang w:val="en-GB"/>
              </w:rPr>
              <w:t>(real, leve</w:t>
            </w:r>
            <w:r w:rsidR="0066345F">
              <w:rPr>
                <w:rFonts w:cs="Arial"/>
                <w:color w:val="0D0D0D" w:themeColor="text1" w:themeTint="F2"/>
                <w:spacing w:val="-4"/>
                <w:szCs w:val="20"/>
                <w:lang w:val="en-GB"/>
              </w:rPr>
              <w:t>l of year 2015=100, right axis),</w:t>
            </w:r>
            <w:r w:rsidRPr="00D160FB">
              <w:rPr>
                <w:rFonts w:cs="Arial"/>
                <w:b/>
                <w:color w:val="0D0D0D" w:themeColor="text1" w:themeTint="F2"/>
                <w:spacing w:val="-4"/>
                <w:szCs w:val="20"/>
                <w:lang w:val="en-GB"/>
              </w:rPr>
              <w:t xml:space="preserve"> balance of consumer confidence indicator</w:t>
            </w:r>
            <w:r>
              <w:rPr>
                <w:rFonts w:cs="Arial"/>
                <w:b/>
                <w:color w:val="0D0D0D" w:themeColor="text1" w:themeTint="F2"/>
                <w:spacing w:val="-4"/>
                <w:szCs w:val="20"/>
                <w:lang w:val="en-GB"/>
              </w:rPr>
              <w:t xml:space="preserve"> and confidence in trade</w:t>
            </w:r>
            <w:r w:rsidRPr="00D160FB">
              <w:rPr>
                <w:rFonts w:cs="Arial"/>
                <w:b/>
                <w:bCs/>
                <w:color w:val="0D0D0D" w:themeColor="text1" w:themeTint="F2"/>
                <w:spacing w:val="-4"/>
                <w:szCs w:val="20"/>
                <w:lang w:val="en-GB"/>
              </w:rPr>
              <w:t xml:space="preserve">*** </w:t>
            </w:r>
            <w:r w:rsidRPr="00D160FB">
              <w:rPr>
                <w:rFonts w:cs="Arial"/>
                <w:color w:val="0D0D0D" w:themeColor="text1" w:themeTint="F2"/>
                <w:spacing w:val="-4"/>
                <w:szCs w:val="20"/>
                <w:lang w:val="en-GB"/>
              </w:rPr>
              <w:t>(in points, right axis)</w:t>
            </w:r>
            <w:r w:rsidRPr="00D160FB">
              <w:rPr>
                <w:rFonts w:cs="Arial"/>
                <w:color w:val="0D0D0D" w:themeColor="text1" w:themeTint="F2"/>
                <w:spacing w:val="-6"/>
                <w:lang w:val="en-GB"/>
              </w:rPr>
              <w:t xml:space="preserve"> </w:t>
            </w:r>
          </w:p>
        </w:tc>
      </w:tr>
      <w:tr w:rsidR="005279E0" w:rsidRPr="00D160FB" w14:paraId="3D91FDEC" w14:textId="77777777" w:rsidTr="00976631">
        <w:tblPrEx>
          <w:tblCellMar>
            <w:left w:w="70" w:type="dxa"/>
            <w:right w:w="70" w:type="dxa"/>
          </w:tblCellMar>
        </w:tblPrEx>
        <w:trPr>
          <w:trHeight w:val="170"/>
        </w:trPr>
        <w:tc>
          <w:tcPr>
            <w:tcW w:w="1780" w:type="dxa"/>
            <w:tcBorders>
              <w:top w:val="nil"/>
              <w:left w:val="nil"/>
              <w:bottom w:val="nil"/>
              <w:right w:val="nil"/>
            </w:tcBorders>
            <w:shd w:val="clear" w:color="auto" w:fill="auto"/>
          </w:tcPr>
          <w:p w14:paraId="5FBE432D" w14:textId="77777777" w:rsidR="005279E0" w:rsidRPr="00D160FB" w:rsidRDefault="005279E0" w:rsidP="005279E0">
            <w:pPr>
              <w:pStyle w:val="Marginlie"/>
              <w:rPr>
                <w:lang w:val="en-GB"/>
              </w:rPr>
            </w:pPr>
          </w:p>
        </w:tc>
        <w:tc>
          <w:tcPr>
            <w:tcW w:w="200" w:type="dxa"/>
            <w:tcBorders>
              <w:top w:val="nil"/>
              <w:left w:val="nil"/>
              <w:bottom w:val="nil"/>
              <w:right w:val="nil"/>
            </w:tcBorders>
            <w:shd w:val="clear" w:color="auto" w:fill="auto"/>
          </w:tcPr>
          <w:p w14:paraId="2123F050" w14:textId="77777777" w:rsidR="005279E0" w:rsidRPr="00D160FB" w:rsidRDefault="005279E0" w:rsidP="005279E0">
            <w:pPr>
              <w:pStyle w:val="Textpoznpodarou"/>
              <w:jc w:val="both"/>
              <w:rPr>
                <w:spacing w:val="-4"/>
                <w:lang w:val="en-GB"/>
              </w:rPr>
            </w:pPr>
          </w:p>
        </w:tc>
        <w:tc>
          <w:tcPr>
            <w:tcW w:w="7730" w:type="dxa"/>
            <w:tcBorders>
              <w:top w:val="nil"/>
              <w:left w:val="nil"/>
              <w:bottom w:val="nil"/>
              <w:right w:val="nil"/>
            </w:tcBorders>
            <w:shd w:val="clear" w:color="auto" w:fill="auto"/>
          </w:tcPr>
          <w:p w14:paraId="7AC6F42B" w14:textId="01399AE4" w:rsidR="005279E0" w:rsidRPr="00D160FB" w:rsidRDefault="00976631" w:rsidP="005279E0">
            <w:pPr>
              <w:spacing w:after="0"/>
              <w:rPr>
                <w:rFonts w:cs="Arial"/>
                <w:sz w:val="14"/>
                <w:szCs w:val="14"/>
                <w:lang w:val="en-GB"/>
              </w:rPr>
            </w:pPr>
            <w:r>
              <w:rPr>
                <w:noProof/>
              </w:rPr>
              <w:drawing>
                <wp:inline distT="0" distB="0" distL="0" distR="0" wp14:anchorId="19F7BBED" wp14:editId="11EB949E">
                  <wp:extent cx="4787900" cy="35814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5279E0" w:rsidRPr="00D160FB" w14:paraId="569DBE30" w14:textId="77777777" w:rsidTr="00976631">
        <w:trPr>
          <w:trHeight w:val="170"/>
        </w:trPr>
        <w:tc>
          <w:tcPr>
            <w:tcW w:w="1780" w:type="dxa"/>
            <w:tcBorders>
              <w:top w:val="nil"/>
              <w:left w:val="nil"/>
              <w:bottom w:val="nil"/>
              <w:right w:val="nil"/>
            </w:tcBorders>
            <w:shd w:val="clear" w:color="auto" w:fill="auto"/>
            <w:tcMar>
              <w:left w:w="0" w:type="dxa"/>
            </w:tcMar>
          </w:tcPr>
          <w:p w14:paraId="24C71A95" w14:textId="77777777" w:rsidR="005279E0" w:rsidRPr="00D160FB" w:rsidRDefault="005279E0" w:rsidP="005279E0">
            <w:pPr>
              <w:pStyle w:val="Marginlie"/>
              <w:rPr>
                <w:lang w:val="en-GB"/>
              </w:rPr>
            </w:pPr>
          </w:p>
        </w:tc>
        <w:tc>
          <w:tcPr>
            <w:tcW w:w="200" w:type="dxa"/>
            <w:tcBorders>
              <w:top w:val="nil"/>
              <w:left w:val="nil"/>
              <w:bottom w:val="nil"/>
              <w:right w:val="nil"/>
            </w:tcBorders>
            <w:shd w:val="clear" w:color="auto" w:fill="auto"/>
            <w:tcMar>
              <w:left w:w="0" w:type="dxa"/>
            </w:tcMar>
          </w:tcPr>
          <w:p w14:paraId="0553836D" w14:textId="77777777" w:rsidR="005279E0" w:rsidRPr="00D160FB" w:rsidRDefault="005279E0" w:rsidP="005279E0">
            <w:pPr>
              <w:pStyle w:val="Textpoznpodarou"/>
              <w:spacing w:line="276" w:lineRule="auto"/>
              <w:jc w:val="both"/>
              <w:rPr>
                <w:spacing w:val="-4"/>
                <w:lang w:val="en-GB"/>
              </w:rPr>
            </w:pPr>
          </w:p>
        </w:tc>
        <w:tc>
          <w:tcPr>
            <w:tcW w:w="7730" w:type="dxa"/>
            <w:tcBorders>
              <w:top w:val="nil"/>
              <w:left w:val="nil"/>
              <w:bottom w:val="nil"/>
              <w:right w:val="nil"/>
            </w:tcBorders>
            <w:shd w:val="clear" w:color="auto" w:fill="auto"/>
            <w:tcMar>
              <w:left w:w="0" w:type="dxa"/>
            </w:tcMar>
          </w:tcPr>
          <w:p w14:paraId="48AF5684" w14:textId="77777777" w:rsidR="005279E0" w:rsidRDefault="005279E0" w:rsidP="005279E0">
            <w:pPr>
              <w:spacing w:after="0"/>
              <w:rPr>
                <w:rFonts w:cs="Arial"/>
                <w:sz w:val="14"/>
                <w:szCs w:val="14"/>
                <w:lang w:val="en-GB"/>
              </w:rPr>
            </w:pPr>
            <w:r w:rsidRPr="00D160FB">
              <w:rPr>
                <w:rFonts w:cs="Arial"/>
                <w:color w:val="0D0D0D" w:themeColor="text1" w:themeTint="F2"/>
                <w:spacing w:val="-6"/>
                <w:lang w:val="en-GB"/>
              </w:rPr>
              <w:t>*</w:t>
            </w:r>
            <w:r w:rsidRPr="00D160FB">
              <w:rPr>
                <w:rFonts w:cs="Arial"/>
                <w:sz w:val="14"/>
                <w:szCs w:val="14"/>
                <w:lang w:val="en-GB"/>
              </w:rPr>
              <w:t>Sales are adjust</w:t>
            </w:r>
            <w:r>
              <w:rPr>
                <w:rFonts w:cs="Arial"/>
                <w:sz w:val="14"/>
                <w:szCs w:val="14"/>
                <w:lang w:val="en-GB"/>
              </w:rPr>
              <w:t>ed for calendar effects.</w:t>
            </w:r>
          </w:p>
          <w:p w14:paraId="48DB3F9D" w14:textId="339A7CB7" w:rsidR="005279E0" w:rsidRPr="00D160FB" w:rsidRDefault="005279E0" w:rsidP="005279E0">
            <w:pPr>
              <w:spacing w:after="0"/>
              <w:rPr>
                <w:rFonts w:cs="Arial"/>
                <w:sz w:val="14"/>
                <w:szCs w:val="14"/>
                <w:lang w:val="en-GB"/>
              </w:rPr>
            </w:pPr>
            <w:r w:rsidRPr="00D160FB">
              <w:rPr>
                <w:rFonts w:cs="Arial"/>
                <w:sz w:val="14"/>
                <w:szCs w:val="14"/>
                <w:lang w:val="en-GB"/>
              </w:rPr>
              <w:t>** Sales are adjusted for both seasonal and calendar effects.</w:t>
            </w:r>
          </w:p>
          <w:p w14:paraId="25620685" w14:textId="77777777" w:rsidR="005279E0" w:rsidRPr="00D160FB" w:rsidRDefault="005279E0" w:rsidP="005279E0">
            <w:pPr>
              <w:spacing w:after="0"/>
              <w:rPr>
                <w:rFonts w:cs="Arial"/>
                <w:color w:val="0D0D0D" w:themeColor="text1" w:themeTint="F2"/>
                <w:spacing w:val="-4"/>
                <w:sz w:val="14"/>
                <w:szCs w:val="14"/>
                <w:lang w:val="en-GB"/>
              </w:rPr>
            </w:pPr>
            <w:r w:rsidRPr="00D160FB">
              <w:rPr>
                <w:rFonts w:cs="Arial"/>
                <w:color w:val="0D0D0D" w:themeColor="text1" w:themeTint="F2"/>
                <w:spacing w:val="-4"/>
                <w:sz w:val="14"/>
                <w:szCs w:val="14"/>
                <w:lang w:val="en-GB"/>
              </w:rPr>
              <w:t>*** Consumer confidence indicator is seasonally adjusted and expresses the position in the second month of the given quarter</w:t>
            </w:r>
          </w:p>
          <w:p w14:paraId="54D3A640" w14:textId="7EE178A5" w:rsidR="005279E0" w:rsidRPr="00D50BC3" w:rsidRDefault="005279E0" w:rsidP="005279E0">
            <w:pPr>
              <w:spacing w:after="200"/>
              <w:rPr>
                <w:rFonts w:cs="Arial"/>
                <w:color w:val="0D0D0D" w:themeColor="text1" w:themeTint="F2"/>
                <w:spacing w:val="-4"/>
                <w:sz w:val="14"/>
                <w:szCs w:val="14"/>
                <w:lang w:val="en-GB"/>
              </w:rPr>
            </w:pPr>
            <w:r w:rsidRPr="00D160FB">
              <w:rPr>
                <w:rFonts w:cs="Arial"/>
                <w:color w:val="0D0D0D" w:themeColor="text1" w:themeTint="F2"/>
                <w:spacing w:val="-4"/>
                <w:sz w:val="14"/>
                <w:szCs w:val="14"/>
                <w:lang w:val="en-GB"/>
              </w:rPr>
              <w:t>Source: CZSO</w:t>
            </w:r>
          </w:p>
        </w:tc>
      </w:tr>
      <w:tr w:rsidR="005279E0" w:rsidRPr="00D160FB" w14:paraId="7B09011E" w14:textId="77777777" w:rsidTr="00976631">
        <w:trPr>
          <w:trHeight w:val="170"/>
        </w:trPr>
        <w:tc>
          <w:tcPr>
            <w:tcW w:w="1780" w:type="dxa"/>
            <w:tcBorders>
              <w:top w:val="nil"/>
              <w:left w:val="nil"/>
              <w:bottom w:val="nil"/>
              <w:right w:val="nil"/>
            </w:tcBorders>
            <w:shd w:val="clear" w:color="auto" w:fill="auto"/>
            <w:tcMar>
              <w:left w:w="0" w:type="dxa"/>
            </w:tcMar>
          </w:tcPr>
          <w:p w14:paraId="7C962893" w14:textId="6BF6E8D4" w:rsidR="005279E0" w:rsidRPr="00D160FB" w:rsidRDefault="005279E0" w:rsidP="005279E0">
            <w:pPr>
              <w:pStyle w:val="Marginlie"/>
              <w:rPr>
                <w:lang w:val="en-GB"/>
              </w:rPr>
            </w:pPr>
            <w:r w:rsidRPr="00D160FB">
              <w:rPr>
                <w:lang w:val="en-GB"/>
              </w:rPr>
              <w:t xml:space="preserve">Lower sale of food added from one half to the decrease of the retail sales for the entire last year. Demand also fell </w:t>
            </w:r>
            <w:r w:rsidRPr="00D160FB">
              <w:rPr>
                <w:lang w:val="en-GB"/>
              </w:rPr>
              <w:lastRenderedPageBreak/>
              <w:t xml:space="preserve">considerably in the area of sales via internet. </w:t>
            </w:r>
          </w:p>
          <w:p w14:paraId="279F9A3F" w14:textId="77777777" w:rsidR="005279E0" w:rsidRPr="00D160FB" w:rsidRDefault="005279E0" w:rsidP="005279E0">
            <w:pPr>
              <w:pStyle w:val="Marginlie"/>
              <w:rPr>
                <w:lang w:val="en-GB"/>
              </w:rPr>
            </w:pPr>
          </w:p>
          <w:p w14:paraId="30ED2CB1" w14:textId="77777777" w:rsidR="005279E0" w:rsidRPr="00D160FB" w:rsidRDefault="005279E0" w:rsidP="005279E0">
            <w:pPr>
              <w:pStyle w:val="Marginlie"/>
              <w:rPr>
                <w:lang w:val="en-GB"/>
              </w:rPr>
            </w:pPr>
          </w:p>
          <w:p w14:paraId="15D858EC" w14:textId="77777777" w:rsidR="005279E0" w:rsidRPr="00D160FB" w:rsidRDefault="005279E0" w:rsidP="005279E0">
            <w:pPr>
              <w:pStyle w:val="Marginlie"/>
              <w:rPr>
                <w:lang w:val="en-GB"/>
              </w:rPr>
            </w:pPr>
          </w:p>
          <w:p w14:paraId="27D80850" w14:textId="77777777" w:rsidR="005279E0" w:rsidRPr="00D160FB" w:rsidRDefault="005279E0" w:rsidP="005279E0">
            <w:pPr>
              <w:pStyle w:val="Marginlie"/>
              <w:rPr>
                <w:lang w:val="en-GB"/>
              </w:rPr>
            </w:pPr>
          </w:p>
          <w:p w14:paraId="25C3AFD8" w14:textId="3C54CE34" w:rsidR="005279E0" w:rsidRPr="00D160FB" w:rsidRDefault="005279E0" w:rsidP="005279E0">
            <w:pPr>
              <w:pStyle w:val="Marginlie"/>
              <w:rPr>
                <w:lang w:val="en-GB"/>
              </w:rPr>
            </w:pPr>
            <w:r w:rsidRPr="00D160FB">
              <w:rPr>
                <w:lang w:val="en-GB"/>
              </w:rPr>
              <w:t>Decrease of demand moderated in the motorist segment of trade, still it notably stayed behind the year 2019.</w:t>
            </w:r>
          </w:p>
          <w:p w14:paraId="5F3DAF95" w14:textId="77777777" w:rsidR="005279E0" w:rsidRPr="00D160FB" w:rsidRDefault="005279E0" w:rsidP="005279E0">
            <w:pPr>
              <w:pStyle w:val="Marginlie"/>
              <w:rPr>
                <w:lang w:val="en-GB"/>
              </w:rPr>
            </w:pPr>
          </w:p>
        </w:tc>
        <w:tc>
          <w:tcPr>
            <w:tcW w:w="200" w:type="dxa"/>
            <w:tcBorders>
              <w:top w:val="nil"/>
              <w:left w:val="nil"/>
              <w:bottom w:val="nil"/>
              <w:right w:val="nil"/>
            </w:tcBorders>
            <w:shd w:val="clear" w:color="auto" w:fill="auto"/>
            <w:tcMar>
              <w:left w:w="0" w:type="dxa"/>
            </w:tcMar>
          </w:tcPr>
          <w:p w14:paraId="5C85D738" w14:textId="77777777" w:rsidR="005279E0" w:rsidRPr="00D160FB" w:rsidRDefault="005279E0" w:rsidP="005279E0">
            <w:pPr>
              <w:pStyle w:val="Textpoznpodarou"/>
              <w:jc w:val="both"/>
              <w:rPr>
                <w:spacing w:val="-4"/>
                <w:lang w:val="en-GB"/>
              </w:rPr>
            </w:pPr>
          </w:p>
        </w:tc>
        <w:tc>
          <w:tcPr>
            <w:tcW w:w="7730" w:type="dxa"/>
            <w:tcBorders>
              <w:top w:val="nil"/>
              <w:left w:val="nil"/>
              <w:bottom w:val="nil"/>
              <w:right w:val="nil"/>
            </w:tcBorders>
            <w:shd w:val="clear" w:color="auto" w:fill="auto"/>
            <w:tcMar>
              <w:left w:w="0" w:type="dxa"/>
            </w:tcMar>
          </w:tcPr>
          <w:p w14:paraId="159E755C" w14:textId="0C906BF8" w:rsidR="005279E0" w:rsidRPr="00D160FB" w:rsidRDefault="005279E0" w:rsidP="005279E0">
            <w:pPr>
              <w:spacing w:after="0"/>
              <w:rPr>
                <w:rFonts w:cs="Arial"/>
                <w:color w:val="0D0D0D" w:themeColor="text1" w:themeTint="F2"/>
                <w:spacing w:val="-6"/>
                <w:lang w:val="en-GB"/>
              </w:rPr>
            </w:pPr>
            <w:r>
              <w:rPr>
                <w:rFonts w:cs="Arial"/>
                <w:color w:val="0D0D0D" w:themeColor="text1" w:themeTint="F2"/>
                <w:spacing w:val="-6"/>
                <w:lang w:val="en-GB"/>
              </w:rPr>
              <w:t>Retail sal</w:t>
            </w:r>
            <w:r w:rsidRPr="00D160FB">
              <w:rPr>
                <w:rFonts w:cs="Arial"/>
                <w:color w:val="0D0D0D" w:themeColor="text1" w:themeTint="F2"/>
                <w:spacing w:val="-6"/>
                <w:lang w:val="en-GB"/>
              </w:rPr>
              <w:t>es plunged by 9.2% year-on-year i</w:t>
            </w:r>
            <w:r>
              <w:rPr>
                <w:rFonts w:cs="Arial"/>
                <w:color w:val="0D0D0D" w:themeColor="text1" w:themeTint="F2"/>
                <w:spacing w:val="-6"/>
                <w:lang w:val="en-GB"/>
              </w:rPr>
              <w:t>n the last</w:t>
            </w:r>
            <w:r w:rsidRPr="00D160FB">
              <w:rPr>
                <w:rFonts w:cs="Arial"/>
                <w:color w:val="0D0D0D" w:themeColor="text1" w:themeTint="F2"/>
                <w:spacing w:val="-6"/>
                <w:lang w:val="en-GB"/>
              </w:rPr>
              <w:t xml:space="preserve"> year’s quarter. Large slump of demand was felt across all its main segments, including the vast majority of specialised shops. Retail sales decreased by 3.8% for the entire year 2022 (the largest year-on-year decrease in the comparable time series since year 2001). </w:t>
            </w:r>
            <w:r w:rsidR="00104022">
              <w:rPr>
                <w:rFonts w:cs="Arial"/>
                <w:color w:val="0D0D0D" w:themeColor="text1" w:themeTint="F2"/>
                <w:spacing w:val="-6"/>
                <w:lang w:val="en-GB"/>
              </w:rPr>
              <w:t>One-</w:t>
            </w:r>
            <w:r w:rsidRPr="00D160FB">
              <w:rPr>
                <w:rFonts w:cs="Arial"/>
                <w:color w:val="0D0D0D" w:themeColor="text1" w:themeTint="F2"/>
                <w:spacing w:val="-6"/>
                <w:lang w:val="en-GB"/>
              </w:rPr>
              <w:t xml:space="preserve">half of the last year’s decrease was associated </w:t>
            </w:r>
            <w:r w:rsidRPr="00D160FB">
              <w:rPr>
                <w:rFonts w:cs="Arial"/>
                <w:color w:val="0D0D0D" w:themeColor="text1" w:themeTint="F2"/>
                <w:spacing w:val="-6"/>
                <w:lang w:val="en-GB"/>
              </w:rPr>
              <w:lastRenderedPageBreak/>
              <w:t>with the lower sales for food</w:t>
            </w:r>
            <w:r w:rsidR="00104022">
              <w:rPr>
                <w:rFonts w:cs="Arial"/>
                <w:color w:val="0D0D0D" w:themeColor="text1" w:themeTint="F2"/>
                <w:spacing w:val="-6"/>
                <w:lang w:val="en-GB"/>
              </w:rPr>
              <w:t>, beverages and tobacco</w:t>
            </w:r>
            <w:r w:rsidRPr="00D160FB">
              <w:rPr>
                <w:rFonts w:cs="Arial"/>
                <w:color w:val="0D0D0D" w:themeColor="text1" w:themeTint="F2"/>
                <w:spacing w:val="-6"/>
                <w:lang w:val="en-GB"/>
              </w:rPr>
              <w:t xml:space="preserve"> (by 5.1%), when both large non-specialised shops (chains) and specialised shops recorded similar decrease of demand. Sales for non-food goods, which were the decisive factor in the retail slump in H2 2022 also registered a record decrease </w:t>
            </w:r>
            <w:r w:rsidR="00104022">
              <w:rPr>
                <w:rFonts w:cs="Arial"/>
                <w:color w:val="0D0D0D" w:themeColor="text1" w:themeTint="F2"/>
                <w:spacing w:val="-6"/>
                <w:lang w:val="en-GB"/>
              </w:rPr>
              <w:t xml:space="preserve">in the whole </w:t>
            </w:r>
            <w:r w:rsidRPr="00D160FB">
              <w:rPr>
                <w:rFonts w:cs="Arial"/>
                <w:color w:val="0D0D0D" w:themeColor="text1" w:themeTint="F2"/>
                <w:spacing w:val="-6"/>
                <w:lang w:val="en-GB"/>
              </w:rPr>
              <w:t>last year (by 3.1%). Weaker sales via internet or mail order houses, where sales plummeted by 10.6%</w:t>
            </w:r>
            <w:r w:rsidRPr="00D160FB">
              <w:rPr>
                <w:rStyle w:val="Znakapoznpodarou"/>
                <w:rFonts w:cs="Arial"/>
                <w:color w:val="0D0D0D" w:themeColor="text1" w:themeTint="F2"/>
                <w:spacing w:val="-6"/>
                <w:lang w:val="en-GB"/>
              </w:rPr>
              <w:footnoteReference w:id="33"/>
            </w:r>
            <w:r w:rsidRPr="00D160FB">
              <w:rPr>
                <w:rFonts w:cs="Arial"/>
                <w:color w:val="0D0D0D" w:themeColor="text1" w:themeTint="F2"/>
                <w:spacing w:val="-6"/>
                <w:lang w:val="en-GB"/>
              </w:rPr>
              <w:t xml:space="preserve"> for the entire last year played an essential role (there were still by nearly one third higher compared to year 2019). Milder decrease of demand was however apparent also in </w:t>
            </w:r>
            <w:r w:rsidR="00104022">
              <w:rPr>
                <w:rFonts w:cs="Arial"/>
                <w:color w:val="0D0D0D" w:themeColor="text1" w:themeTint="F2"/>
                <w:spacing w:val="-6"/>
                <w:lang w:val="en-GB"/>
              </w:rPr>
              <w:t>the majority of other specialised</w:t>
            </w:r>
            <w:r w:rsidRPr="00D160FB">
              <w:rPr>
                <w:rFonts w:cs="Arial"/>
                <w:color w:val="0D0D0D" w:themeColor="text1" w:themeTint="F2"/>
                <w:spacing w:val="-6"/>
                <w:lang w:val="en-GB"/>
              </w:rPr>
              <w:t xml:space="preserve"> stores with non-food goods. Mainly the shops with wearing apparel, footwear and leather goods represented the exception, with sales strengthening by more than one tenth year-on-year (but lagging by nearly one fifth behind the year 2019). Specialised stores with cosmetics and toilet articles recorded milder 4% growth. The demand for pharmaceutical and health goods, where t</w:t>
            </w:r>
            <w:r w:rsidR="00104022">
              <w:rPr>
                <w:rFonts w:cs="Arial"/>
                <w:color w:val="0D0D0D" w:themeColor="text1" w:themeTint="F2"/>
                <w:spacing w:val="-6"/>
                <w:lang w:val="en-GB"/>
              </w:rPr>
              <w:t>he price growth was only mild</w:t>
            </w:r>
            <w:r w:rsidRPr="00D160FB">
              <w:rPr>
                <w:rFonts w:cs="Arial"/>
                <w:color w:val="0D0D0D" w:themeColor="text1" w:themeTint="F2"/>
                <w:spacing w:val="-6"/>
                <w:lang w:val="en-GB"/>
              </w:rPr>
              <w:t xml:space="preserve"> this year in contrast to the majority of other range of products</w:t>
            </w:r>
            <w:r w:rsidR="00104022">
              <w:rPr>
                <w:rFonts w:cs="Arial"/>
                <w:color w:val="0D0D0D" w:themeColor="text1" w:themeTint="F2"/>
                <w:spacing w:val="-6"/>
                <w:lang w:val="en-GB"/>
              </w:rPr>
              <w:t>,</w:t>
            </w:r>
            <w:r w:rsidRPr="00D160FB">
              <w:rPr>
                <w:rFonts w:cs="Arial"/>
                <w:color w:val="0D0D0D" w:themeColor="text1" w:themeTint="F2"/>
                <w:spacing w:val="-6"/>
                <w:lang w:val="en-GB"/>
              </w:rPr>
              <w:t xml:space="preserve"> also grew similarly. Price development also affected the demand for motor fuels last year. Sales decreased by 2.3% in this area year-on-year, they still stayed behind the year 2019 (by 7.5%)</w:t>
            </w:r>
            <w:r w:rsidRPr="00D160FB">
              <w:rPr>
                <w:rStyle w:val="Znakapoznpodarou"/>
                <w:rFonts w:cs="Arial"/>
                <w:color w:val="0D0D0D" w:themeColor="text1" w:themeTint="F2"/>
                <w:spacing w:val="-6"/>
                <w:lang w:val="en-GB"/>
              </w:rPr>
              <w:footnoteReference w:id="34"/>
            </w:r>
            <w:r w:rsidRPr="00D160FB">
              <w:rPr>
                <w:rFonts w:cs="Arial"/>
                <w:color w:val="0D0D0D" w:themeColor="text1" w:themeTint="F2"/>
                <w:spacing w:val="-6"/>
                <w:lang w:val="en-GB"/>
              </w:rPr>
              <w:t xml:space="preserve">. It was also valid for the motorist segment of trade, where however the decrease of sales </w:t>
            </w:r>
            <w:r w:rsidR="00104022">
              <w:rPr>
                <w:rFonts w:cs="Arial"/>
                <w:color w:val="0D0D0D" w:themeColor="text1" w:themeTint="F2"/>
                <w:spacing w:val="-6"/>
                <w:lang w:val="en-GB"/>
              </w:rPr>
              <w:t>(</w:t>
            </w:r>
            <w:r w:rsidRPr="00D160FB">
              <w:rPr>
                <w:rFonts w:cs="Arial"/>
                <w:color w:val="0D0D0D" w:themeColor="text1" w:themeTint="F2"/>
                <w:spacing w:val="-6"/>
                <w:lang w:val="en-GB"/>
              </w:rPr>
              <w:t>lasting since the half of year 2021</w:t>
            </w:r>
            <w:r w:rsidR="00104022">
              <w:rPr>
                <w:rFonts w:cs="Arial"/>
                <w:color w:val="0D0D0D" w:themeColor="text1" w:themeTint="F2"/>
                <w:spacing w:val="-6"/>
                <w:lang w:val="en-GB"/>
              </w:rPr>
              <w:t>)</w:t>
            </w:r>
            <w:r w:rsidRPr="00D160FB">
              <w:rPr>
                <w:rFonts w:cs="Arial"/>
                <w:color w:val="0D0D0D" w:themeColor="text1" w:themeTint="F2"/>
                <w:spacing w:val="-6"/>
                <w:lang w:val="en-GB"/>
              </w:rPr>
              <w:t xml:space="preserve"> moderated to 1.8% last year in Q4</w:t>
            </w:r>
            <w:r w:rsidR="00104022">
              <w:rPr>
                <w:rFonts w:cs="Arial"/>
                <w:color w:val="0D0D0D" w:themeColor="text1" w:themeTint="F2"/>
                <w:spacing w:val="-6"/>
                <w:lang w:val="en-GB"/>
              </w:rPr>
              <w:t xml:space="preserve"> 2022</w:t>
            </w:r>
            <w:r w:rsidRPr="00D160FB">
              <w:rPr>
                <w:rFonts w:cs="Arial"/>
                <w:color w:val="0D0D0D" w:themeColor="text1" w:themeTint="F2"/>
                <w:spacing w:val="-6"/>
                <w:lang w:val="en-GB"/>
              </w:rPr>
              <w:t xml:space="preserve">. The only part of this segment, where the demand for the entire last year exceeded the pre-crisis year 2019 was trade, repairs and maintenance of motorcycles (+2.4%), in contrast it stayed behind by 14.1% for the trade with the motor vehicles (apart from motorcycles). </w:t>
            </w:r>
          </w:p>
        </w:tc>
      </w:tr>
    </w:tbl>
    <w:p w14:paraId="237CCCAB" w14:textId="77777777" w:rsidR="00E87D5B" w:rsidRPr="00D160FB" w:rsidRDefault="00E87D5B" w:rsidP="00E87D5B">
      <w:pPr>
        <w:pStyle w:val="Nadpis11"/>
        <w:rPr>
          <w:b w:val="0"/>
          <w:sz w:val="2"/>
          <w:szCs w:val="2"/>
          <w:lang w:val="en-GB"/>
        </w:rPr>
      </w:pPr>
    </w:p>
    <w:bookmarkEnd w:id="0"/>
    <w:bookmarkEnd w:id="1"/>
    <w:bookmarkEnd w:id="2"/>
    <w:bookmarkEnd w:id="3"/>
    <w:bookmarkEnd w:id="4"/>
    <w:bookmarkEnd w:id="5"/>
    <w:p w14:paraId="6D687C14" w14:textId="3DB28A8F" w:rsidR="001C3855" w:rsidRPr="00D160FB" w:rsidRDefault="001C3855" w:rsidP="00C15537">
      <w:pPr>
        <w:pStyle w:val="Nadpis11"/>
        <w:rPr>
          <w:sz w:val="2"/>
          <w:szCs w:val="2"/>
          <w:lang w:val="en-GB"/>
        </w:rPr>
      </w:pPr>
    </w:p>
    <w:sectPr w:rsidR="001C3855" w:rsidRPr="00D160FB" w:rsidSect="00480300">
      <w:headerReference w:type="even" r:id="rId17"/>
      <w:headerReference w:type="default" r:id="rId18"/>
      <w:footerReference w:type="even" r:id="rId19"/>
      <w:footerReference w:type="default" r:id="rId20"/>
      <w:pgSz w:w="11906" w:h="16838" w:code="9"/>
      <w:pgMar w:top="1134" w:right="1134" w:bottom="1418" w:left="1134" w:header="680" w:footer="737"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133C" w14:textId="77777777" w:rsidR="00E37C1C" w:rsidRDefault="00E37C1C" w:rsidP="00E71A58">
      <w:r>
        <w:separator/>
      </w:r>
    </w:p>
  </w:endnote>
  <w:endnote w:type="continuationSeparator" w:id="0">
    <w:p w14:paraId="1942F10C" w14:textId="77777777" w:rsidR="00E37C1C" w:rsidRDefault="00E37C1C"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B6C8" w14:textId="4780870B" w:rsidR="00E37C1C" w:rsidRPr="00932443" w:rsidRDefault="00E37C1C"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BB354D">
      <w:rPr>
        <w:szCs w:val="16"/>
      </w:rPr>
      <w:t>52</w:t>
    </w:r>
    <w:r w:rsidRPr="00932443">
      <w:rPr>
        <w:szCs w:val="16"/>
      </w:rPr>
      <w:fldChar w:fldCharType="end"/>
    </w:r>
    <w:r w:rsidRPr="00932443">
      <w:rPr>
        <w:szCs w:val="16"/>
      </w:rPr>
      <w:tab/>
    </w:r>
    <w:r>
      <w:rPr>
        <w:szCs w:val="16"/>
      </w:rPr>
      <w:t>year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AFAF" w14:textId="5D38B351" w:rsidR="00E37C1C" w:rsidRPr="00932443" w:rsidRDefault="00E37C1C" w:rsidP="00FA6CB6">
    <w:pPr>
      <w:pStyle w:val="Zpat"/>
      <w:rPr>
        <w:szCs w:val="16"/>
      </w:rPr>
    </w:pPr>
    <w:r>
      <w:rPr>
        <w:lang w:eastAsia="cs-CZ"/>
      </w:rPr>
      <w:drawing>
        <wp:anchor distT="0" distB="0" distL="114300" distR="114300" simplePos="0" relativeHeight="251670016" behindDoc="0" locked="0" layoutInCell="1" allowOverlap="1" wp14:anchorId="12E9288F" wp14:editId="581FC53F">
          <wp:simplePos x="0" y="0"/>
          <wp:positionH relativeFrom="margin">
            <wp:align>left</wp:align>
          </wp:positionH>
          <wp:positionV relativeFrom="paragraph">
            <wp:posOffset>-66675</wp:posOffset>
          </wp:positionV>
          <wp:extent cx="676910" cy="201930"/>
          <wp:effectExtent l="0" t="0" r="8890" b="7620"/>
          <wp:wrapNone/>
          <wp:docPr id="12"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CB6">
      <w:rPr>
        <w:szCs w:val="16"/>
      </w:rPr>
      <w:tab/>
    </w:r>
    <w:r>
      <w:rPr>
        <w:szCs w:val="16"/>
      </w:rPr>
      <w:t>year 2022</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BB354D">
      <w:rPr>
        <w:rStyle w:val="ZpatChar"/>
        <w:szCs w:val="16"/>
      </w:rPr>
      <w:t>51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A97B" w14:textId="77777777" w:rsidR="00E37C1C" w:rsidRDefault="00E37C1C" w:rsidP="00A21B4D">
      <w:pPr>
        <w:spacing w:after="0"/>
      </w:pPr>
      <w:r>
        <w:separator/>
      </w:r>
    </w:p>
  </w:footnote>
  <w:footnote w:type="continuationSeparator" w:id="0">
    <w:p w14:paraId="5E251132" w14:textId="77777777" w:rsidR="00E37C1C" w:rsidRDefault="00E37C1C" w:rsidP="00E71A58">
      <w:r>
        <w:continuationSeparator/>
      </w:r>
    </w:p>
  </w:footnote>
  <w:footnote w:id="1">
    <w:p w14:paraId="157A1ECA" w14:textId="4799D253" w:rsidR="00E37C1C" w:rsidRPr="00A35E98" w:rsidRDefault="00E37C1C" w:rsidP="00A35E98">
      <w:pPr>
        <w:pStyle w:val="Textpoznpodarou"/>
        <w:jc w:val="both"/>
        <w:rPr>
          <w:rFonts w:cs="Arial"/>
          <w:color w:val="0D0D0D" w:themeColor="text1" w:themeTint="F2"/>
          <w:spacing w:val="-2"/>
          <w:sz w:val="16"/>
          <w:szCs w:val="16"/>
          <w:lang w:val="en-GB"/>
        </w:rPr>
      </w:pPr>
      <w:r w:rsidRPr="007163BD">
        <w:rPr>
          <w:rStyle w:val="Znakapoznpodarou"/>
          <w:rFonts w:cs="Arial"/>
          <w:color w:val="0D0D0D" w:themeColor="text1" w:themeTint="F2"/>
          <w:spacing w:val="-2"/>
          <w:sz w:val="16"/>
          <w:szCs w:val="16"/>
        </w:rPr>
        <w:footnoteRef/>
      </w:r>
      <w:r w:rsidRPr="007163BD">
        <w:rPr>
          <w:rFonts w:cs="Arial"/>
          <w:color w:val="0D0D0D" w:themeColor="text1" w:themeTint="F2"/>
          <w:spacing w:val="-2"/>
          <w:sz w:val="16"/>
          <w:szCs w:val="16"/>
        </w:rPr>
        <w:t xml:space="preserve"> </w:t>
      </w:r>
      <w:r w:rsidRPr="00A35E98">
        <w:rPr>
          <w:rFonts w:cs="Arial"/>
          <w:color w:val="0D0D0D" w:themeColor="text1" w:themeTint="F2"/>
          <w:spacing w:val="-2"/>
          <w:sz w:val="16"/>
          <w:szCs w:val="16"/>
          <w:lang w:val="en-GB"/>
        </w:rPr>
        <w:t xml:space="preserve">Data regarding GVA are expressed in constant prices and adjusted for both seasonal and calendar effects. </w:t>
      </w:r>
    </w:p>
  </w:footnote>
  <w:footnote w:id="2">
    <w:p w14:paraId="08FBDC77" w14:textId="11D96DBE" w:rsidR="00E37C1C" w:rsidRPr="00A35E98" w:rsidRDefault="00E37C1C" w:rsidP="00A35E98">
      <w:pPr>
        <w:pStyle w:val="Textpoznpodarou"/>
        <w:jc w:val="both"/>
        <w:rPr>
          <w:sz w:val="16"/>
          <w:szCs w:val="16"/>
          <w:lang w:val="en-GB"/>
        </w:rPr>
      </w:pPr>
      <w:r w:rsidRPr="00A35E98">
        <w:rPr>
          <w:rStyle w:val="Znakapoznpodarou"/>
          <w:sz w:val="16"/>
          <w:szCs w:val="16"/>
          <w:lang w:val="en-GB"/>
        </w:rPr>
        <w:footnoteRef/>
      </w:r>
      <w:r w:rsidRPr="00A35E98">
        <w:rPr>
          <w:sz w:val="16"/>
          <w:szCs w:val="16"/>
          <w:lang w:val="en-GB"/>
        </w:rPr>
        <w:t xml:space="preserve"> </w:t>
      </w:r>
      <w:r>
        <w:rPr>
          <w:sz w:val="16"/>
          <w:szCs w:val="16"/>
          <w:lang w:val="en-GB"/>
        </w:rPr>
        <w:t>For simplification, branches p</w:t>
      </w:r>
      <w:r w:rsidRPr="0020473C">
        <w:rPr>
          <w:sz w:val="16"/>
          <w:szCs w:val="16"/>
          <w:lang w:val="en-GB"/>
        </w:rPr>
        <w:t>ublic administration, education, health and social work</w:t>
      </w:r>
      <w:r>
        <w:rPr>
          <w:sz w:val="16"/>
          <w:szCs w:val="16"/>
          <w:lang w:val="en-GB"/>
        </w:rPr>
        <w:t xml:space="preserve"> are included here</w:t>
      </w:r>
      <w:r w:rsidRPr="00A35E98">
        <w:rPr>
          <w:sz w:val="16"/>
          <w:szCs w:val="16"/>
          <w:lang w:val="en-GB"/>
        </w:rPr>
        <w:t>.</w:t>
      </w:r>
    </w:p>
  </w:footnote>
  <w:footnote w:id="3">
    <w:p w14:paraId="414573BB" w14:textId="3FCBDD0A" w:rsidR="00E37C1C" w:rsidRPr="00A35E98" w:rsidRDefault="00E37C1C" w:rsidP="00A35E98">
      <w:pPr>
        <w:pStyle w:val="Textpoznpodarou"/>
        <w:jc w:val="both"/>
        <w:rPr>
          <w:sz w:val="16"/>
          <w:szCs w:val="16"/>
          <w:lang w:val="en-GB"/>
        </w:rPr>
      </w:pPr>
      <w:r w:rsidRPr="00A35E98">
        <w:rPr>
          <w:rStyle w:val="Znakapoznpodarou"/>
          <w:sz w:val="16"/>
          <w:szCs w:val="16"/>
          <w:lang w:val="en-GB"/>
        </w:rPr>
        <w:footnoteRef/>
      </w:r>
      <w:r w:rsidRPr="00A35E98">
        <w:rPr>
          <w:sz w:val="16"/>
          <w:szCs w:val="16"/>
          <w:lang w:val="en-GB"/>
        </w:rPr>
        <w:t xml:space="preserve"> </w:t>
      </w:r>
      <w:r>
        <w:rPr>
          <w:sz w:val="16"/>
          <w:szCs w:val="16"/>
          <w:lang w:val="en-GB"/>
        </w:rPr>
        <w:t xml:space="preserve">Within the EU countries, it was valid only for Spain, among other European countries for instance for the Great Britain. </w:t>
      </w:r>
    </w:p>
  </w:footnote>
  <w:footnote w:id="4">
    <w:p w14:paraId="2075B71C" w14:textId="6202EC9F" w:rsidR="00E37C1C" w:rsidRPr="00A35E98" w:rsidRDefault="00E37C1C" w:rsidP="00A35E98">
      <w:pPr>
        <w:pStyle w:val="Textpoznpodarou"/>
        <w:jc w:val="both"/>
        <w:rPr>
          <w:lang w:val="en-GB"/>
        </w:rPr>
      </w:pPr>
      <w:r w:rsidRPr="00A35E98">
        <w:rPr>
          <w:rStyle w:val="Znakapoznpodarou"/>
          <w:sz w:val="16"/>
          <w:szCs w:val="16"/>
          <w:lang w:val="en-GB"/>
        </w:rPr>
        <w:footnoteRef/>
      </w:r>
      <w:r w:rsidRPr="00A35E98">
        <w:rPr>
          <w:sz w:val="16"/>
          <w:szCs w:val="16"/>
          <w:lang w:val="en-GB"/>
        </w:rPr>
        <w:t xml:space="preserve"> </w:t>
      </w:r>
      <w:r>
        <w:rPr>
          <w:spacing w:val="-4"/>
          <w:sz w:val="16"/>
          <w:szCs w:val="16"/>
          <w:lang w:val="en-GB"/>
        </w:rPr>
        <w:t xml:space="preserve">Includes arts, entertainment and recreational activities and further provision of personal services </w:t>
      </w:r>
      <w:r w:rsidRPr="00A35E98">
        <w:rPr>
          <w:sz w:val="16"/>
          <w:szCs w:val="16"/>
          <w:lang w:val="en-GB"/>
        </w:rPr>
        <w:t>(</w:t>
      </w:r>
      <w:r>
        <w:rPr>
          <w:sz w:val="16"/>
          <w:szCs w:val="16"/>
          <w:lang w:val="en-GB"/>
        </w:rPr>
        <w:t>e.g. hairdressing, beauty treatment services, cleaning services or repair of products for personal use and mainly for households</w:t>
      </w:r>
      <w:r w:rsidRPr="00A35E98">
        <w:rPr>
          <w:sz w:val="16"/>
          <w:szCs w:val="16"/>
          <w:lang w:val="en-GB"/>
        </w:rPr>
        <w:t>).</w:t>
      </w:r>
    </w:p>
  </w:footnote>
  <w:footnote w:id="5">
    <w:p w14:paraId="5EFE6F68" w14:textId="5630AA25" w:rsidR="00E37C1C" w:rsidRPr="00A35E98" w:rsidRDefault="00E37C1C" w:rsidP="00A35E98">
      <w:pPr>
        <w:pStyle w:val="Textpoznpodarou"/>
        <w:jc w:val="both"/>
        <w:rPr>
          <w:spacing w:val="-4"/>
          <w:sz w:val="16"/>
          <w:szCs w:val="16"/>
          <w:lang w:val="en-GB"/>
        </w:rPr>
      </w:pPr>
      <w:r w:rsidRPr="00A35E98">
        <w:rPr>
          <w:rStyle w:val="Znakapoznpodarou"/>
          <w:spacing w:val="-4"/>
          <w:sz w:val="16"/>
          <w:szCs w:val="16"/>
          <w:lang w:val="en-GB"/>
        </w:rPr>
        <w:footnoteRef/>
      </w:r>
      <w:r w:rsidRPr="00A35E98">
        <w:rPr>
          <w:spacing w:val="-4"/>
          <w:sz w:val="16"/>
          <w:szCs w:val="16"/>
          <w:lang w:val="en-GB"/>
        </w:rPr>
        <w:t xml:space="preserve"> </w:t>
      </w:r>
      <w:r>
        <w:rPr>
          <w:spacing w:val="-4"/>
          <w:sz w:val="16"/>
          <w:szCs w:val="16"/>
          <w:lang w:val="en-GB"/>
        </w:rPr>
        <w:t xml:space="preserve">Based on the final data for year 2022, it in total </w:t>
      </w:r>
      <w:r w:rsidRPr="00A35E98">
        <w:rPr>
          <w:spacing w:val="-4"/>
          <w:sz w:val="16"/>
          <w:szCs w:val="16"/>
          <w:lang w:val="en-GB"/>
        </w:rPr>
        <w:t>(</w:t>
      </w:r>
      <w:r>
        <w:rPr>
          <w:spacing w:val="-4"/>
          <w:sz w:val="16"/>
          <w:szCs w:val="16"/>
          <w:lang w:val="en-GB"/>
        </w:rPr>
        <w:t>incl. grain maize</w:t>
      </w:r>
      <w:r w:rsidRPr="00A35E98">
        <w:rPr>
          <w:spacing w:val="-4"/>
          <w:sz w:val="16"/>
          <w:szCs w:val="16"/>
          <w:lang w:val="en-GB"/>
        </w:rPr>
        <w:t>)</w:t>
      </w:r>
      <w:r>
        <w:rPr>
          <w:spacing w:val="-4"/>
          <w:sz w:val="16"/>
          <w:szCs w:val="16"/>
          <w:lang w:val="en-GB"/>
        </w:rPr>
        <w:t xml:space="preserve"> attained </w:t>
      </w:r>
      <w:r w:rsidRPr="00A35E98">
        <w:rPr>
          <w:spacing w:val="-4"/>
          <w:sz w:val="16"/>
          <w:szCs w:val="16"/>
          <w:lang w:val="en-GB"/>
        </w:rPr>
        <w:t>8</w:t>
      </w:r>
      <w:r>
        <w:rPr>
          <w:spacing w:val="-4"/>
          <w:sz w:val="16"/>
          <w:szCs w:val="16"/>
          <w:lang w:val="en-GB"/>
        </w:rPr>
        <w:t>.</w:t>
      </w:r>
      <w:r w:rsidRPr="00A35E98">
        <w:rPr>
          <w:spacing w:val="-4"/>
          <w:sz w:val="16"/>
          <w:szCs w:val="16"/>
          <w:lang w:val="en-GB"/>
        </w:rPr>
        <w:t>22 mil</w:t>
      </w:r>
      <w:r>
        <w:rPr>
          <w:spacing w:val="-4"/>
          <w:sz w:val="16"/>
          <w:szCs w:val="16"/>
          <w:lang w:val="en-GB"/>
        </w:rPr>
        <w:t xml:space="preserve"> of tuns</w:t>
      </w:r>
      <w:r w:rsidRPr="00A35E98">
        <w:rPr>
          <w:spacing w:val="-4"/>
          <w:sz w:val="16"/>
          <w:szCs w:val="16"/>
          <w:lang w:val="en-GB"/>
        </w:rPr>
        <w:t xml:space="preserve">. </w:t>
      </w:r>
      <w:r>
        <w:rPr>
          <w:spacing w:val="-4"/>
          <w:sz w:val="16"/>
          <w:szCs w:val="16"/>
          <w:lang w:val="en-GB"/>
        </w:rPr>
        <w:t xml:space="preserve">It overtook the average of harvests from previous five years by </w:t>
      </w:r>
      <w:r w:rsidRPr="00A35E98">
        <w:rPr>
          <w:spacing w:val="-4"/>
          <w:sz w:val="16"/>
          <w:szCs w:val="16"/>
          <w:lang w:val="en-GB"/>
        </w:rPr>
        <w:t>6</w:t>
      </w:r>
      <w:r>
        <w:rPr>
          <w:spacing w:val="-4"/>
          <w:sz w:val="16"/>
          <w:szCs w:val="16"/>
          <w:lang w:val="en-GB"/>
        </w:rPr>
        <w:t>.</w:t>
      </w:r>
      <w:r w:rsidRPr="00A35E98">
        <w:rPr>
          <w:spacing w:val="-4"/>
          <w:sz w:val="16"/>
          <w:szCs w:val="16"/>
          <w:lang w:val="en-GB"/>
        </w:rPr>
        <w:t>9%,</w:t>
      </w:r>
      <w:r>
        <w:rPr>
          <w:spacing w:val="-4"/>
          <w:sz w:val="16"/>
          <w:szCs w:val="16"/>
          <w:lang w:val="en-GB"/>
        </w:rPr>
        <w:t xml:space="preserve"> ten year average then by </w:t>
      </w:r>
      <w:r w:rsidRPr="00A35E98">
        <w:rPr>
          <w:spacing w:val="-4"/>
          <w:sz w:val="16"/>
          <w:szCs w:val="16"/>
          <w:lang w:val="en-GB"/>
        </w:rPr>
        <w:t>5</w:t>
      </w:r>
      <w:r>
        <w:rPr>
          <w:spacing w:val="-4"/>
          <w:sz w:val="16"/>
          <w:szCs w:val="16"/>
          <w:lang w:val="en-GB"/>
        </w:rPr>
        <w:t>.</w:t>
      </w:r>
      <w:r w:rsidRPr="00A35E98">
        <w:rPr>
          <w:spacing w:val="-4"/>
          <w:sz w:val="16"/>
          <w:szCs w:val="16"/>
          <w:lang w:val="en-GB"/>
        </w:rPr>
        <w:t>2%.</w:t>
      </w:r>
    </w:p>
  </w:footnote>
  <w:footnote w:id="6">
    <w:p w14:paraId="6204D87F" w14:textId="1ED981CF" w:rsidR="00E37C1C" w:rsidRPr="00B73D35" w:rsidRDefault="00E37C1C" w:rsidP="00E87D5B">
      <w:pPr>
        <w:pStyle w:val="Textpoznpodarou"/>
        <w:rPr>
          <w:sz w:val="16"/>
          <w:szCs w:val="16"/>
          <w:lang w:val="en-GB"/>
        </w:rPr>
      </w:pPr>
      <w:r w:rsidRPr="002F02F1">
        <w:rPr>
          <w:rStyle w:val="Znakapoznpodarou"/>
          <w:sz w:val="16"/>
          <w:szCs w:val="16"/>
        </w:rPr>
        <w:footnoteRef/>
      </w:r>
      <w:r w:rsidRPr="002F02F1">
        <w:rPr>
          <w:sz w:val="16"/>
          <w:szCs w:val="16"/>
        </w:rPr>
        <w:t xml:space="preserve"> </w:t>
      </w:r>
      <w:r w:rsidRPr="00B73D35">
        <w:rPr>
          <w:sz w:val="16"/>
          <w:szCs w:val="16"/>
          <w:lang w:val="en-GB"/>
        </w:rPr>
        <w:t xml:space="preserve">Its harvest dived by 46% year-on-year. The crop from the </w:t>
      </w:r>
      <w:r>
        <w:rPr>
          <w:sz w:val="16"/>
          <w:szCs w:val="16"/>
          <w:lang w:val="en-GB"/>
        </w:rPr>
        <w:t>preceding year 2021</w:t>
      </w:r>
      <w:r w:rsidRPr="00B73D35">
        <w:rPr>
          <w:sz w:val="16"/>
          <w:szCs w:val="16"/>
          <w:lang w:val="en-GB"/>
        </w:rPr>
        <w:t xml:space="preserve"> (8.3 thousand tons) was the highest in the CR after year 1996.</w:t>
      </w:r>
    </w:p>
  </w:footnote>
  <w:footnote w:id="7">
    <w:p w14:paraId="6EF279AB" w14:textId="6DB7D770" w:rsidR="00E37C1C" w:rsidRPr="00B73D35" w:rsidRDefault="00E37C1C" w:rsidP="00E87D5B">
      <w:pPr>
        <w:spacing w:after="0" w:line="240" w:lineRule="auto"/>
        <w:rPr>
          <w:rFonts w:cs="Arial"/>
          <w:color w:val="0D0D0D" w:themeColor="text1" w:themeTint="F2"/>
          <w:spacing w:val="-2"/>
          <w:sz w:val="16"/>
          <w:szCs w:val="16"/>
          <w:lang w:val="en-GB"/>
        </w:rPr>
      </w:pPr>
      <w:r w:rsidRPr="00B73D35">
        <w:rPr>
          <w:rStyle w:val="Znakapoznpodarou"/>
          <w:spacing w:val="-2"/>
          <w:sz w:val="16"/>
          <w:szCs w:val="16"/>
          <w:lang w:val="en-GB"/>
        </w:rPr>
        <w:footnoteRef/>
      </w:r>
      <w:r w:rsidRPr="00B73D35">
        <w:rPr>
          <w:spacing w:val="-2"/>
          <w:sz w:val="16"/>
          <w:szCs w:val="16"/>
          <w:lang w:val="en-GB"/>
        </w:rPr>
        <w:t xml:space="preserve"> </w:t>
      </w:r>
      <w:r w:rsidRPr="00B73D35">
        <w:rPr>
          <w:rFonts w:cs="Arial"/>
          <w:color w:val="0D0D0D" w:themeColor="text1" w:themeTint="F2"/>
          <w:spacing w:val="-2"/>
          <w:sz w:val="16"/>
          <w:szCs w:val="16"/>
          <w:lang w:val="en-GB"/>
        </w:rPr>
        <w:t>Includes branches of mining and quarrying, manufacturing and also energetics (here as activities of production and distribution of electricity, gas, heat and air conditioning supply). All year-on-year rates of growth of output (at the level of branch sections as well as divisions) are adjusted for calendar effects, quarter-on-quarter rates then also for seasonal effects.</w:t>
      </w:r>
    </w:p>
  </w:footnote>
  <w:footnote w:id="8">
    <w:p w14:paraId="673286C9" w14:textId="59A1ACF7" w:rsidR="00E37C1C" w:rsidRPr="00B73D35" w:rsidRDefault="00E37C1C" w:rsidP="00C23B82">
      <w:pPr>
        <w:spacing w:after="0" w:line="240" w:lineRule="auto"/>
        <w:rPr>
          <w:spacing w:val="-4"/>
          <w:sz w:val="16"/>
          <w:szCs w:val="16"/>
          <w:lang w:val="en-GB"/>
        </w:rPr>
      </w:pPr>
      <w:r w:rsidRPr="00B73D35">
        <w:rPr>
          <w:rStyle w:val="Znakapoznpodarou"/>
          <w:spacing w:val="-4"/>
          <w:sz w:val="16"/>
          <w:szCs w:val="16"/>
          <w:lang w:val="en-GB"/>
        </w:rPr>
        <w:footnoteRef/>
      </w:r>
      <w:r w:rsidRPr="00B73D35">
        <w:rPr>
          <w:spacing w:val="-4"/>
          <w:sz w:val="16"/>
          <w:szCs w:val="16"/>
          <w:lang w:val="en-GB"/>
        </w:rPr>
        <w:t xml:space="preserve"> </w:t>
      </w:r>
      <w:r>
        <w:rPr>
          <w:spacing w:val="-4"/>
          <w:sz w:val="16"/>
          <w:szCs w:val="16"/>
          <w:lang w:val="en-GB"/>
        </w:rPr>
        <w:t xml:space="preserve">The industrial output was closely </w:t>
      </w:r>
      <w:r w:rsidRPr="00B73D35">
        <w:rPr>
          <w:spacing w:val="-4"/>
          <w:sz w:val="16"/>
          <w:szCs w:val="16"/>
          <w:lang w:val="en-GB"/>
        </w:rPr>
        <w:t>(</w:t>
      </w:r>
      <w:r>
        <w:rPr>
          <w:spacing w:val="-4"/>
          <w:sz w:val="16"/>
          <w:szCs w:val="16"/>
          <w:lang w:val="en-GB"/>
        </w:rPr>
        <w:t xml:space="preserve">by </w:t>
      </w:r>
      <w:r w:rsidRPr="00B73D35">
        <w:rPr>
          <w:spacing w:val="-4"/>
          <w:sz w:val="16"/>
          <w:szCs w:val="16"/>
          <w:lang w:val="en-GB"/>
        </w:rPr>
        <w:t>0</w:t>
      </w:r>
      <w:r>
        <w:rPr>
          <w:spacing w:val="-4"/>
          <w:sz w:val="16"/>
          <w:szCs w:val="16"/>
          <w:lang w:val="en-GB"/>
        </w:rPr>
        <w:t>.</w:t>
      </w:r>
      <w:r w:rsidRPr="00B73D35">
        <w:rPr>
          <w:spacing w:val="-4"/>
          <w:sz w:val="16"/>
          <w:szCs w:val="16"/>
          <w:lang w:val="en-GB"/>
        </w:rPr>
        <w:t>1%)</w:t>
      </w:r>
      <w:r>
        <w:rPr>
          <w:spacing w:val="-4"/>
          <w:sz w:val="16"/>
          <w:szCs w:val="16"/>
          <w:lang w:val="en-GB"/>
        </w:rPr>
        <w:t xml:space="preserve"> above the level of the previously record period (Q2 2019)</w:t>
      </w:r>
      <w:r w:rsidRPr="00B73D35">
        <w:rPr>
          <w:spacing w:val="-4"/>
          <w:sz w:val="16"/>
          <w:szCs w:val="16"/>
          <w:lang w:val="en-GB"/>
        </w:rPr>
        <w:t xml:space="preserve"> </w:t>
      </w:r>
      <w:r>
        <w:rPr>
          <w:spacing w:val="-4"/>
          <w:sz w:val="16"/>
          <w:szCs w:val="16"/>
          <w:lang w:val="en-GB"/>
        </w:rPr>
        <w:t>in Q4 2022</w:t>
      </w:r>
      <w:r w:rsidRPr="00B73D35">
        <w:rPr>
          <w:spacing w:val="-4"/>
          <w:sz w:val="16"/>
          <w:szCs w:val="16"/>
          <w:lang w:val="en-GB"/>
        </w:rPr>
        <w:t xml:space="preserve">. </w:t>
      </w:r>
      <w:r>
        <w:rPr>
          <w:spacing w:val="-4"/>
          <w:sz w:val="16"/>
          <w:szCs w:val="16"/>
          <w:lang w:val="en-GB"/>
        </w:rPr>
        <w:t xml:space="preserve">However three fifths (out of nearly thirty) of main industrial branches stayed behind theirs peak from the pre-pandemic boom era </w:t>
      </w:r>
      <w:r w:rsidRPr="00B73D35">
        <w:rPr>
          <w:spacing w:val="-4"/>
          <w:sz w:val="16"/>
          <w:szCs w:val="16"/>
          <w:lang w:val="en-GB"/>
        </w:rPr>
        <w:t>(</w:t>
      </w:r>
      <w:r>
        <w:rPr>
          <w:spacing w:val="-4"/>
          <w:sz w:val="16"/>
          <w:szCs w:val="16"/>
          <w:lang w:val="en-GB"/>
        </w:rPr>
        <w:t xml:space="preserve">years </w:t>
      </w:r>
      <w:r w:rsidRPr="00B73D35">
        <w:rPr>
          <w:spacing w:val="-4"/>
          <w:sz w:val="16"/>
          <w:szCs w:val="16"/>
          <w:lang w:val="en-GB"/>
        </w:rPr>
        <w:t xml:space="preserve">2014 </w:t>
      </w:r>
      <w:r>
        <w:rPr>
          <w:spacing w:val="-4"/>
          <w:sz w:val="16"/>
          <w:szCs w:val="16"/>
          <w:lang w:val="en-GB"/>
        </w:rPr>
        <w:t xml:space="preserve">till </w:t>
      </w:r>
      <w:r w:rsidRPr="00B73D35">
        <w:rPr>
          <w:spacing w:val="-4"/>
          <w:sz w:val="16"/>
          <w:szCs w:val="16"/>
          <w:lang w:val="en-GB"/>
        </w:rPr>
        <w:t xml:space="preserve">2019). </w:t>
      </w:r>
      <w:r>
        <w:rPr>
          <w:spacing w:val="-4"/>
          <w:sz w:val="16"/>
          <w:szCs w:val="16"/>
          <w:lang w:val="en-GB"/>
        </w:rPr>
        <w:t xml:space="preserve">It was mainly mining and quarrying of coal </w:t>
      </w:r>
      <w:r w:rsidRPr="00B73D35">
        <w:rPr>
          <w:spacing w:val="-4"/>
          <w:sz w:val="16"/>
          <w:szCs w:val="16"/>
          <w:lang w:val="en-GB"/>
        </w:rPr>
        <w:t>(</w:t>
      </w:r>
      <w:r>
        <w:rPr>
          <w:spacing w:val="-4"/>
          <w:sz w:val="16"/>
          <w:szCs w:val="16"/>
          <w:lang w:val="en-GB"/>
        </w:rPr>
        <w:t xml:space="preserve">by </w:t>
      </w:r>
      <w:r w:rsidRPr="00B73D35">
        <w:rPr>
          <w:spacing w:val="-4"/>
          <w:sz w:val="16"/>
          <w:szCs w:val="16"/>
          <w:lang w:val="en-GB"/>
        </w:rPr>
        <w:t xml:space="preserve">39%), </w:t>
      </w:r>
      <w:r>
        <w:rPr>
          <w:spacing w:val="-4"/>
          <w:sz w:val="16"/>
          <w:szCs w:val="16"/>
          <w:lang w:val="en-GB"/>
        </w:rPr>
        <w:t xml:space="preserve">leatherworking and footwear industries </w:t>
      </w:r>
      <w:r w:rsidRPr="00B73D35">
        <w:rPr>
          <w:spacing w:val="-4"/>
          <w:sz w:val="16"/>
          <w:szCs w:val="16"/>
          <w:lang w:val="en-GB"/>
        </w:rPr>
        <w:t xml:space="preserve">(28%), </w:t>
      </w:r>
      <w:r>
        <w:rPr>
          <w:spacing w:val="-4"/>
          <w:sz w:val="16"/>
          <w:szCs w:val="16"/>
          <w:lang w:val="en-GB"/>
        </w:rPr>
        <w:t xml:space="preserve">metallurgy </w:t>
      </w:r>
      <w:r w:rsidRPr="00B73D35">
        <w:rPr>
          <w:spacing w:val="-4"/>
          <w:sz w:val="16"/>
          <w:szCs w:val="16"/>
          <w:lang w:val="en-GB"/>
        </w:rPr>
        <w:t xml:space="preserve"> (22%)</w:t>
      </w:r>
      <w:r>
        <w:rPr>
          <w:spacing w:val="-4"/>
          <w:sz w:val="16"/>
          <w:szCs w:val="16"/>
          <w:lang w:val="en-GB"/>
        </w:rPr>
        <w:t>,</w:t>
      </w:r>
      <w:r w:rsidRPr="00B73D35">
        <w:rPr>
          <w:spacing w:val="-4"/>
          <w:sz w:val="16"/>
          <w:szCs w:val="16"/>
          <w:lang w:val="en-GB"/>
        </w:rPr>
        <w:t xml:space="preserve"> </w:t>
      </w:r>
      <w:r>
        <w:rPr>
          <w:spacing w:val="-4"/>
          <w:sz w:val="16"/>
          <w:szCs w:val="16"/>
          <w:lang w:val="en-GB"/>
        </w:rPr>
        <w:t xml:space="preserve">wood industry </w:t>
      </w:r>
      <w:r w:rsidRPr="00B73D35">
        <w:rPr>
          <w:spacing w:val="-4"/>
          <w:sz w:val="16"/>
          <w:szCs w:val="16"/>
          <w:lang w:val="en-GB"/>
        </w:rPr>
        <w:t xml:space="preserve">(20%), </w:t>
      </w:r>
      <w:r>
        <w:rPr>
          <w:spacing w:val="-4"/>
          <w:sz w:val="16"/>
          <w:szCs w:val="16"/>
          <w:lang w:val="en-GB"/>
        </w:rPr>
        <w:t xml:space="preserve">textile industry </w:t>
      </w:r>
      <w:r w:rsidRPr="00B73D35">
        <w:rPr>
          <w:spacing w:val="-4"/>
          <w:sz w:val="16"/>
          <w:szCs w:val="16"/>
          <w:lang w:val="en-GB"/>
        </w:rPr>
        <w:t>(15%)</w:t>
      </w:r>
      <w:r>
        <w:rPr>
          <w:spacing w:val="-4"/>
          <w:sz w:val="16"/>
          <w:szCs w:val="16"/>
          <w:lang w:val="en-GB"/>
        </w:rPr>
        <w:t xml:space="preserve"> and among the more significant branches e.g. the energy industry </w:t>
      </w:r>
      <w:r w:rsidRPr="00B73D35">
        <w:rPr>
          <w:spacing w:val="-4"/>
          <w:sz w:val="16"/>
          <w:szCs w:val="16"/>
          <w:lang w:val="en-GB"/>
        </w:rPr>
        <w:t>(14%),</w:t>
      </w:r>
      <w:r>
        <w:rPr>
          <w:spacing w:val="-4"/>
          <w:sz w:val="16"/>
          <w:szCs w:val="16"/>
          <w:lang w:val="en-GB"/>
        </w:rPr>
        <w:t xml:space="preserve"> chemical industry </w:t>
      </w:r>
      <w:r w:rsidRPr="00B73D35">
        <w:rPr>
          <w:spacing w:val="-4"/>
          <w:sz w:val="16"/>
          <w:szCs w:val="16"/>
          <w:lang w:val="en-GB"/>
        </w:rPr>
        <w:t xml:space="preserve">(10%) </w:t>
      </w:r>
      <w:r>
        <w:rPr>
          <w:spacing w:val="-4"/>
          <w:sz w:val="16"/>
          <w:szCs w:val="16"/>
          <w:lang w:val="en-GB"/>
        </w:rPr>
        <w:t xml:space="preserve">or manufacturing of computers, electronic and optical appliances </w:t>
      </w:r>
      <w:r w:rsidRPr="00B73D35">
        <w:rPr>
          <w:spacing w:val="-4"/>
          <w:sz w:val="16"/>
          <w:szCs w:val="16"/>
          <w:lang w:val="en-GB"/>
        </w:rPr>
        <w:t>(7%),</w:t>
      </w:r>
      <w:r>
        <w:rPr>
          <w:spacing w:val="-4"/>
          <w:sz w:val="16"/>
          <w:szCs w:val="16"/>
          <w:lang w:val="en-GB"/>
        </w:rPr>
        <w:t xml:space="preserve"> fabricated metal product industry and also rubber and plastic industries </w:t>
      </w:r>
      <w:r w:rsidRPr="00B73D35">
        <w:rPr>
          <w:spacing w:val="-4"/>
          <w:sz w:val="16"/>
          <w:szCs w:val="16"/>
          <w:lang w:val="en-GB"/>
        </w:rPr>
        <w:t>(s</w:t>
      </w:r>
      <w:r>
        <w:rPr>
          <w:spacing w:val="-4"/>
          <w:sz w:val="16"/>
          <w:szCs w:val="16"/>
          <w:lang w:val="en-GB"/>
        </w:rPr>
        <w:t xml:space="preserve">imilarly </w:t>
      </w:r>
      <w:r w:rsidRPr="00B73D35">
        <w:rPr>
          <w:spacing w:val="-4"/>
          <w:sz w:val="16"/>
          <w:szCs w:val="16"/>
          <w:lang w:val="en-GB"/>
        </w:rPr>
        <w:t xml:space="preserve">5%). </w:t>
      </w:r>
      <w:r>
        <w:rPr>
          <w:spacing w:val="-4"/>
          <w:sz w:val="16"/>
          <w:szCs w:val="16"/>
          <w:lang w:val="en-GB"/>
        </w:rPr>
        <w:t xml:space="preserve">On the contrary, especially manufacturers of electrical equipment </w:t>
      </w:r>
      <w:r w:rsidRPr="00B73D35">
        <w:rPr>
          <w:spacing w:val="-4"/>
          <w:sz w:val="16"/>
          <w:szCs w:val="16"/>
          <w:lang w:val="en-GB"/>
        </w:rPr>
        <w:t>(</w:t>
      </w:r>
      <w:r>
        <w:rPr>
          <w:spacing w:val="-4"/>
          <w:sz w:val="16"/>
          <w:szCs w:val="16"/>
          <w:lang w:val="en-GB"/>
        </w:rPr>
        <w:t xml:space="preserve">by </w:t>
      </w:r>
      <w:r w:rsidRPr="00B73D35">
        <w:rPr>
          <w:spacing w:val="-4"/>
          <w:sz w:val="16"/>
          <w:szCs w:val="16"/>
          <w:lang w:val="en-GB"/>
        </w:rPr>
        <w:t>12%) a</w:t>
      </w:r>
      <w:r>
        <w:rPr>
          <w:spacing w:val="-4"/>
          <w:sz w:val="16"/>
          <w:szCs w:val="16"/>
          <w:lang w:val="en-GB"/>
        </w:rPr>
        <w:t xml:space="preserve">nd manufacturers of motor vehicles </w:t>
      </w:r>
      <w:r w:rsidRPr="00B73D35">
        <w:rPr>
          <w:spacing w:val="-4"/>
          <w:sz w:val="16"/>
          <w:szCs w:val="16"/>
          <w:lang w:val="en-GB"/>
        </w:rPr>
        <w:t>(</w:t>
      </w:r>
      <w:r>
        <w:rPr>
          <w:spacing w:val="-4"/>
          <w:sz w:val="16"/>
          <w:szCs w:val="16"/>
          <w:lang w:val="en-GB"/>
        </w:rPr>
        <w:t xml:space="preserve">by </w:t>
      </w:r>
      <w:r w:rsidRPr="00B73D35">
        <w:rPr>
          <w:spacing w:val="-4"/>
          <w:sz w:val="16"/>
          <w:szCs w:val="16"/>
          <w:lang w:val="en-GB"/>
        </w:rPr>
        <w:t xml:space="preserve">7%), </w:t>
      </w:r>
      <w:r>
        <w:rPr>
          <w:spacing w:val="-4"/>
          <w:sz w:val="16"/>
          <w:szCs w:val="16"/>
          <w:lang w:val="en-GB"/>
        </w:rPr>
        <w:t>from the smaller activities then e.g. pharmaceutical, paper and wearing apparel industries already overtook the pre-crisis level</w:t>
      </w:r>
      <w:r w:rsidRPr="00B73D35">
        <w:rPr>
          <w:spacing w:val="-4"/>
          <w:sz w:val="16"/>
          <w:szCs w:val="16"/>
          <w:lang w:val="en-GB"/>
        </w:rPr>
        <w:t>.</w:t>
      </w:r>
      <w:r w:rsidRPr="00D364E1">
        <w:rPr>
          <w:rStyle w:val="Znakapoznpodarou"/>
          <w:spacing w:val="-6"/>
          <w:sz w:val="16"/>
          <w:szCs w:val="16"/>
          <w:lang w:val="en-GB"/>
        </w:rPr>
        <w:t xml:space="preserve"> </w:t>
      </w:r>
    </w:p>
  </w:footnote>
  <w:footnote w:id="9">
    <w:p w14:paraId="1869BBFE" w14:textId="0453C861" w:rsidR="00E37C1C" w:rsidRPr="00483BDD" w:rsidRDefault="00E37C1C" w:rsidP="00E87D5B">
      <w:pPr>
        <w:pStyle w:val="Textpoznpodarou"/>
        <w:jc w:val="both"/>
        <w:rPr>
          <w:spacing w:val="-3"/>
          <w:sz w:val="16"/>
          <w:szCs w:val="16"/>
          <w:lang w:val="en-GB"/>
        </w:rPr>
      </w:pPr>
      <w:r w:rsidRPr="00B73D35">
        <w:rPr>
          <w:rStyle w:val="Znakapoznpodarou"/>
          <w:spacing w:val="-3"/>
          <w:sz w:val="16"/>
          <w:szCs w:val="16"/>
          <w:lang w:val="en-GB"/>
        </w:rPr>
        <w:footnoteRef/>
      </w:r>
      <w:r w:rsidRPr="00B73D35">
        <w:rPr>
          <w:spacing w:val="-3"/>
          <w:sz w:val="16"/>
          <w:szCs w:val="16"/>
          <w:lang w:val="en-GB"/>
        </w:rPr>
        <w:t xml:space="preserve"> </w:t>
      </w:r>
      <w:r>
        <w:rPr>
          <w:spacing w:val="-3"/>
          <w:sz w:val="16"/>
          <w:szCs w:val="16"/>
          <w:lang w:val="en-GB"/>
        </w:rPr>
        <w:t xml:space="preserve">Based on the </w:t>
      </w:r>
      <w:r>
        <w:rPr>
          <w:spacing w:val="-6"/>
          <w:sz w:val="16"/>
          <w:szCs w:val="16"/>
          <w:lang w:val="en-GB"/>
        </w:rPr>
        <w:t xml:space="preserve">Automotive Industry Association data, monthly production usually exceeded the boundary of 100 thousand personal vehicles from May till September last year. As a result these months approached the level from the same period of years </w:t>
      </w:r>
      <w:r w:rsidRPr="00B73D35">
        <w:rPr>
          <w:spacing w:val="-3"/>
          <w:sz w:val="16"/>
          <w:szCs w:val="16"/>
          <w:lang w:val="en-GB"/>
        </w:rPr>
        <w:t>2017</w:t>
      </w:r>
      <w:r>
        <w:rPr>
          <w:spacing w:val="-3"/>
          <w:sz w:val="16"/>
          <w:szCs w:val="16"/>
          <w:lang w:val="en-GB"/>
        </w:rPr>
        <w:t xml:space="preserve"> till </w:t>
      </w:r>
      <w:r w:rsidRPr="00B73D35">
        <w:rPr>
          <w:spacing w:val="-3"/>
          <w:sz w:val="16"/>
          <w:szCs w:val="16"/>
          <w:lang w:val="en-GB"/>
        </w:rPr>
        <w:t xml:space="preserve">2019, </w:t>
      </w:r>
      <w:r>
        <w:rPr>
          <w:spacing w:val="-3"/>
          <w:sz w:val="16"/>
          <w:szCs w:val="16"/>
          <w:lang w:val="en-GB"/>
        </w:rPr>
        <w:t xml:space="preserve">when the motor vehicle manufacturing peaked locally. The manufacturing of motor vehicles reached </w:t>
      </w:r>
      <w:r w:rsidRPr="00B73D35">
        <w:rPr>
          <w:spacing w:val="-3"/>
          <w:sz w:val="16"/>
          <w:szCs w:val="16"/>
          <w:lang w:val="en-GB"/>
        </w:rPr>
        <w:t>1</w:t>
      </w:r>
      <w:r>
        <w:rPr>
          <w:spacing w:val="-3"/>
          <w:sz w:val="16"/>
          <w:szCs w:val="16"/>
          <w:lang w:val="en-GB"/>
        </w:rPr>
        <w:t>.</w:t>
      </w:r>
      <w:r w:rsidRPr="00B73D35">
        <w:rPr>
          <w:spacing w:val="-3"/>
          <w:sz w:val="16"/>
          <w:szCs w:val="16"/>
          <w:lang w:val="en-GB"/>
        </w:rPr>
        <w:t>218 mil</w:t>
      </w:r>
      <w:r>
        <w:rPr>
          <w:spacing w:val="-3"/>
          <w:sz w:val="16"/>
          <w:szCs w:val="16"/>
          <w:lang w:val="en-GB"/>
        </w:rPr>
        <w:t xml:space="preserve"> in total for year 2022 </w:t>
      </w:r>
      <w:r w:rsidRPr="00B73D35">
        <w:rPr>
          <w:spacing w:val="-3"/>
          <w:sz w:val="16"/>
          <w:szCs w:val="16"/>
          <w:lang w:val="en-GB"/>
        </w:rPr>
        <w:t>(</w:t>
      </w:r>
      <w:r>
        <w:rPr>
          <w:spacing w:val="-3"/>
          <w:sz w:val="16"/>
          <w:szCs w:val="16"/>
          <w:lang w:val="en-GB"/>
        </w:rPr>
        <w:t xml:space="preserve">by </w:t>
      </w:r>
      <w:r w:rsidRPr="00B73D35">
        <w:rPr>
          <w:spacing w:val="-3"/>
          <w:sz w:val="16"/>
          <w:szCs w:val="16"/>
          <w:lang w:val="en-GB"/>
        </w:rPr>
        <w:t xml:space="preserve">10% </w:t>
      </w:r>
      <w:r>
        <w:rPr>
          <w:spacing w:val="-3"/>
          <w:sz w:val="16"/>
          <w:szCs w:val="16"/>
          <w:lang w:val="en-GB"/>
        </w:rPr>
        <w:t>more year-on-year</w:t>
      </w:r>
      <w:r w:rsidRPr="00B73D35">
        <w:rPr>
          <w:spacing w:val="-3"/>
          <w:sz w:val="16"/>
          <w:szCs w:val="16"/>
          <w:lang w:val="en-GB"/>
        </w:rPr>
        <w:t xml:space="preserve">, </w:t>
      </w:r>
      <w:r>
        <w:rPr>
          <w:spacing w:val="-3"/>
          <w:sz w:val="16"/>
          <w:szCs w:val="16"/>
          <w:lang w:val="en-GB"/>
        </w:rPr>
        <w:t>but by</w:t>
      </w:r>
      <w:r w:rsidRPr="00B73D35">
        <w:rPr>
          <w:spacing w:val="-3"/>
          <w:sz w:val="16"/>
          <w:szCs w:val="16"/>
          <w:lang w:val="en-GB"/>
        </w:rPr>
        <w:t xml:space="preserve"> </w:t>
      </w:r>
      <w:r w:rsidRPr="00483BDD">
        <w:rPr>
          <w:spacing w:val="-3"/>
          <w:sz w:val="16"/>
          <w:szCs w:val="16"/>
          <w:lang w:val="en-GB"/>
        </w:rPr>
        <w:t xml:space="preserve">15% less compared to both years 2018 and 2019). Already more than one tenth of the manufactured personal vehicles concerned electrical vehicles (incl. vehicles hybrid cars). </w:t>
      </w:r>
      <w:r>
        <w:rPr>
          <w:spacing w:val="-3"/>
          <w:sz w:val="16"/>
          <w:szCs w:val="16"/>
          <w:lang w:val="en-GB"/>
        </w:rPr>
        <w:t xml:space="preserve">Producers of other motor vehicles (motorcycles, buses) also registered an increase of output compared to year </w:t>
      </w:r>
      <w:r w:rsidRPr="00483BDD">
        <w:rPr>
          <w:spacing w:val="-3"/>
          <w:sz w:val="16"/>
          <w:szCs w:val="16"/>
          <w:lang w:val="en-GB"/>
        </w:rPr>
        <w:t>2021</w:t>
      </w:r>
      <w:r>
        <w:rPr>
          <w:spacing w:val="-3"/>
          <w:sz w:val="16"/>
          <w:szCs w:val="16"/>
          <w:lang w:val="en-GB"/>
        </w:rPr>
        <w:t xml:space="preserve">, </w:t>
      </w:r>
      <w:r w:rsidRPr="00483BDD">
        <w:rPr>
          <w:spacing w:val="-3"/>
          <w:sz w:val="16"/>
          <w:szCs w:val="16"/>
          <w:lang w:val="en-GB"/>
        </w:rPr>
        <w:t xml:space="preserve">simultaneously their output was exceeding the pre-crisis level. </w:t>
      </w:r>
    </w:p>
  </w:footnote>
  <w:footnote w:id="10">
    <w:p w14:paraId="2B5DB320" w14:textId="5E10FBB4" w:rsidR="00E37C1C" w:rsidRPr="00483BDD" w:rsidRDefault="00E37C1C" w:rsidP="00E87D5B">
      <w:pPr>
        <w:pStyle w:val="Textpoznpodarou"/>
        <w:jc w:val="both"/>
        <w:rPr>
          <w:sz w:val="16"/>
          <w:szCs w:val="16"/>
          <w:lang w:val="en-GB"/>
        </w:rPr>
      </w:pPr>
      <w:r w:rsidRPr="00483BDD">
        <w:rPr>
          <w:rStyle w:val="Znakapoznpodarou"/>
          <w:spacing w:val="-2"/>
          <w:sz w:val="16"/>
          <w:szCs w:val="16"/>
          <w:lang w:val="en-GB"/>
        </w:rPr>
        <w:footnoteRef/>
      </w:r>
      <w:r w:rsidRPr="00483BDD">
        <w:rPr>
          <w:spacing w:val="-2"/>
          <w:sz w:val="16"/>
          <w:szCs w:val="16"/>
          <w:lang w:val="en-GB"/>
        </w:rPr>
        <w:t xml:space="preserve"> </w:t>
      </w:r>
      <w:r w:rsidRPr="00483BDD">
        <w:rPr>
          <w:spacing w:val="-6"/>
          <w:sz w:val="16"/>
          <w:szCs w:val="16"/>
          <w:lang w:val="en-GB"/>
        </w:rPr>
        <w:t>Businesses could have ind</w:t>
      </w:r>
      <w:r>
        <w:rPr>
          <w:spacing w:val="-6"/>
          <w:sz w:val="16"/>
          <w:szCs w:val="16"/>
          <w:lang w:val="en-GB"/>
        </w:rPr>
        <w:t>icated more main growth barriers</w:t>
      </w:r>
      <w:r w:rsidRPr="00483BDD">
        <w:rPr>
          <w:spacing w:val="-6"/>
          <w:sz w:val="16"/>
          <w:szCs w:val="16"/>
          <w:lang w:val="en-GB"/>
        </w:rPr>
        <w:t xml:space="preserve"> simultaneously. </w:t>
      </w:r>
    </w:p>
  </w:footnote>
  <w:footnote w:id="11">
    <w:p w14:paraId="7A0AB914" w14:textId="77777777" w:rsidR="00E37C1C" w:rsidRPr="00483BDD" w:rsidRDefault="00E37C1C" w:rsidP="00E87D5B">
      <w:pPr>
        <w:pStyle w:val="Textpoznpodarou"/>
        <w:rPr>
          <w:sz w:val="16"/>
          <w:szCs w:val="16"/>
          <w:lang w:val="en-GB"/>
        </w:rPr>
      </w:pPr>
      <w:r w:rsidRPr="00483BDD">
        <w:rPr>
          <w:rStyle w:val="Znakapoznpodarou"/>
          <w:sz w:val="16"/>
          <w:szCs w:val="16"/>
          <w:lang w:val="en-GB"/>
        </w:rPr>
        <w:footnoteRef/>
      </w:r>
      <w:r w:rsidRPr="00483BDD">
        <w:rPr>
          <w:sz w:val="16"/>
          <w:szCs w:val="16"/>
          <w:lang w:val="en-GB"/>
        </w:rPr>
        <w:t xml:space="preserve"> It however worked in the direction of the decrease of the whole industry only marginally </w:t>
      </w:r>
      <w:r w:rsidRPr="00483BDD">
        <w:rPr>
          <w:color w:val="0D0D0D" w:themeColor="text1" w:themeTint="F2"/>
          <w:spacing w:val="-4"/>
          <w:sz w:val="16"/>
          <w:szCs w:val="16"/>
          <w:lang w:val="en-GB"/>
        </w:rPr>
        <w:t>(-0.2 p.p.).</w:t>
      </w:r>
    </w:p>
  </w:footnote>
  <w:footnote w:id="12">
    <w:p w14:paraId="53FDB714" w14:textId="553E0399" w:rsidR="00E37C1C" w:rsidRPr="005C41BD" w:rsidRDefault="00E37C1C" w:rsidP="005C41BD">
      <w:pPr>
        <w:pStyle w:val="Textpoznpodarou"/>
        <w:jc w:val="both"/>
        <w:rPr>
          <w:spacing w:val="-2"/>
          <w:sz w:val="16"/>
          <w:szCs w:val="16"/>
          <w:lang w:val="en-GB"/>
        </w:rPr>
      </w:pPr>
      <w:r w:rsidRPr="00F33536">
        <w:rPr>
          <w:rStyle w:val="Znakapoznpodarou"/>
          <w:spacing w:val="-2"/>
          <w:sz w:val="16"/>
          <w:szCs w:val="16"/>
        </w:rPr>
        <w:footnoteRef/>
      </w:r>
      <w:r w:rsidRPr="00F33536">
        <w:rPr>
          <w:spacing w:val="-2"/>
          <w:sz w:val="16"/>
          <w:szCs w:val="16"/>
        </w:rPr>
        <w:t xml:space="preserve"> </w:t>
      </w:r>
      <w:r w:rsidRPr="00AA7871">
        <w:rPr>
          <w:rFonts w:cs="Arial"/>
          <w:color w:val="0D0D0D" w:themeColor="text1" w:themeTint="F2"/>
          <w:spacing w:val="-3"/>
          <w:sz w:val="16"/>
          <w:szCs w:val="16"/>
          <w:lang w:val="en-GB"/>
        </w:rPr>
        <w:t>According to the data of the Energy Regulatory Office of the CR</w:t>
      </w:r>
      <w:r>
        <w:rPr>
          <w:rFonts w:cs="Arial"/>
          <w:color w:val="0D0D0D" w:themeColor="text1" w:themeTint="F2"/>
          <w:spacing w:val="-3"/>
          <w:sz w:val="16"/>
          <w:szCs w:val="16"/>
          <w:lang w:val="en-GB"/>
        </w:rPr>
        <w:t xml:space="preserve"> (ERO)</w:t>
      </w:r>
      <w:r w:rsidRPr="00AA7871">
        <w:rPr>
          <w:rFonts w:cs="Arial"/>
          <w:color w:val="0D0D0D" w:themeColor="text1" w:themeTint="F2"/>
          <w:spacing w:val="-3"/>
          <w:sz w:val="16"/>
          <w:szCs w:val="16"/>
          <w:lang w:val="en-GB"/>
        </w:rPr>
        <w:t xml:space="preserve">, the total </w:t>
      </w:r>
      <w:r>
        <w:rPr>
          <w:rFonts w:cs="Arial"/>
          <w:color w:val="0D0D0D" w:themeColor="text1" w:themeTint="F2"/>
          <w:spacing w:val="-3"/>
          <w:sz w:val="16"/>
          <w:szCs w:val="16"/>
          <w:lang w:val="en-GB"/>
        </w:rPr>
        <w:t xml:space="preserve">consumption of natural gas after adjustment for long-term thermal standard plummeted by 16.5% last year. The absolute size of such expressed consumption reached a minimum in the comparative time series since year 2001. The non-adjusted consumption was falling in all months of the year (mainly in May by 33%). For the whole year, the consumption decreased the most for wholesale customers – e.g. the largest businesses </w:t>
      </w:r>
      <w:r w:rsidRPr="005C41BD">
        <w:rPr>
          <w:spacing w:val="-2"/>
          <w:sz w:val="16"/>
          <w:szCs w:val="16"/>
          <w:lang w:val="en-GB"/>
        </w:rPr>
        <w:t>(</w:t>
      </w:r>
      <w:r>
        <w:rPr>
          <w:spacing w:val="-2"/>
          <w:sz w:val="16"/>
          <w:szCs w:val="16"/>
          <w:lang w:val="en-GB"/>
        </w:rPr>
        <w:t xml:space="preserve">by </w:t>
      </w:r>
      <w:r w:rsidRPr="005C41BD">
        <w:rPr>
          <w:spacing w:val="-2"/>
          <w:sz w:val="16"/>
          <w:szCs w:val="16"/>
          <w:lang w:val="en-GB"/>
        </w:rPr>
        <w:t>22%)</w:t>
      </w:r>
      <w:r>
        <w:rPr>
          <w:spacing w:val="-2"/>
          <w:sz w:val="16"/>
          <w:szCs w:val="16"/>
          <w:lang w:val="en-GB"/>
        </w:rPr>
        <w:t xml:space="preserve"> and households </w:t>
      </w:r>
      <w:r w:rsidRPr="005C41BD">
        <w:rPr>
          <w:spacing w:val="-2"/>
          <w:sz w:val="16"/>
          <w:szCs w:val="16"/>
          <w:lang w:val="en-GB"/>
        </w:rPr>
        <w:t>(21%),</w:t>
      </w:r>
      <w:r>
        <w:rPr>
          <w:spacing w:val="-2"/>
          <w:sz w:val="16"/>
          <w:szCs w:val="16"/>
          <w:lang w:val="en-GB"/>
        </w:rPr>
        <w:t xml:space="preserve"> the least for businesses in the retail (small) customer category </w:t>
      </w:r>
      <w:r w:rsidRPr="005C41BD">
        <w:rPr>
          <w:spacing w:val="-2"/>
          <w:sz w:val="16"/>
          <w:szCs w:val="16"/>
          <w:lang w:val="en-GB"/>
        </w:rPr>
        <w:t xml:space="preserve">(14%). </w:t>
      </w:r>
    </w:p>
  </w:footnote>
  <w:footnote w:id="13">
    <w:p w14:paraId="47654A5D" w14:textId="6887E8B0" w:rsidR="00E37C1C" w:rsidRPr="005C41BD" w:rsidRDefault="00E37C1C" w:rsidP="00440C2F">
      <w:pPr>
        <w:pStyle w:val="Textpoznpodarou"/>
        <w:jc w:val="both"/>
        <w:rPr>
          <w:spacing w:val="-2"/>
          <w:sz w:val="16"/>
          <w:szCs w:val="16"/>
          <w:lang w:val="en-GB"/>
        </w:rPr>
      </w:pPr>
      <w:r w:rsidRPr="005C41BD">
        <w:rPr>
          <w:rStyle w:val="Znakapoznpodarou"/>
          <w:spacing w:val="-2"/>
          <w:sz w:val="16"/>
          <w:szCs w:val="16"/>
          <w:lang w:val="en-GB"/>
        </w:rPr>
        <w:footnoteRef/>
      </w:r>
      <w:r w:rsidRPr="005C41BD">
        <w:rPr>
          <w:spacing w:val="-2"/>
          <w:sz w:val="16"/>
          <w:szCs w:val="16"/>
          <w:lang w:val="en-GB"/>
        </w:rPr>
        <w:t xml:space="preserve"> </w:t>
      </w:r>
      <w:r>
        <w:rPr>
          <w:spacing w:val="-2"/>
          <w:sz w:val="16"/>
          <w:szCs w:val="16"/>
          <w:lang w:val="en-GB"/>
        </w:rPr>
        <w:t>According to the up to date ERO data, the total gross production of heat dropped by 6.6% for Q</w:t>
      </w:r>
      <w:r w:rsidRPr="005C41BD">
        <w:rPr>
          <w:spacing w:val="-2"/>
          <w:sz w:val="16"/>
          <w:szCs w:val="16"/>
          <w:lang w:val="en-GB"/>
        </w:rPr>
        <w:t>1</w:t>
      </w:r>
      <w:r>
        <w:rPr>
          <w:spacing w:val="-2"/>
          <w:sz w:val="16"/>
          <w:szCs w:val="16"/>
          <w:lang w:val="en-GB"/>
        </w:rPr>
        <w:t xml:space="preserve"> to Q</w:t>
      </w:r>
      <w:r w:rsidRPr="005C41BD">
        <w:rPr>
          <w:spacing w:val="-2"/>
          <w:sz w:val="16"/>
          <w:szCs w:val="16"/>
          <w:lang w:val="en-GB"/>
        </w:rPr>
        <w:t>3</w:t>
      </w:r>
      <w:r>
        <w:rPr>
          <w:spacing w:val="-2"/>
          <w:sz w:val="16"/>
          <w:szCs w:val="16"/>
          <w:lang w:val="en-GB"/>
        </w:rPr>
        <w:t xml:space="preserve"> </w:t>
      </w:r>
      <w:r w:rsidRPr="005C41BD">
        <w:rPr>
          <w:spacing w:val="-2"/>
          <w:sz w:val="16"/>
          <w:szCs w:val="16"/>
          <w:lang w:val="en-GB"/>
        </w:rPr>
        <w:t>2022</w:t>
      </w:r>
      <w:r>
        <w:rPr>
          <w:spacing w:val="-2"/>
          <w:sz w:val="16"/>
          <w:szCs w:val="16"/>
          <w:lang w:val="en-GB"/>
        </w:rPr>
        <w:t xml:space="preserve">, mainly due to the lower utilisation of natural gas and black coal </w:t>
      </w:r>
      <w:r w:rsidRPr="005C41BD">
        <w:rPr>
          <w:spacing w:val="-2"/>
          <w:sz w:val="16"/>
          <w:szCs w:val="16"/>
          <w:lang w:val="en-GB"/>
        </w:rPr>
        <w:t>(</w:t>
      </w:r>
      <w:r>
        <w:rPr>
          <w:spacing w:val="-2"/>
          <w:sz w:val="16"/>
          <w:szCs w:val="16"/>
          <w:lang w:val="en-GB"/>
        </w:rPr>
        <w:t xml:space="preserve">in contrast the weight of the brown coal and heating </w:t>
      </w:r>
      <w:proofErr w:type="spellStart"/>
      <w:r>
        <w:rPr>
          <w:spacing w:val="-2"/>
          <w:sz w:val="16"/>
          <w:szCs w:val="16"/>
          <w:lang w:val="en-GB"/>
        </w:rPr>
        <w:t>oils</w:t>
      </w:r>
      <w:proofErr w:type="spellEnd"/>
      <w:r>
        <w:rPr>
          <w:spacing w:val="-2"/>
          <w:sz w:val="16"/>
          <w:szCs w:val="16"/>
          <w:lang w:val="en-GB"/>
        </w:rPr>
        <w:t xml:space="preserve"> grew</w:t>
      </w:r>
      <w:r w:rsidRPr="005C41BD">
        <w:rPr>
          <w:spacing w:val="-2"/>
          <w:sz w:val="16"/>
          <w:szCs w:val="16"/>
          <w:lang w:val="en-GB"/>
        </w:rPr>
        <w:t xml:space="preserve">). </w:t>
      </w:r>
      <w:r>
        <w:rPr>
          <w:spacing w:val="-2"/>
          <w:sz w:val="16"/>
          <w:szCs w:val="16"/>
          <w:lang w:val="en-GB"/>
        </w:rPr>
        <w:t xml:space="preserve">The amount of consumed heat decreased faster </w:t>
      </w:r>
      <w:r w:rsidRPr="005C41BD">
        <w:rPr>
          <w:spacing w:val="-2"/>
          <w:sz w:val="16"/>
          <w:szCs w:val="16"/>
          <w:lang w:val="en-GB"/>
        </w:rPr>
        <w:t>(</w:t>
      </w:r>
      <w:r>
        <w:rPr>
          <w:spacing w:val="-2"/>
          <w:sz w:val="16"/>
          <w:szCs w:val="16"/>
          <w:lang w:val="en-GB"/>
        </w:rPr>
        <w:t xml:space="preserve">by </w:t>
      </w:r>
      <w:r w:rsidRPr="005C41BD">
        <w:rPr>
          <w:spacing w:val="-2"/>
          <w:sz w:val="16"/>
          <w:szCs w:val="16"/>
          <w:lang w:val="en-GB"/>
        </w:rPr>
        <w:t>10</w:t>
      </w:r>
      <w:r>
        <w:rPr>
          <w:spacing w:val="-2"/>
          <w:sz w:val="16"/>
          <w:szCs w:val="16"/>
          <w:lang w:val="en-GB"/>
        </w:rPr>
        <w:t>.</w:t>
      </w:r>
      <w:r w:rsidRPr="005C41BD">
        <w:rPr>
          <w:spacing w:val="-2"/>
          <w:sz w:val="16"/>
          <w:szCs w:val="16"/>
          <w:lang w:val="en-GB"/>
        </w:rPr>
        <w:t xml:space="preserve">3%), </w:t>
      </w:r>
      <w:r>
        <w:rPr>
          <w:spacing w:val="-2"/>
          <w:sz w:val="16"/>
          <w:szCs w:val="16"/>
          <w:lang w:val="en-GB"/>
        </w:rPr>
        <w:t xml:space="preserve">in that by </w:t>
      </w:r>
      <w:r w:rsidRPr="005C41BD">
        <w:rPr>
          <w:spacing w:val="-2"/>
          <w:sz w:val="16"/>
          <w:szCs w:val="16"/>
          <w:lang w:val="en-GB"/>
        </w:rPr>
        <w:t>12%</w:t>
      </w:r>
      <w:r>
        <w:rPr>
          <w:spacing w:val="-2"/>
          <w:sz w:val="16"/>
          <w:szCs w:val="16"/>
          <w:lang w:val="en-GB"/>
        </w:rPr>
        <w:t xml:space="preserve"> in households</w:t>
      </w:r>
      <w:r w:rsidRPr="005C41BD">
        <w:rPr>
          <w:spacing w:val="-2"/>
          <w:sz w:val="16"/>
          <w:szCs w:val="16"/>
          <w:lang w:val="en-GB"/>
        </w:rPr>
        <w:t>,</w:t>
      </w:r>
      <w:r>
        <w:rPr>
          <w:spacing w:val="-2"/>
          <w:sz w:val="16"/>
          <w:szCs w:val="16"/>
          <w:lang w:val="en-GB"/>
        </w:rPr>
        <w:t xml:space="preserve"> decrease also occurred across the business sphere </w:t>
      </w:r>
      <w:r w:rsidRPr="005C41BD">
        <w:rPr>
          <w:spacing w:val="-2"/>
          <w:sz w:val="16"/>
          <w:szCs w:val="16"/>
          <w:lang w:val="en-GB"/>
        </w:rPr>
        <w:t>(4%</w:t>
      </w:r>
      <w:r>
        <w:rPr>
          <w:spacing w:val="-2"/>
          <w:sz w:val="16"/>
          <w:szCs w:val="16"/>
          <w:lang w:val="en-GB"/>
        </w:rPr>
        <w:t xml:space="preserve"> in industry</w:t>
      </w:r>
      <w:r w:rsidRPr="005C41BD">
        <w:rPr>
          <w:spacing w:val="-2"/>
          <w:sz w:val="16"/>
          <w:szCs w:val="16"/>
          <w:lang w:val="en-GB"/>
        </w:rPr>
        <w:t>, 24%</w:t>
      </w:r>
      <w:r>
        <w:rPr>
          <w:spacing w:val="-2"/>
          <w:sz w:val="16"/>
          <w:szCs w:val="16"/>
          <w:lang w:val="en-GB"/>
        </w:rPr>
        <w:t xml:space="preserve"> in energy industry</w:t>
      </w:r>
      <w:r w:rsidRPr="005C41BD">
        <w:rPr>
          <w:spacing w:val="-2"/>
          <w:sz w:val="16"/>
          <w:szCs w:val="16"/>
          <w:lang w:val="en-GB"/>
        </w:rPr>
        <w:t>).</w:t>
      </w:r>
      <w:r>
        <w:rPr>
          <w:spacing w:val="-2"/>
          <w:sz w:val="16"/>
          <w:szCs w:val="16"/>
          <w:lang w:val="en-GB"/>
        </w:rPr>
        <w:t xml:space="preserve"> </w:t>
      </w:r>
    </w:p>
  </w:footnote>
  <w:footnote w:id="14">
    <w:p w14:paraId="13E2B24C" w14:textId="1F385084" w:rsidR="00E37C1C" w:rsidRPr="005C41BD" w:rsidRDefault="00E37C1C" w:rsidP="00A37262">
      <w:pPr>
        <w:pStyle w:val="Textpoznpodarou"/>
        <w:jc w:val="both"/>
        <w:rPr>
          <w:spacing w:val="-2"/>
          <w:sz w:val="16"/>
          <w:szCs w:val="16"/>
          <w:lang w:val="en-GB"/>
        </w:rPr>
      </w:pPr>
      <w:r w:rsidRPr="005C41BD">
        <w:rPr>
          <w:rStyle w:val="Znakapoznpodarou"/>
          <w:spacing w:val="-2"/>
          <w:sz w:val="16"/>
          <w:szCs w:val="16"/>
          <w:lang w:val="en-GB"/>
        </w:rPr>
        <w:footnoteRef/>
      </w:r>
      <w:r w:rsidRPr="005C41BD">
        <w:rPr>
          <w:spacing w:val="-2"/>
          <w:sz w:val="16"/>
          <w:szCs w:val="16"/>
          <w:lang w:val="en-GB"/>
        </w:rPr>
        <w:t xml:space="preserve"> </w:t>
      </w:r>
      <w:r>
        <w:rPr>
          <w:spacing w:val="-2"/>
          <w:sz w:val="16"/>
          <w:szCs w:val="16"/>
          <w:lang w:val="en-GB"/>
        </w:rPr>
        <w:t xml:space="preserve">Combined gas/steam plants contributed mainly to the decrease of the total gross generated electricity according to the ERO data in year </w:t>
      </w:r>
      <w:r w:rsidRPr="005C41BD">
        <w:rPr>
          <w:spacing w:val="-2"/>
          <w:sz w:val="16"/>
          <w:szCs w:val="16"/>
          <w:lang w:val="en-GB"/>
        </w:rPr>
        <w:t>2022</w:t>
      </w:r>
      <w:r>
        <w:rPr>
          <w:spacing w:val="-2"/>
          <w:sz w:val="16"/>
          <w:szCs w:val="16"/>
          <w:lang w:val="en-GB"/>
        </w:rPr>
        <w:t xml:space="preserve"> </w:t>
      </w:r>
      <w:r w:rsidRPr="005C41BD">
        <w:rPr>
          <w:spacing w:val="-2"/>
          <w:sz w:val="16"/>
          <w:szCs w:val="16"/>
          <w:lang w:val="en-GB"/>
        </w:rPr>
        <w:t>(</w:t>
      </w:r>
      <w:r>
        <w:rPr>
          <w:spacing w:val="-2"/>
          <w:sz w:val="16"/>
          <w:szCs w:val="16"/>
          <w:lang w:val="en-GB"/>
        </w:rPr>
        <w:t>their production sank by one half year-on-year</w:t>
      </w:r>
      <w:r w:rsidRPr="005C41BD">
        <w:rPr>
          <w:spacing w:val="-2"/>
          <w:sz w:val="16"/>
          <w:szCs w:val="16"/>
          <w:lang w:val="en-GB"/>
        </w:rPr>
        <w:t xml:space="preserve">), </w:t>
      </w:r>
      <w:r>
        <w:rPr>
          <w:spacing w:val="-2"/>
          <w:sz w:val="16"/>
          <w:szCs w:val="16"/>
          <w:lang w:val="en-GB"/>
        </w:rPr>
        <w:t>water stations were also less utilised</w:t>
      </w:r>
      <w:r w:rsidRPr="005C41BD">
        <w:rPr>
          <w:spacing w:val="-2"/>
          <w:sz w:val="16"/>
          <w:szCs w:val="16"/>
          <w:lang w:val="en-GB"/>
        </w:rPr>
        <w:t xml:space="preserve">. </w:t>
      </w:r>
      <w:r>
        <w:rPr>
          <w:spacing w:val="-2"/>
          <w:sz w:val="16"/>
          <w:szCs w:val="16"/>
          <w:lang w:val="en-GB"/>
        </w:rPr>
        <w:t>Thermal (steam) power plants on the contrary contributed positively</w:t>
      </w:r>
      <w:r w:rsidRPr="005C41BD">
        <w:rPr>
          <w:spacing w:val="-2"/>
          <w:sz w:val="16"/>
          <w:szCs w:val="16"/>
          <w:lang w:val="en-GB"/>
        </w:rPr>
        <w:t xml:space="preserve"> (</w:t>
      </w:r>
      <w:r>
        <w:rPr>
          <w:spacing w:val="-2"/>
          <w:sz w:val="16"/>
          <w:szCs w:val="16"/>
          <w:lang w:val="en-GB"/>
        </w:rPr>
        <w:t xml:space="preserve">output growth of </w:t>
      </w:r>
      <w:r w:rsidRPr="005C41BD">
        <w:rPr>
          <w:spacing w:val="-2"/>
          <w:sz w:val="16"/>
          <w:szCs w:val="16"/>
          <w:lang w:val="en-GB"/>
        </w:rPr>
        <w:t>6</w:t>
      </w:r>
      <w:r>
        <w:rPr>
          <w:spacing w:val="-2"/>
          <w:sz w:val="16"/>
          <w:szCs w:val="16"/>
          <w:lang w:val="en-GB"/>
        </w:rPr>
        <w:t>.</w:t>
      </w:r>
      <w:r w:rsidRPr="005C41BD">
        <w:rPr>
          <w:spacing w:val="-2"/>
          <w:sz w:val="16"/>
          <w:szCs w:val="16"/>
          <w:lang w:val="en-GB"/>
        </w:rPr>
        <w:t>3%),</w:t>
      </w:r>
      <w:r>
        <w:rPr>
          <w:spacing w:val="-2"/>
          <w:sz w:val="16"/>
          <w:szCs w:val="16"/>
          <w:lang w:val="en-GB"/>
        </w:rPr>
        <w:t xml:space="preserve"> specifically mainly due to the higher utilisation of coal</w:t>
      </w:r>
      <w:r w:rsidRPr="005C41BD">
        <w:rPr>
          <w:spacing w:val="-2"/>
          <w:sz w:val="16"/>
          <w:szCs w:val="16"/>
          <w:lang w:val="en-GB"/>
        </w:rPr>
        <w:t xml:space="preserve">. </w:t>
      </w:r>
      <w:r>
        <w:rPr>
          <w:spacing w:val="-2"/>
          <w:sz w:val="16"/>
          <w:szCs w:val="16"/>
          <w:lang w:val="en-GB"/>
        </w:rPr>
        <w:t xml:space="preserve">Production in nuclear power plants also mildly strengthened </w:t>
      </w:r>
      <w:r w:rsidRPr="005C41BD">
        <w:rPr>
          <w:spacing w:val="-2"/>
          <w:sz w:val="16"/>
          <w:szCs w:val="16"/>
          <w:lang w:val="en-GB"/>
        </w:rPr>
        <w:t>(+0</w:t>
      </w:r>
      <w:r>
        <w:rPr>
          <w:spacing w:val="-2"/>
          <w:sz w:val="16"/>
          <w:szCs w:val="16"/>
          <w:lang w:val="en-GB"/>
        </w:rPr>
        <w:t>.</w:t>
      </w:r>
      <w:r w:rsidRPr="005C41BD">
        <w:rPr>
          <w:spacing w:val="-2"/>
          <w:sz w:val="16"/>
          <w:szCs w:val="16"/>
          <w:lang w:val="en-GB"/>
        </w:rPr>
        <w:t xml:space="preserve">9%), </w:t>
      </w:r>
      <w:r>
        <w:rPr>
          <w:spacing w:val="-2"/>
          <w:sz w:val="16"/>
          <w:szCs w:val="16"/>
          <w:lang w:val="en-GB"/>
        </w:rPr>
        <w:t xml:space="preserve">its size totalled record </w:t>
      </w:r>
      <w:r w:rsidRPr="005C41BD">
        <w:rPr>
          <w:spacing w:val="-2"/>
          <w:sz w:val="16"/>
          <w:szCs w:val="16"/>
          <w:lang w:val="en-GB"/>
        </w:rPr>
        <w:t xml:space="preserve">31 </w:t>
      </w:r>
      <w:proofErr w:type="spellStart"/>
      <w:r w:rsidRPr="005C41BD">
        <w:rPr>
          <w:spacing w:val="-2"/>
          <w:sz w:val="16"/>
          <w:szCs w:val="16"/>
          <w:lang w:val="en-GB"/>
        </w:rPr>
        <w:t>TWh</w:t>
      </w:r>
      <w:proofErr w:type="spellEnd"/>
      <w:r w:rsidRPr="005C41BD">
        <w:rPr>
          <w:spacing w:val="-2"/>
          <w:sz w:val="16"/>
          <w:szCs w:val="16"/>
          <w:lang w:val="en-GB"/>
        </w:rPr>
        <w:t xml:space="preserve"> (37%</w:t>
      </w:r>
      <w:r>
        <w:rPr>
          <w:spacing w:val="-2"/>
          <w:sz w:val="16"/>
          <w:szCs w:val="16"/>
          <w:lang w:val="en-GB"/>
        </w:rPr>
        <w:t xml:space="preserve"> of all electricity generated in the CR</w:t>
      </w:r>
      <w:r w:rsidRPr="005C41BD">
        <w:rPr>
          <w:spacing w:val="-2"/>
          <w:sz w:val="16"/>
          <w:szCs w:val="16"/>
          <w:lang w:val="en-GB"/>
        </w:rPr>
        <w:t xml:space="preserve">). </w:t>
      </w:r>
      <w:r>
        <w:rPr>
          <w:spacing w:val="-2"/>
          <w:sz w:val="16"/>
          <w:szCs w:val="16"/>
          <w:lang w:val="en-GB"/>
        </w:rPr>
        <w:t>Total gross domestic consumption of electricity was slightly falling year-on-year for the whole last year, however the most in Q</w:t>
      </w:r>
      <w:r w:rsidRPr="005C41BD">
        <w:rPr>
          <w:spacing w:val="-2"/>
          <w:sz w:val="16"/>
          <w:szCs w:val="16"/>
          <w:lang w:val="en-GB"/>
        </w:rPr>
        <w:t>4</w:t>
      </w:r>
      <w:r>
        <w:rPr>
          <w:spacing w:val="-2"/>
          <w:sz w:val="16"/>
          <w:szCs w:val="16"/>
          <w:lang w:val="en-GB"/>
        </w:rPr>
        <w:t xml:space="preserve"> </w:t>
      </w:r>
      <w:r w:rsidRPr="005C41BD">
        <w:rPr>
          <w:spacing w:val="-2"/>
          <w:sz w:val="16"/>
          <w:szCs w:val="16"/>
          <w:lang w:val="en-GB"/>
        </w:rPr>
        <w:t>(-6</w:t>
      </w:r>
      <w:r>
        <w:rPr>
          <w:spacing w:val="-2"/>
          <w:sz w:val="16"/>
          <w:szCs w:val="16"/>
          <w:lang w:val="en-GB"/>
        </w:rPr>
        <w:t>.</w:t>
      </w:r>
      <w:r w:rsidRPr="005C41BD">
        <w:rPr>
          <w:spacing w:val="-2"/>
          <w:sz w:val="16"/>
          <w:szCs w:val="16"/>
          <w:lang w:val="en-GB"/>
        </w:rPr>
        <w:t xml:space="preserve">6%). </w:t>
      </w:r>
      <w:r>
        <w:rPr>
          <w:spacing w:val="-2"/>
          <w:sz w:val="16"/>
          <w:szCs w:val="16"/>
          <w:lang w:val="en-GB"/>
        </w:rPr>
        <w:t xml:space="preserve">Mainly households participated on the yearly savings </w:t>
      </w:r>
      <w:r w:rsidRPr="005C41BD">
        <w:rPr>
          <w:spacing w:val="-2"/>
          <w:sz w:val="16"/>
          <w:szCs w:val="16"/>
          <w:lang w:val="en-GB"/>
        </w:rPr>
        <w:t>(t</w:t>
      </w:r>
      <w:r>
        <w:rPr>
          <w:spacing w:val="-2"/>
          <w:sz w:val="16"/>
          <w:szCs w:val="16"/>
          <w:lang w:val="en-GB"/>
        </w:rPr>
        <w:t xml:space="preserve">hey decreased their consumption by </w:t>
      </w:r>
      <w:r w:rsidRPr="005C41BD">
        <w:rPr>
          <w:spacing w:val="-2"/>
          <w:sz w:val="16"/>
          <w:szCs w:val="16"/>
          <w:lang w:val="en-GB"/>
        </w:rPr>
        <w:t>9%,</w:t>
      </w:r>
      <w:r>
        <w:rPr>
          <w:spacing w:val="-2"/>
          <w:sz w:val="16"/>
          <w:szCs w:val="16"/>
          <w:lang w:val="en-GB"/>
        </w:rPr>
        <w:t xml:space="preserve"> the most in the last </w:t>
      </w:r>
      <w:r w:rsidRPr="005C41BD">
        <w:rPr>
          <w:spacing w:val="-2"/>
          <w:sz w:val="16"/>
          <w:szCs w:val="16"/>
          <w:lang w:val="en-GB"/>
        </w:rPr>
        <w:t xml:space="preserve">20 </w:t>
      </w:r>
      <w:r>
        <w:rPr>
          <w:spacing w:val="-2"/>
          <w:sz w:val="16"/>
          <w:szCs w:val="16"/>
          <w:lang w:val="en-GB"/>
        </w:rPr>
        <w:t>years</w:t>
      </w:r>
      <w:r w:rsidRPr="005C41BD">
        <w:rPr>
          <w:spacing w:val="-2"/>
          <w:sz w:val="16"/>
          <w:szCs w:val="16"/>
          <w:lang w:val="en-GB"/>
        </w:rPr>
        <w:t xml:space="preserve">). </w:t>
      </w:r>
      <w:r>
        <w:rPr>
          <w:spacing w:val="-2"/>
          <w:sz w:val="16"/>
          <w:szCs w:val="16"/>
          <w:lang w:val="en-GB"/>
        </w:rPr>
        <w:t xml:space="preserve">Savings in the business sphere were in much lower range </w:t>
      </w:r>
      <w:r w:rsidRPr="005C41BD">
        <w:rPr>
          <w:spacing w:val="-2"/>
          <w:sz w:val="16"/>
          <w:szCs w:val="16"/>
          <w:lang w:val="en-GB"/>
        </w:rPr>
        <w:t xml:space="preserve">– </w:t>
      </w:r>
      <w:r>
        <w:rPr>
          <w:spacing w:val="-2"/>
          <w:sz w:val="16"/>
          <w:szCs w:val="16"/>
          <w:lang w:val="en-GB"/>
        </w:rPr>
        <w:t xml:space="preserve">for </w:t>
      </w:r>
      <w:r w:rsidRPr="0046041E">
        <w:rPr>
          <w:spacing w:val="-2"/>
          <w:sz w:val="16"/>
          <w:szCs w:val="16"/>
          <w:lang w:val="en-GB"/>
        </w:rPr>
        <w:t>wholesale customers (-2.5%), for retail customers</w:t>
      </w:r>
      <w:r>
        <w:rPr>
          <w:spacing w:val="-2"/>
          <w:sz w:val="16"/>
          <w:szCs w:val="16"/>
          <w:lang w:val="en-GB"/>
        </w:rPr>
        <w:t xml:space="preserve"> - e.g. small entrepreneurs</w:t>
      </w:r>
      <w:r w:rsidRPr="0046041E">
        <w:rPr>
          <w:spacing w:val="-2"/>
          <w:sz w:val="16"/>
          <w:szCs w:val="16"/>
          <w:lang w:val="en-GB"/>
        </w:rPr>
        <w:t xml:space="preserve"> (-0.1%). The electricity consumption was higher only for households last year (+2.9%) compared to year 2019, it lagged behind the pre-crisis level in the business sphere</w:t>
      </w:r>
      <w:r>
        <w:rPr>
          <w:spacing w:val="-2"/>
          <w:sz w:val="16"/>
          <w:szCs w:val="16"/>
          <w:lang w:val="en-GB"/>
        </w:rPr>
        <w:t xml:space="preserve"> (5.6% for </w:t>
      </w:r>
      <w:r w:rsidRPr="0046041E">
        <w:rPr>
          <w:spacing w:val="-2"/>
          <w:sz w:val="16"/>
          <w:szCs w:val="16"/>
          <w:lang w:val="en-GB"/>
        </w:rPr>
        <w:t>wholesale customers, by 3.5% for retail customers).</w:t>
      </w:r>
      <w:r w:rsidRPr="005C41BD">
        <w:rPr>
          <w:spacing w:val="-2"/>
          <w:sz w:val="16"/>
          <w:szCs w:val="16"/>
          <w:lang w:val="en-GB"/>
        </w:rPr>
        <w:t xml:space="preserve"> </w:t>
      </w:r>
    </w:p>
  </w:footnote>
  <w:footnote w:id="15">
    <w:p w14:paraId="7ADEBF49" w14:textId="4CA7865C" w:rsidR="00E37C1C" w:rsidRPr="002D67BD" w:rsidRDefault="00E37C1C" w:rsidP="002D67BD">
      <w:pPr>
        <w:pStyle w:val="Textpoznpodarou"/>
        <w:jc w:val="both"/>
        <w:rPr>
          <w:spacing w:val="-2"/>
          <w:lang w:val="en-GB"/>
        </w:rPr>
      </w:pPr>
      <w:r w:rsidRPr="00F33536">
        <w:rPr>
          <w:spacing w:val="-2"/>
          <w:sz w:val="16"/>
          <w:szCs w:val="16"/>
          <w:vertAlign w:val="superscript"/>
        </w:rPr>
        <w:footnoteRef/>
      </w:r>
      <w:r w:rsidRPr="00F33536">
        <w:rPr>
          <w:spacing w:val="-2"/>
          <w:sz w:val="16"/>
          <w:szCs w:val="16"/>
        </w:rPr>
        <w:t xml:space="preserve"> </w:t>
      </w:r>
      <w:r w:rsidRPr="002D67BD">
        <w:rPr>
          <w:spacing w:val="-2"/>
          <w:sz w:val="16"/>
          <w:szCs w:val="16"/>
          <w:lang w:val="en-GB"/>
        </w:rPr>
        <w:t xml:space="preserve">According to the ERO data, the value of </w:t>
      </w:r>
      <w:r>
        <w:rPr>
          <w:spacing w:val="-2"/>
          <w:sz w:val="16"/>
          <w:szCs w:val="16"/>
          <w:lang w:val="en-GB"/>
        </w:rPr>
        <w:t xml:space="preserve">difference between export and import increased by </w:t>
      </w:r>
      <w:r w:rsidRPr="002D67BD">
        <w:rPr>
          <w:spacing w:val="-2"/>
          <w:sz w:val="16"/>
          <w:szCs w:val="16"/>
          <w:lang w:val="en-GB"/>
        </w:rPr>
        <w:t xml:space="preserve">22%, </w:t>
      </w:r>
      <w:r>
        <w:rPr>
          <w:spacing w:val="-2"/>
          <w:sz w:val="16"/>
          <w:szCs w:val="16"/>
          <w:lang w:val="en-GB"/>
        </w:rPr>
        <w:t>to total +</w:t>
      </w:r>
      <w:r w:rsidRPr="002D67BD">
        <w:rPr>
          <w:spacing w:val="-2"/>
          <w:sz w:val="16"/>
          <w:szCs w:val="16"/>
          <w:lang w:val="en-GB"/>
        </w:rPr>
        <w:t>13</w:t>
      </w:r>
      <w:r>
        <w:rPr>
          <w:spacing w:val="-2"/>
          <w:sz w:val="16"/>
          <w:szCs w:val="16"/>
          <w:lang w:val="en-GB"/>
        </w:rPr>
        <w:t>.</w:t>
      </w:r>
      <w:r w:rsidRPr="002D67BD">
        <w:rPr>
          <w:spacing w:val="-2"/>
          <w:sz w:val="16"/>
          <w:szCs w:val="16"/>
          <w:lang w:val="en-GB"/>
        </w:rPr>
        <w:t>5 </w:t>
      </w:r>
      <w:proofErr w:type="spellStart"/>
      <w:r w:rsidRPr="002D67BD">
        <w:rPr>
          <w:spacing w:val="-2"/>
          <w:sz w:val="16"/>
          <w:szCs w:val="16"/>
          <w:lang w:val="en-GB"/>
        </w:rPr>
        <w:t>TWh</w:t>
      </w:r>
      <w:proofErr w:type="spellEnd"/>
      <w:r w:rsidRPr="002D67BD">
        <w:rPr>
          <w:spacing w:val="-2"/>
          <w:sz w:val="16"/>
          <w:szCs w:val="16"/>
          <w:lang w:val="en-GB"/>
        </w:rPr>
        <w:t xml:space="preserve"> in year 2022.</w:t>
      </w:r>
    </w:p>
  </w:footnote>
  <w:footnote w:id="16">
    <w:p w14:paraId="4E5D3DC4" w14:textId="63D9670C" w:rsidR="00E37C1C" w:rsidRPr="002D67BD" w:rsidRDefault="00E37C1C" w:rsidP="002D67BD">
      <w:pPr>
        <w:pStyle w:val="Textpoznpodarou"/>
        <w:jc w:val="both"/>
        <w:rPr>
          <w:spacing w:val="-2"/>
          <w:sz w:val="16"/>
          <w:szCs w:val="16"/>
          <w:lang w:val="en-GB"/>
        </w:rPr>
      </w:pPr>
      <w:r w:rsidRPr="002D67BD">
        <w:rPr>
          <w:rStyle w:val="Znakapoznpodarou"/>
          <w:spacing w:val="-2"/>
          <w:sz w:val="16"/>
          <w:szCs w:val="16"/>
          <w:lang w:val="en-GB"/>
        </w:rPr>
        <w:footnoteRef/>
      </w:r>
      <w:r w:rsidRPr="002D67BD">
        <w:rPr>
          <w:spacing w:val="-2"/>
          <w:sz w:val="16"/>
          <w:szCs w:val="16"/>
          <w:lang w:val="en-GB"/>
        </w:rPr>
        <w:t xml:space="preserve"> </w:t>
      </w:r>
      <w:r>
        <w:rPr>
          <w:spacing w:val="-2"/>
          <w:sz w:val="16"/>
          <w:szCs w:val="16"/>
          <w:lang w:val="en-GB"/>
        </w:rPr>
        <w:t xml:space="preserve">It concerns sales from the industrial activity only. The year-on-year rates of growth are adjusted for calendar effects. </w:t>
      </w:r>
    </w:p>
  </w:footnote>
  <w:footnote w:id="17">
    <w:p w14:paraId="6A1777EB" w14:textId="35709197" w:rsidR="00E37C1C" w:rsidRPr="002D67BD" w:rsidRDefault="00E37C1C" w:rsidP="00D7329C">
      <w:pPr>
        <w:pStyle w:val="Textpoznpodarou"/>
        <w:jc w:val="both"/>
        <w:rPr>
          <w:rFonts w:cs="Arial"/>
          <w:color w:val="0D0D0D" w:themeColor="text1" w:themeTint="F2"/>
          <w:spacing w:val="-2"/>
          <w:sz w:val="16"/>
          <w:szCs w:val="16"/>
          <w:lang w:val="en-GB"/>
        </w:rPr>
      </w:pPr>
      <w:r w:rsidRPr="002D67BD">
        <w:rPr>
          <w:rStyle w:val="Znakapoznpodarou"/>
          <w:rFonts w:cs="Arial"/>
          <w:color w:val="0D0D0D" w:themeColor="text1" w:themeTint="F2"/>
          <w:spacing w:val="-2"/>
          <w:sz w:val="16"/>
          <w:szCs w:val="16"/>
          <w:lang w:val="en-GB"/>
        </w:rPr>
        <w:footnoteRef/>
      </w:r>
      <w:r w:rsidRPr="002D67BD">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Survey of orders is performed only in twelve manufacturing branches </w:t>
      </w:r>
      <w:r>
        <w:rPr>
          <w:rFonts w:cs="Arial"/>
          <w:color w:val="0D0D0D" w:themeColor="text1" w:themeTint="F2"/>
          <w:sz w:val="16"/>
          <w:szCs w:val="16"/>
          <w:lang w:val="en-GB"/>
        </w:rPr>
        <w:t xml:space="preserve">producing mostly custom-made products, with longer production cycle and larger stocks of orders. Year-on-year growth rates of orders are adjusted for calendar effects, quarter-on-quarter rates also for seasonal effects. </w:t>
      </w:r>
    </w:p>
  </w:footnote>
  <w:footnote w:id="18">
    <w:p w14:paraId="350DEA22" w14:textId="66D24E50" w:rsidR="00E37C1C" w:rsidRPr="002D67BD" w:rsidRDefault="00E37C1C" w:rsidP="002D67BD">
      <w:pPr>
        <w:pStyle w:val="Textpoznpodarou"/>
        <w:jc w:val="both"/>
        <w:rPr>
          <w:spacing w:val="-2"/>
          <w:sz w:val="16"/>
          <w:szCs w:val="16"/>
          <w:lang w:val="en-GB"/>
        </w:rPr>
      </w:pPr>
      <w:r w:rsidRPr="002D67BD">
        <w:rPr>
          <w:rStyle w:val="Znakapoznpodarou"/>
          <w:spacing w:val="-2"/>
          <w:sz w:val="16"/>
          <w:szCs w:val="16"/>
          <w:lang w:val="en-GB"/>
        </w:rPr>
        <w:footnoteRef/>
      </w:r>
      <w:r w:rsidRPr="002D67BD">
        <w:rPr>
          <w:spacing w:val="-2"/>
          <w:sz w:val="16"/>
          <w:szCs w:val="16"/>
          <w:lang w:val="en-GB"/>
        </w:rPr>
        <w:t xml:space="preserve"> T</w:t>
      </w:r>
      <w:r>
        <w:rPr>
          <w:spacing w:val="-2"/>
          <w:sz w:val="16"/>
          <w:szCs w:val="16"/>
          <w:lang w:val="en-GB"/>
        </w:rPr>
        <w:t>hey were the lowest in the last two and a half years. They can also be compared to year 2</w:t>
      </w:r>
      <w:r w:rsidRPr="002D67BD">
        <w:rPr>
          <w:spacing w:val="-2"/>
          <w:sz w:val="16"/>
          <w:szCs w:val="16"/>
          <w:lang w:val="en-GB"/>
        </w:rPr>
        <w:t xml:space="preserve">013, </w:t>
      </w:r>
      <w:r>
        <w:rPr>
          <w:spacing w:val="-2"/>
          <w:sz w:val="16"/>
          <w:szCs w:val="16"/>
          <w:lang w:val="en-GB"/>
        </w:rPr>
        <w:t xml:space="preserve">when both the domestic economy and industry were in the clutches of a mild recession. Number of registered employees fell by </w:t>
      </w:r>
      <w:r w:rsidRPr="002D67BD">
        <w:rPr>
          <w:color w:val="0D0D0D" w:themeColor="text1" w:themeTint="F2"/>
          <w:spacing w:val="-4"/>
          <w:sz w:val="16"/>
          <w:szCs w:val="16"/>
          <w:lang w:val="en-GB"/>
        </w:rPr>
        <w:t>0</w:t>
      </w:r>
      <w:r>
        <w:rPr>
          <w:color w:val="0D0D0D" w:themeColor="text1" w:themeTint="F2"/>
          <w:spacing w:val="-4"/>
          <w:sz w:val="16"/>
          <w:szCs w:val="16"/>
          <w:lang w:val="en-GB"/>
        </w:rPr>
        <w:t>.</w:t>
      </w:r>
      <w:r w:rsidRPr="002D67BD">
        <w:rPr>
          <w:color w:val="0D0D0D" w:themeColor="text1" w:themeTint="F2"/>
          <w:spacing w:val="-4"/>
          <w:sz w:val="16"/>
          <w:szCs w:val="16"/>
          <w:lang w:val="en-GB"/>
        </w:rPr>
        <w:t>4%</w:t>
      </w:r>
      <w:r>
        <w:rPr>
          <w:color w:val="0D0D0D" w:themeColor="text1" w:themeTint="F2"/>
          <w:spacing w:val="-4"/>
          <w:sz w:val="16"/>
          <w:szCs w:val="16"/>
          <w:lang w:val="en-GB"/>
        </w:rPr>
        <w:t xml:space="preserve"> year-on-year in Q4 2022</w:t>
      </w:r>
      <w:r w:rsidRPr="002D67BD">
        <w:rPr>
          <w:color w:val="0D0D0D" w:themeColor="text1" w:themeTint="F2"/>
          <w:spacing w:val="-4"/>
          <w:sz w:val="16"/>
          <w:szCs w:val="16"/>
          <w:lang w:val="en-GB"/>
        </w:rPr>
        <w:t>.</w:t>
      </w:r>
    </w:p>
  </w:footnote>
  <w:footnote w:id="19">
    <w:p w14:paraId="71DBE5BA" w14:textId="696F5658" w:rsidR="00E37C1C" w:rsidRPr="002D67BD" w:rsidRDefault="00E37C1C" w:rsidP="002D67BD">
      <w:pPr>
        <w:pStyle w:val="Textpoznpodarou"/>
        <w:jc w:val="both"/>
        <w:rPr>
          <w:sz w:val="16"/>
          <w:szCs w:val="16"/>
          <w:lang w:val="en-GB"/>
        </w:rPr>
      </w:pPr>
      <w:r w:rsidRPr="002D67BD">
        <w:rPr>
          <w:rStyle w:val="Znakapoznpodarou"/>
          <w:sz w:val="16"/>
          <w:szCs w:val="16"/>
          <w:lang w:val="en-GB"/>
        </w:rPr>
        <w:footnoteRef/>
      </w:r>
      <w:r w:rsidRPr="002D67BD">
        <w:rPr>
          <w:sz w:val="16"/>
          <w:szCs w:val="16"/>
          <w:lang w:val="en-GB"/>
        </w:rPr>
        <w:t xml:space="preserve"> </w:t>
      </w:r>
      <w:r>
        <w:rPr>
          <w:sz w:val="16"/>
          <w:szCs w:val="16"/>
          <w:lang w:val="en-GB"/>
        </w:rPr>
        <w:t>In the time horizon from March till May 2</w:t>
      </w:r>
      <w:r w:rsidRPr="002D67BD">
        <w:rPr>
          <w:sz w:val="16"/>
          <w:szCs w:val="16"/>
          <w:lang w:val="en-GB"/>
        </w:rPr>
        <w:t>023</w:t>
      </w:r>
      <w:r>
        <w:rPr>
          <w:sz w:val="16"/>
          <w:szCs w:val="16"/>
          <w:lang w:val="en-GB"/>
        </w:rPr>
        <w:t>,</w:t>
      </w:r>
      <w:r w:rsidRPr="002D67BD">
        <w:rPr>
          <w:sz w:val="16"/>
          <w:szCs w:val="16"/>
          <w:lang w:val="en-GB"/>
        </w:rPr>
        <w:t xml:space="preserve"> 10%</w:t>
      </w:r>
      <w:r>
        <w:rPr>
          <w:sz w:val="16"/>
          <w:szCs w:val="16"/>
          <w:lang w:val="en-GB"/>
        </w:rPr>
        <w:t xml:space="preserve"> of businesses anticipated worsening of their own economic situation </w:t>
      </w:r>
      <w:r w:rsidRPr="002D67BD">
        <w:rPr>
          <w:sz w:val="16"/>
          <w:szCs w:val="16"/>
          <w:lang w:val="en-GB"/>
        </w:rPr>
        <w:t>(</w:t>
      </w:r>
      <w:r>
        <w:rPr>
          <w:sz w:val="16"/>
          <w:szCs w:val="16"/>
          <w:lang w:val="en-GB"/>
        </w:rPr>
        <w:t xml:space="preserve">improvement </w:t>
      </w:r>
      <w:r w:rsidRPr="002D67BD">
        <w:rPr>
          <w:sz w:val="16"/>
          <w:szCs w:val="16"/>
          <w:lang w:val="en-GB"/>
        </w:rPr>
        <w:t>8%),</w:t>
      </w:r>
      <w:r>
        <w:rPr>
          <w:sz w:val="16"/>
          <w:szCs w:val="16"/>
          <w:lang w:val="en-GB"/>
        </w:rPr>
        <w:t xml:space="preserve"> for the period of Q3 2023 </w:t>
      </w:r>
      <w:r w:rsidRPr="002D67BD">
        <w:rPr>
          <w:sz w:val="16"/>
          <w:szCs w:val="16"/>
          <w:lang w:val="en-GB"/>
        </w:rPr>
        <w:t>9%</w:t>
      </w:r>
      <w:r>
        <w:rPr>
          <w:sz w:val="16"/>
          <w:szCs w:val="16"/>
          <w:lang w:val="en-GB"/>
        </w:rPr>
        <w:t xml:space="preserve"> assumed worsening</w:t>
      </w:r>
      <w:r w:rsidRPr="002D67BD">
        <w:rPr>
          <w:sz w:val="16"/>
          <w:szCs w:val="16"/>
          <w:lang w:val="en-GB"/>
        </w:rPr>
        <w:t>,</w:t>
      </w:r>
      <w:r>
        <w:rPr>
          <w:sz w:val="16"/>
          <w:szCs w:val="16"/>
          <w:lang w:val="en-GB"/>
        </w:rPr>
        <w:t xml:space="preserve"> but already </w:t>
      </w:r>
      <w:r w:rsidRPr="002D67BD">
        <w:rPr>
          <w:sz w:val="16"/>
          <w:szCs w:val="16"/>
          <w:lang w:val="en-GB"/>
        </w:rPr>
        <w:t xml:space="preserve">29% </w:t>
      </w:r>
      <w:r>
        <w:rPr>
          <w:sz w:val="16"/>
          <w:szCs w:val="16"/>
          <w:lang w:val="en-GB"/>
        </w:rPr>
        <w:t xml:space="preserve">of businesses improvement. </w:t>
      </w:r>
    </w:p>
  </w:footnote>
  <w:footnote w:id="20">
    <w:p w14:paraId="1C09066F" w14:textId="77777777" w:rsidR="00E37C1C" w:rsidRPr="002D67BD" w:rsidRDefault="00E37C1C" w:rsidP="002D67BD">
      <w:pPr>
        <w:pStyle w:val="Textpoznpodarou"/>
        <w:jc w:val="both"/>
        <w:rPr>
          <w:sz w:val="16"/>
          <w:szCs w:val="16"/>
          <w:lang w:val="en-GB"/>
        </w:rPr>
      </w:pPr>
      <w:r w:rsidRPr="002D67BD">
        <w:rPr>
          <w:rStyle w:val="Znakapoznpodarou"/>
          <w:sz w:val="16"/>
          <w:szCs w:val="16"/>
          <w:lang w:val="en-GB"/>
        </w:rPr>
        <w:footnoteRef/>
      </w:r>
      <w:r w:rsidRPr="002D67BD">
        <w:rPr>
          <w:sz w:val="16"/>
          <w:szCs w:val="16"/>
          <w:lang w:val="en-GB"/>
        </w:rPr>
        <w:t xml:space="preserve"> Businesses coul</w:t>
      </w:r>
      <w:r>
        <w:rPr>
          <w:sz w:val="16"/>
          <w:szCs w:val="16"/>
          <w:lang w:val="en-GB"/>
        </w:rPr>
        <w:t>d have stated more main barriers</w:t>
      </w:r>
      <w:r w:rsidRPr="002D67BD">
        <w:rPr>
          <w:sz w:val="16"/>
          <w:szCs w:val="16"/>
          <w:lang w:val="en-GB"/>
        </w:rPr>
        <w:t xml:space="preserve"> simultaneously. Barriers are adjusted for the seasonality effect. </w:t>
      </w:r>
    </w:p>
  </w:footnote>
  <w:footnote w:id="21">
    <w:p w14:paraId="04336E6E" w14:textId="0DC65466" w:rsidR="00E37C1C" w:rsidRPr="00797B18" w:rsidRDefault="00E37C1C" w:rsidP="00E87D5B">
      <w:pPr>
        <w:pStyle w:val="Textpoznpodarou"/>
        <w:jc w:val="both"/>
        <w:rPr>
          <w:sz w:val="16"/>
          <w:szCs w:val="16"/>
          <w:lang w:val="en-GB"/>
        </w:rPr>
      </w:pPr>
      <w:r w:rsidRPr="00797B18">
        <w:rPr>
          <w:rStyle w:val="Znakapoznpodarou"/>
          <w:rFonts w:cs="Arial"/>
          <w:color w:val="0D0D0D" w:themeColor="text1" w:themeTint="F2"/>
          <w:sz w:val="16"/>
          <w:szCs w:val="16"/>
          <w:lang w:val="en-GB"/>
        </w:rPr>
        <w:footnoteRef/>
      </w:r>
      <w:r w:rsidRPr="00797B18">
        <w:rPr>
          <w:rFonts w:cs="Arial"/>
          <w:color w:val="0D0D0D" w:themeColor="text1" w:themeTint="F2"/>
          <w:sz w:val="16"/>
          <w:szCs w:val="16"/>
          <w:lang w:val="en-GB"/>
        </w:rPr>
        <w:t xml:space="preserve"> </w:t>
      </w:r>
      <w:r>
        <w:rPr>
          <w:rFonts w:cs="Arial"/>
          <w:color w:val="0D0D0D" w:themeColor="text1" w:themeTint="F2"/>
          <w:sz w:val="16"/>
          <w:szCs w:val="16"/>
          <w:lang w:val="en-GB"/>
        </w:rPr>
        <w:t xml:space="preserve">Data regarding the construction output are in constant prices, year-on-year rates of growth are adjusted for calendar effects, quarter-on-quarter rates also for seasonality effects. </w:t>
      </w:r>
    </w:p>
  </w:footnote>
  <w:footnote w:id="22">
    <w:p w14:paraId="44201DDE" w14:textId="262E435D" w:rsidR="00E37C1C" w:rsidRPr="007012CB" w:rsidRDefault="00E37C1C" w:rsidP="007012CB">
      <w:pPr>
        <w:pStyle w:val="Textpoznpodarou"/>
        <w:jc w:val="both"/>
        <w:rPr>
          <w:lang w:val="en-GB"/>
        </w:rPr>
      </w:pPr>
      <w:r w:rsidRPr="00797B18">
        <w:rPr>
          <w:rStyle w:val="Znakapoznpodarou"/>
          <w:sz w:val="16"/>
          <w:szCs w:val="16"/>
          <w:lang w:val="en-GB"/>
        </w:rPr>
        <w:footnoteRef/>
      </w:r>
      <w:r w:rsidRPr="00797B18">
        <w:rPr>
          <w:sz w:val="16"/>
          <w:szCs w:val="16"/>
          <w:lang w:val="en-GB"/>
        </w:rPr>
        <w:t xml:space="preserve"> </w:t>
      </w:r>
      <w:r w:rsidRPr="007012CB">
        <w:rPr>
          <w:sz w:val="16"/>
          <w:szCs w:val="16"/>
          <w:lang w:val="en-GB"/>
        </w:rPr>
        <w:t>The highest number of dwellings has been completed in the boom year 2007 so far (41.6 thousand).</w:t>
      </w:r>
    </w:p>
  </w:footnote>
  <w:footnote w:id="23">
    <w:p w14:paraId="5F7D435A" w14:textId="7D764E0F" w:rsidR="00E37C1C" w:rsidRPr="007012CB" w:rsidRDefault="00E37C1C" w:rsidP="003369B0">
      <w:pPr>
        <w:pStyle w:val="Textpoznpodarou"/>
        <w:jc w:val="both"/>
        <w:rPr>
          <w:spacing w:val="-2"/>
          <w:sz w:val="16"/>
          <w:szCs w:val="16"/>
          <w:lang w:val="en-GB"/>
        </w:rPr>
      </w:pPr>
      <w:r w:rsidRPr="007012CB">
        <w:rPr>
          <w:rStyle w:val="Znakapoznpodarou"/>
          <w:spacing w:val="-2"/>
          <w:sz w:val="16"/>
          <w:szCs w:val="16"/>
          <w:lang w:val="en-GB"/>
        </w:rPr>
        <w:footnoteRef/>
      </w:r>
      <w:r w:rsidRPr="007012CB">
        <w:rPr>
          <w:spacing w:val="-2"/>
          <w:sz w:val="16"/>
          <w:szCs w:val="16"/>
          <w:lang w:val="en-GB"/>
        </w:rPr>
        <w:t xml:space="preserve"> </w:t>
      </w:r>
      <w:r>
        <w:rPr>
          <w:spacing w:val="-2"/>
          <w:sz w:val="16"/>
          <w:szCs w:val="16"/>
          <w:lang w:val="en-GB"/>
        </w:rPr>
        <w:t xml:space="preserve">The decrease of the number of all commenced dwellings was more than </w:t>
      </w:r>
      <w:r w:rsidRPr="007012CB">
        <w:rPr>
          <w:spacing w:val="-2"/>
          <w:sz w:val="16"/>
          <w:szCs w:val="16"/>
          <w:lang w:val="en-GB"/>
        </w:rPr>
        <w:t>30%</w:t>
      </w:r>
      <w:r>
        <w:rPr>
          <w:spacing w:val="-2"/>
          <w:sz w:val="16"/>
          <w:szCs w:val="16"/>
          <w:lang w:val="en-GB"/>
        </w:rPr>
        <w:t xml:space="preserve"> in Prague year-on-year last year</w:t>
      </w:r>
      <w:r w:rsidRPr="007012CB">
        <w:rPr>
          <w:spacing w:val="-2"/>
          <w:sz w:val="16"/>
          <w:szCs w:val="16"/>
          <w:lang w:val="en-GB"/>
        </w:rPr>
        <w:t xml:space="preserve">, </w:t>
      </w:r>
      <w:r>
        <w:rPr>
          <w:spacing w:val="-2"/>
          <w:sz w:val="16"/>
          <w:szCs w:val="16"/>
          <w:lang w:val="en-GB"/>
        </w:rPr>
        <w:t xml:space="preserve">still the construction of </w:t>
      </w:r>
      <w:r w:rsidRPr="007012CB">
        <w:rPr>
          <w:spacing w:val="-2"/>
          <w:sz w:val="16"/>
          <w:szCs w:val="16"/>
          <w:lang w:val="en-GB"/>
        </w:rPr>
        <w:t>6</w:t>
      </w:r>
      <w:r>
        <w:rPr>
          <w:spacing w:val="-2"/>
          <w:sz w:val="16"/>
          <w:szCs w:val="16"/>
          <w:lang w:val="en-GB"/>
        </w:rPr>
        <w:t>.</w:t>
      </w:r>
      <w:r w:rsidRPr="007012CB">
        <w:rPr>
          <w:spacing w:val="-2"/>
          <w:sz w:val="16"/>
          <w:szCs w:val="16"/>
          <w:lang w:val="en-GB"/>
        </w:rPr>
        <w:t>5 t</w:t>
      </w:r>
      <w:r>
        <w:rPr>
          <w:spacing w:val="-2"/>
          <w:sz w:val="16"/>
          <w:szCs w:val="16"/>
          <w:lang w:val="en-GB"/>
        </w:rPr>
        <w:t xml:space="preserve">housand flats was started there </w:t>
      </w:r>
      <w:r w:rsidRPr="007012CB">
        <w:rPr>
          <w:spacing w:val="-2"/>
          <w:sz w:val="16"/>
          <w:szCs w:val="16"/>
          <w:lang w:val="en-GB"/>
        </w:rPr>
        <w:t>(</w:t>
      </w:r>
      <w:r>
        <w:rPr>
          <w:spacing w:val="-2"/>
          <w:sz w:val="16"/>
          <w:szCs w:val="16"/>
          <w:lang w:val="en-GB"/>
        </w:rPr>
        <w:t xml:space="preserve">the second highest number after year </w:t>
      </w:r>
      <w:r w:rsidRPr="007012CB">
        <w:rPr>
          <w:spacing w:val="-2"/>
          <w:sz w:val="16"/>
          <w:szCs w:val="16"/>
          <w:lang w:val="en-GB"/>
        </w:rPr>
        <w:t xml:space="preserve">2008). </w:t>
      </w:r>
      <w:r>
        <w:rPr>
          <w:spacing w:val="-2"/>
          <w:sz w:val="16"/>
          <w:szCs w:val="16"/>
          <w:lang w:val="en-GB"/>
        </w:rPr>
        <w:t xml:space="preserve">In the segment of family houses (FH) in contrast more-or less across-the-board decrease occurred across the CR regions. The number of commenced flats in all regions in new FH reached only </w:t>
      </w:r>
      <w:r w:rsidRPr="007012CB">
        <w:rPr>
          <w:spacing w:val="-2"/>
          <w:sz w:val="16"/>
          <w:szCs w:val="16"/>
          <w:lang w:val="en-GB"/>
        </w:rPr>
        <w:t>8</w:t>
      </w:r>
      <w:r>
        <w:rPr>
          <w:spacing w:val="-2"/>
          <w:sz w:val="16"/>
          <w:szCs w:val="16"/>
          <w:lang w:val="en-GB"/>
        </w:rPr>
        <w:t>.</w:t>
      </w:r>
      <w:r w:rsidRPr="007012CB">
        <w:rPr>
          <w:spacing w:val="-2"/>
          <w:sz w:val="16"/>
          <w:szCs w:val="16"/>
          <w:lang w:val="en-GB"/>
        </w:rPr>
        <w:t>6</w:t>
      </w:r>
      <w:r>
        <w:rPr>
          <w:spacing w:val="-2"/>
          <w:sz w:val="16"/>
          <w:szCs w:val="16"/>
          <w:lang w:val="en-GB"/>
        </w:rPr>
        <w:t xml:space="preserve"> thousand in H2 2022 </w:t>
      </w:r>
      <w:r w:rsidRPr="007012CB">
        <w:rPr>
          <w:spacing w:val="-2"/>
          <w:sz w:val="16"/>
          <w:szCs w:val="16"/>
          <w:lang w:val="en-GB"/>
        </w:rPr>
        <w:t>(</w:t>
      </w:r>
      <w:r>
        <w:rPr>
          <w:spacing w:val="-2"/>
          <w:sz w:val="16"/>
          <w:szCs w:val="16"/>
          <w:lang w:val="en-GB"/>
        </w:rPr>
        <w:t>it represented a six-year minimum within all H2</w:t>
      </w:r>
      <w:r w:rsidRPr="007012CB">
        <w:rPr>
          <w:spacing w:val="-2"/>
          <w:sz w:val="16"/>
          <w:szCs w:val="16"/>
          <w:lang w:val="en-GB"/>
        </w:rPr>
        <w:t>).</w:t>
      </w:r>
    </w:p>
  </w:footnote>
  <w:footnote w:id="24">
    <w:p w14:paraId="2B7DDADB" w14:textId="7F65952D" w:rsidR="00E37C1C" w:rsidRPr="007012CB" w:rsidRDefault="00E37C1C" w:rsidP="007012CB">
      <w:pPr>
        <w:pStyle w:val="Textpoznpodarou"/>
        <w:jc w:val="both"/>
        <w:rPr>
          <w:sz w:val="16"/>
          <w:szCs w:val="16"/>
          <w:lang w:val="en-GB"/>
        </w:rPr>
      </w:pPr>
      <w:r w:rsidRPr="007012CB">
        <w:rPr>
          <w:rStyle w:val="Znakapoznpodarou"/>
          <w:sz w:val="16"/>
          <w:szCs w:val="16"/>
          <w:lang w:val="en-GB"/>
        </w:rPr>
        <w:footnoteRef/>
      </w:r>
      <w:r w:rsidRPr="007012CB">
        <w:rPr>
          <w:sz w:val="16"/>
          <w:szCs w:val="16"/>
          <w:lang w:val="en-GB"/>
        </w:rPr>
        <w:t xml:space="preserve"> 78 </w:t>
      </w:r>
      <w:r>
        <w:rPr>
          <w:sz w:val="16"/>
          <w:szCs w:val="16"/>
          <w:lang w:val="en-GB"/>
        </w:rPr>
        <w:t>CZK bn was paid out on investment from the CR state budget into t</w:t>
      </w:r>
      <w:r w:rsidRPr="00CE245A">
        <w:rPr>
          <w:sz w:val="16"/>
          <w:szCs w:val="16"/>
          <w:lang w:val="en-GB"/>
        </w:rPr>
        <w:t>he State Fund for Transport Infrastructure (SFDI)</w:t>
      </w:r>
      <w:r>
        <w:rPr>
          <w:sz w:val="16"/>
          <w:szCs w:val="16"/>
          <w:lang w:val="en-GB"/>
        </w:rPr>
        <w:t xml:space="preserve"> last year</w:t>
      </w:r>
      <w:r w:rsidRPr="007012CB">
        <w:rPr>
          <w:sz w:val="16"/>
          <w:szCs w:val="16"/>
          <w:lang w:val="en-GB"/>
        </w:rPr>
        <w:t xml:space="preserve">, </w:t>
      </w:r>
      <w:r>
        <w:rPr>
          <w:sz w:val="16"/>
          <w:szCs w:val="16"/>
          <w:lang w:val="en-GB"/>
        </w:rPr>
        <w:t>by one sixth more year-on-year</w:t>
      </w:r>
      <w:r w:rsidRPr="007012CB">
        <w:rPr>
          <w:sz w:val="16"/>
          <w:szCs w:val="16"/>
          <w:lang w:val="en-GB"/>
        </w:rPr>
        <w:t xml:space="preserve">. </w:t>
      </w:r>
      <w:r>
        <w:rPr>
          <w:sz w:val="16"/>
          <w:szCs w:val="16"/>
          <w:lang w:val="en-GB"/>
        </w:rPr>
        <w:t xml:space="preserve">The annual size of the investment subsidies approached the budget anticipations. </w:t>
      </w:r>
    </w:p>
  </w:footnote>
  <w:footnote w:id="25">
    <w:p w14:paraId="1641D250" w14:textId="16EEAF07" w:rsidR="00E37C1C" w:rsidRPr="007012CB" w:rsidRDefault="00E37C1C" w:rsidP="007012CB">
      <w:pPr>
        <w:pStyle w:val="Textpoznpodarou"/>
        <w:jc w:val="both"/>
        <w:rPr>
          <w:sz w:val="16"/>
          <w:szCs w:val="16"/>
          <w:lang w:val="en-GB"/>
        </w:rPr>
      </w:pPr>
      <w:r w:rsidRPr="007012CB">
        <w:rPr>
          <w:rStyle w:val="Znakapoznpodarou"/>
          <w:sz w:val="16"/>
          <w:szCs w:val="16"/>
          <w:lang w:val="en-GB"/>
        </w:rPr>
        <w:footnoteRef/>
      </w:r>
      <w:r w:rsidRPr="007012CB">
        <w:rPr>
          <w:sz w:val="16"/>
          <w:szCs w:val="16"/>
          <w:lang w:val="en-GB"/>
        </w:rPr>
        <w:t xml:space="preserve"> </w:t>
      </w:r>
      <w:r>
        <w:rPr>
          <w:sz w:val="16"/>
          <w:szCs w:val="16"/>
          <w:lang w:val="en-GB"/>
        </w:rPr>
        <w:t xml:space="preserve">It attained </w:t>
      </w:r>
      <w:r w:rsidRPr="007012CB">
        <w:rPr>
          <w:sz w:val="16"/>
          <w:szCs w:val="16"/>
          <w:lang w:val="en-GB"/>
        </w:rPr>
        <w:t>12</w:t>
      </w:r>
      <w:r>
        <w:rPr>
          <w:sz w:val="16"/>
          <w:szCs w:val="16"/>
          <w:lang w:val="en-GB"/>
        </w:rPr>
        <w:t>.</w:t>
      </w:r>
      <w:r w:rsidRPr="007012CB">
        <w:rPr>
          <w:sz w:val="16"/>
          <w:szCs w:val="16"/>
          <w:lang w:val="en-GB"/>
        </w:rPr>
        <w:t>0%</w:t>
      </w:r>
      <w:r>
        <w:rPr>
          <w:sz w:val="16"/>
          <w:szCs w:val="16"/>
          <w:lang w:val="en-GB"/>
        </w:rPr>
        <w:t xml:space="preserve"> year-on-year in Q4 2022 and</w:t>
      </w:r>
      <w:r w:rsidRPr="007012CB">
        <w:rPr>
          <w:sz w:val="16"/>
          <w:szCs w:val="16"/>
          <w:lang w:val="en-GB"/>
        </w:rPr>
        <w:t xml:space="preserve"> 12</w:t>
      </w:r>
      <w:r>
        <w:rPr>
          <w:sz w:val="16"/>
          <w:szCs w:val="16"/>
          <w:lang w:val="en-GB"/>
        </w:rPr>
        <w:t>.</w:t>
      </w:r>
      <w:r w:rsidRPr="007012CB">
        <w:rPr>
          <w:sz w:val="16"/>
          <w:szCs w:val="16"/>
          <w:lang w:val="en-GB"/>
        </w:rPr>
        <w:t>3%</w:t>
      </w:r>
      <w:r>
        <w:rPr>
          <w:sz w:val="16"/>
          <w:szCs w:val="16"/>
          <w:lang w:val="en-GB"/>
        </w:rPr>
        <w:t xml:space="preserve"> in total from the beginning of the year</w:t>
      </w:r>
      <w:r w:rsidRPr="007012CB">
        <w:rPr>
          <w:sz w:val="16"/>
          <w:szCs w:val="16"/>
          <w:lang w:val="en-GB"/>
        </w:rPr>
        <w:t xml:space="preserve">. </w:t>
      </w:r>
      <w:r>
        <w:rPr>
          <w:sz w:val="16"/>
          <w:szCs w:val="16"/>
          <w:lang w:val="en-GB"/>
        </w:rPr>
        <w:t xml:space="preserve">Price effects were also substantially mirrored in the average value of the newly concluded construction orders </w:t>
      </w:r>
      <w:r w:rsidRPr="007012CB">
        <w:rPr>
          <w:rFonts w:cs="Arial"/>
          <w:color w:val="0D0D0D" w:themeColor="text1" w:themeTint="F2"/>
          <w:spacing w:val="-6"/>
          <w:sz w:val="16"/>
          <w:szCs w:val="16"/>
          <w:lang w:val="en-GB"/>
        </w:rPr>
        <w:t xml:space="preserve">– </w:t>
      </w:r>
      <w:r>
        <w:rPr>
          <w:rFonts w:cs="Arial"/>
          <w:color w:val="0D0D0D" w:themeColor="text1" w:themeTint="F2"/>
          <w:spacing w:val="-6"/>
          <w:sz w:val="16"/>
          <w:szCs w:val="16"/>
          <w:lang w:val="en-GB"/>
        </w:rPr>
        <w:t xml:space="preserve">it arrived at </w:t>
      </w:r>
      <w:r w:rsidRPr="007012CB">
        <w:rPr>
          <w:rFonts w:cs="Arial"/>
          <w:color w:val="0D0D0D" w:themeColor="text1" w:themeTint="F2"/>
          <w:spacing w:val="-6"/>
          <w:sz w:val="16"/>
          <w:szCs w:val="16"/>
          <w:lang w:val="en-GB"/>
        </w:rPr>
        <w:t>4</w:t>
      </w:r>
      <w:r>
        <w:rPr>
          <w:rFonts w:cs="Arial"/>
          <w:color w:val="0D0D0D" w:themeColor="text1" w:themeTint="F2"/>
          <w:spacing w:val="-6"/>
          <w:sz w:val="16"/>
          <w:szCs w:val="16"/>
          <w:lang w:val="en-GB"/>
        </w:rPr>
        <w:t>.</w:t>
      </w:r>
      <w:r w:rsidRPr="007012CB">
        <w:rPr>
          <w:rFonts w:cs="Arial"/>
          <w:color w:val="0D0D0D" w:themeColor="text1" w:themeTint="F2"/>
          <w:spacing w:val="-6"/>
          <w:sz w:val="16"/>
          <w:szCs w:val="16"/>
          <w:lang w:val="en-GB"/>
        </w:rPr>
        <w:t>2</w:t>
      </w:r>
      <w:r>
        <w:rPr>
          <w:rFonts w:cs="Arial"/>
          <w:color w:val="0D0D0D" w:themeColor="text1" w:themeTint="F2"/>
          <w:spacing w:val="-6"/>
          <w:sz w:val="16"/>
          <w:szCs w:val="16"/>
          <w:lang w:val="en-GB"/>
        </w:rPr>
        <w:t xml:space="preserve"> CZK mil for the whole last year and increased by </w:t>
      </w:r>
      <w:r w:rsidRPr="007012CB">
        <w:rPr>
          <w:rFonts w:cs="Arial"/>
          <w:color w:val="0D0D0D" w:themeColor="text1" w:themeTint="F2"/>
          <w:spacing w:val="-6"/>
          <w:sz w:val="16"/>
          <w:szCs w:val="16"/>
          <w:lang w:val="en-GB"/>
        </w:rPr>
        <w:t>0</w:t>
      </w:r>
      <w:r>
        <w:rPr>
          <w:rFonts w:cs="Arial"/>
          <w:color w:val="0D0D0D" w:themeColor="text1" w:themeTint="F2"/>
          <w:spacing w:val="-6"/>
          <w:sz w:val="16"/>
          <w:szCs w:val="16"/>
          <w:lang w:val="en-GB"/>
        </w:rPr>
        <w:t>.</w:t>
      </w:r>
      <w:r w:rsidRPr="007012CB">
        <w:rPr>
          <w:rFonts w:cs="Arial"/>
          <w:color w:val="0D0D0D" w:themeColor="text1" w:themeTint="F2"/>
          <w:spacing w:val="-6"/>
          <w:sz w:val="16"/>
          <w:szCs w:val="16"/>
          <w:lang w:val="en-GB"/>
        </w:rPr>
        <w:t>5</w:t>
      </w:r>
      <w:r>
        <w:rPr>
          <w:rFonts w:cs="Arial"/>
          <w:color w:val="0D0D0D" w:themeColor="text1" w:themeTint="F2"/>
          <w:spacing w:val="-6"/>
          <w:sz w:val="16"/>
          <w:szCs w:val="16"/>
          <w:lang w:val="en-GB"/>
        </w:rPr>
        <w:t xml:space="preserve"> CZK mil year-on-year</w:t>
      </w:r>
      <w:r w:rsidRPr="007012CB">
        <w:rPr>
          <w:rFonts w:cs="Arial"/>
          <w:color w:val="0D0D0D" w:themeColor="text1" w:themeTint="F2"/>
          <w:spacing w:val="-6"/>
          <w:sz w:val="16"/>
          <w:szCs w:val="16"/>
          <w:lang w:val="en-GB"/>
        </w:rPr>
        <w:t>.</w:t>
      </w:r>
    </w:p>
  </w:footnote>
  <w:footnote w:id="26">
    <w:p w14:paraId="762DF6DD" w14:textId="29F38735" w:rsidR="00E37C1C" w:rsidRPr="007012CB" w:rsidRDefault="00E37C1C" w:rsidP="007012CB">
      <w:pPr>
        <w:pStyle w:val="Textpoznpodarou"/>
        <w:jc w:val="both"/>
        <w:rPr>
          <w:sz w:val="16"/>
          <w:szCs w:val="16"/>
          <w:lang w:val="en-GB"/>
        </w:rPr>
      </w:pPr>
      <w:r w:rsidRPr="007012CB">
        <w:rPr>
          <w:rStyle w:val="Znakapoznpodarou"/>
          <w:sz w:val="16"/>
          <w:szCs w:val="16"/>
          <w:lang w:val="en-GB"/>
        </w:rPr>
        <w:footnoteRef/>
      </w:r>
      <w:r>
        <w:rPr>
          <w:sz w:val="16"/>
          <w:szCs w:val="16"/>
          <w:lang w:val="en-GB"/>
        </w:rPr>
        <w:t xml:space="preserve">The value of the permit also mildly fell for the whole year </w:t>
      </w:r>
      <w:r w:rsidRPr="007012CB">
        <w:rPr>
          <w:rFonts w:cs="Arial"/>
          <w:color w:val="0D0D0D" w:themeColor="text1" w:themeTint="F2"/>
          <w:spacing w:val="-4"/>
          <w:sz w:val="16"/>
          <w:szCs w:val="16"/>
          <w:lang w:val="en-GB"/>
        </w:rPr>
        <w:t>2022</w:t>
      </w:r>
      <w:r>
        <w:rPr>
          <w:rFonts w:cs="Arial"/>
          <w:color w:val="0D0D0D" w:themeColor="text1" w:themeTint="F2"/>
          <w:spacing w:val="-4"/>
          <w:sz w:val="16"/>
          <w:szCs w:val="16"/>
          <w:lang w:val="en-GB"/>
        </w:rPr>
        <w:t xml:space="preserve"> </w:t>
      </w:r>
      <w:r w:rsidRPr="007012CB">
        <w:rPr>
          <w:rFonts w:cs="Arial"/>
          <w:color w:val="0D0D0D" w:themeColor="text1" w:themeTint="F2"/>
          <w:spacing w:val="-4"/>
          <w:sz w:val="16"/>
          <w:szCs w:val="16"/>
          <w:lang w:val="en-GB"/>
        </w:rPr>
        <w:t>(</w:t>
      </w:r>
      <w:r>
        <w:rPr>
          <w:rFonts w:cs="Arial"/>
          <w:color w:val="0D0D0D" w:themeColor="text1" w:themeTint="F2"/>
          <w:spacing w:val="-4"/>
          <w:sz w:val="16"/>
          <w:szCs w:val="16"/>
          <w:lang w:val="en-GB"/>
        </w:rPr>
        <w:t xml:space="preserve">by </w:t>
      </w:r>
      <w:r w:rsidRPr="007012CB">
        <w:rPr>
          <w:rFonts w:cs="Arial"/>
          <w:color w:val="0D0D0D" w:themeColor="text1" w:themeTint="F2"/>
          <w:spacing w:val="-4"/>
          <w:sz w:val="16"/>
          <w:szCs w:val="16"/>
          <w:lang w:val="en-GB"/>
        </w:rPr>
        <w:t>1</w:t>
      </w:r>
      <w:r>
        <w:rPr>
          <w:rFonts w:cs="Arial"/>
          <w:color w:val="0D0D0D" w:themeColor="text1" w:themeTint="F2"/>
          <w:spacing w:val="-4"/>
          <w:sz w:val="16"/>
          <w:szCs w:val="16"/>
          <w:lang w:val="en-GB"/>
        </w:rPr>
        <w:t>.</w:t>
      </w:r>
      <w:r w:rsidRPr="007012CB">
        <w:rPr>
          <w:rFonts w:cs="Arial"/>
          <w:color w:val="0D0D0D" w:themeColor="text1" w:themeTint="F2"/>
          <w:spacing w:val="-4"/>
          <w:sz w:val="16"/>
          <w:szCs w:val="16"/>
          <w:lang w:val="en-GB"/>
        </w:rPr>
        <w:t xml:space="preserve">2%). </w:t>
      </w:r>
      <w:r>
        <w:rPr>
          <w:rFonts w:cs="Arial"/>
          <w:color w:val="0D0D0D" w:themeColor="text1" w:themeTint="F2"/>
          <w:spacing w:val="-4"/>
          <w:sz w:val="16"/>
          <w:szCs w:val="16"/>
          <w:lang w:val="en-GB"/>
        </w:rPr>
        <w:t>Authorisation of the construction of new Prague subway line (D)</w:t>
      </w:r>
      <w:r w:rsidRPr="007012CB">
        <w:rPr>
          <w:rFonts w:cs="Arial"/>
          <w:color w:val="0D0D0D" w:themeColor="text1" w:themeTint="F2"/>
          <w:spacing w:val="-4"/>
          <w:sz w:val="16"/>
          <w:szCs w:val="16"/>
          <w:lang w:val="en-GB"/>
        </w:rPr>
        <w:t xml:space="preserve">, </w:t>
      </w:r>
      <w:r>
        <w:rPr>
          <w:rFonts w:cs="Arial"/>
          <w:color w:val="0D0D0D" w:themeColor="text1" w:themeTint="F2"/>
          <w:spacing w:val="-4"/>
          <w:sz w:val="16"/>
          <w:szCs w:val="16"/>
          <w:lang w:val="en-GB"/>
        </w:rPr>
        <w:t xml:space="preserve">which occurred in July </w:t>
      </w:r>
      <w:r w:rsidRPr="007012CB">
        <w:rPr>
          <w:rFonts w:cs="Arial"/>
          <w:color w:val="0D0D0D" w:themeColor="text1" w:themeTint="F2"/>
          <w:spacing w:val="-4"/>
          <w:sz w:val="16"/>
          <w:szCs w:val="16"/>
          <w:lang w:val="en-GB"/>
        </w:rPr>
        <w:t>2021</w:t>
      </w:r>
      <w:r>
        <w:rPr>
          <w:rFonts w:cs="Arial"/>
          <w:color w:val="0D0D0D" w:themeColor="text1" w:themeTint="F2"/>
          <w:spacing w:val="-4"/>
          <w:sz w:val="16"/>
          <w:szCs w:val="16"/>
          <w:lang w:val="en-GB"/>
        </w:rPr>
        <w:t xml:space="preserve"> played an important role here. In the area of new construction of residential as well as non-residential buildings the value of permit was growing </w:t>
      </w:r>
      <w:r w:rsidRPr="007012CB">
        <w:rPr>
          <w:rFonts w:cs="Arial"/>
          <w:color w:val="0D0D0D" w:themeColor="text1" w:themeTint="F2"/>
          <w:spacing w:val="-4"/>
          <w:sz w:val="16"/>
          <w:szCs w:val="16"/>
          <w:lang w:val="en-GB"/>
        </w:rPr>
        <w:t xml:space="preserve">– </w:t>
      </w:r>
      <w:r>
        <w:rPr>
          <w:rFonts w:cs="Arial"/>
          <w:color w:val="0D0D0D" w:themeColor="text1" w:themeTint="F2"/>
          <w:spacing w:val="-4"/>
          <w:sz w:val="16"/>
          <w:szCs w:val="16"/>
          <w:lang w:val="en-GB"/>
        </w:rPr>
        <w:t xml:space="preserve">by </w:t>
      </w:r>
      <w:r w:rsidRPr="007012CB">
        <w:rPr>
          <w:rFonts w:cs="Arial"/>
          <w:color w:val="0D0D0D" w:themeColor="text1" w:themeTint="F2"/>
          <w:spacing w:val="-4"/>
          <w:sz w:val="16"/>
          <w:szCs w:val="16"/>
          <w:lang w:val="en-GB"/>
        </w:rPr>
        <w:t>6 %, 12%</w:t>
      </w:r>
      <w:r>
        <w:rPr>
          <w:rFonts w:cs="Arial"/>
          <w:color w:val="0D0D0D" w:themeColor="text1" w:themeTint="F2"/>
          <w:spacing w:val="-4"/>
          <w:sz w:val="16"/>
          <w:szCs w:val="16"/>
          <w:lang w:val="en-GB"/>
        </w:rPr>
        <w:t xml:space="preserve"> </w:t>
      </w:r>
      <w:proofErr w:type="gramStart"/>
      <w:r>
        <w:rPr>
          <w:rFonts w:cs="Arial"/>
          <w:color w:val="0D0D0D" w:themeColor="text1" w:themeTint="F2"/>
          <w:spacing w:val="-4"/>
          <w:sz w:val="16"/>
          <w:szCs w:val="16"/>
          <w:lang w:val="en-GB"/>
        </w:rPr>
        <w:t>resp.</w:t>
      </w:r>
      <w:r w:rsidRPr="007012CB">
        <w:rPr>
          <w:rFonts w:cs="Arial"/>
          <w:color w:val="0D0D0D" w:themeColor="text1" w:themeTint="F2"/>
          <w:spacing w:val="-4"/>
          <w:sz w:val="16"/>
          <w:szCs w:val="16"/>
          <w:lang w:val="en-GB"/>
        </w:rPr>
        <w:t>.</w:t>
      </w:r>
      <w:proofErr w:type="gramEnd"/>
      <w:r w:rsidRPr="007012CB">
        <w:rPr>
          <w:rFonts w:cs="Arial"/>
          <w:color w:val="0D0D0D" w:themeColor="text1" w:themeTint="F2"/>
          <w:spacing w:val="-4"/>
          <w:sz w:val="16"/>
          <w:szCs w:val="16"/>
          <w:lang w:val="en-GB"/>
        </w:rPr>
        <w:t xml:space="preserve"> </w:t>
      </w:r>
      <w:r>
        <w:rPr>
          <w:rFonts w:cs="Arial"/>
          <w:color w:val="0D0D0D" w:themeColor="text1" w:themeTint="F2"/>
          <w:spacing w:val="-4"/>
          <w:sz w:val="16"/>
          <w:szCs w:val="16"/>
          <w:lang w:val="en-GB"/>
        </w:rPr>
        <w:t xml:space="preserve">After the deduction of all other large structures </w:t>
      </w:r>
      <w:r w:rsidRPr="007012CB">
        <w:rPr>
          <w:rFonts w:cs="Arial"/>
          <w:color w:val="0D0D0D" w:themeColor="text1" w:themeTint="F2"/>
          <w:spacing w:val="-4"/>
          <w:sz w:val="16"/>
          <w:szCs w:val="16"/>
          <w:lang w:val="en-GB"/>
        </w:rPr>
        <w:t>(</w:t>
      </w:r>
      <w:r>
        <w:rPr>
          <w:rFonts w:cs="Arial"/>
          <w:color w:val="0D0D0D" w:themeColor="text1" w:themeTint="F2"/>
          <w:spacing w:val="-4"/>
          <w:sz w:val="16"/>
          <w:szCs w:val="16"/>
          <w:lang w:val="en-GB"/>
        </w:rPr>
        <w:t xml:space="preserve">with the approximate value above </w:t>
      </w:r>
      <w:r w:rsidRPr="007012CB">
        <w:rPr>
          <w:rFonts w:cs="Arial"/>
          <w:color w:val="0D0D0D" w:themeColor="text1" w:themeTint="F2"/>
          <w:spacing w:val="-4"/>
          <w:sz w:val="16"/>
          <w:szCs w:val="16"/>
          <w:lang w:val="en-GB"/>
        </w:rPr>
        <w:t>1</w:t>
      </w:r>
      <w:r>
        <w:rPr>
          <w:rFonts w:cs="Arial"/>
          <w:color w:val="0D0D0D" w:themeColor="text1" w:themeTint="F2"/>
          <w:spacing w:val="-4"/>
          <w:sz w:val="16"/>
          <w:szCs w:val="16"/>
          <w:lang w:val="en-GB"/>
        </w:rPr>
        <w:t xml:space="preserve"> CZK bn</w:t>
      </w:r>
      <w:r w:rsidRPr="007012CB">
        <w:rPr>
          <w:rFonts w:cs="Arial"/>
          <w:color w:val="0D0D0D" w:themeColor="text1" w:themeTint="F2"/>
          <w:spacing w:val="-4"/>
          <w:sz w:val="16"/>
          <w:szCs w:val="16"/>
          <w:lang w:val="en-GB"/>
        </w:rPr>
        <w:t>)</w:t>
      </w:r>
      <w:r>
        <w:rPr>
          <w:rFonts w:cs="Arial"/>
          <w:color w:val="0D0D0D" w:themeColor="text1" w:themeTint="F2"/>
          <w:spacing w:val="-4"/>
          <w:sz w:val="16"/>
          <w:szCs w:val="16"/>
          <w:lang w:val="en-GB"/>
        </w:rPr>
        <w:t xml:space="preserve"> the permit value would increase by more than </w:t>
      </w:r>
      <w:r w:rsidRPr="007012CB">
        <w:rPr>
          <w:rFonts w:cs="Arial"/>
          <w:color w:val="0D0D0D" w:themeColor="text1" w:themeTint="F2"/>
          <w:spacing w:val="-4"/>
          <w:sz w:val="16"/>
          <w:szCs w:val="16"/>
          <w:lang w:val="en-GB"/>
        </w:rPr>
        <w:t xml:space="preserve">9% </w:t>
      </w:r>
      <w:r>
        <w:rPr>
          <w:rFonts w:cs="Arial"/>
          <w:color w:val="0D0D0D" w:themeColor="text1" w:themeTint="F2"/>
          <w:spacing w:val="-4"/>
          <w:sz w:val="16"/>
          <w:szCs w:val="16"/>
          <w:lang w:val="en-GB"/>
        </w:rPr>
        <w:t xml:space="preserve">year-on-year for the last year </w:t>
      </w:r>
      <w:r w:rsidRPr="007012CB">
        <w:rPr>
          <w:rFonts w:cs="Arial"/>
          <w:color w:val="0D0D0D" w:themeColor="text1" w:themeTint="F2"/>
          <w:spacing w:val="-4"/>
          <w:sz w:val="16"/>
          <w:szCs w:val="16"/>
          <w:lang w:val="en-GB"/>
        </w:rPr>
        <w:t>(</w:t>
      </w:r>
      <w:r>
        <w:rPr>
          <w:rFonts w:cs="Arial"/>
          <w:color w:val="0D0D0D" w:themeColor="text1" w:themeTint="F2"/>
          <w:spacing w:val="-4"/>
          <w:sz w:val="16"/>
          <w:szCs w:val="16"/>
          <w:lang w:val="en-GB"/>
        </w:rPr>
        <w:t>i.e. still less than was the growth of prices of construction works for the same time period</w:t>
      </w:r>
      <w:r w:rsidRPr="007012CB">
        <w:rPr>
          <w:rFonts w:cs="Arial"/>
          <w:color w:val="0D0D0D" w:themeColor="text1" w:themeTint="F2"/>
          <w:spacing w:val="-4"/>
          <w:sz w:val="16"/>
          <w:szCs w:val="16"/>
          <w:lang w:val="en-GB"/>
        </w:rPr>
        <w:t xml:space="preserve">). </w:t>
      </w:r>
      <w:r>
        <w:rPr>
          <w:rFonts w:cs="Arial"/>
          <w:color w:val="0D0D0D" w:themeColor="text1" w:themeTint="F2"/>
          <w:spacing w:val="-4"/>
          <w:sz w:val="16"/>
          <w:szCs w:val="16"/>
          <w:lang w:val="en-GB"/>
        </w:rPr>
        <w:t xml:space="preserve">In the environment of strengthening cost prices </w:t>
      </w:r>
      <w:r w:rsidRPr="007012CB">
        <w:rPr>
          <w:rFonts w:cs="Arial"/>
          <w:color w:val="0D0D0D" w:themeColor="text1" w:themeTint="F2"/>
          <w:spacing w:val="-2"/>
          <w:sz w:val="16"/>
          <w:szCs w:val="16"/>
          <w:lang w:val="en-GB"/>
        </w:rPr>
        <w:t>(materi</w:t>
      </w:r>
      <w:r>
        <w:rPr>
          <w:rFonts w:cs="Arial"/>
          <w:color w:val="0D0D0D" w:themeColor="text1" w:themeTint="F2"/>
          <w:spacing w:val="-2"/>
          <w:sz w:val="16"/>
          <w:szCs w:val="16"/>
          <w:lang w:val="en-GB"/>
        </w:rPr>
        <w:t>al, energy, wage</w:t>
      </w:r>
      <w:r w:rsidRPr="007012CB">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it is not possible to exclude, that the invoice prices can substantially depart from the prices anticipated at the construction authorization.  </w:t>
      </w:r>
    </w:p>
  </w:footnote>
  <w:footnote w:id="27">
    <w:p w14:paraId="5C647824" w14:textId="200D368C" w:rsidR="00E37C1C" w:rsidRPr="00BE4071" w:rsidRDefault="00E37C1C" w:rsidP="00BE4071">
      <w:pPr>
        <w:pStyle w:val="Textpoznpodarou"/>
        <w:jc w:val="both"/>
        <w:rPr>
          <w:lang w:val="en-GB"/>
        </w:rPr>
      </w:pPr>
      <w:r w:rsidRPr="00EE4827">
        <w:rPr>
          <w:rStyle w:val="Znakapoznpodarou"/>
          <w:sz w:val="16"/>
          <w:szCs w:val="16"/>
        </w:rPr>
        <w:footnoteRef/>
      </w:r>
      <w:r w:rsidRPr="00EE4827">
        <w:rPr>
          <w:sz w:val="16"/>
          <w:szCs w:val="16"/>
        </w:rPr>
        <w:t xml:space="preserve"> </w:t>
      </w:r>
      <w:r w:rsidRPr="00BE4071">
        <w:rPr>
          <w:spacing w:val="-6"/>
          <w:sz w:val="16"/>
          <w:szCs w:val="16"/>
          <w:lang w:val="en-GB"/>
        </w:rPr>
        <w:t xml:space="preserve">Businesses could have indicated more barriers simultaneously. Barriers are adjusted for the seasonality effects. </w:t>
      </w:r>
    </w:p>
  </w:footnote>
  <w:footnote w:id="28">
    <w:p w14:paraId="1561E0A9" w14:textId="311EE787" w:rsidR="00E37C1C" w:rsidRPr="00BE4071" w:rsidRDefault="00E37C1C" w:rsidP="00BE4071">
      <w:pPr>
        <w:spacing w:after="0" w:line="240" w:lineRule="auto"/>
        <w:rPr>
          <w:lang w:val="en-GB"/>
        </w:rPr>
      </w:pPr>
      <w:r w:rsidRPr="00BE4071">
        <w:rPr>
          <w:rStyle w:val="Znakapoznpodarou"/>
          <w:color w:val="0D0D0D" w:themeColor="text1" w:themeTint="F2"/>
          <w:sz w:val="16"/>
          <w:szCs w:val="16"/>
          <w:lang w:val="en-GB"/>
        </w:rPr>
        <w:footnoteRef/>
      </w:r>
      <w:r w:rsidRPr="00BE4071">
        <w:rPr>
          <w:color w:val="0D0D0D" w:themeColor="text1" w:themeTint="F2"/>
          <w:sz w:val="16"/>
          <w:szCs w:val="16"/>
          <w:lang w:val="en-GB"/>
        </w:rPr>
        <w:t xml:space="preserve"> </w:t>
      </w:r>
      <w:r>
        <w:rPr>
          <w:color w:val="0D0D0D" w:themeColor="text1" w:themeTint="F2"/>
          <w:spacing w:val="-6"/>
          <w:sz w:val="16"/>
          <w:szCs w:val="16"/>
          <w:lang w:val="en-GB"/>
        </w:rPr>
        <w:t xml:space="preserve">Without trade, financial and insurance activities, science, research and public services. All data for services are in constant prices, year-on-year data are adjusted for calendar effects, quarter-on-quarter data are adjusted for seasonal effects (including the effect of the number of working days). </w:t>
      </w:r>
    </w:p>
  </w:footnote>
  <w:footnote w:id="29">
    <w:p w14:paraId="66F4763B" w14:textId="50A3B129" w:rsidR="00E37C1C" w:rsidRPr="00BE4071" w:rsidRDefault="00E37C1C" w:rsidP="00BE4071">
      <w:pPr>
        <w:pStyle w:val="Textpoznpodarou"/>
        <w:jc w:val="both"/>
        <w:rPr>
          <w:sz w:val="16"/>
          <w:szCs w:val="16"/>
          <w:lang w:val="en-GB"/>
        </w:rPr>
      </w:pPr>
      <w:r w:rsidRPr="00BE4071">
        <w:rPr>
          <w:rStyle w:val="Znakapoznpodarou"/>
          <w:sz w:val="16"/>
          <w:szCs w:val="16"/>
          <w:lang w:val="en-GB"/>
        </w:rPr>
        <w:footnoteRef/>
      </w:r>
      <w:r w:rsidRPr="00BE4071">
        <w:rPr>
          <w:sz w:val="16"/>
          <w:szCs w:val="16"/>
          <w:lang w:val="en-GB"/>
        </w:rPr>
        <w:t xml:space="preserve"> </w:t>
      </w:r>
      <w:r>
        <w:rPr>
          <w:sz w:val="16"/>
          <w:szCs w:val="16"/>
          <w:lang w:val="en-GB"/>
        </w:rPr>
        <w:t xml:space="preserve">It was </w:t>
      </w:r>
      <w:r w:rsidRPr="00BE4071">
        <w:rPr>
          <w:sz w:val="16"/>
          <w:szCs w:val="16"/>
          <w:lang w:val="en-GB"/>
        </w:rPr>
        <w:t>1</w:t>
      </w:r>
      <w:r>
        <w:rPr>
          <w:sz w:val="16"/>
          <w:szCs w:val="16"/>
          <w:lang w:val="en-GB"/>
        </w:rPr>
        <w:t>.</w:t>
      </w:r>
      <w:r w:rsidRPr="00BE4071">
        <w:rPr>
          <w:sz w:val="16"/>
          <w:szCs w:val="16"/>
          <w:lang w:val="en-GB"/>
        </w:rPr>
        <w:t>5%</w:t>
      </w:r>
      <w:r>
        <w:rPr>
          <w:sz w:val="16"/>
          <w:szCs w:val="16"/>
          <w:lang w:val="en-GB"/>
        </w:rPr>
        <w:t xml:space="preserve"> quarter-on-quarter</w:t>
      </w:r>
      <w:r w:rsidRPr="00BE4071">
        <w:rPr>
          <w:sz w:val="16"/>
          <w:szCs w:val="16"/>
          <w:lang w:val="en-GB"/>
        </w:rPr>
        <w:t xml:space="preserve"> (</w:t>
      </w:r>
      <w:r>
        <w:rPr>
          <w:sz w:val="16"/>
          <w:szCs w:val="16"/>
          <w:lang w:val="en-GB"/>
        </w:rPr>
        <w:t>expressed in current prices and after seasonal adjustment</w:t>
      </w:r>
      <w:r w:rsidRPr="00BE4071">
        <w:rPr>
          <w:sz w:val="16"/>
          <w:szCs w:val="16"/>
          <w:lang w:val="en-GB"/>
        </w:rPr>
        <w:t>).</w:t>
      </w:r>
    </w:p>
  </w:footnote>
  <w:footnote w:id="30">
    <w:p w14:paraId="567AAC94" w14:textId="671DFA33" w:rsidR="00E37C1C" w:rsidRPr="00D658A7" w:rsidRDefault="00E37C1C" w:rsidP="001C2F97">
      <w:pPr>
        <w:pStyle w:val="Textpoznpodarou"/>
        <w:jc w:val="both"/>
        <w:rPr>
          <w:lang w:val="en-GB"/>
        </w:rPr>
      </w:pPr>
      <w:r w:rsidRPr="00D77E6C">
        <w:rPr>
          <w:rStyle w:val="Znakapoznpodarou"/>
          <w:sz w:val="16"/>
          <w:szCs w:val="16"/>
        </w:rPr>
        <w:footnoteRef/>
      </w:r>
      <w:r>
        <w:t xml:space="preserve"> </w:t>
      </w:r>
      <w:r>
        <w:rPr>
          <w:rFonts w:cs="Arial"/>
          <w:color w:val="0D0D0D" w:themeColor="text1" w:themeTint="F2"/>
          <w:spacing w:val="-3"/>
          <w:sz w:val="16"/>
          <w:szCs w:val="16"/>
          <w:lang w:val="en-GB"/>
        </w:rPr>
        <w:t xml:space="preserve">Based on the data from the Union of Motion Picture Distributors, the sales of the domestic cinema operators increased by </w:t>
      </w:r>
      <w:r w:rsidRPr="00D658A7">
        <w:rPr>
          <w:spacing w:val="-3"/>
          <w:sz w:val="16"/>
          <w:szCs w:val="16"/>
          <w:lang w:val="en-GB"/>
        </w:rPr>
        <w:t>10</w:t>
      </w:r>
      <w:r>
        <w:rPr>
          <w:spacing w:val="-3"/>
          <w:sz w:val="16"/>
          <w:szCs w:val="16"/>
          <w:lang w:val="en-GB"/>
        </w:rPr>
        <w:t>.</w:t>
      </w:r>
      <w:r w:rsidRPr="00D658A7">
        <w:rPr>
          <w:spacing w:val="-3"/>
          <w:sz w:val="16"/>
          <w:szCs w:val="16"/>
          <w:lang w:val="en-GB"/>
        </w:rPr>
        <w:t>7%</w:t>
      </w:r>
      <w:r>
        <w:rPr>
          <w:spacing w:val="-3"/>
          <w:sz w:val="16"/>
          <w:szCs w:val="16"/>
          <w:lang w:val="en-GB"/>
        </w:rPr>
        <w:t xml:space="preserve"> year-on-year in Q4 2022</w:t>
      </w:r>
      <w:r w:rsidRPr="00D658A7">
        <w:rPr>
          <w:spacing w:val="-3"/>
          <w:sz w:val="16"/>
          <w:szCs w:val="16"/>
          <w:lang w:val="en-GB"/>
        </w:rPr>
        <w:t xml:space="preserve">. </w:t>
      </w:r>
      <w:r>
        <w:rPr>
          <w:spacing w:val="-3"/>
          <w:sz w:val="16"/>
          <w:szCs w:val="16"/>
          <w:lang w:val="en-GB"/>
        </w:rPr>
        <w:t xml:space="preserve">In total from the beginning of the last year, both the sales and attendance nearly doubled year-on-year </w:t>
      </w:r>
      <w:r w:rsidRPr="00D658A7">
        <w:rPr>
          <w:spacing w:val="-3"/>
          <w:sz w:val="16"/>
          <w:szCs w:val="16"/>
          <w:lang w:val="en-GB"/>
        </w:rPr>
        <w:t>(</w:t>
      </w:r>
      <w:r>
        <w:rPr>
          <w:spacing w:val="-3"/>
          <w:sz w:val="16"/>
          <w:szCs w:val="16"/>
          <w:lang w:val="en-GB"/>
        </w:rPr>
        <w:t xml:space="preserve">from January till May </w:t>
      </w:r>
      <w:r w:rsidRPr="00D658A7">
        <w:rPr>
          <w:spacing w:val="-3"/>
          <w:sz w:val="16"/>
          <w:szCs w:val="16"/>
          <w:lang w:val="en-GB"/>
        </w:rPr>
        <w:t>2021</w:t>
      </w:r>
      <w:r>
        <w:rPr>
          <w:spacing w:val="-3"/>
          <w:sz w:val="16"/>
          <w:szCs w:val="16"/>
          <w:lang w:val="en-GB"/>
        </w:rPr>
        <w:t xml:space="preserve"> however the cinemas in </w:t>
      </w:r>
      <w:proofErr w:type="gramStart"/>
      <w:r>
        <w:rPr>
          <w:spacing w:val="-3"/>
          <w:sz w:val="16"/>
          <w:szCs w:val="16"/>
          <w:lang w:val="en-GB"/>
        </w:rPr>
        <w:t xml:space="preserve">fact </w:t>
      </w:r>
      <w:r w:rsidRPr="00D658A7">
        <w:rPr>
          <w:spacing w:val="-3"/>
          <w:sz w:val="16"/>
          <w:szCs w:val="16"/>
          <w:lang w:val="en-GB"/>
        </w:rPr>
        <w:t xml:space="preserve"> </w:t>
      </w:r>
      <w:r>
        <w:rPr>
          <w:spacing w:val="-3"/>
          <w:sz w:val="16"/>
          <w:szCs w:val="16"/>
          <w:lang w:val="en-GB"/>
        </w:rPr>
        <w:t>did</w:t>
      </w:r>
      <w:proofErr w:type="gramEnd"/>
      <w:r>
        <w:rPr>
          <w:spacing w:val="-3"/>
          <w:sz w:val="16"/>
          <w:szCs w:val="16"/>
          <w:lang w:val="en-GB"/>
        </w:rPr>
        <w:t xml:space="preserve"> not operate</w:t>
      </w:r>
      <w:r w:rsidRPr="00D658A7">
        <w:rPr>
          <w:spacing w:val="-3"/>
          <w:sz w:val="16"/>
          <w:szCs w:val="16"/>
          <w:lang w:val="en-GB"/>
        </w:rPr>
        <w:t>),</w:t>
      </w:r>
      <w:r>
        <w:rPr>
          <w:spacing w:val="-3"/>
          <w:sz w:val="16"/>
          <w:szCs w:val="16"/>
          <w:lang w:val="en-GB"/>
        </w:rPr>
        <w:t xml:space="preserve"> thus the sales lagged behind by 19% compared to year </w:t>
      </w:r>
      <w:r w:rsidRPr="00D658A7">
        <w:rPr>
          <w:spacing w:val="-3"/>
          <w:sz w:val="16"/>
          <w:szCs w:val="16"/>
          <w:lang w:val="en-GB"/>
        </w:rPr>
        <w:t>2019</w:t>
      </w:r>
      <w:r>
        <w:rPr>
          <w:spacing w:val="-3"/>
          <w:sz w:val="16"/>
          <w:szCs w:val="16"/>
          <w:lang w:val="en-GB"/>
        </w:rPr>
        <w:t xml:space="preserve"> </w:t>
      </w:r>
      <w:r w:rsidRPr="00D658A7">
        <w:rPr>
          <w:spacing w:val="-3"/>
          <w:sz w:val="16"/>
          <w:szCs w:val="16"/>
          <w:lang w:val="en-GB"/>
        </w:rPr>
        <w:t>(</w:t>
      </w:r>
      <w:r>
        <w:rPr>
          <w:spacing w:val="-3"/>
          <w:sz w:val="16"/>
          <w:szCs w:val="16"/>
          <w:lang w:val="en-GB"/>
        </w:rPr>
        <w:t xml:space="preserve">attendance even by </w:t>
      </w:r>
      <w:r w:rsidRPr="00D658A7">
        <w:rPr>
          <w:spacing w:val="-3"/>
          <w:sz w:val="16"/>
          <w:szCs w:val="16"/>
          <w:lang w:val="en-GB"/>
        </w:rPr>
        <w:t xml:space="preserve">26%, </w:t>
      </w:r>
      <w:r>
        <w:rPr>
          <w:spacing w:val="-3"/>
          <w:sz w:val="16"/>
          <w:szCs w:val="16"/>
          <w:lang w:val="en-GB"/>
        </w:rPr>
        <w:t xml:space="preserve">however the number of shows was lower only by </w:t>
      </w:r>
      <w:r w:rsidRPr="00D658A7">
        <w:rPr>
          <w:spacing w:val="-3"/>
          <w:sz w:val="16"/>
          <w:szCs w:val="16"/>
          <w:lang w:val="en-GB"/>
        </w:rPr>
        <w:t>4%).</w:t>
      </w:r>
    </w:p>
  </w:footnote>
  <w:footnote w:id="31">
    <w:p w14:paraId="056FC08E" w14:textId="3904D33C" w:rsidR="00E37C1C" w:rsidRPr="00D658A7" w:rsidRDefault="00E37C1C" w:rsidP="00D658A7">
      <w:pPr>
        <w:spacing w:after="0" w:line="240" w:lineRule="auto"/>
        <w:rPr>
          <w:spacing w:val="-2"/>
          <w:lang w:val="en-GB"/>
        </w:rPr>
      </w:pPr>
      <w:r w:rsidRPr="00D658A7">
        <w:rPr>
          <w:rStyle w:val="Znakapoznpodarou"/>
          <w:color w:val="0D0D0D" w:themeColor="text1" w:themeTint="F2"/>
          <w:spacing w:val="-2"/>
          <w:sz w:val="16"/>
          <w:szCs w:val="16"/>
          <w:lang w:val="en-GB"/>
        </w:rPr>
        <w:footnoteRef/>
      </w:r>
      <w:r w:rsidRPr="00D658A7">
        <w:rPr>
          <w:color w:val="0D0D0D" w:themeColor="text1" w:themeTint="F2"/>
          <w:spacing w:val="-2"/>
          <w:sz w:val="16"/>
          <w:szCs w:val="16"/>
          <w:lang w:val="en-GB"/>
        </w:rPr>
        <w:t xml:space="preserve"> </w:t>
      </w:r>
      <w:r w:rsidRPr="001B1ADB">
        <w:rPr>
          <w:color w:val="0D0D0D" w:themeColor="text1" w:themeTint="F2"/>
          <w:spacing w:val="-2"/>
          <w:sz w:val="16"/>
          <w:szCs w:val="16"/>
          <w:lang w:val="en-GB"/>
        </w:rPr>
        <w:t>All year-on-year rates of growth of retail sales are stated in constant prices and adjusted for calendar effects, quarter-on-quarter as well as month-on-month rates are adjusted for seasonal effects (including the number of working days). Retail includes branch CZ NACE 47.</w:t>
      </w:r>
    </w:p>
  </w:footnote>
  <w:footnote w:id="32">
    <w:p w14:paraId="056C7A68" w14:textId="30AC530D" w:rsidR="00E37C1C" w:rsidRPr="00D658A7" w:rsidRDefault="00E37C1C" w:rsidP="00D658A7">
      <w:pPr>
        <w:pStyle w:val="Textpoznpodarou"/>
        <w:jc w:val="both"/>
        <w:rPr>
          <w:spacing w:val="-2"/>
          <w:sz w:val="16"/>
          <w:szCs w:val="16"/>
          <w:lang w:val="en-GB"/>
        </w:rPr>
      </w:pPr>
      <w:r w:rsidRPr="00D658A7">
        <w:rPr>
          <w:rStyle w:val="Znakapoznpodarou"/>
          <w:spacing w:val="-2"/>
          <w:sz w:val="16"/>
          <w:szCs w:val="16"/>
          <w:lang w:val="en-GB"/>
        </w:rPr>
        <w:footnoteRef/>
      </w:r>
      <w:r w:rsidRPr="00D658A7">
        <w:rPr>
          <w:spacing w:val="-2"/>
          <w:sz w:val="16"/>
          <w:szCs w:val="16"/>
          <w:lang w:val="en-GB"/>
        </w:rPr>
        <w:t xml:space="preserve"> </w:t>
      </w:r>
      <w:r>
        <w:rPr>
          <w:spacing w:val="-2"/>
          <w:sz w:val="16"/>
          <w:szCs w:val="16"/>
          <w:lang w:val="en-GB"/>
        </w:rPr>
        <w:t xml:space="preserve">Business confidence in trade on the contrary went down only gradually and it was not much weaker at the end of the last year than in the pre-crisis year </w:t>
      </w:r>
      <w:r w:rsidRPr="00D658A7">
        <w:rPr>
          <w:spacing w:val="-2"/>
          <w:sz w:val="16"/>
          <w:szCs w:val="16"/>
          <w:lang w:val="en-GB"/>
        </w:rPr>
        <w:t xml:space="preserve">2019. </w:t>
      </w:r>
      <w:r>
        <w:rPr>
          <w:spacing w:val="-2"/>
          <w:sz w:val="16"/>
          <w:szCs w:val="16"/>
          <w:lang w:val="en-GB"/>
        </w:rPr>
        <w:t xml:space="preserve">Despite deterioration during Summer, trade businesses perceived their current economic situation still positively and outlooks to the nearest half-year were also mildly positive. This is confirmed by the fact, that traders still planned to hire new employees more frequently that their layoffs. </w:t>
      </w:r>
    </w:p>
  </w:footnote>
  <w:footnote w:id="33">
    <w:p w14:paraId="2DA08947" w14:textId="5F3BF22F" w:rsidR="00E37C1C" w:rsidRPr="003C708D" w:rsidRDefault="00E37C1C" w:rsidP="003C708D">
      <w:pPr>
        <w:pStyle w:val="Textpoznpodarou"/>
        <w:jc w:val="both"/>
        <w:rPr>
          <w:sz w:val="16"/>
          <w:szCs w:val="16"/>
          <w:lang w:val="en-GB"/>
        </w:rPr>
      </w:pPr>
      <w:r w:rsidRPr="00FD2785">
        <w:rPr>
          <w:rStyle w:val="Znakapoznpodarou"/>
          <w:sz w:val="16"/>
          <w:szCs w:val="16"/>
        </w:rPr>
        <w:footnoteRef/>
      </w:r>
      <w:r w:rsidRPr="00FD2785">
        <w:rPr>
          <w:sz w:val="16"/>
          <w:szCs w:val="16"/>
        </w:rPr>
        <w:t xml:space="preserve"> </w:t>
      </w:r>
      <w:r w:rsidRPr="003C708D">
        <w:rPr>
          <w:sz w:val="16"/>
          <w:szCs w:val="16"/>
          <w:lang w:val="en-GB"/>
        </w:rPr>
        <w:t>These forms of sale represented the only retail segment, where the sales dropped even in current prices last year (by 1.4%). At the same time the nominal sales in the entire retail increased by 10.8%.</w:t>
      </w:r>
    </w:p>
  </w:footnote>
  <w:footnote w:id="34">
    <w:p w14:paraId="02BF23B1" w14:textId="2072BA54" w:rsidR="00E37C1C" w:rsidRPr="003C708D" w:rsidRDefault="00E37C1C" w:rsidP="003C708D">
      <w:pPr>
        <w:pStyle w:val="Textpoznpodarou"/>
        <w:jc w:val="both"/>
        <w:rPr>
          <w:spacing w:val="-5"/>
          <w:sz w:val="16"/>
          <w:szCs w:val="16"/>
          <w:lang w:val="en-GB"/>
        </w:rPr>
      </w:pPr>
      <w:r w:rsidRPr="003C708D">
        <w:rPr>
          <w:rStyle w:val="Znakapoznpodarou"/>
          <w:spacing w:val="-5"/>
          <w:sz w:val="16"/>
          <w:szCs w:val="16"/>
          <w:lang w:val="en-GB"/>
        </w:rPr>
        <w:footnoteRef/>
      </w:r>
      <w:r w:rsidRPr="003C708D">
        <w:rPr>
          <w:spacing w:val="-5"/>
          <w:sz w:val="16"/>
          <w:szCs w:val="16"/>
          <w:lang w:val="en-GB"/>
        </w:rPr>
        <w:t xml:space="preserve"> Lower consumption of motor fuels was connected to the price escalation bolstered by the war in Ukraine. Sales for motor fuels in current prices increased by 36.6% year-on-year in Q</w:t>
      </w:r>
      <w:r w:rsidRPr="003C708D">
        <w:rPr>
          <w:spacing w:val="-6"/>
          <w:sz w:val="16"/>
          <w:szCs w:val="16"/>
          <w:lang w:val="en-GB"/>
        </w:rPr>
        <w:t>2, by 19.5% in Q3. The development of prices of motor fuels was however more favourable for the motorists in Q4</w:t>
      </w:r>
      <w:r>
        <w:rPr>
          <w:spacing w:val="-6"/>
          <w:sz w:val="16"/>
          <w:szCs w:val="16"/>
          <w:lang w:val="en-GB"/>
        </w:rPr>
        <w:t xml:space="preserve"> 2022</w:t>
      </w:r>
      <w:r w:rsidRPr="003C708D">
        <w:rPr>
          <w:spacing w:val="-6"/>
          <w:sz w:val="16"/>
          <w:szCs w:val="16"/>
          <w:lang w:val="en-GB"/>
        </w:rPr>
        <w:t xml:space="preserve">, which was reflected in the demand revival (sales thus increased by 4.7% quarter-on-quarter).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4A67" w14:textId="6899CCC7" w:rsidR="00E37C1C" w:rsidRPr="00262B30" w:rsidRDefault="00E37C1C" w:rsidP="00937AE2">
    <w:pPr>
      <w:pStyle w:val="Zhlav"/>
      <w:rPr>
        <w:lang w:val="en-GB"/>
      </w:rPr>
    </w:pPr>
    <w:r w:rsidRPr="00262B30">
      <w:rPr>
        <w:lang w:val="en-GB"/>
      </w:rPr>
      <w:t>The Czech Economy Development</w:t>
    </w:r>
  </w:p>
  <w:p w14:paraId="3E881AB3" w14:textId="77777777" w:rsidR="00E37C1C" w:rsidRPr="006F5416" w:rsidRDefault="00E37C1C"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D3DB" w14:textId="407F6A42" w:rsidR="00E37C1C" w:rsidRPr="00262B30" w:rsidRDefault="00E37C1C" w:rsidP="00937AE2">
    <w:pPr>
      <w:pStyle w:val="Zhlav"/>
      <w:rPr>
        <w:lang w:val="en-GB"/>
      </w:rPr>
    </w:pPr>
    <w:r w:rsidRPr="00262B30">
      <w:rPr>
        <w:lang w:val="en-GB"/>
      </w:rPr>
      <w:t>The Czech Economy Development</w:t>
    </w:r>
  </w:p>
  <w:p w14:paraId="57266714" w14:textId="77777777" w:rsidR="00E37C1C" w:rsidRPr="006F5416" w:rsidRDefault="00E37C1C"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5764B"/>
    <w:multiLevelType w:val="hybridMultilevel"/>
    <w:tmpl w:val="84788BC8"/>
    <w:lvl w:ilvl="0" w:tplc="1B96A2C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5"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3"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7"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528220310">
    <w:abstractNumId w:val="25"/>
  </w:num>
  <w:num w:numId="2" w16cid:durableId="670375540">
    <w:abstractNumId w:val="8"/>
  </w:num>
  <w:num w:numId="3" w16cid:durableId="2098867897">
    <w:abstractNumId w:val="3"/>
  </w:num>
  <w:num w:numId="4" w16cid:durableId="549193360">
    <w:abstractNumId w:val="2"/>
  </w:num>
  <w:num w:numId="5" w16cid:durableId="52126910">
    <w:abstractNumId w:val="1"/>
  </w:num>
  <w:num w:numId="6" w16cid:durableId="775442807">
    <w:abstractNumId w:val="0"/>
  </w:num>
  <w:num w:numId="7" w16cid:durableId="1384719231">
    <w:abstractNumId w:val="9"/>
  </w:num>
  <w:num w:numId="8" w16cid:durableId="697119485">
    <w:abstractNumId w:val="7"/>
  </w:num>
  <w:num w:numId="9" w16cid:durableId="1001153288">
    <w:abstractNumId w:val="6"/>
  </w:num>
  <w:num w:numId="10" w16cid:durableId="1909488694">
    <w:abstractNumId w:val="5"/>
  </w:num>
  <w:num w:numId="11" w16cid:durableId="281041759">
    <w:abstractNumId w:val="4"/>
  </w:num>
  <w:num w:numId="12" w16cid:durableId="1726367254">
    <w:abstractNumId w:val="15"/>
  </w:num>
  <w:num w:numId="13" w16cid:durableId="2116559951">
    <w:abstractNumId w:val="27"/>
  </w:num>
  <w:num w:numId="14" w16cid:durableId="1395474044">
    <w:abstractNumId w:val="14"/>
  </w:num>
  <w:num w:numId="15" w16cid:durableId="493961053">
    <w:abstractNumId w:val="20"/>
  </w:num>
  <w:num w:numId="16" w16cid:durableId="1286352367">
    <w:abstractNumId w:val="16"/>
  </w:num>
  <w:num w:numId="17" w16cid:durableId="2053066444">
    <w:abstractNumId w:val="28"/>
  </w:num>
  <w:num w:numId="18" w16cid:durableId="112795144">
    <w:abstractNumId w:val="21"/>
  </w:num>
  <w:num w:numId="19" w16cid:durableId="1327130238">
    <w:abstractNumId w:val="29"/>
  </w:num>
  <w:num w:numId="20" w16cid:durableId="452403738">
    <w:abstractNumId w:val="30"/>
  </w:num>
  <w:num w:numId="21" w16cid:durableId="732393256">
    <w:abstractNumId w:val="26"/>
  </w:num>
  <w:num w:numId="22" w16cid:durableId="921135234">
    <w:abstractNumId w:val="19"/>
  </w:num>
  <w:num w:numId="23" w16cid:durableId="1274216490">
    <w:abstractNumId w:val="17"/>
  </w:num>
  <w:num w:numId="24" w16cid:durableId="2004888184">
    <w:abstractNumId w:val="18"/>
  </w:num>
  <w:num w:numId="25" w16cid:durableId="390660536">
    <w:abstractNumId w:val="13"/>
  </w:num>
  <w:num w:numId="26" w16cid:durableId="914241952">
    <w:abstractNumId w:val="23"/>
  </w:num>
  <w:num w:numId="27" w16cid:durableId="1594585796">
    <w:abstractNumId w:val="22"/>
  </w:num>
  <w:num w:numId="28" w16cid:durableId="1499076826">
    <w:abstractNumId w:val="10"/>
  </w:num>
  <w:num w:numId="29" w16cid:durableId="30349636">
    <w:abstractNumId w:val="30"/>
  </w:num>
  <w:num w:numId="30" w16cid:durableId="1851409715">
    <w:abstractNumId w:val="24"/>
  </w:num>
  <w:num w:numId="31" w16cid:durableId="1620143949">
    <w:abstractNumId w:val="12"/>
  </w:num>
  <w:num w:numId="32" w16cid:durableId="1643804339">
    <w:abstractNumId w:val="31"/>
  </w:num>
  <w:num w:numId="33" w16cid:durableId="1401948313">
    <w:abstractNumId w:val="30"/>
  </w:num>
  <w:num w:numId="34" w16cid:durableId="11355621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28"/>
    <w:rsid w:val="000005AF"/>
    <w:rsid w:val="00000994"/>
    <w:rsid w:val="00000B55"/>
    <w:rsid w:val="00001065"/>
    <w:rsid w:val="0000209D"/>
    <w:rsid w:val="000021B8"/>
    <w:rsid w:val="00002566"/>
    <w:rsid w:val="0000370A"/>
    <w:rsid w:val="00003849"/>
    <w:rsid w:val="00003F5C"/>
    <w:rsid w:val="000044CE"/>
    <w:rsid w:val="00004D5A"/>
    <w:rsid w:val="00005219"/>
    <w:rsid w:val="000056D5"/>
    <w:rsid w:val="00005D9E"/>
    <w:rsid w:val="000063D5"/>
    <w:rsid w:val="00006625"/>
    <w:rsid w:val="00006ABD"/>
    <w:rsid w:val="00006B67"/>
    <w:rsid w:val="00006C0B"/>
    <w:rsid w:val="00006D54"/>
    <w:rsid w:val="00006DE8"/>
    <w:rsid w:val="000073A0"/>
    <w:rsid w:val="0000767A"/>
    <w:rsid w:val="00007ABE"/>
    <w:rsid w:val="00010256"/>
    <w:rsid w:val="000103BB"/>
    <w:rsid w:val="00010702"/>
    <w:rsid w:val="00010A2C"/>
    <w:rsid w:val="0001128E"/>
    <w:rsid w:val="00011912"/>
    <w:rsid w:val="00011D8A"/>
    <w:rsid w:val="00011FC2"/>
    <w:rsid w:val="000129B7"/>
    <w:rsid w:val="00012C8A"/>
    <w:rsid w:val="0001387D"/>
    <w:rsid w:val="00014ED0"/>
    <w:rsid w:val="00016420"/>
    <w:rsid w:val="00016BDB"/>
    <w:rsid w:val="00017B01"/>
    <w:rsid w:val="000200BE"/>
    <w:rsid w:val="000200D8"/>
    <w:rsid w:val="000205D1"/>
    <w:rsid w:val="00020F22"/>
    <w:rsid w:val="00021623"/>
    <w:rsid w:val="0002195D"/>
    <w:rsid w:val="00021F9B"/>
    <w:rsid w:val="000228AE"/>
    <w:rsid w:val="000233D1"/>
    <w:rsid w:val="000234D6"/>
    <w:rsid w:val="00023D29"/>
    <w:rsid w:val="00024348"/>
    <w:rsid w:val="00024DC3"/>
    <w:rsid w:val="00025428"/>
    <w:rsid w:val="00026109"/>
    <w:rsid w:val="0002622B"/>
    <w:rsid w:val="00026389"/>
    <w:rsid w:val="00026608"/>
    <w:rsid w:val="0002669F"/>
    <w:rsid w:val="000279E5"/>
    <w:rsid w:val="000305E0"/>
    <w:rsid w:val="0003092C"/>
    <w:rsid w:val="00030B13"/>
    <w:rsid w:val="00031AE0"/>
    <w:rsid w:val="00031BB2"/>
    <w:rsid w:val="00031EAB"/>
    <w:rsid w:val="000322EF"/>
    <w:rsid w:val="000330D2"/>
    <w:rsid w:val="00033FCD"/>
    <w:rsid w:val="000348AF"/>
    <w:rsid w:val="00034B70"/>
    <w:rsid w:val="00034DF7"/>
    <w:rsid w:val="00034E68"/>
    <w:rsid w:val="000350C8"/>
    <w:rsid w:val="000351A6"/>
    <w:rsid w:val="00036195"/>
    <w:rsid w:val="000374B2"/>
    <w:rsid w:val="000376C0"/>
    <w:rsid w:val="0003779B"/>
    <w:rsid w:val="00040088"/>
    <w:rsid w:val="000403A7"/>
    <w:rsid w:val="00040632"/>
    <w:rsid w:val="0004096E"/>
    <w:rsid w:val="000411B1"/>
    <w:rsid w:val="00041266"/>
    <w:rsid w:val="00041AFC"/>
    <w:rsid w:val="00041CEC"/>
    <w:rsid w:val="00041D02"/>
    <w:rsid w:val="00041DC8"/>
    <w:rsid w:val="00042596"/>
    <w:rsid w:val="00042A4A"/>
    <w:rsid w:val="00042C5F"/>
    <w:rsid w:val="00044183"/>
    <w:rsid w:val="0004431D"/>
    <w:rsid w:val="00044AAC"/>
    <w:rsid w:val="000456B6"/>
    <w:rsid w:val="00045C4E"/>
    <w:rsid w:val="0004694F"/>
    <w:rsid w:val="00046F2F"/>
    <w:rsid w:val="00047AD4"/>
    <w:rsid w:val="00047D54"/>
    <w:rsid w:val="00050541"/>
    <w:rsid w:val="0005054A"/>
    <w:rsid w:val="00050A87"/>
    <w:rsid w:val="00051506"/>
    <w:rsid w:val="00051AAB"/>
    <w:rsid w:val="00051ADB"/>
    <w:rsid w:val="00051F88"/>
    <w:rsid w:val="000522E4"/>
    <w:rsid w:val="000525C4"/>
    <w:rsid w:val="00053713"/>
    <w:rsid w:val="000541F4"/>
    <w:rsid w:val="0005434E"/>
    <w:rsid w:val="00054477"/>
    <w:rsid w:val="00054B9B"/>
    <w:rsid w:val="0005576C"/>
    <w:rsid w:val="00055CB6"/>
    <w:rsid w:val="00055F11"/>
    <w:rsid w:val="000572DD"/>
    <w:rsid w:val="00057B1E"/>
    <w:rsid w:val="0006033F"/>
    <w:rsid w:val="000607D9"/>
    <w:rsid w:val="000610E1"/>
    <w:rsid w:val="000616AD"/>
    <w:rsid w:val="000622A6"/>
    <w:rsid w:val="000623C5"/>
    <w:rsid w:val="00062D6D"/>
    <w:rsid w:val="00062D70"/>
    <w:rsid w:val="00062EC5"/>
    <w:rsid w:val="00062F22"/>
    <w:rsid w:val="00063975"/>
    <w:rsid w:val="00063CEA"/>
    <w:rsid w:val="0006444D"/>
    <w:rsid w:val="000645FC"/>
    <w:rsid w:val="00065252"/>
    <w:rsid w:val="00065296"/>
    <w:rsid w:val="0006533F"/>
    <w:rsid w:val="00065348"/>
    <w:rsid w:val="0006551C"/>
    <w:rsid w:val="0006558D"/>
    <w:rsid w:val="00065A75"/>
    <w:rsid w:val="00065F67"/>
    <w:rsid w:val="000663F0"/>
    <w:rsid w:val="00066558"/>
    <w:rsid w:val="000671DB"/>
    <w:rsid w:val="00067737"/>
    <w:rsid w:val="00067982"/>
    <w:rsid w:val="00070A87"/>
    <w:rsid w:val="000712B3"/>
    <w:rsid w:val="00071A7C"/>
    <w:rsid w:val="00071E38"/>
    <w:rsid w:val="00071FF1"/>
    <w:rsid w:val="00072FF5"/>
    <w:rsid w:val="000735EF"/>
    <w:rsid w:val="00073A5A"/>
    <w:rsid w:val="0007474E"/>
    <w:rsid w:val="00074959"/>
    <w:rsid w:val="00074988"/>
    <w:rsid w:val="0007512B"/>
    <w:rsid w:val="00075551"/>
    <w:rsid w:val="0007621D"/>
    <w:rsid w:val="000767F5"/>
    <w:rsid w:val="00076D90"/>
    <w:rsid w:val="00077A49"/>
    <w:rsid w:val="00077FF0"/>
    <w:rsid w:val="00081542"/>
    <w:rsid w:val="00081A55"/>
    <w:rsid w:val="0008263E"/>
    <w:rsid w:val="00082C19"/>
    <w:rsid w:val="00082F89"/>
    <w:rsid w:val="00083457"/>
    <w:rsid w:val="000834ED"/>
    <w:rsid w:val="000837CD"/>
    <w:rsid w:val="00083B7F"/>
    <w:rsid w:val="00084BFF"/>
    <w:rsid w:val="00085395"/>
    <w:rsid w:val="00086433"/>
    <w:rsid w:val="00086896"/>
    <w:rsid w:val="00086AC1"/>
    <w:rsid w:val="00086D19"/>
    <w:rsid w:val="00087634"/>
    <w:rsid w:val="00087F2B"/>
    <w:rsid w:val="00090694"/>
    <w:rsid w:val="000909D5"/>
    <w:rsid w:val="00090EE2"/>
    <w:rsid w:val="00090FA5"/>
    <w:rsid w:val="00090FC6"/>
    <w:rsid w:val="0009122C"/>
    <w:rsid w:val="000913B1"/>
    <w:rsid w:val="000921AD"/>
    <w:rsid w:val="0009290F"/>
    <w:rsid w:val="00092977"/>
    <w:rsid w:val="00092BF8"/>
    <w:rsid w:val="00093241"/>
    <w:rsid w:val="00093868"/>
    <w:rsid w:val="000942BF"/>
    <w:rsid w:val="00094A84"/>
    <w:rsid w:val="00095025"/>
    <w:rsid w:val="00095135"/>
    <w:rsid w:val="00095191"/>
    <w:rsid w:val="0009626E"/>
    <w:rsid w:val="00096385"/>
    <w:rsid w:val="0009644D"/>
    <w:rsid w:val="00096AB8"/>
    <w:rsid w:val="00097191"/>
    <w:rsid w:val="000974D1"/>
    <w:rsid w:val="00097784"/>
    <w:rsid w:val="0009799E"/>
    <w:rsid w:val="000A07CB"/>
    <w:rsid w:val="000A0BC0"/>
    <w:rsid w:val="000A1183"/>
    <w:rsid w:val="000A12ED"/>
    <w:rsid w:val="000A185C"/>
    <w:rsid w:val="000A1D49"/>
    <w:rsid w:val="000A212B"/>
    <w:rsid w:val="000A242D"/>
    <w:rsid w:val="000A256D"/>
    <w:rsid w:val="000A2643"/>
    <w:rsid w:val="000A2E5F"/>
    <w:rsid w:val="000A385C"/>
    <w:rsid w:val="000A3A2C"/>
    <w:rsid w:val="000A3D9E"/>
    <w:rsid w:val="000A4A54"/>
    <w:rsid w:val="000A4ED9"/>
    <w:rsid w:val="000A4F07"/>
    <w:rsid w:val="000A580E"/>
    <w:rsid w:val="000A5C55"/>
    <w:rsid w:val="000A5DB7"/>
    <w:rsid w:val="000A65D5"/>
    <w:rsid w:val="000A6753"/>
    <w:rsid w:val="000A6D94"/>
    <w:rsid w:val="000A7377"/>
    <w:rsid w:val="000A74A4"/>
    <w:rsid w:val="000A775A"/>
    <w:rsid w:val="000A7D63"/>
    <w:rsid w:val="000A7FF4"/>
    <w:rsid w:val="000B03CC"/>
    <w:rsid w:val="000B0F52"/>
    <w:rsid w:val="000B31E1"/>
    <w:rsid w:val="000B3F7F"/>
    <w:rsid w:val="000B4212"/>
    <w:rsid w:val="000B556B"/>
    <w:rsid w:val="000B614F"/>
    <w:rsid w:val="000B6269"/>
    <w:rsid w:val="000B67B7"/>
    <w:rsid w:val="000B6A0A"/>
    <w:rsid w:val="000B79AB"/>
    <w:rsid w:val="000C0127"/>
    <w:rsid w:val="000C08B0"/>
    <w:rsid w:val="000C0CA6"/>
    <w:rsid w:val="000C0EA8"/>
    <w:rsid w:val="000C13A2"/>
    <w:rsid w:val="000C21E7"/>
    <w:rsid w:val="000C23EC"/>
    <w:rsid w:val="000C26A2"/>
    <w:rsid w:val="000C290E"/>
    <w:rsid w:val="000C30C3"/>
    <w:rsid w:val="000C3408"/>
    <w:rsid w:val="000C35AB"/>
    <w:rsid w:val="000C3F7B"/>
    <w:rsid w:val="000C4769"/>
    <w:rsid w:val="000C4D56"/>
    <w:rsid w:val="000C5744"/>
    <w:rsid w:val="000C5DFA"/>
    <w:rsid w:val="000C6AFD"/>
    <w:rsid w:val="000C6C90"/>
    <w:rsid w:val="000C6DCD"/>
    <w:rsid w:val="000C72B7"/>
    <w:rsid w:val="000C7A79"/>
    <w:rsid w:val="000C7B81"/>
    <w:rsid w:val="000D0A26"/>
    <w:rsid w:val="000D13CB"/>
    <w:rsid w:val="000D1585"/>
    <w:rsid w:val="000D2196"/>
    <w:rsid w:val="000D2C2E"/>
    <w:rsid w:val="000D3058"/>
    <w:rsid w:val="000D310A"/>
    <w:rsid w:val="000D3EF4"/>
    <w:rsid w:val="000D4632"/>
    <w:rsid w:val="000D4761"/>
    <w:rsid w:val="000D4DC0"/>
    <w:rsid w:val="000D55BA"/>
    <w:rsid w:val="000D5637"/>
    <w:rsid w:val="000D571F"/>
    <w:rsid w:val="000D5A03"/>
    <w:rsid w:val="000D5ED3"/>
    <w:rsid w:val="000D6209"/>
    <w:rsid w:val="000D6F4E"/>
    <w:rsid w:val="000D6FDA"/>
    <w:rsid w:val="000D726A"/>
    <w:rsid w:val="000D73BB"/>
    <w:rsid w:val="000D75CA"/>
    <w:rsid w:val="000D7AC7"/>
    <w:rsid w:val="000E006A"/>
    <w:rsid w:val="000E0D57"/>
    <w:rsid w:val="000E0E96"/>
    <w:rsid w:val="000E298B"/>
    <w:rsid w:val="000E2C7D"/>
    <w:rsid w:val="000E3E56"/>
    <w:rsid w:val="000E440D"/>
    <w:rsid w:val="000E4AC5"/>
    <w:rsid w:val="000E6253"/>
    <w:rsid w:val="000E6AC4"/>
    <w:rsid w:val="000E6BAA"/>
    <w:rsid w:val="000E6E4D"/>
    <w:rsid w:val="000E6FBD"/>
    <w:rsid w:val="000E6FCB"/>
    <w:rsid w:val="000E755A"/>
    <w:rsid w:val="000E767B"/>
    <w:rsid w:val="000F07C9"/>
    <w:rsid w:val="000F090B"/>
    <w:rsid w:val="000F0B07"/>
    <w:rsid w:val="000F0E3A"/>
    <w:rsid w:val="000F1242"/>
    <w:rsid w:val="000F15F7"/>
    <w:rsid w:val="000F1AA2"/>
    <w:rsid w:val="000F2411"/>
    <w:rsid w:val="000F34A8"/>
    <w:rsid w:val="000F378E"/>
    <w:rsid w:val="000F3B45"/>
    <w:rsid w:val="000F3F3B"/>
    <w:rsid w:val="000F4721"/>
    <w:rsid w:val="000F47E8"/>
    <w:rsid w:val="000F53AE"/>
    <w:rsid w:val="000F61AF"/>
    <w:rsid w:val="000F6B1B"/>
    <w:rsid w:val="000F70E4"/>
    <w:rsid w:val="000F76EA"/>
    <w:rsid w:val="00100A8B"/>
    <w:rsid w:val="00100F5C"/>
    <w:rsid w:val="00101B15"/>
    <w:rsid w:val="00101CDA"/>
    <w:rsid w:val="00102037"/>
    <w:rsid w:val="001034A0"/>
    <w:rsid w:val="00103DCB"/>
    <w:rsid w:val="00104022"/>
    <w:rsid w:val="00104C4C"/>
    <w:rsid w:val="00105015"/>
    <w:rsid w:val="001055D2"/>
    <w:rsid w:val="00105651"/>
    <w:rsid w:val="001057C2"/>
    <w:rsid w:val="00107124"/>
    <w:rsid w:val="0010748A"/>
    <w:rsid w:val="00107C3A"/>
    <w:rsid w:val="0011038E"/>
    <w:rsid w:val="001112F1"/>
    <w:rsid w:val="00111573"/>
    <w:rsid w:val="00112370"/>
    <w:rsid w:val="0011239B"/>
    <w:rsid w:val="001125EF"/>
    <w:rsid w:val="00112CAB"/>
    <w:rsid w:val="001140D5"/>
    <w:rsid w:val="0011440C"/>
    <w:rsid w:val="0011492C"/>
    <w:rsid w:val="00114A46"/>
    <w:rsid w:val="00114C33"/>
    <w:rsid w:val="001152E2"/>
    <w:rsid w:val="00115B00"/>
    <w:rsid w:val="00115BC8"/>
    <w:rsid w:val="00115DA9"/>
    <w:rsid w:val="00116D3F"/>
    <w:rsid w:val="00117167"/>
    <w:rsid w:val="00117474"/>
    <w:rsid w:val="00117623"/>
    <w:rsid w:val="00117FEA"/>
    <w:rsid w:val="001200CF"/>
    <w:rsid w:val="001208E3"/>
    <w:rsid w:val="00120D41"/>
    <w:rsid w:val="00121609"/>
    <w:rsid w:val="00121854"/>
    <w:rsid w:val="0012192F"/>
    <w:rsid w:val="001221B9"/>
    <w:rsid w:val="00122994"/>
    <w:rsid w:val="00123204"/>
    <w:rsid w:val="00124B46"/>
    <w:rsid w:val="001257BE"/>
    <w:rsid w:val="001257E0"/>
    <w:rsid w:val="00125D17"/>
    <w:rsid w:val="00125D69"/>
    <w:rsid w:val="0012799C"/>
    <w:rsid w:val="00127BC2"/>
    <w:rsid w:val="00127E15"/>
    <w:rsid w:val="001308F1"/>
    <w:rsid w:val="00130922"/>
    <w:rsid w:val="0013093B"/>
    <w:rsid w:val="00130ADC"/>
    <w:rsid w:val="00130D9F"/>
    <w:rsid w:val="00131DD8"/>
    <w:rsid w:val="001321AA"/>
    <w:rsid w:val="00132C4D"/>
    <w:rsid w:val="00133D3D"/>
    <w:rsid w:val="00133FC1"/>
    <w:rsid w:val="0013440F"/>
    <w:rsid w:val="00134659"/>
    <w:rsid w:val="00134E02"/>
    <w:rsid w:val="00135111"/>
    <w:rsid w:val="0013553B"/>
    <w:rsid w:val="00136A6F"/>
    <w:rsid w:val="00136C1A"/>
    <w:rsid w:val="00136FC1"/>
    <w:rsid w:val="00137804"/>
    <w:rsid w:val="00137812"/>
    <w:rsid w:val="001405FA"/>
    <w:rsid w:val="00140D1A"/>
    <w:rsid w:val="00141184"/>
    <w:rsid w:val="00141315"/>
    <w:rsid w:val="001415CC"/>
    <w:rsid w:val="00141AA0"/>
    <w:rsid w:val="001425C3"/>
    <w:rsid w:val="0014262D"/>
    <w:rsid w:val="00142B29"/>
    <w:rsid w:val="00142FA8"/>
    <w:rsid w:val="00144108"/>
    <w:rsid w:val="00144375"/>
    <w:rsid w:val="00144588"/>
    <w:rsid w:val="001447DD"/>
    <w:rsid w:val="00144C0B"/>
    <w:rsid w:val="00145358"/>
    <w:rsid w:val="001459BC"/>
    <w:rsid w:val="00147329"/>
    <w:rsid w:val="0014779E"/>
    <w:rsid w:val="00150ECA"/>
    <w:rsid w:val="0015108F"/>
    <w:rsid w:val="001516B9"/>
    <w:rsid w:val="00151707"/>
    <w:rsid w:val="001520D7"/>
    <w:rsid w:val="00152A72"/>
    <w:rsid w:val="00152C86"/>
    <w:rsid w:val="00152F4F"/>
    <w:rsid w:val="00153264"/>
    <w:rsid w:val="0015329F"/>
    <w:rsid w:val="00153DD3"/>
    <w:rsid w:val="001544A1"/>
    <w:rsid w:val="001553B8"/>
    <w:rsid w:val="001554C2"/>
    <w:rsid w:val="00156013"/>
    <w:rsid w:val="00156D04"/>
    <w:rsid w:val="00157077"/>
    <w:rsid w:val="001571C0"/>
    <w:rsid w:val="001574FE"/>
    <w:rsid w:val="0015753D"/>
    <w:rsid w:val="00157984"/>
    <w:rsid w:val="00157CC9"/>
    <w:rsid w:val="00160385"/>
    <w:rsid w:val="00160A1E"/>
    <w:rsid w:val="00160C21"/>
    <w:rsid w:val="001612F4"/>
    <w:rsid w:val="00161553"/>
    <w:rsid w:val="0016216F"/>
    <w:rsid w:val="0016256B"/>
    <w:rsid w:val="00162AC0"/>
    <w:rsid w:val="00162F81"/>
    <w:rsid w:val="00163793"/>
    <w:rsid w:val="00163868"/>
    <w:rsid w:val="00163885"/>
    <w:rsid w:val="00164CA1"/>
    <w:rsid w:val="001651BF"/>
    <w:rsid w:val="00165310"/>
    <w:rsid w:val="00165313"/>
    <w:rsid w:val="001655FA"/>
    <w:rsid w:val="001659C3"/>
    <w:rsid w:val="00166064"/>
    <w:rsid w:val="001665AB"/>
    <w:rsid w:val="00167485"/>
    <w:rsid w:val="001679F5"/>
    <w:rsid w:val="00167B92"/>
    <w:rsid w:val="00167CB9"/>
    <w:rsid w:val="00167DD8"/>
    <w:rsid w:val="001705AD"/>
    <w:rsid w:val="001706D6"/>
    <w:rsid w:val="00170C58"/>
    <w:rsid w:val="001714F2"/>
    <w:rsid w:val="00171F93"/>
    <w:rsid w:val="00171FEA"/>
    <w:rsid w:val="00173622"/>
    <w:rsid w:val="00175219"/>
    <w:rsid w:val="001759DE"/>
    <w:rsid w:val="00175B9F"/>
    <w:rsid w:val="001762F4"/>
    <w:rsid w:val="001777BA"/>
    <w:rsid w:val="00181029"/>
    <w:rsid w:val="00181788"/>
    <w:rsid w:val="001817E8"/>
    <w:rsid w:val="00181BBC"/>
    <w:rsid w:val="00183454"/>
    <w:rsid w:val="0018385F"/>
    <w:rsid w:val="00183BCF"/>
    <w:rsid w:val="00184017"/>
    <w:rsid w:val="001847BB"/>
    <w:rsid w:val="00184B08"/>
    <w:rsid w:val="00185010"/>
    <w:rsid w:val="001854F2"/>
    <w:rsid w:val="00185C22"/>
    <w:rsid w:val="00185FA4"/>
    <w:rsid w:val="00186538"/>
    <w:rsid w:val="00186BA9"/>
    <w:rsid w:val="00187090"/>
    <w:rsid w:val="00187D50"/>
    <w:rsid w:val="00190759"/>
    <w:rsid w:val="00190B4D"/>
    <w:rsid w:val="00190B9B"/>
    <w:rsid w:val="00190F6C"/>
    <w:rsid w:val="0019196C"/>
    <w:rsid w:val="001926A9"/>
    <w:rsid w:val="00192F05"/>
    <w:rsid w:val="001930BB"/>
    <w:rsid w:val="001937F8"/>
    <w:rsid w:val="00194729"/>
    <w:rsid w:val="00194818"/>
    <w:rsid w:val="00194850"/>
    <w:rsid w:val="00195234"/>
    <w:rsid w:val="00195EA6"/>
    <w:rsid w:val="00196016"/>
    <w:rsid w:val="00196117"/>
    <w:rsid w:val="00197557"/>
    <w:rsid w:val="00197A70"/>
    <w:rsid w:val="00197C0F"/>
    <w:rsid w:val="00197C16"/>
    <w:rsid w:val="00197D0E"/>
    <w:rsid w:val="001A0360"/>
    <w:rsid w:val="001A0487"/>
    <w:rsid w:val="001A0675"/>
    <w:rsid w:val="001A0A37"/>
    <w:rsid w:val="001A1F68"/>
    <w:rsid w:val="001A21FA"/>
    <w:rsid w:val="001A3044"/>
    <w:rsid w:val="001A3254"/>
    <w:rsid w:val="001A4393"/>
    <w:rsid w:val="001A4D08"/>
    <w:rsid w:val="001A4D7C"/>
    <w:rsid w:val="001A4ECD"/>
    <w:rsid w:val="001A4EF0"/>
    <w:rsid w:val="001A540E"/>
    <w:rsid w:val="001A552F"/>
    <w:rsid w:val="001A593A"/>
    <w:rsid w:val="001A5DD6"/>
    <w:rsid w:val="001A62F9"/>
    <w:rsid w:val="001A6CDD"/>
    <w:rsid w:val="001A70B1"/>
    <w:rsid w:val="001A7564"/>
    <w:rsid w:val="001A75E0"/>
    <w:rsid w:val="001A7672"/>
    <w:rsid w:val="001A77E1"/>
    <w:rsid w:val="001A7959"/>
    <w:rsid w:val="001B0738"/>
    <w:rsid w:val="001B10F0"/>
    <w:rsid w:val="001B1235"/>
    <w:rsid w:val="001B158D"/>
    <w:rsid w:val="001B1ADB"/>
    <w:rsid w:val="001B1BBB"/>
    <w:rsid w:val="001B2CA9"/>
    <w:rsid w:val="001B3110"/>
    <w:rsid w:val="001B3E38"/>
    <w:rsid w:val="001B40F5"/>
    <w:rsid w:val="001B4729"/>
    <w:rsid w:val="001B4AAC"/>
    <w:rsid w:val="001B4B62"/>
    <w:rsid w:val="001B4F0E"/>
    <w:rsid w:val="001B5F40"/>
    <w:rsid w:val="001B6310"/>
    <w:rsid w:val="001B6C09"/>
    <w:rsid w:val="001B6E12"/>
    <w:rsid w:val="001B75F7"/>
    <w:rsid w:val="001C05CD"/>
    <w:rsid w:val="001C082B"/>
    <w:rsid w:val="001C0F17"/>
    <w:rsid w:val="001C11A6"/>
    <w:rsid w:val="001C1B24"/>
    <w:rsid w:val="001C1B66"/>
    <w:rsid w:val="001C1BB5"/>
    <w:rsid w:val="001C2439"/>
    <w:rsid w:val="001C2732"/>
    <w:rsid w:val="001C2DF5"/>
    <w:rsid w:val="001C2F97"/>
    <w:rsid w:val="001C31A2"/>
    <w:rsid w:val="001C351D"/>
    <w:rsid w:val="001C3794"/>
    <w:rsid w:val="001C3855"/>
    <w:rsid w:val="001C4B8F"/>
    <w:rsid w:val="001C4BB8"/>
    <w:rsid w:val="001C4D8C"/>
    <w:rsid w:val="001C4FD0"/>
    <w:rsid w:val="001C544D"/>
    <w:rsid w:val="001C5E46"/>
    <w:rsid w:val="001C6B3B"/>
    <w:rsid w:val="001C74CD"/>
    <w:rsid w:val="001C7A26"/>
    <w:rsid w:val="001C7E3F"/>
    <w:rsid w:val="001D0EF1"/>
    <w:rsid w:val="001D1A44"/>
    <w:rsid w:val="001D22C2"/>
    <w:rsid w:val="001D2C99"/>
    <w:rsid w:val="001D2D3C"/>
    <w:rsid w:val="001D3652"/>
    <w:rsid w:val="001D3B58"/>
    <w:rsid w:val="001D3B75"/>
    <w:rsid w:val="001D452E"/>
    <w:rsid w:val="001D54C1"/>
    <w:rsid w:val="001D556E"/>
    <w:rsid w:val="001D55CF"/>
    <w:rsid w:val="001D57D2"/>
    <w:rsid w:val="001D5DF2"/>
    <w:rsid w:val="001D6175"/>
    <w:rsid w:val="001D68B2"/>
    <w:rsid w:val="001D6FA8"/>
    <w:rsid w:val="001D6FEE"/>
    <w:rsid w:val="001D7EFD"/>
    <w:rsid w:val="001D7F60"/>
    <w:rsid w:val="001E085B"/>
    <w:rsid w:val="001E149B"/>
    <w:rsid w:val="001E15CB"/>
    <w:rsid w:val="001E18C4"/>
    <w:rsid w:val="001E26FC"/>
    <w:rsid w:val="001E3306"/>
    <w:rsid w:val="001E5028"/>
    <w:rsid w:val="001E504C"/>
    <w:rsid w:val="001E5111"/>
    <w:rsid w:val="001E53BB"/>
    <w:rsid w:val="001E56AC"/>
    <w:rsid w:val="001E5A17"/>
    <w:rsid w:val="001E5F93"/>
    <w:rsid w:val="001E6DD9"/>
    <w:rsid w:val="001E74C5"/>
    <w:rsid w:val="001E74E8"/>
    <w:rsid w:val="001F007D"/>
    <w:rsid w:val="001F0A74"/>
    <w:rsid w:val="001F1236"/>
    <w:rsid w:val="001F13AF"/>
    <w:rsid w:val="001F1B91"/>
    <w:rsid w:val="001F2F90"/>
    <w:rsid w:val="001F4597"/>
    <w:rsid w:val="001F4826"/>
    <w:rsid w:val="001F4933"/>
    <w:rsid w:val="001F4A57"/>
    <w:rsid w:val="001F59C8"/>
    <w:rsid w:val="001F6483"/>
    <w:rsid w:val="001F6843"/>
    <w:rsid w:val="001F6CD3"/>
    <w:rsid w:val="001F75DA"/>
    <w:rsid w:val="001F78A8"/>
    <w:rsid w:val="001F7931"/>
    <w:rsid w:val="001F7CE0"/>
    <w:rsid w:val="00200085"/>
    <w:rsid w:val="00201633"/>
    <w:rsid w:val="002024FA"/>
    <w:rsid w:val="00203332"/>
    <w:rsid w:val="002036E6"/>
    <w:rsid w:val="00203CD5"/>
    <w:rsid w:val="00203D8F"/>
    <w:rsid w:val="00203DA4"/>
    <w:rsid w:val="0020473C"/>
    <w:rsid w:val="00204A71"/>
    <w:rsid w:val="00204EA6"/>
    <w:rsid w:val="00205186"/>
    <w:rsid w:val="00205EB7"/>
    <w:rsid w:val="00206516"/>
    <w:rsid w:val="002070CF"/>
    <w:rsid w:val="002071D5"/>
    <w:rsid w:val="002073FD"/>
    <w:rsid w:val="00207470"/>
    <w:rsid w:val="002108C8"/>
    <w:rsid w:val="002111E5"/>
    <w:rsid w:val="002112EB"/>
    <w:rsid w:val="0021149E"/>
    <w:rsid w:val="002118B9"/>
    <w:rsid w:val="002122EA"/>
    <w:rsid w:val="00213691"/>
    <w:rsid w:val="00213EF5"/>
    <w:rsid w:val="002142C0"/>
    <w:rsid w:val="00217BED"/>
    <w:rsid w:val="00217C5B"/>
    <w:rsid w:val="00217F53"/>
    <w:rsid w:val="00220A43"/>
    <w:rsid w:val="0022139E"/>
    <w:rsid w:val="00222729"/>
    <w:rsid w:val="0022287B"/>
    <w:rsid w:val="002228DB"/>
    <w:rsid w:val="002229FF"/>
    <w:rsid w:val="002230FC"/>
    <w:rsid w:val="00223185"/>
    <w:rsid w:val="00223264"/>
    <w:rsid w:val="002233D6"/>
    <w:rsid w:val="0022441D"/>
    <w:rsid w:val="00224574"/>
    <w:rsid w:val="00224CB7"/>
    <w:rsid w:val="00224E3F"/>
    <w:rsid w:val="00225000"/>
    <w:rsid w:val="002252E0"/>
    <w:rsid w:val="002255F6"/>
    <w:rsid w:val="00226032"/>
    <w:rsid w:val="0022639E"/>
    <w:rsid w:val="00226D31"/>
    <w:rsid w:val="0022738D"/>
    <w:rsid w:val="00227605"/>
    <w:rsid w:val="00227850"/>
    <w:rsid w:val="00227969"/>
    <w:rsid w:val="00227A53"/>
    <w:rsid w:val="00227C6C"/>
    <w:rsid w:val="00227E2E"/>
    <w:rsid w:val="00227F53"/>
    <w:rsid w:val="00230089"/>
    <w:rsid w:val="00230C36"/>
    <w:rsid w:val="00230C6E"/>
    <w:rsid w:val="00230E21"/>
    <w:rsid w:val="00231066"/>
    <w:rsid w:val="002316A8"/>
    <w:rsid w:val="00231859"/>
    <w:rsid w:val="00231E31"/>
    <w:rsid w:val="002320C9"/>
    <w:rsid w:val="0023288F"/>
    <w:rsid w:val="0023359B"/>
    <w:rsid w:val="00233603"/>
    <w:rsid w:val="002340EF"/>
    <w:rsid w:val="00234B82"/>
    <w:rsid w:val="00234F2B"/>
    <w:rsid w:val="00236241"/>
    <w:rsid w:val="00236443"/>
    <w:rsid w:val="00236700"/>
    <w:rsid w:val="00236EA9"/>
    <w:rsid w:val="00237669"/>
    <w:rsid w:val="002376D3"/>
    <w:rsid w:val="00237C8B"/>
    <w:rsid w:val="0024026A"/>
    <w:rsid w:val="00240391"/>
    <w:rsid w:val="00240AF3"/>
    <w:rsid w:val="00241020"/>
    <w:rsid w:val="002418D5"/>
    <w:rsid w:val="00241A9F"/>
    <w:rsid w:val="00241B06"/>
    <w:rsid w:val="00242265"/>
    <w:rsid w:val="0024233F"/>
    <w:rsid w:val="002426B4"/>
    <w:rsid w:val="00242E9A"/>
    <w:rsid w:val="0024343A"/>
    <w:rsid w:val="002436BA"/>
    <w:rsid w:val="002438DC"/>
    <w:rsid w:val="00243B5C"/>
    <w:rsid w:val="002443BC"/>
    <w:rsid w:val="00244652"/>
    <w:rsid w:val="00244A15"/>
    <w:rsid w:val="00244D6A"/>
    <w:rsid w:val="002452D9"/>
    <w:rsid w:val="00246909"/>
    <w:rsid w:val="00246AD7"/>
    <w:rsid w:val="00247319"/>
    <w:rsid w:val="0024772F"/>
    <w:rsid w:val="00247835"/>
    <w:rsid w:val="0024799E"/>
    <w:rsid w:val="00247E60"/>
    <w:rsid w:val="00250F19"/>
    <w:rsid w:val="002512B7"/>
    <w:rsid w:val="00251496"/>
    <w:rsid w:val="00251B08"/>
    <w:rsid w:val="00251C53"/>
    <w:rsid w:val="00252AB9"/>
    <w:rsid w:val="002532B1"/>
    <w:rsid w:val="00253C0F"/>
    <w:rsid w:val="002558C1"/>
    <w:rsid w:val="002559F8"/>
    <w:rsid w:val="00255A19"/>
    <w:rsid w:val="00256207"/>
    <w:rsid w:val="002575F3"/>
    <w:rsid w:val="00257E48"/>
    <w:rsid w:val="002601B4"/>
    <w:rsid w:val="002603E1"/>
    <w:rsid w:val="002605FE"/>
    <w:rsid w:val="0026120E"/>
    <w:rsid w:val="002617EE"/>
    <w:rsid w:val="00262582"/>
    <w:rsid w:val="0026291D"/>
    <w:rsid w:val="00262B30"/>
    <w:rsid w:val="00262CF3"/>
    <w:rsid w:val="00264309"/>
    <w:rsid w:val="00264992"/>
    <w:rsid w:val="00264B4F"/>
    <w:rsid w:val="00264B85"/>
    <w:rsid w:val="0026564B"/>
    <w:rsid w:val="00265C83"/>
    <w:rsid w:val="00265E85"/>
    <w:rsid w:val="00265F05"/>
    <w:rsid w:val="002660F7"/>
    <w:rsid w:val="0026632F"/>
    <w:rsid w:val="002668B0"/>
    <w:rsid w:val="002678E4"/>
    <w:rsid w:val="00267B49"/>
    <w:rsid w:val="00267C51"/>
    <w:rsid w:val="002700D9"/>
    <w:rsid w:val="00270133"/>
    <w:rsid w:val="0027025F"/>
    <w:rsid w:val="002709CC"/>
    <w:rsid w:val="00270D25"/>
    <w:rsid w:val="00271022"/>
    <w:rsid w:val="00271465"/>
    <w:rsid w:val="00271A07"/>
    <w:rsid w:val="00271E47"/>
    <w:rsid w:val="002721F5"/>
    <w:rsid w:val="00272DF4"/>
    <w:rsid w:val="00273B7A"/>
    <w:rsid w:val="0027401B"/>
    <w:rsid w:val="00275062"/>
    <w:rsid w:val="00275758"/>
    <w:rsid w:val="0027583D"/>
    <w:rsid w:val="002759C7"/>
    <w:rsid w:val="00275DEF"/>
    <w:rsid w:val="00275E43"/>
    <w:rsid w:val="002763A2"/>
    <w:rsid w:val="00276B33"/>
    <w:rsid w:val="00277669"/>
    <w:rsid w:val="002803A5"/>
    <w:rsid w:val="00280ACB"/>
    <w:rsid w:val="002812E3"/>
    <w:rsid w:val="00281576"/>
    <w:rsid w:val="00281D1B"/>
    <w:rsid w:val="00282451"/>
    <w:rsid w:val="00282AD4"/>
    <w:rsid w:val="0028341F"/>
    <w:rsid w:val="0028351F"/>
    <w:rsid w:val="002837AE"/>
    <w:rsid w:val="00283C13"/>
    <w:rsid w:val="00283F7B"/>
    <w:rsid w:val="0028431A"/>
    <w:rsid w:val="0028534D"/>
    <w:rsid w:val="002853FA"/>
    <w:rsid w:val="00285412"/>
    <w:rsid w:val="0028558A"/>
    <w:rsid w:val="00286220"/>
    <w:rsid w:val="00290745"/>
    <w:rsid w:val="0029110B"/>
    <w:rsid w:val="00291640"/>
    <w:rsid w:val="00291956"/>
    <w:rsid w:val="0029237E"/>
    <w:rsid w:val="00292997"/>
    <w:rsid w:val="00292EB0"/>
    <w:rsid w:val="00293939"/>
    <w:rsid w:val="00293D24"/>
    <w:rsid w:val="0029461A"/>
    <w:rsid w:val="0029509B"/>
    <w:rsid w:val="0029588F"/>
    <w:rsid w:val="00295C4D"/>
    <w:rsid w:val="00295E96"/>
    <w:rsid w:val="00297256"/>
    <w:rsid w:val="00297A5C"/>
    <w:rsid w:val="00297D51"/>
    <w:rsid w:val="002A0122"/>
    <w:rsid w:val="002A016B"/>
    <w:rsid w:val="002A103E"/>
    <w:rsid w:val="002A16D4"/>
    <w:rsid w:val="002A1E4F"/>
    <w:rsid w:val="002A230C"/>
    <w:rsid w:val="002A2AF7"/>
    <w:rsid w:val="002A3209"/>
    <w:rsid w:val="002A38F3"/>
    <w:rsid w:val="002A3EA2"/>
    <w:rsid w:val="002A4946"/>
    <w:rsid w:val="002A4951"/>
    <w:rsid w:val="002A51AC"/>
    <w:rsid w:val="002A532A"/>
    <w:rsid w:val="002A5477"/>
    <w:rsid w:val="002A5846"/>
    <w:rsid w:val="002A5D97"/>
    <w:rsid w:val="002A603E"/>
    <w:rsid w:val="002A63B9"/>
    <w:rsid w:val="002A7089"/>
    <w:rsid w:val="002B03C2"/>
    <w:rsid w:val="002B0692"/>
    <w:rsid w:val="002B0987"/>
    <w:rsid w:val="002B0EDA"/>
    <w:rsid w:val="002B1619"/>
    <w:rsid w:val="002B322D"/>
    <w:rsid w:val="002B3EF4"/>
    <w:rsid w:val="002B4532"/>
    <w:rsid w:val="002B4845"/>
    <w:rsid w:val="002B5567"/>
    <w:rsid w:val="002B5812"/>
    <w:rsid w:val="002B72AA"/>
    <w:rsid w:val="002B75C0"/>
    <w:rsid w:val="002B772D"/>
    <w:rsid w:val="002C0673"/>
    <w:rsid w:val="002C1110"/>
    <w:rsid w:val="002C196C"/>
    <w:rsid w:val="002C1BC2"/>
    <w:rsid w:val="002C1F09"/>
    <w:rsid w:val="002C22A4"/>
    <w:rsid w:val="002C260B"/>
    <w:rsid w:val="002C27A6"/>
    <w:rsid w:val="002C27CD"/>
    <w:rsid w:val="002C2FFE"/>
    <w:rsid w:val="002C31E4"/>
    <w:rsid w:val="002C398D"/>
    <w:rsid w:val="002C40D2"/>
    <w:rsid w:val="002C43BD"/>
    <w:rsid w:val="002C47B7"/>
    <w:rsid w:val="002C4AA6"/>
    <w:rsid w:val="002C5245"/>
    <w:rsid w:val="002C5463"/>
    <w:rsid w:val="002C54A2"/>
    <w:rsid w:val="002C564A"/>
    <w:rsid w:val="002C59D8"/>
    <w:rsid w:val="002C5FEB"/>
    <w:rsid w:val="002C6494"/>
    <w:rsid w:val="002C70C1"/>
    <w:rsid w:val="002C7837"/>
    <w:rsid w:val="002D0553"/>
    <w:rsid w:val="002D05CB"/>
    <w:rsid w:val="002D0E59"/>
    <w:rsid w:val="002D1543"/>
    <w:rsid w:val="002D2C4F"/>
    <w:rsid w:val="002D3EBB"/>
    <w:rsid w:val="002D455C"/>
    <w:rsid w:val="002D6066"/>
    <w:rsid w:val="002D6630"/>
    <w:rsid w:val="002D67BD"/>
    <w:rsid w:val="002D6A4C"/>
    <w:rsid w:val="002D6D10"/>
    <w:rsid w:val="002D6E5F"/>
    <w:rsid w:val="002E010B"/>
    <w:rsid w:val="002E02A1"/>
    <w:rsid w:val="002E154B"/>
    <w:rsid w:val="002E196A"/>
    <w:rsid w:val="002E1F8A"/>
    <w:rsid w:val="002E20C7"/>
    <w:rsid w:val="002E20CD"/>
    <w:rsid w:val="002E222E"/>
    <w:rsid w:val="002E28D8"/>
    <w:rsid w:val="002E29D9"/>
    <w:rsid w:val="002E3638"/>
    <w:rsid w:val="002E372A"/>
    <w:rsid w:val="002E37D1"/>
    <w:rsid w:val="002E3BEE"/>
    <w:rsid w:val="002E4DCE"/>
    <w:rsid w:val="002E4E4C"/>
    <w:rsid w:val="002E4EA7"/>
    <w:rsid w:val="002E5437"/>
    <w:rsid w:val="002E5846"/>
    <w:rsid w:val="002E5C7F"/>
    <w:rsid w:val="002E631B"/>
    <w:rsid w:val="002E792B"/>
    <w:rsid w:val="002E7AEB"/>
    <w:rsid w:val="002E7B0C"/>
    <w:rsid w:val="002E7B79"/>
    <w:rsid w:val="002F0009"/>
    <w:rsid w:val="002F1B09"/>
    <w:rsid w:val="002F1D56"/>
    <w:rsid w:val="002F1DCB"/>
    <w:rsid w:val="002F1DE4"/>
    <w:rsid w:val="002F333D"/>
    <w:rsid w:val="002F351A"/>
    <w:rsid w:val="002F357F"/>
    <w:rsid w:val="002F46D6"/>
    <w:rsid w:val="002F498A"/>
    <w:rsid w:val="002F4AD8"/>
    <w:rsid w:val="002F4CD8"/>
    <w:rsid w:val="002F4E46"/>
    <w:rsid w:val="002F5285"/>
    <w:rsid w:val="002F560F"/>
    <w:rsid w:val="002F572C"/>
    <w:rsid w:val="002F5820"/>
    <w:rsid w:val="002F6086"/>
    <w:rsid w:val="002F64BB"/>
    <w:rsid w:val="002F7D9B"/>
    <w:rsid w:val="00300628"/>
    <w:rsid w:val="00300C31"/>
    <w:rsid w:val="003017EC"/>
    <w:rsid w:val="00302165"/>
    <w:rsid w:val="00302924"/>
    <w:rsid w:val="00303BB4"/>
    <w:rsid w:val="00304771"/>
    <w:rsid w:val="00304F9C"/>
    <w:rsid w:val="003052D4"/>
    <w:rsid w:val="00305863"/>
    <w:rsid w:val="00305AF4"/>
    <w:rsid w:val="003060E9"/>
    <w:rsid w:val="00306A62"/>
    <w:rsid w:val="00306C5B"/>
    <w:rsid w:val="00307529"/>
    <w:rsid w:val="00307AA2"/>
    <w:rsid w:val="00307D33"/>
    <w:rsid w:val="00307DB3"/>
    <w:rsid w:val="00307DDB"/>
    <w:rsid w:val="00307ED2"/>
    <w:rsid w:val="0031076D"/>
    <w:rsid w:val="00311242"/>
    <w:rsid w:val="0031169A"/>
    <w:rsid w:val="00311AA6"/>
    <w:rsid w:val="00311C4D"/>
    <w:rsid w:val="00311CA4"/>
    <w:rsid w:val="003121AB"/>
    <w:rsid w:val="00312A85"/>
    <w:rsid w:val="00312C83"/>
    <w:rsid w:val="00312E51"/>
    <w:rsid w:val="00315169"/>
    <w:rsid w:val="00315208"/>
    <w:rsid w:val="003153C8"/>
    <w:rsid w:val="00315524"/>
    <w:rsid w:val="00315561"/>
    <w:rsid w:val="0031645E"/>
    <w:rsid w:val="00316B3D"/>
    <w:rsid w:val="0032058C"/>
    <w:rsid w:val="003208D0"/>
    <w:rsid w:val="003209D6"/>
    <w:rsid w:val="003217B9"/>
    <w:rsid w:val="00321924"/>
    <w:rsid w:val="00321AF1"/>
    <w:rsid w:val="00321EB6"/>
    <w:rsid w:val="003220A5"/>
    <w:rsid w:val="003238E0"/>
    <w:rsid w:val="00323A1C"/>
    <w:rsid w:val="00323A2F"/>
    <w:rsid w:val="00323A8E"/>
    <w:rsid w:val="003247E1"/>
    <w:rsid w:val="00324B59"/>
    <w:rsid w:val="00325E46"/>
    <w:rsid w:val="0032656E"/>
    <w:rsid w:val="0032788F"/>
    <w:rsid w:val="00330FF8"/>
    <w:rsid w:val="0033175E"/>
    <w:rsid w:val="003317A3"/>
    <w:rsid w:val="00332190"/>
    <w:rsid w:val="00332A98"/>
    <w:rsid w:val="00332D86"/>
    <w:rsid w:val="003334BD"/>
    <w:rsid w:val="00333973"/>
    <w:rsid w:val="00333CD0"/>
    <w:rsid w:val="00333F8B"/>
    <w:rsid w:val="0033448D"/>
    <w:rsid w:val="00334AD2"/>
    <w:rsid w:val="00334CB6"/>
    <w:rsid w:val="003369B0"/>
    <w:rsid w:val="0033709C"/>
    <w:rsid w:val="003370C5"/>
    <w:rsid w:val="003373C6"/>
    <w:rsid w:val="0033753A"/>
    <w:rsid w:val="003403C1"/>
    <w:rsid w:val="0034081B"/>
    <w:rsid w:val="00340BF3"/>
    <w:rsid w:val="00341C6C"/>
    <w:rsid w:val="00341D26"/>
    <w:rsid w:val="00341F05"/>
    <w:rsid w:val="003424A0"/>
    <w:rsid w:val="00342AD0"/>
    <w:rsid w:val="0034335E"/>
    <w:rsid w:val="00344668"/>
    <w:rsid w:val="0034466D"/>
    <w:rsid w:val="00344881"/>
    <w:rsid w:val="00344940"/>
    <w:rsid w:val="00346234"/>
    <w:rsid w:val="00346285"/>
    <w:rsid w:val="003462D9"/>
    <w:rsid w:val="00346576"/>
    <w:rsid w:val="0034723F"/>
    <w:rsid w:val="00347247"/>
    <w:rsid w:val="003474B6"/>
    <w:rsid w:val="00347DD4"/>
    <w:rsid w:val="00350138"/>
    <w:rsid w:val="00350F0C"/>
    <w:rsid w:val="003527E6"/>
    <w:rsid w:val="00352B43"/>
    <w:rsid w:val="00352C28"/>
    <w:rsid w:val="003541BB"/>
    <w:rsid w:val="00354502"/>
    <w:rsid w:val="00354F89"/>
    <w:rsid w:val="0035506D"/>
    <w:rsid w:val="0035547E"/>
    <w:rsid w:val="003559D1"/>
    <w:rsid w:val="003565DB"/>
    <w:rsid w:val="003574AB"/>
    <w:rsid w:val="003579A1"/>
    <w:rsid w:val="00357F42"/>
    <w:rsid w:val="0036077F"/>
    <w:rsid w:val="0036081A"/>
    <w:rsid w:val="00360A35"/>
    <w:rsid w:val="00360C86"/>
    <w:rsid w:val="00360F7A"/>
    <w:rsid w:val="00360FBC"/>
    <w:rsid w:val="0036102D"/>
    <w:rsid w:val="00361537"/>
    <w:rsid w:val="003619A0"/>
    <w:rsid w:val="00361A59"/>
    <w:rsid w:val="00361FB7"/>
    <w:rsid w:val="0036242A"/>
    <w:rsid w:val="003629A5"/>
    <w:rsid w:val="00362C23"/>
    <w:rsid w:val="00362DCA"/>
    <w:rsid w:val="00362E90"/>
    <w:rsid w:val="0036421A"/>
    <w:rsid w:val="003643CB"/>
    <w:rsid w:val="0036448C"/>
    <w:rsid w:val="00364FA0"/>
    <w:rsid w:val="003650D9"/>
    <w:rsid w:val="003657F3"/>
    <w:rsid w:val="00365844"/>
    <w:rsid w:val="00365F61"/>
    <w:rsid w:val="0036624C"/>
    <w:rsid w:val="003664FD"/>
    <w:rsid w:val="00367F84"/>
    <w:rsid w:val="003712BC"/>
    <w:rsid w:val="003716BE"/>
    <w:rsid w:val="00372164"/>
    <w:rsid w:val="003738BD"/>
    <w:rsid w:val="00373D43"/>
    <w:rsid w:val="00374263"/>
    <w:rsid w:val="00374278"/>
    <w:rsid w:val="003746F0"/>
    <w:rsid w:val="00374A20"/>
    <w:rsid w:val="00374B5D"/>
    <w:rsid w:val="00374B96"/>
    <w:rsid w:val="00374E21"/>
    <w:rsid w:val="00374ED6"/>
    <w:rsid w:val="0037537A"/>
    <w:rsid w:val="003755A0"/>
    <w:rsid w:val="00375CB9"/>
    <w:rsid w:val="00377007"/>
    <w:rsid w:val="00377B2E"/>
    <w:rsid w:val="00380C9B"/>
    <w:rsid w:val="003810F0"/>
    <w:rsid w:val="003815D4"/>
    <w:rsid w:val="003818DC"/>
    <w:rsid w:val="00382513"/>
    <w:rsid w:val="00383388"/>
    <w:rsid w:val="003834F8"/>
    <w:rsid w:val="003837B1"/>
    <w:rsid w:val="003838D0"/>
    <w:rsid w:val="003840C2"/>
    <w:rsid w:val="003840C3"/>
    <w:rsid w:val="00384327"/>
    <w:rsid w:val="00384A89"/>
    <w:rsid w:val="00385086"/>
    <w:rsid w:val="0038578B"/>
    <w:rsid w:val="00385D98"/>
    <w:rsid w:val="003862C0"/>
    <w:rsid w:val="0038712D"/>
    <w:rsid w:val="00390306"/>
    <w:rsid w:val="0039031A"/>
    <w:rsid w:val="003908A6"/>
    <w:rsid w:val="0039109D"/>
    <w:rsid w:val="00391989"/>
    <w:rsid w:val="00391A6C"/>
    <w:rsid w:val="00391B9F"/>
    <w:rsid w:val="00392238"/>
    <w:rsid w:val="003927F6"/>
    <w:rsid w:val="0039398D"/>
    <w:rsid w:val="00393B3F"/>
    <w:rsid w:val="00393B72"/>
    <w:rsid w:val="0039402D"/>
    <w:rsid w:val="00395773"/>
    <w:rsid w:val="00396739"/>
    <w:rsid w:val="003978B1"/>
    <w:rsid w:val="003A04F6"/>
    <w:rsid w:val="003A0837"/>
    <w:rsid w:val="003A2B4D"/>
    <w:rsid w:val="003A2D12"/>
    <w:rsid w:val="003A2EBA"/>
    <w:rsid w:val="003A39F3"/>
    <w:rsid w:val="003A3D89"/>
    <w:rsid w:val="003A45E3"/>
    <w:rsid w:val="003A46B8"/>
    <w:rsid w:val="003A478C"/>
    <w:rsid w:val="003A4A38"/>
    <w:rsid w:val="003A5295"/>
    <w:rsid w:val="003A5525"/>
    <w:rsid w:val="003A5854"/>
    <w:rsid w:val="003A5889"/>
    <w:rsid w:val="003A5B3F"/>
    <w:rsid w:val="003A5C8C"/>
    <w:rsid w:val="003A64A6"/>
    <w:rsid w:val="003A6B38"/>
    <w:rsid w:val="003A6B83"/>
    <w:rsid w:val="003A6C97"/>
    <w:rsid w:val="003A6E2E"/>
    <w:rsid w:val="003A722F"/>
    <w:rsid w:val="003A7373"/>
    <w:rsid w:val="003A77D8"/>
    <w:rsid w:val="003A7D09"/>
    <w:rsid w:val="003B039F"/>
    <w:rsid w:val="003B0DF4"/>
    <w:rsid w:val="003B1F9D"/>
    <w:rsid w:val="003B2A8D"/>
    <w:rsid w:val="003B2AD1"/>
    <w:rsid w:val="003B2D2E"/>
    <w:rsid w:val="003B2F69"/>
    <w:rsid w:val="003B376A"/>
    <w:rsid w:val="003B461F"/>
    <w:rsid w:val="003B483F"/>
    <w:rsid w:val="003B4998"/>
    <w:rsid w:val="003B5A32"/>
    <w:rsid w:val="003B5B59"/>
    <w:rsid w:val="003B5E81"/>
    <w:rsid w:val="003B709D"/>
    <w:rsid w:val="003B7B37"/>
    <w:rsid w:val="003B7B50"/>
    <w:rsid w:val="003C0504"/>
    <w:rsid w:val="003C086F"/>
    <w:rsid w:val="003C0B07"/>
    <w:rsid w:val="003C1EFD"/>
    <w:rsid w:val="003C2543"/>
    <w:rsid w:val="003C2CE7"/>
    <w:rsid w:val="003C2DB8"/>
    <w:rsid w:val="003C3490"/>
    <w:rsid w:val="003C3608"/>
    <w:rsid w:val="003C3813"/>
    <w:rsid w:val="003C3A87"/>
    <w:rsid w:val="003C3AE8"/>
    <w:rsid w:val="003C3D2C"/>
    <w:rsid w:val="003C4058"/>
    <w:rsid w:val="003C4E13"/>
    <w:rsid w:val="003C58A5"/>
    <w:rsid w:val="003C5EA3"/>
    <w:rsid w:val="003C6221"/>
    <w:rsid w:val="003C63D7"/>
    <w:rsid w:val="003C68CC"/>
    <w:rsid w:val="003C708D"/>
    <w:rsid w:val="003C7339"/>
    <w:rsid w:val="003C7E62"/>
    <w:rsid w:val="003D12B9"/>
    <w:rsid w:val="003D13A6"/>
    <w:rsid w:val="003D1828"/>
    <w:rsid w:val="003D1E7A"/>
    <w:rsid w:val="003D242B"/>
    <w:rsid w:val="003D2492"/>
    <w:rsid w:val="003D29AA"/>
    <w:rsid w:val="003D2A54"/>
    <w:rsid w:val="003D2A99"/>
    <w:rsid w:val="003D4FD2"/>
    <w:rsid w:val="003D6920"/>
    <w:rsid w:val="003D6E19"/>
    <w:rsid w:val="003E0249"/>
    <w:rsid w:val="003E08A4"/>
    <w:rsid w:val="003E105C"/>
    <w:rsid w:val="003E1EF8"/>
    <w:rsid w:val="003E2BF2"/>
    <w:rsid w:val="003E2DFB"/>
    <w:rsid w:val="003E333B"/>
    <w:rsid w:val="003E4466"/>
    <w:rsid w:val="003E4817"/>
    <w:rsid w:val="003E4C91"/>
    <w:rsid w:val="003E4DAB"/>
    <w:rsid w:val="003E52D8"/>
    <w:rsid w:val="003E62F1"/>
    <w:rsid w:val="003E6547"/>
    <w:rsid w:val="003E6F84"/>
    <w:rsid w:val="003F0148"/>
    <w:rsid w:val="003F0CC3"/>
    <w:rsid w:val="003F0FB6"/>
    <w:rsid w:val="003F167E"/>
    <w:rsid w:val="003F29B7"/>
    <w:rsid w:val="003F313C"/>
    <w:rsid w:val="003F3216"/>
    <w:rsid w:val="003F33B1"/>
    <w:rsid w:val="003F33B9"/>
    <w:rsid w:val="003F37FC"/>
    <w:rsid w:val="003F3E76"/>
    <w:rsid w:val="003F4230"/>
    <w:rsid w:val="003F4318"/>
    <w:rsid w:val="003F4B2C"/>
    <w:rsid w:val="003F4CDD"/>
    <w:rsid w:val="003F4E1E"/>
    <w:rsid w:val="003F4EA2"/>
    <w:rsid w:val="003F551C"/>
    <w:rsid w:val="003F61C2"/>
    <w:rsid w:val="003F626D"/>
    <w:rsid w:val="003F67D6"/>
    <w:rsid w:val="003F72ED"/>
    <w:rsid w:val="003F7872"/>
    <w:rsid w:val="003F7D23"/>
    <w:rsid w:val="003F7D98"/>
    <w:rsid w:val="00400050"/>
    <w:rsid w:val="004002C8"/>
    <w:rsid w:val="00400468"/>
    <w:rsid w:val="0040099D"/>
    <w:rsid w:val="004016CB"/>
    <w:rsid w:val="00401837"/>
    <w:rsid w:val="00401B23"/>
    <w:rsid w:val="00402ADB"/>
    <w:rsid w:val="0040368D"/>
    <w:rsid w:val="00403D1D"/>
    <w:rsid w:val="00403F57"/>
    <w:rsid w:val="00404051"/>
    <w:rsid w:val="0040469E"/>
    <w:rsid w:val="004046BD"/>
    <w:rsid w:val="00404BAB"/>
    <w:rsid w:val="00405318"/>
    <w:rsid w:val="0040545D"/>
    <w:rsid w:val="00405696"/>
    <w:rsid w:val="004059D2"/>
    <w:rsid w:val="004060C9"/>
    <w:rsid w:val="004066D0"/>
    <w:rsid w:val="00406C2E"/>
    <w:rsid w:val="00406CDA"/>
    <w:rsid w:val="00406EB0"/>
    <w:rsid w:val="00407711"/>
    <w:rsid w:val="00407863"/>
    <w:rsid w:val="00407C13"/>
    <w:rsid w:val="004103F6"/>
    <w:rsid w:val="00410638"/>
    <w:rsid w:val="00410A5C"/>
    <w:rsid w:val="0041107A"/>
    <w:rsid w:val="004123CB"/>
    <w:rsid w:val="00412511"/>
    <w:rsid w:val="004125C2"/>
    <w:rsid w:val="00412DFA"/>
    <w:rsid w:val="00413465"/>
    <w:rsid w:val="00413546"/>
    <w:rsid w:val="004149AC"/>
    <w:rsid w:val="0041501E"/>
    <w:rsid w:val="00415452"/>
    <w:rsid w:val="004159C3"/>
    <w:rsid w:val="00415A57"/>
    <w:rsid w:val="00416DAC"/>
    <w:rsid w:val="00417106"/>
    <w:rsid w:val="0041710D"/>
    <w:rsid w:val="00420880"/>
    <w:rsid w:val="00421022"/>
    <w:rsid w:val="00421179"/>
    <w:rsid w:val="004225D7"/>
    <w:rsid w:val="00423249"/>
    <w:rsid w:val="00423519"/>
    <w:rsid w:val="00423623"/>
    <w:rsid w:val="00424050"/>
    <w:rsid w:val="0042470E"/>
    <w:rsid w:val="00425352"/>
    <w:rsid w:val="00426C99"/>
    <w:rsid w:val="0042708A"/>
    <w:rsid w:val="004272BE"/>
    <w:rsid w:val="004273E7"/>
    <w:rsid w:val="00430114"/>
    <w:rsid w:val="004304D0"/>
    <w:rsid w:val="00430C96"/>
    <w:rsid w:val="0043174F"/>
    <w:rsid w:val="00431BFF"/>
    <w:rsid w:val="00432199"/>
    <w:rsid w:val="0043277C"/>
    <w:rsid w:val="00432A58"/>
    <w:rsid w:val="00432DA4"/>
    <w:rsid w:val="004331C3"/>
    <w:rsid w:val="00433C17"/>
    <w:rsid w:val="00434617"/>
    <w:rsid w:val="00434686"/>
    <w:rsid w:val="00434CB3"/>
    <w:rsid w:val="00434DE9"/>
    <w:rsid w:val="00435051"/>
    <w:rsid w:val="00435C69"/>
    <w:rsid w:val="00435DE8"/>
    <w:rsid w:val="004360FB"/>
    <w:rsid w:val="00437CED"/>
    <w:rsid w:val="004407BF"/>
    <w:rsid w:val="00440900"/>
    <w:rsid w:val="00440C2F"/>
    <w:rsid w:val="0044121D"/>
    <w:rsid w:val="00441BF6"/>
    <w:rsid w:val="00441D2B"/>
    <w:rsid w:val="00441F8B"/>
    <w:rsid w:val="00442085"/>
    <w:rsid w:val="0044279E"/>
    <w:rsid w:val="00442BD8"/>
    <w:rsid w:val="00443184"/>
    <w:rsid w:val="00443291"/>
    <w:rsid w:val="004441A0"/>
    <w:rsid w:val="00445861"/>
    <w:rsid w:val="00445A8E"/>
    <w:rsid w:val="00446D44"/>
    <w:rsid w:val="0045078A"/>
    <w:rsid w:val="0045086D"/>
    <w:rsid w:val="00450DAB"/>
    <w:rsid w:val="0045125B"/>
    <w:rsid w:val="00451E25"/>
    <w:rsid w:val="00451EF1"/>
    <w:rsid w:val="00452E60"/>
    <w:rsid w:val="0045321B"/>
    <w:rsid w:val="004548E8"/>
    <w:rsid w:val="004550FE"/>
    <w:rsid w:val="00455833"/>
    <w:rsid w:val="00455B02"/>
    <w:rsid w:val="00456AAB"/>
    <w:rsid w:val="00456FB5"/>
    <w:rsid w:val="00456FE5"/>
    <w:rsid w:val="00457490"/>
    <w:rsid w:val="0045778B"/>
    <w:rsid w:val="0045786C"/>
    <w:rsid w:val="00457953"/>
    <w:rsid w:val="0046041E"/>
    <w:rsid w:val="004604D8"/>
    <w:rsid w:val="00460656"/>
    <w:rsid w:val="00460FB3"/>
    <w:rsid w:val="00462DA6"/>
    <w:rsid w:val="00463D3C"/>
    <w:rsid w:val="00464851"/>
    <w:rsid w:val="00464BF5"/>
    <w:rsid w:val="00465934"/>
    <w:rsid w:val="00466595"/>
    <w:rsid w:val="00466B3E"/>
    <w:rsid w:val="00466D08"/>
    <w:rsid w:val="0046746A"/>
    <w:rsid w:val="00467938"/>
    <w:rsid w:val="00467B14"/>
    <w:rsid w:val="00470043"/>
    <w:rsid w:val="0047053B"/>
    <w:rsid w:val="004707FE"/>
    <w:rsid w:val="00470EDC"/>
    <w:rsid w:val="00471C37"/>
    <w:rsid w:val="00472418"/>
    <w:rsid w:val="0047276D"/>
    <w:rsid w:val="00472A29"/>
    <w:rsid w:val="00472AF6"/>
    <w:rsid w:val="00473482"/>
    <w:rsid w:val="004737F4"/>
    <w:rsid w:val="00474646"/>
    <w:rsid w:val="00474A04"/>
    <w:rsid w:val="00474FEE"/>
    <w:rsid w:val="004756DD"/>
    <w:rsid w:val="00476240"/>
    <w:rsid w:val="00476439"/>
    <w:rsid w:val="00476450"/>
    <w:rsid w:val="004769BF"/>
    <w:rsid w:val="004769E1"/>
    <w:rsid w:val="00476BD0"/>
    <w:rsid w:val="0047735C"/>
    <w:rsid w:val="004773A5"/>
    <w:rsid w:val="004776BC"/>
    <w:rsid w:val="00477820"/>
    <w:rsid w:val="00477B96"/>
    <w:rsid w:val="00480300"/>
    <w:rsid w:val="00480802"/>
    <w:rsid w:val="00480AC0"/>
    <w:rsid w:val="00480BAE"/>
    <w:rsid w:val="00480D7F"/>
    <w:rsid w:val="0048139F"/>
    <w:rsid w:val="00481E40"/>
    <w:rsid w:val="00481F18"/>
    <w:rsid w:val="00482405"/>
    <w:rsid w:val="004824C7"/>
    <w:rsid w:val="004826A7"/>
    <w:rsid w:val="00483392"/>
    <w:rsid w:val="0048368C"/>
    <w:rsid w:val="0048372F"/>
    <w:rsid w:val="0048399F"/>
    <w:rsid w:val="00483A0C"/>
    <w:rsid w:val="00483BDD"/>
    <w:rsid w:val="004841CC"/>
    <w:rsid w:val="0048499C"/>
    <w:rsid w:val="00484ECE"/>
    <w:rsid w:val="00485E82"/>
    <w:rsid w:val="00486132"/>
    <w:rsid w:val="004862C8"/>
    <w:rsid w:val="0048686D"/>
    <w:rsid w:val="00486A4D"/>
    <w:rsid w:val="00490F96"/>
    <w:rsid w:val="004915CB"/>
    <w:rsid w:val="00491A2B"/>
    <w:rsid w:val="004924DC"/>
    <w:rsid w:val="0049267F"/>
    <w:rsid w:val="00492879"/>
    <w:rsid w:val="00492BBA"/>
    <w:rsid w:val="004932A1"/>
    <w:rsid w:val="00493CF5"/>
    <w:rsid w:val="00493E85"/>
    <w:rsid w:val="00495145"/>
    <w:rsid w:val="0049531F"/>
    <w:rsid w:val="004979A5"/>
    <w:rsid w:val="00497F7C"/>
    <w:rsid w:val="004A0144"/>
    <w:rsid w:val="004A0197"/>
    <w:rsid w:val="004A036E"/>
    <w:rsid w:val="004A0498"/>
    <w:rsid w:val="004A06B0"/>
    <w:rsid w:val="004A0D0E"/>
    <w:rsid w:val="004A13B6"/>
    <w:rsid w:val="004A14E4"/>
    <w:rsid w:val="004A2017"/>
    <w:rsid w:val="004A204E"/>
    <w:rsid w:val="004A23BC"/>
    <w:rsid w:val="004A26A5"/>
    <w:rsid w:val="004A27F0"/>
    <w:rsid w:val="004A3212"/>
    <w:rsid w:val="004A37CD"/>
    <w:rsid w:val="004A40D9"/>
    <w:rsid w:val="004A49A5"/>
    <w:rsid w:val="004A4F8A"/>
    <w:rsid w:val="004A52AB"/>
    <w:rsid w:val="004A5494"/>
    <w:rsid w:val="004A5D4E"/>
    <w:rsid w:val="004A61C5"/>
    <w:rsid w:val="004A62A0"/>
    <w:rsid w:val="004A6BBF"/>
    <w:rsid w:val="004A74EE"/>
    <w:rsid w:val="004A77DF"/>
    <w:rsid w:val="004A78E3"/>
    <w:rsid w:val="004A7DC0"/>
    <w:rsid w:val="004B00D7"/>
    <w:rsid w:val="004B1417"/>
    <w:rsid w:val="004B1627"/>
    <w:rsid w:val="004B305C"/>
    <w:rsid w:val="004B30B1"/>
    <w:rsid w:val="004B31B8"/>
    <w:rsid w:val="004B339A"/>
    <w:rsid w:val="004B4C83"/>
    <w:rsid w:val="004B51C6"/>
    <w:rsid w:val="004B55B7"/>
    <w:rsid w:val="004B5831"/>
    <w:rsid w:val="004B5BFA"/>
    <w:rsid w:val="004B619E"/>
    <w:rsid w:val="004B6468"/>
    <w:rsid w:val="004B6EF8"/>
    <w:rsid w:val="004B7125"/>
    <w:rsid w:val="004B756A"/>
    <w:rsid w:val="004B7625"/>
    <w:rsid w:val="004B7EC0"/>
    <w:rsid w:val="004B7FB1"/>
    <w:rsid w:val="004C08DE"/>
    <w:rsid w:val="004C0970"/>
    <w:rsid w:val="004C0B3F"/>
    <w:rsid w:val="004C0F87"/>
    <w:rsid w:val="004C1648"/>
    <w:rsid w:val="004C18CE"/>
    <w:rsid w:val="004C1EF2"/>
    <w:rsid w:val="004C25F9"/>
    <w:rsid w:val="004C2794"/>
    <w:rsid w:val="004C2BB6"/>
    <w:rsid w:val="004C2C2D"/>
    <w:rsid w:val="004C3027"/>
    <w:rsid w:val="004C384C"/>
    <w:rsid w:val="004C3867"/>
    <w:rsid w:val="004C3DB0"/>
    <w:rsid w:val="004C3E03"/>
    <w:rsid w:val="004C3E63"/>
    <w:rsid w:val="004C439A"/>
    <w:rsid w:val="004C4720"/>
    <w:rsid w:val="004C4BEA"/>
    <w:rsid w:val="004C4CD0"/>
    <w:rsid w:val="004C5060"/>
    <w:rsid w:val="004C5165"/>
    <w:rsid w:val="004C589C"/>
    <w:rsid w:val="004C5AE8"/>
    <w:rsid w:val="004C64A3"/>
    <w:rsid w:val="004C6640"/>
    <w:rsid w:val="004C6D4D"/>
    <w:rsid w:val="004C6E0E"/>
    <w:rsid w:val="004C70DC"/>
    <w:rsid w:val="004C7341"/>
    <w:rsid w:val="004C7D10"/>
    <w:rsid w:val="004D0211"/>
    <w:rsid w:val="004D0794"/>
    <w:rsid w:val="004D0FB7"/>
    <w:rsid w:val="004D17A2"/>
    <w:rsid w:val="004D2D31"/>
    <w:rsid w:val="004D2E03"/>
    <w:rsid w:val="004D3296"/>
    <w:rsid w:val="004D4056"/>
    <w:rsid w:val="004D42F3"/>
    <w:rsid w:val="004D4CB0"/>
    <w:rsid w:val="004D5B0F"/>
    <w:rsid w:val="004D6602"/>
    <w:rsid w:val="004D6B32"/>
    <w:rsid w:val="004D7626"/>
    <w:rsid w:val="004E01C9"/>
    <w:rsid w:val="004E085C"/>
    <w:rsid w:val="004E12DF"/>
    <w:rsid w:val="004E186A"/>
    <w:rsid w:val="004E1A40"/>
    <w:rsid w:val="004E200A"/>
    <w:rsid w:val="004E2351"/>
    <w:rsid w:val="004E23FC"/>
    <w:rsid w:val="004E2409"/>
    <w:rsid w:val="004E2567"/>
    <w:rsid w:val="004E261D"/>
    <w:rsid w:val="004E3927"/>
    <w:rsid w:val="004E3B7F"/>
    <w:rsid w:val="004E506E"/>
    <w:rsid w:val="004E56E3"/>
    <w:rsid w:val="004E57BF"/>
    <w:rsid w:val="004E5C6A"/>
    <w:rsid w:val="004E5F41"/>
    <w:rsid w:val="004E6011"/>
    <w:rsid w:val="004E6D15"/>
    <w:rsid w:val="004E6DE6"/>
    <w:rsid w:val="004E765E"/>
    <w:rsid w:val="004E7815"/>
    <w:rsid w:val="004F06F5"/>
    <w:rsid w:val="004F1127"/>
    <w:rsid w:val="004F12A4"/>
    <w:rsid w:val="004F253F"/>
    <w:rsid w:val="004F33A0"/>
    <w:rsid w:val="004F3873"/>
    <w:rsid w:val="004F3BD2"/>
    <w:rsid w:val="004F46ED"/>
    <w:rsid w:val="004F49A3"/>
    <w:rsid w:val="004F4C99"/>
    <w:rsid w:val="004F4D83"/>
    <w:rsid w:val="004F4E4D"/>
    <w:rsid w:val="004F5358"/>
    <w:rsid w:val="004F5487"/>
    <w:rsid w:val="004F6484"/>
    <w:rsid w:val="004F6539"/>
    <w:rsid w:val="004F66AD"/>
    <w:rsid w:val="004F6AFB"/>
    <w:rsid w:val="0050057B"/>
    <w:rsid w:val="005022CA"/>
    <w:rsid w:val="00503D54"/>
    <w:rsid w:val="0050400C"/>
    <w:rsid w:val="005048E2"/>
    <w:rsid w:val="00504E9B"/>
    <w:rsid w:val="00505392"/>
    <w:rsid w:val="00505FC8"/>
    <w:rsid w:val="00506603"/>
    <w:rsid w:val="0050689D"/>
    <w:rsid w:val="005077F5"/>
    <w:rsid w:val="005108C0"/>
    <w:rsid w:val="0051094F"/>
    <w:rsid w:val="00511217"/>
    <w:rsid w:val="00511873"/>
    <w:rsid w:val="00511BAF"/>
    <w:rsid w:val="00511C65"/>
    <w:rsid w:val="00511CA1"/>
    <w:rsid w:val="00512461"/>
    <w:rsid w:val="00512585"/>
    <w:rsid w:val="00512A2F"/>
    <w:rsid w:val="00512B98"/>
    <w:rsid w:val="00513175"/>
    <w:rsid w:val="00513846"/>
    <w:rsid w:val="00513B7E"/>
    <w:rsid w:val="00513E9D"/>
    <w:rsid w:val="0051475C"/>
    <w:rsid w:val="0051475D"/>
    <w:rsid w:val="00514B11"/>
    <w:rsid w:val="00514DED"/>
    <w:rsid w:val="00514F47"/>
    <w:rsid w:val="00514FE2"/>
    <w:rsid w:val="00515079"/>
    <w:rsid w:val="00515485"/>
    <w:rsid w:val="00515BE9"/>
    <w:rsid w:val="00515C74"/>
    <w:rsid w:val="00515CEB"/>
    <w:rsid w:val="0051630F"/>
    <w:rsid w:val="00516997"/>
    <w:rsid w:val="00517113"/>
    <w:rsid w:val="0052007E"/>
    <w:rsid w:val="0052032E"/>
    <w:rsid w:val="00520C78"/>
    <w:rsid w:val="00521CAD"/>
    <w:rsid w:val="0052200D"/>
    <w:rsid w:val="00522199"/>
    <w:rsid w:val="00522425"/>
    <w:rsid w:val="005227DC"/>
    <w:rsid w:val="00522A1B"/>
    <w:rsid w:val="00522E01"/>
    <w:rsid w:val="0052337A"/>
    <w:rsid w:val="00524385"/>
    <w:rsid w:val="005246BE"/>
    <w:rsid w:val="00525137"/>
    <w:rsid w:val="005251DD"/>
    <w:rsid w:val="00526C1E"/>
    <w:rsid w:val="0052762C"/>
    <w:rsid w:val="0052792D"/>
    <w:rsid w:val="005279E0"/>
    <w:rsid w:val="00527CAF"/>
    <w:rsid w:val="0053012B"/>
    <w:rsid w:val="005301A6"/>
    <w:rsid w:val="00530A68"/>
    <w:rsid w:val="00530AD4"/>
    <w:rsid w:val="0053129F"/>
    <w:rsid w:val="00531C5A"/>
    <w:rsid w:val="00532CE7"/>
    <w:rsid w:val="00532D8B"/>
    <w:rsid w:val="00532FED"/>
    <w:rsid w:val="0053324C"/>
    <w:rsid w:val="00533A8D"/>
    <w:rsid w:val="005346B6"/>
    <w:rsid w:val="00534A28"/>
    <w:rsid w:val="00534A3A"/>
    <w:rsid w:val="00535018"/>
    <w:rsid w:val="00535333"/>
    <w:rsid w:val="0053570E"/>
    <w:rsid w:val="00535782"/>
    <w:rsid w:val="0053593E"/>
    <w:rsid w:val="0053595E"/>
    <w:rsid w:val="00537571"/>
    <w:rsid w:val="00540056"/>
    <w:rsid w:val="00540F2B"/>
    <w:rsid w:val="005410E2"/>
    <w:rsid w:val="00541508"/>
    <w:rsid w:val="00541AE3"/>
    <w:rsid w:val="00543498"/>
    <w:rsid w:val="005435D5"/>
    <w:rsid w:val="00543FF5"/>
    <w:rsid w:val="00544011"/>
    <w:rsid w:val="005446FB"/>
    <w:rsid w:val="00544BE5"/>
    <w:rsid w:val="005453A3"/>
    <w:rsid w:val="005455F6"/>
    <w:rsid w:val="0054582F"/>
    <w:rsid w:val="00546FC7"/>
    <w:rsid w:val="00547E33"/>
    <w:rsid w:val="005500F9"/>
    <w:rsid w:val="00550160"/>
    <w:rsid w:val="00550249"/>
    <w:rsid w:val="00550540"/>
    <w:rsid w:val="005519E2"/>
    <w:rsid w:val="00551E16"/>
    <w:rsid w:val="0055223F"/>
    <w:rsid w:val="005523A8"/>
    <w:rsid w:val="00552E44"/>
    <w:rsid w:val="00552F2C"/>
    <w:rsid w:val="00553A25"/>
    <w:rsid w:val="00553E69"/>
    <w:rsid w:val="005547EB"/>
    <w:rsid w:val="00554863"/>
    <w:rsid w:val="005555E0"/>
    <w:rsid w:val="005558B3"/>
    <w:rsid w:val="0055599F"/>
    <w:rsid w:val="00556D68"/>
    <w:rsid w:val="00556F75"/>
    <w:rsid w:val="0055707B"/>
    <w:rsid w:val="005570D6"/>
    <w:rsid w:val="00557E0E"/>
    <w:rsid w:val="00557E45"/>
    <w:rsid w:val="005605F3"/>
    <w:rsid w:val="005606B6"/>
    <w:rsid w:val="00560C41"/>
    <w:rsid w:val="00560CAC"/>
    <w:rsid w:val="00561F44"/>
    <w:rsid w:val="00562B4D"/>
    <w:rsid w:val="00562DB1"/>
    <w:rsid w:val="00563EB8"/>
    <w:rsid w:val="005647BF"/>
    <w:rsid w:val="00564AF1"/>
    <w:rsid w:val="00564E64"/>
    <w:rsid w:val="005655DB"/>
    <w:rsid w:val="00565E88"/>
    <w:rsid w:val="00566A8B"/>
    <w:rsid w:val="005671C4"/>
    <w:rsid w:val="00567339"/>
    <w:rsid w:val="0056764A"/>
    <w:rsid w:val="0056764B"/>
    <w:rsid w:val="005678EE"/>
    <w:rsid w:val="00567910"/>
    <w:rsid w:val="00570270"/>
    <w:rsid w:val="00570464"/>
    <w:rsid w:val="00570601"/>
    <w:rsid w:val="00570BC3"/>
    <w:rsid w:val="00571766"/>
    <w:rsid w:val="0057182A"/>
    <w:rsid w:val="00571A66"/>
    <w:rsid w:val="00571E59"/>
    <w:rsid w:val="00572079"/>
    <w:rsid w:val="00572900"/>
    <w:rsid w:val="0057295C"/>
    <w:rsid w:val="00573602"/>
    <w:rsid w:val="0057364B"/>
    <w:rsid w:val="00573C09"/>
    <w:rsid w:val="00574773"/>
    <w:rsid w:val="005761EC"/>
    <w:rsid w:val="00576E34"/>
    <w:rsid w:val="00577C07"/>
    <w:rsid w:val="00577DB1"/>
    <w:rsid w:val="00577F41"/>
    <w:rsid w:val="00580AD3"/>
    <w:rsid w:val="00580DE7"/>
    <w:rsid w:val="005810E1"/>
    <w:rsid w:val="005820CD"/>
    <w:rsid w:val="00582459"/>
    <w:rsid w:val="005827C6"/>
    <w:rsid w:val="0058364F"/>
    <w:rsid w:val="00583BDD"/>
    <w:rsid w:val="00583E52"/>
    <w:rsid w:val="00583FFD"/>
    <w:rsid w:val="00584252"/>
    <w:rsid w:val="005848DD"/>
    <w:rsid w:val="0058519A"/>
    <w:rsid w:val="005856BD"/>
    <w:rsid w:val="00585983"/>
    <w:rsid w:val="00586BCA"/>
    <w:rsid w:val="00587038"/>
    <w:rsid w:val="00587B1B"/>
    <w:rsid w:val="00590608"/>
    <w:rsid w:val="00590B28"/>
    <w:rsid w:val="005911BE"/>
    <w:rsid w:val="00591273"/>
    <w:rsid w:val="005912C9"/>
    <w:rsid w:val="00591E9E"/>
    <w:rsid w:val="005927A4"/>
    <w:rsid w:val="00593152"/>
    <w:rsid w:val="00593389"/>
    <w:rsid w:val="00593591"/>
    <w:rsid w:val="00593FE6"/>
    <w:rsid w:val="005943D7"/>
    <w:rsid w:val="005956A3"/>
    <w:rsid w:val="00595958"/>
    <w:rsid w:val="00595CAB"/>
    <w:rsid w:val="0059622E"/>
    <w:rsid w:val="0059687F"/>
    <w:rsid w:val="00597671"/>
    <w:rsid w:val="00597BBF"/>
    <w:rsid w:val="005A030F"/>
    <w:rsid w:val="005A040C"/>
    <w:rsid w:val="005A0463"/>
    <w:rsid w:val="005A0948"/>
    <w:rsid w:val="005A0A03"/>
    <w:rsid w:val="005A10F2"/>
    <w:rsid w:val="005A16C0"/>
    <w:rsid w:val="005A18CF"/>
    <w:rsid w:val="005A2156"/>
    <w:rsid w:val="005A21E0"/>
    <w:rsid w:val="005A2401"/>
    <w:rsid w:val="005A2692"/>
    <w:rsid w:val="005A28FF"/>
    <w:rsid w:val="005A2C09"/>
    <w:rsid w:val="005A3778"/>
    <w:rsid w:val="005A37B0"/>
    <w:rsid w:val="005A3DF8"/>
    <w:rsid w:val="005A4C24"/>
    <w:rsid w:val="005A5549"/>
    <w:rsid w:val="005A566A"/>
    <w:rsid w:val="005A56E0"/>
    <w:rsid w:val="005A5F92"/>
    <w:rsid w:val="005A6032"/>
    <w:rsid w:val="005A70CA"/>
    <w:rsid w:val="005A7ABD"/>
    <w:rsid w:val="005A7CF8"/>
    <w:rsid w:val="005B0EDA"/>
    <w:rsid w:val="005B121D"/>
    <w:rsid w:val="005B26B0"/>
    <w:rsid w:val="005B41C9"/>
    <w:rsid w:val="005B44E6"/>
    <w:rsid w:val="005B4853"/>
    <w:rsid w:val="005B5A17"/>
    <w:rsid w:val="005B6CA1"/>
    <w:rsid w:val="005B7580"/>
    <w:rsid w:val="005B770C"/>
    <w:rsid w:val="005C00F6"/>
    <w:rsid w:val="005C0461"/>
    <w:rsid w:val="005C06ED"/>
    <w:rsid w:val="005C0CE1"/>
    <w:rsid w:val="005C11B8"/>
    <w:rsid w:val="005C16C2"/>
    <w:rsid w:val="005C173A"/>
    <w:rsid w:val="005C18FB"/>
    <w:rsid w:val="005C1D5F"/>
    <w:rsid w:val="005C216C"/>
    <w:rsid w:val="005C2609"/>
    <w:rsid w:val="005C2B30"/>
    <w:rsid w:val="005C31D1"/>
    <w:rsid w:val="005C412B"/>
    <w:rsid w:val="005C41BD"/>
    <w:rsid w:val="005C43EC"/>
    <w:rsid w:val="005C45DD"/>
    <w:rsid w:val="005C4704"/>
    <w:rsid w:val="005C4841"/>
    <w:rsid w:val="005C484D"/>
    <w:rsid w:val="005C4CB1"/>
    <w:rsid w:val="005C612E"/>
    <w:rsid w:val="005C63EC"/>
    <w:rsid w:val="005C70AB"/>
    <w:rsid w:val="005D015C"/>
    <w:rsid w:val="005D2873"/>
    <w:rsid w:val="005D3365"/>
    <w:rsid w:val="005D3F06"/>
    <w:rsid w:val="005D4608"/>
    <w:rsid w:val="005D4B73"/>
    <w:rsid w:val="005D533D"/>
    <w:rsid w:val="005D5645"/>
    <w:rsid w:val="005D5802"/>
    <w:rsid w:val="005D5AA9"/>
    <w:rsid w:val="005D66E6"/>
    <w:rsid w:val="005D7119"/>
    <w:rsid w:val="005D76C8"/>
    <w:rsid w:val="005D7890"/>
    <w:rsid w:val="005D7B4F"/>
    <w:rsid w:val="005E0478"/>
    <w:rsid w:val="005E09B4"/>
    <w:rsid w:val="005E18E8"/>
    <w:rsid w:val="005E19C1"/>
    <w:rsid w:val="005E2194"/>
    <w:rsid w:val="005E24F0"/>
    <w:rsid w:val="005E3113"/>
    <w:rsid w:val="005E36FE"/>
    <w:rsid w:val="005E3854"/>
    <w:rsid w:val="005E3AAC"/>
    <w:rsid w:val="005E3F66"/>
    <w:rsid w:val="005E490F"/>
    <w:rsid w:val="005E4BC9"/>
    <w:rsid w:val="005E5314"/>
    <w:rsid w:val="005E6274"/>
    <w:rsid w:val="005E7724"/>
    <w:rsid w:val="005E7C78"/>
    <w:rsid w:val="005E7FA6"/>
    <w:rsid w:val="005F04A7"/>
    <w:rsid w:val="005F0E3A"/>
    <w:rsid w:val="005F1123"/>
    <w:rsid w:val="005F114F"/>
    <w:rsid w:val="005F18C5"/>
    <w:rsid w:val="005F23DC"/>
    <w:rsid w:val="005F247B"/>
    <w:rsid w:val="005F2A08"/>
    <w:rsid w:val="005F36CC"/>
    <w:rsid w:val="005F3EB1"/>
    <w:rsid w:val="005F413E"/>
    <w:rsid w:val="005F466B"/>
    <w:rsid w:val="005F46D8"/>
    <w:rsid w:val="005F480F"/>
    <w:rsid w:val="005F5271"/>
    <w:rsid w:val="005F5469"/>
    <w:rsid w:val="005F61BF"/>
    <w:rsid w:val="005F63F3"/>
    <w:rsid w:val="005F66F0"/>
    <w:rsid w:val="005F6B2D"/>
    <w:rsid w:val="005F6D7F"/>
    <w:rsid w:val="005F6DFE"/>
    <w:rsid w:val="005F7174"/>
    <w:rsid w:val="00600ECB"/>
    <w:rsid w:val="00601191"/>
    <w:rsid w:val="0060120D"/>
    <w:rsid w:val="006017C1"/>
    <w:rsid w:val="00601ADE"/>
    <w:rsid w:val="00601EEF"/>
    <w:rsid w:val="0060255A"/>
    <w:rsid w:val="00602998"/>
    <w:rsid w:val="00602EB3"/>
    <w:rsid w:val="00603273"/>
    <w:rsid w:val="00603787"/>
    <w:rsid w:val="00604307"/>
    <w:rsid w:val="0060487F"/>
    <w:rsid w:val="00604EAD"/>
    <w:rsid w:val="0060513F"/>
    <w:rsid w:val="006065E2"/>
    <w:rsid w:val="0060694B"/>
    <w:rsid w:val="00607DBA"/>
    <w:rsid w:val="006104FB"/>
    <w:rsid w:val="00610E23"/>
    <w:rsid w:val="0061176D"/>
    <w:rsid w:val="00611866"/>
    <w:rsid w:val="0061200F"/>
    <w:rsid w:val="006125EF"/>
    <w:rsid w:val="00612680"/>
    <w:rsid w:val="00612756"/>
    <w:rsid w:val="00612A2F"/>
    <w:rsid w:val="00612A85"/>
    <w:rsid w:val="00612AA0"/>
    <w:rsid w:val="00612AAE"/>
    <w:rsid w:val="00612B07"/>
    <w:rsid w:val="00612FD9"/>
    <w:rsid w:val="006139E0"/>
    <w:rsid w:val="00613C26"/>
    <w:rsid w:val="00614D35"/>
    <w:rsid w:val="006155BA"/>
    <w:rsid w:val="006156B4"/>
    <w:rsid w:val="00615DAF"/>
    <w:rsid w:val="00616254"/>
    <w:rsid w:val="0061672A"/>
    <w:rsid w:val="00616A46"/>
    <w:rsid w:val="00616E05"/>
    <w:rsid w:val="006176EF"/>
    <w:rsid w:val="00617939"/>
    <w:rsid w:val="00617985"/>
    <w:rsid w:val="006205C7"/>
    <w:rsid w:val="00620641"/>
    <w:rsid w:val="00620B77"/>
    <w:rsid w:val="00621190"/>
    <w:rsid w:val="0062131B"/>
    <w:rsid w:val="00621D46"/>
    <w:rsid w:val="00621E26"/>
    <w:rsid w:val="00621E77"/>
    <w:rsid w:val="006224EA"/>
    <w:rsid w:val="0062263A"/>
    <w:rsid w:val="006227DF"/>
    <w:rsid w:val="006234A0"/>
    <w:rsid w:val="006236C8"/>
    <w:rsid w:val="00624093"/>
    <w:rsid w:val="00625A84"/>
    <w:rsid w:val="00626079"/>
    <w:rsid w:val="00626F0E"/>
    <w:rsid w:val="00631698"/>
    <w:rsid w:val="00631E44"/>
    <w:rsid w:val="00632874"/>
    <w:rsid w:val="00634C57"/>
    <w:rsid w:val="00634CE7"/>
    <w:rsid w:val="006350D5"/>
    <w:rsid w:val="0063642C"/>
    <w:rsid w:val="0063723A"/>
    <w:rsid w:val="006376B3"/>
    <w:rsid w:val="00637858"/>
    <w:rsid w:val="006404A7"/>
    <w:rsid w:val="006407EB"/>
    <w:rsid w:val="0064086F"/>
    <w:rsid w:val="00640A38"/>
    <w:rsid w:val="00640BA6"/>
    <w:rsid w:val="00640E6B"/>
    <w:rsid w:val="00641787"/>
    <w:rsid w:val="0064179B"/>
    <w:rsid w:val="00641BBD"/>
    <w:rsid w:val="00642489"/>
    <w:rsid w:val="0064378A"/>
    <w:rsid w:val="00644055"/>
    <w:rsid w:val="00644137"/>
    <w:rsid w:val="0064478C"/>
    <w:rsid w:val="00645160"/>
    <w:rsid w:val="006451E4"/>
    <w:rsid w:val="0064574B"/>
    <w:rsid w:val="00645B33"/>
    <w:rsid w:val="00646C3A"/>
    <w:rsid w:val="00647074"/>
    <w:rsid w:val="006476D7"/>
    <w:rsid w:val="006516CB"/>
    <w:rsid w:val="0065235A"/>
    <w:rsid w:val="00652E30"/>
    <w:rsid w:val="00653601"/>
    <w:rsid w:val="00653BD0"/>
    <w:rsid w:val="00654110"/>
    <w:rsid w:val="006547DA"/>
    <w:rsid w:val="00656C5D"/>
    <w:rsid w:val="00656CFB"/>
    <w:rsid w:val="00656D25"/>
    <w:rsid w:val="006574EA"/>
    <w:rsid w:val="00657977"/>
    <w:rsid w:val="00657E87"/>
    <w:rsid w:val="00660533"/>
    <w:rsid w:val="0066096D"/>
    <w:rsid w:val="00660C64"/>
    <w:rsid w:val="00660CD3"/>
    <w:rsid w:val="00660D2D"/>
    <w:rsid w:val="00661745"/>
    <w:rsid w:val="00661C41"/>
    <w:rsid w:val="00661C99"/>
    <w:rsid w:val="00661EC9"/>
    <w:rsid w:val="00662469"/>
    <w:rsid w:val="006627FF"/>
    <w:rsid w:val="00662860"/>
    <w:rsid w:val="0066345F"/>
    <w:rsid w:val="0066411C"/>
    <w:rsid w:val="00664205"/>
    <w:rsid w:val="00664647"/>
    <w:rsid w:val="00664803"/>
    <w:rsid w:val="0066502F"/>
    <w:rsid w:val="0066539A"/>
    <w:rsid w:val="006653CC"/>
    <w:rsid w:val="00665501"/>
    <w:rsid w:val="00665769"/>
    <w:rsid w:val="00665982"/>
    <w:rsid w:val="00665BA4"/>
    <w:rsid w:val="00666104"/>
    <w:rsid w:val="00666BF3"/>
    <w:rsid w:val="00667856"/>
    <w:rsid w:val="00667AF2"/>
    <w:rsid w:val="00667F4A"/>
    <w:rsid w:val="00670489"/>
    <w:rsid w:val="006710C9"/>
    <w:rsid w:val="00671564"/>
    <w:rsid w:val="00671D85"/>
    <w:rsid w:val="00672257"/>
    <w:rsid w:val="00672586"/>
    <w:rsid w:val="006727BC"/>
    <w:rsid w:val="00673F39"/>
    <w:rsid w:val="006741CD"/>
    <w:rsid w:val="006748EA"/>
    <w:rsid w:val="00674D89"/>
    <w:rsid w:val="0067514E"/>
    <w:rsid w:val="00675E37"/>
    <w:rsid w:val="006760B8"/>
    <w:rsid w:val="0067635D"/>
    <w:rsid w:val="00676736"/>
    <w:rsid w:val="006767F8"/>
    <w:rsid w:val="006769A4"/>
    <w:rsid w:val="006769C6"/>
    <w:rsid w:val="00676D76"/>
    <w:rsid w:val="00676F9F"/>
    <w:rsid w:val="00677519"/>
    <w:rsid w:val="00677591"/>
    <w:rsid w:val="00677594"/>
    <w:rsid w:val="00677FA3"/>
    <w:rsid w:val="0068032F"/>
    <w:rsid w:val="00680D37"/>
    <w:rsid w:val="0068174E"/>
    <w:rsid w:val="00681797"/>
    <w:rsid w:val="00681DCE"/>
    <w:rsid w:val="00682110"/>
    <w:rsid w:val="0068260E"/>
    <w:rsid w:val="006839EB"/>
    <w:rsid w:val="00683C4F"/>
    <w:rsid w:val="006846B3"/>
    <w:rsid w:val="00684B9B"/>
    <w:rsid w:val="00684C96"/>
    <w:rsid w:val="00684D59"/>
    <w:rsid w:val="00684E25"/>
    <w:rsid w:val="006858A4"/>
    <w:rsid w:val="00685C08"/>
    <w:rsid w:val="00686718"/>
    <w:rsid w:val="00686BFA"/>
    <w:rsid w:val="00686D6A"/>
    <w:rsid w:val="00686DED"/>
    <w:rsid w:val="006875A0"/>
    <w:rsid w:val="006878C6"/>
    <w:rsid w:val="00687B85"/>
    <w:rsid w:val="00687D27"/>
    <w:rsid w:val="00690A0C"/>
    <w:rsid w:val="006911ED"/>
    <w:rsid w:val="00691943"/>
    <w:rsid w:val="00693550"/>
    <w:rsid w:val="00693D9B"/>
    <w:rsid w:val="00693F29"/>
    <w:rsid w:val="00694467"/>
    <w:rsid w:val="00694622"/>
    <w:rsid w:val="00695065"/>
    <w:rsid w:val="00695BEF"/>
    <w:rsid w:val="0069610F"/>
    <w:rsid w:val="00696251"/>
    <w:rsid w:val="00696689"/>
    <w:rsid w:val="006966C7"/>
    <w:rsid w:val="006968C1"/>
    <w:rsid w:val="006977F6"/>
    <w:rsid w:val="00697A13"/>
    <w:rsid w:val="006A085E"/>
    <w:rsid w:val="006A0B96"/>
    <w:rsid w:val="006A0DD4"/>
    <w:rsid w:val="006A109C"/>
    <w:rsid w:val="006A1C31"/>
    <w:rsid w:val="006A23F2"/>
    <w:rsid w:val="006A26DA"/>
    <w:rsid w:val="006A3A42"/>
    <w:rsid w:val="006A4E91"/>
    <w:rsid w:val="006A5F4B"/>
    <w:rsid w:val="006A6114"/>
    <w:rsid w:val="006A6233"/>
    <w:rsid w:val="006A6565"/>
    <w:rsid w:val="006A7665"/>
    <w:rsid w:val="006A7691"/>
    <w:rsid w:val="006A7EE2"/>
    <w:rsid w:val="006B0514"/>
    <w:rsid w:val="006B0F92"/>
    <w:rsid w:val="006B1A3F"/>
    <w:rsid w:val="006B2785"/>
    <w:rsid w:val="006B27C7"/>
    <w:rsid w:val="006B344A"/>
    <w:rsid w:val="006B3B67"/>
    <w:rsid w:val="006B3FBA"/>
    <w:rsid w:val="006B4B60"/>
    <w:rsid w:val="006B5898"/>
    <w:rsid w:val="006B58C9"/>
    <w:rsid w:val="006B60ED"/>
    <w:rsid w:val="006B662A"/>
    <w:rsid w:val="006B6CC5"/>
    <w:rsid w:val="006B74AC"/>
    <w:rsid w:val="006B78D8"/>
    <w:rsid w:val="006B79EA"/>
    <w:rsid w:val="006C0C5D"/>
    <w:rsid w:val="006C0CFA"/>
    <w:rsid w:val="006C113F"/>
    <w:rsid w:val="006C123E"/>
    <w:rsid w:val="006C15A1"/>
    <w:rsid w:val="006C1752"/>
    <w:rsid w:val="006C177F"/>
    <w:rsid w:val="006C1DDC"/>
    <w:rsid w:val="006C1FD3"/>
    <w:rsid w:val="006C2764"/>
    <w:rsid w:val="006C28CA"/>
    <w:rsid w:val="006C2BBF"/>
    <w:rsid w:val="006C2EAB"/>
    <w:rsid w:val="006C2FBD"/>
    <w:rsid w:val="006C3336"/>
    <w:rsid w:val="006C3495"/>
    <w:rsid w:val="006C37C5"/>
    <w:rsid w:val="006C4355"/>
    <w:rsid w:val="006C4587"/>
    <w:rsid w:val="006C469D"/>
    <w:rsid w:val="006C46B5"/>
    <w:rsid w:val="006C484F"/>
    <w:rsid w:val="006C52EC"/>
    <w:rsid w:val="006C5506"/>
    <w:rsid w:val="006C56D4"/>
    <w:rsid w:val="006C5980"/>
    <w:rsid w:val="006C5FD8"/>
    <w:rsid w:val="006C6407"/>
    <w:rsid w:val="006C6681"/>
    <w:rsid w:val="006C683C"/>
    <w:rsid w:val="006C6924"/>
    <w:rsid w:val="006C6C1E"/>
    <w:rsid w:val="006C7076"/>
    <w:rsid w:val="006C7518"/>
    <w:rsid w:val="006C7981"/>
    <w:rsid w:val="006C7AEC"/>
    <w:rsid w:val="006C7CA6"/>
    <w:rsid w:val="006D022C"/>
    <w:rsid w:val="006D18B3"/>
    <w:rsid w:val="006D1E89"/>
    <w:rsid w:val="006D26CE"/>
    <w:rsid w:val="006D317E"/>
    <w:rsid w:val="006D3E8A"/>
    <w:rsid w:val="006D47D9"/>
    <w:rsid w:val="006D4F16"/>
    <w:rsid w:val="006D61F6"/>
    <w:rsid w:val="006D68E0"/>
    <w:rsid w:val="006D7208"/>
    <w:rsid w:val="006D74F7"/>
    <w:rsid w:val="006E023D"/>
    <w:rsid w:val="006E0EBE"/>
    <w:rsid w:val="006E0F83"/>
    <w:rsid w:val="006E1081"/>
    <w:rsid w:val="006E1332"/>
    <w:rsid w:val="006E19CB"/>
    <w:rsid w:val="006E279A"/>
    <w:rsid w:val="006E313B"/>
    <w:rsid w:val="006E34B2"/>
    <w:rsid w:val="006E3A45"/>
    <w:rsid w:val="006E3C3D"/>
    <w:rsid w:val="006E4078"/>
    <w:rsid w:val="006E4547"/>
    <w:rsid w:val="006E4BCB"/>
    <w:rsid w:val="006E4EB9"/>
    <w:rsid w:val="006E51C4"/>
    <w:rsid w:val="006E53AD"/>
    <w:rsid w:val="006E56AE"/>
    <w:rsid w:val="006E58CB"/>
    <w:rsid w:val="006E5F68"/>
    <w:rsid w:val="006E6A93"/>
    <w:rsid w:val="006E7227"/>
    <w:rsid w:val="006E761A"/>
    <w:rsid w:val="006F04C5"/>
    <w:rsid w:val="006F0646"/>
    <w:rsid w:val="006F0741"/>
    <w:rsid w:val="006F1C27"/>
    <w:rsid w:val="006F2A65"/>
    <w:rsid w:val="006F3367"/>
    <w:rsid w:val="006F348F"/>
    <w:rsid w:val="006F3DD6"/>
    <w:rsid w:val="006F40DF"/>
    <w:rsid w:val="006F41FE"/>
    <w:rsid w:val="006F42BB"/>
    <w:rsid w:val="006F438E"/>
    <w:rsid w:val="006F440B"/>
    <w:rsid w:val="006F48A3"/>
    <w:rsid w:val="006F4C21"/>
    <w:rsid w:val="006F4DA4"/>
    <w:rsid w:val="006F5416"/>
    <w:rsid w:val="006F624B"/>
    <w:rsid w:val="006F6D87"/>
    <w:rsid w:val="006F6EB9"/>
    <w:rsid w:val="006F6FBF"/>
    <w:rsid w:val="006F6FF2"/>
    <w:rsid w:val="006F79FB"/>
    <w:rsid w:val="007008A9"/>
    <w:rsid w:val="00700E8A"/>
    <w:rsid w:val="007012CB"/>
    <w:rsid w:val="00701691"/>
    <w:rsid w:val="00701955"/>
    <w:rsid w:val="0070398A"/>
    <w:rsid w:val="00703F21"/>
    <w:rsid w:val="00704210"/>
    <w:rsid w:val="00705242"/>
    <w:rsid w:val="007055E0"/>
    <w:rsid w:val="007056ED"/>
    <w:rsid w:val="00705D62"/>
    <w:rsid w:val="00705DF2"/>
    <w:rsid w:val="00705F4E"/>
    <w:rsid w:val="0070658E"/>
    <w:rsid w:val="007065C5"/>
    <w:rsid w:val="007068E1"/>
    <w:rsid w:val="00706AA0"/>
    <w:rsid w:val="00706AD4"/>
    <w:rsid w:val="00707150"/>
    <w:rsid w:val="007071C2"/>
    <w:rsid w:val="00707991"/>
    <w:rsid w:val="007124D7"/>
    <w:rsid w:val="00712913"/>
    <w:rsid w:val="00712C20"/>
    <w:rsid w:val="00713549"/>
    <w:rsid w:val="007140BE"/>
    <w:rsid w:val="007147AB"/>
    <w:rsid w:val="00714D1E"/>
    <w:rsid w:val="00715502"/>
    <w:rsid w:val="00715D01"/>
    <w:rsid w:val="00715E4D"/>
    <w:rsid w:val="00715F12"/>
    <w:rsid w:val="0071677A"/>
    <w:rsid w:val="00716F48"/>
    <w:rsid w:val="007170FB"/>
    <w:rsid w:val="00717114"/>
    <w:rsid w:val="0071779F"/>
    <w:rsid w:val="00720310"/>
    <w:rsid w:val="00720D7A"/>
    <w:rsid w:val="007211F5"/>
    <w:rsid w:val="007213C3"/>
    <w:rsid w:val="0072145E"/>
    <w:rsid w:val="007214EE"/>
    <w:rsid w:val="00721601"/>
    <w:rsid w:val="00722777"/>
    <w:rsid w:val="00722B11"/>
    <w:rsid w:val="00723435"/>
    <w:rsid w:val="00723436"/>
    <w:rsid w:val="007234D4"/>
    <w:rsid w:val="00723553"/>
    <w:rsid w:val="0072382D"/>
    <w:rsid w:val="007240E2"/>
    <w:rsid w:val="0072454C"/>
    <w:rsid w:val="0072526D"/>
    <w:rsid w:val="0072583E"/>
    <w:rsid w:val="00725BB5"/>
    <w:rsid w:val="00725F9D"/>
    <w:rsid w:val="007276DF"/>
    <w:rsid w:val="00727A7C"/>
    <w:rsid w:val="00727C02"/>
    <w:rsid w:val="00727C94"/>
    <w:rsid w:val="0073008E"/>
    <w:rsid w:val="0073044E"/>
    <w:rsid w:val="00730A8B"/>
    <w:rsid w:val="00730AE8"/>
    <w:rsid w:val="00730F1B"/>
    <w:rsid w:val="0073186D"/>
    <w:rsid w:val="0073260E"/>
    <w:rsid w:val="0073261D"/>
    <w:rsid w:val="0073333D"/>
    <w:rsid w:val="00733638"/>
    <w:rsid w:val="007343D9"/>
    <w:rsid w:val="00734926"/>
    <w:rsid w:val="00734AFC"/>
    <w:rsid w:val="00734F71"/>
    <w:rsid w:val="00735448"/>
    <w:rsid w:val="007359EC"/>
    <w:rsid w:val="00736F07"/>
    <w:rsid w:val="00737369"/>
    <w:rsid w:val="007377BD"/>
    <w:rsid w:val="00737DEC"/>
    <w:rsid w:val="0074004D"/>
    <w:rsid w:val="00740D1F"/>
    <w:rsid w:val="00741493"/>
    <w:rsid w:val="0074154A"/>
    <w:rsid w:val="007418E2"/>
    <w:rsid w:val="00741B02"/>
    <w:rsid w:val="00741E79"/>
    <w:rsid w:val="00741F2A"/>
    <w:rsid w:val="00742227"/>
    <w:rsid w:val="007434E5"/>
    <w:rsid w:val="007435CC"/>
    <w:rsid w:val="00743A94"/>
    <w:rsid w:val="00744237"/>
    <w:rsid w:val="0074499B"/>
    <w:rsid w:val="00744F9D"/>
    <w:rsid w:val="0074501E"/>
    <w:rsid w:val="007450BF"/>
    <w:rsid w:val="0074599A"/>
    <w:rsid w:val="00746F45"/>
    <w:rsid w:val="007471A1"/>
    <w:rsid w:val="007477BD"/>
    <w:rsid w:val="007477DA"/>
    <w:rsid w:val="00747EE9"/>
    <w:rsid w:val="007520B6"/>
    <w:rsid w:val="00752180"/>
    <w:rsid w:val="00752323"/>
    <w:rsid w:val="0075236C"/>
    <w:rsid w:val="007532B7"/>
    <w:rsid w:val="007533A0"/>
    <w:rsid w:val="00753CAB"/>
    <w:rsid w:val="00754A70"/>
    <w:rsid w:val="00754BC9"/>
    <w:rsid w:val="00755202"/>
    <w:rsid w:val="00755D3A"/>
    <w:rsid w:val="00757241"/>
    <w:rsid w:val="0075751D"/>
    <w:rsid w:val="0075763E"/>
    <w:rsid w:val="007578D3"/>
    <w:rsid w:val="007602CF"/>
    <w:rsid w:val="00760391"/>
    <w:rsid w:val="007609C6"/>
    <w:rsid w:val="007609DA"/>
    <w:rsid w:val="007615F3"/>
    <w:rsid w:val="0076175D"/>
    <w:rsid w:val="00761774"/>
    <w:rsid w:val="00761CB5"/>
    <w:rsid w:val="007629D5"/>
    <w:rsid w:val="007632D3"/>
    <w:rsid w:val="007635F8"/>
    <w:rsid w:val="007636D4"/>
    <w:rsid w:val="00763B85"/>
    <w:rsid w:val="007644A2"/>
    <w:rsid w:val="00764974"/>
    <w:rsid w:val="00764D18"/>
    <w:rsid w:val="0076521E"/>
    <w:rsid w:val="00765BCC"/>
    <w:rsid w:val="0076600D"/>
    <w:rsid w:val="007661E9"/>
    <w:rsid w:val="00766460"/>
    <w:rsid w:val="00766A98"/>
    <w:rsid w:val="00767062"/>
    <w:rsid w:val="00767601"/>
    <w:rsid w:val="00767777"/>
    <w:rsid w:val="00767933"/>
    <w:rsid w:val="00767FEB"/>
    <w:rsid w:val="00770AB9"/>
    <w:rsid w:val="00770CFC"/>
    <w:rsid w:val="0077130E"/>
    <w:rsid w:val="007715EE"/>
    <w:rsid w:val="00771972"/>
    <w:rsid w:val="00772279"/>
    <w:rsid w:val="007728DF"/>
    <w:rsid w:val="00772DAB"/>
    <w:rsid w:val="00772FF9"/>
    <w:rsid w:val="0077348B"/>
    <w:rsid w:val="0077399F"/>
    <w:rsid w:val="007743DB"/>
    <w:rsid w:val="0077450B"/>
    <w:rsid w:val="00774D2C"/>
    <w:rsid w:val="00775B09"/>
    <w:rsid w:val="00775E00"/>
    <w:rsid w:val="0077605B"/>
    <w:rsid w:val="00776169"/>
    <w:rsid w:val="00776527"/>
    <w:rsid w:val="00777040"/>
    <w:rsid w:val="00777342"/>
    <w:rsid w:val="0077771B"/>
    <w:rsid w:val="00777CE6"/>
    <w:rsid w:val="00777D57"/>
    <w:rsid w:val="007807ED"/>
    <w:rsid w:val="00780EF1"/>
    <w:rsid w:val="007812D2"/>
    <w:rsid w:val="007815FF"/>
    <w:rsid w:val="00781A91"/>
    <w:rsid w:val="00781AD3"/>
    <w:rsid w:val="00781F36"/>
    <w:rsid w:val="00783576"/>
    <w:rsid w:val="00783B17"/>
    <w:rsid w:val="00784AD3"/>
    <w:rsid w:val="00785778"/>
    <w:rsid w:val="00786C87"/>
    <w:rsid w:val="0078755E"/>
    <w:rsid w:val="007877C9"/>
    <w:rsid w:val="00787E26"/>
    <w:rsid w:val="00790764"/>
    <w:rsid w:val="00790831"/>
    <w:rsid w:val="0079085F"/>
    <w:rsid w:val="00790E96"/>
    <w:rsid w:val="00791005"/>
    <w:rsid w:val="007910F6"/>
    <w:rsid w:val="0079124A"/>
    <w:rsid w:val="00791ACA"/>
    <w:rsid w:val="00793049"/>
    <w:rsid w:val="007930C1"/>
    <w:rsid w:val="00793D78"/>
    <w:rsid w:val="0079420B"/>
    <w:rsid w:val="0079453C"/>
    <w:rsid w:val="00794677"/>
    <w:rsid w:val="00794722"/>
    <w:rsid w:val="00795759"/>
    <w:rsid w:val="00797B18"/>
    <w:rsid w:val="007A0831"/>
    <w:rsid w:val="007A1063"/>
    <w:rsid w:val="007A170B"/>
    <w:rsid w:val="007A1ECA"/>
    <w:rsid w:val="007A20EB"/>
    <w:rsid w:val="007A282C"/>
    <w:rsid w:val="007A293C"/>
    <w:rsid w:val="007A2986"/>
    <w:rsid w:val="007A2A3A"/>
    <w:rsid w:val="007A2A40"/>
    <w:rsid w:val="007A33E2"/>
    <w:rsid w:val="007A3CAF"/>
    <w:rsid w:val="007A4664"/>
    <w:rsid w:val="007A4782"/>
    <w:rsid w:val="007A516D"/>
    <w:rsid w:val="007A5DC6"/>
    <w:rsid w:val="007A5E65"/>
    <w:rsid w:val="007A65E1"/>
    <w:rsid w:val="007A6A6E"/>
    <w:rsid w:val="007A6AAA"/>
    <w:rsid w:val="007A7033"/>
    <w:rsid w:val="007A775D"/>
    <w:rsid w:val="007B04B0"/>
    <w:rsid w:val="007B0587"/>
    <w:rsid w:val="007B0820"/>
    <w:rsid w:val="007B0834"/>
    <w:rsid w:val="007B0E83"/>
    <w:rsid w:val="007B11FA"/>
    <w:rsid w:val="007B1396"/>
    <w:rsid w:val="007B16D6"/>
    <w:rsid w:val="007B1D1B"/>
    <w:rsid w:val="007B2011"/>
    <w:rsid w:val="007B289A"/>
    <w:rsid w:val="007B2CFE"/>
    <w:rsid w:val="007B309B"/>
    <w:rsid w:val="007B34EB"/>
    <w:rsid w:val="007B3D5E"/>
    <w:rsid w:val="007B3DCB"/>
    <w:rsid w:val="007B40E8"/>
    <w:rsid w:val="007B4D1F"/>
    <w:rsid w:val="007B54AE"/>
    <w:rsid w:val="007B5725"/>
    <w:rsid w:val="007B5C1F"/>
    <w:rsid w:val="007B6689"/>
    <w:rsid w:val="007B6747"/>
    <w:rsid w:val="007B6F72"/>
    <w:rsid w:val="007B74AA"/>
    <w:rsid w:val="007B78A7"/>
    <w:rsid w:val="007B7AD1"/>
    <w:rsid w:val="007C0319"/>
    <w:rsid w:val="007C10BD"/>
    <w:rsid w:val="007C162D"/>
    <w:rsid w:val="007C16C3"/>
    <w:rsid w:val="007C1BB1"/>
    <w:rsid w:val="007C1F0C"/>
    <w:rsid w:val="007C1FFB"/>
    <w:rsid w:val="007C2D6F"/>
    <w:rsid w:val="007C2D94"/>
    <w:rsid w:val="007C477C"/>
    <w:rsid w:val="007C4A6B"/>
    <w:rsid w:val="007C505E"/>
    <w:rsid w:val="007C55A7"/>
    <w:rsid w:val="007C5F92"/>
    <w:rsid w:val="007C6227"/>
    <w:rsid w:val="007C64F7"/>
    <w:rsid w:val="007C6BBD"/>
    <w:rsid w:val="007C6D89"/>
    <w:rsid w:val="007C6F5E"/>
    <w:rsid w:val="007C7242"/>
    <w:rsid w:val="007C79C0"/>
    <w:rsid w:val="007D0351"/>
    <w:rsid w:val="007D0382"/>
    <w:rsid w:val="007D0F6B"/>
    <w:rsid w:val="007D14FE"/>
    <w:rsid w:val="007D1A1F"/>
    <w:rsid w:val="007D1FC3"/>
    <w:rsid w:val="007D213B"/>
    <w:rsid w:val="007D2783"/>
    <w:rsid w:val="007D2E18"/>
    <w:rsid w:val="007D36D8"/>
    <w:rsid w:val="007D3EF3"/>
    <w:rsid w:val="007D40DF"/>
    <w:rsid w:val="007D42E5"/>
    <w:rsid w:val="007D4458"/>
    <w:rsid w:val="007D4EB4"/>
    <w:rsid w:val="007D6AF9"/>
    <w:rsid w:val="007D7763"/>
    <w:rsid w:val="007E031B"/>
    <w:rsid w:val="007E0535"/>
    <w:rsid w:val="007E07F2"/>
    <w:rsid w:val="007E0CBA"/>
    <w:rsid w:val="007E0D4A"/>
    <w:rsid w:val="007E1788"/>
    <w:rsid w:val="007E1EE3"/>
    <w:rsid w:val="007E29B4"/>
    <w:rsid w:val="007E2F12"/>
    <w:rsid w:val="007E3627"/>
    <w:rsid w:val="007E3B66"/>
    <w:rsid w:val="007E435A"/>
    <w:rsid w:val="007E442B"/>
    <w:rsid w:val="007E445C"/>
    <w:rsid w:val="007E49F7"/>
    <w:rsid w:val="007E4C70"/>
    <w:rsid w:val="007E4DAA"/>
    <w:rsid w:val="007E52EB"/>
    <w:rsid w:val="007E5B5F"/>
    <w:rsid w:val="007E69C6"/>
    <w:rsid w:val="007E7623"/>
    <w:rsid w:val="007E78B6"/>
    <w:rsid w:val="007E7E61"/>
    <w:rsid w:val="007F0845"/>
    <w:rsid w:val="007F0873"/>
    <w:rsid w:val="007F0910"/>
    <w:rsid w:val="007F20F3"/>
    <w:rsid w:val="007F2353"/>
    <w:rsid w:val="007F2390"/>
    <w:rsid w:val="007F2CAC"/>
    <w:rsid w:val="007F2FC5"/>
    <w:rsid w:val="007F3339"/>
    <w:rsid w:val="007F3CB6"/>
    <w:rsid w:val="007F4740"/>
    <w:rsid w:val="007F566F"/>
    <w:rsid w:val="007F595A"/>
    <w:rsid w:val="007F5C38"/>
    <w:rsid w:val="007F5C85"/>
    <w:rsid w:val="007F6638"/>
    <w:rsid w:val="007F708D"/>
    <w:rsid w:val="007F7E3F"/>
    <w:rsid w:val="008006B3"/>
    <w:rsid w:val="00800B63"/>
    <w:rsid w:val="00800D16"/>
    <w:rsid w:val="0080158A"/>
    <w:rsid w:val="00801E13"/>
    <w:rsid w:val="00803008"/>
    <w:rsid w:val="00803069"/>
    <w:rsid w:val="0080346B"/>
    <w:rsid w:val="00804155"/>
    <w:rsid w:val="00804C9F"/>
    <w:rsid w:val="0080559E"/>
    <w:rsid w:val="00805A7E"/>
    <w:rsid w:val="00805AF3"/>
    <w:rsid w:val="00806C53"/>
    <w:rsid w:val="00806C9C"/>
    <w:rsid w:val="008071B1"/>
    <w:rsid w:val="0080734C"/>
    <w:rsid w:val="0080774F"/>
    <w:rsid w:val="00807B47"/>
    <w:rsid w:val="00807C82"/>
    <w:rsid w:val="008112A0"/>
    <w:rsid w:val="008117CC"/>
    <w:rsid w:val="00811FF8"/>
    <w:rsid w:val="008132F7"/>
    <w:rsid w:val="00813601"/>
    <w:rsid w:val="00813AED"/>
    <w:rsid w:val="00813AF4"/>
    <w:rsid w:val="00813D58"/>
    <w:rsid w:val="00813DCA"/>
    <w:rsid w:val="0081535D"/>
    <w:rsid w:val="00815B5D"/>
    <w:rsid w:val="008161A6"/>
    <w:rsid w:val="008165B8"/>
    <w:rsid w:val="008167EC"/>
    <w:rsid w:val="00816905"/>
    <w:rsid w:val="00816D98"/>
    <w:rsid w:val="00816E42"/>
    <w:rsid w:val="00817040"/>
    <w:rsid w:val="008172A9"/>
    <w:rsid w:val="00817A17"/>
    <w:rsid w:val="00817EC1"/>
    <w:rsid w:val="00821092"/>
    <w:rsid w:val="0082112D"/>
    <w:rsid w:val="00821624"/>
    <w:rsid w:val="00821FF6"/>
    <w:rsid w:val="00822574"/>
    <w:rsid w:val="00822980"/>
    <w:rsid w:val="00822F08"/>
    <w:rsid w:val="00824075"/>
    <w:rsid w:val="00824BA6"/>
    <w:rsid w:val="00825007"/>
    <w:rsid w:val="00825120"/>
    <w:rsid w:val="00825406"/>
    <w:rsid w:val="00825C4D"/>
    <w:rsid w:val="00826A08"/>
    <w:rsid w:val="00826AC0"/>
    <w:rsid w:val="00826AE7"/>
    <w:rsid w:val="00826D45"/>
    <w:rsid w:val="00827186"/>
    <w:rsid w:val="00827C8E"/>
    <w:rsid w:val="00830569"/>
    <w:rsid w:val="00830AEA"/>
    <w:rsid w:val="00830E86"/>
    <w:rsid w:val="0083143E"/>
    <w:rsid w:val="008315B8"/>
    <w:rsid w:val="008315D5"/>
    <w:rsid w:val="00831CDE"/>
    <w:rsid w:val="00831F2B"/>
    <w:rsid w:val="008320CF"/>
    <w:rsid w:val="008324A3"/>
    <w:rsid w:val="0083295B"/>
    <w:rsid w:val="00832F77"/>
    <w:rsid w:val="00834304"/>
    <w:rsid w:val="0083471A"/>
    <w:rsid w:val="00834CC3"/>
    <w:rsid w:val="00834FAA"/>
    <w:rsid w:val="008354FB"/>
    <w:rsid w:val="0083569D"/>
    <w:rsid w:val="00835FF1"/>
    <w:rsid w:val="00836086"/>
    <w:rsid w:val="0083630F"/>
    <w:rsid w:val="00836A06"/>
    <w:rsid w:val="00836B5C"/>
    <w:rsid w:val="008374BC"/>
    <w:rsid w:val="008379D6"/>
    <w:rsid w:val="00837E48"/>
    <w:rsid w:val="00840293"/>
    <w:rsid w:val="008402AD"/>
    <w:rsid w:val="00840503"/>
    <w:rsid w:val="008408D4"/>
    <w:rsid w:val="008417B5"/>
    <w:rsid w:val="0084184A"/>
    <w:rsid w:val="00841901"/>
    <w:rsid w:val="00843143"/>
    <w:rsid w:val="008431BB"/>
    <w:rsid w:val="00844C3B"/>
    <w:rsid w:val="008458BD"/>
    <w:rsid w:val="00846121"/>
    <w:rsid w:val="00846130"/>
    <w:rsid w:val="008461C2"/>
    <w:rsid w:val="008462F1"/>
    <w:rsid w:val="008466C6"/>
    <w:rsid w:val="0084708F"/>
    <w:rsid w:val="00847627"/>
    <w:rsid w:val="008477C8"/>
    <w:rsid w:val="008478A6"/>
    <w:rsid w:val="00847CD6"/>
    <w:rsid w:val="008502F6"/>
    <w:rsid w:val="0085036C"/>
    <w:rsid w:val="00850E83"/>
    <w:rsid w:val="0085114D"/>
    <w:rsid w:val="00851163"/>
    <w:rsid w:val="008520A8"/>
    <w:rsid w:val="00852217"/>
    <w:rsid w:val="0085291E"/>
    <w:rsid w:val="00853282"/>
    <w:rsid w:val="0085334C"/>
    <w:rsid w:val="00853455"/>
    <w:rsid w:val="00854291"/>
    <w:rsid w:val="00855408"/>
    <w:rsid w:val="00855D03"/>
    <w:rsid w:val="00856D65"/>
    <w:rsid w:val="00856FA4"/>
    <w:rsid w:val="00857DB4"/>
    <w:rsid w:val="00860D79"/>
    <w:rsid w:val="00861B41"/>
    <w:rsid w:val="00861B9F"/>
    <w:rsid w:val="00861BE3"/>
    <w:rsid w:val="00861EB6"/>
    <w:rsid w:val="008625D3"/>
    <w:rsid w:val="00862A30"/>
    <w:rsid w:val="00862C0A"/>
    <w:rsid w:val="00863434"/>
    <w:rsid w:val="0086344F"/>
    <w:rsid w:val="008641AC"/>
    <w:rsid w:val="00865E4C"/>
    <w:rsid w:val="00866074"/>
    <w:rsid w:val="00867546"/>
    <w:rsid w:val="0086796D"/>
    <w:rsid w:val="008679A5"/>
    <w:rsid w:val="00867B7B"/>
    <w:rsid w:val="00867DAB"/>
    <w:rsid w:val="0087000B"/>
    <w:rsid w:val="008701E4"/>
    <w:rsid w:val="008704E9"/>
    <w:rsid w:val="008705FB"/>
    <w:rsid w:val="008706B0"/>
    <w:rsid w:val="00870ECD"/>
    <w:rsid w:val="00871125"/>
    <w:rsid w:val="008716E0"/>
    <w:rsid w:val="008720B3"/>
    <w:rsid w:val="00872F9F"/>
    <w:rsid w:val="0087347C"/>
    <w:rsid w:val="008734E7"/>
    <w:rsid w:val="0087368D"/>
    <w:rsid w:val="008739FA"/>
    <w:rsid w:val="008740CC"/>
    <w:rsid w:val="0087442A"/>
    <w:rsid w:val="00874578"/>
    <w:rsid w:val="00874624"/>
    <w:rsid w:val="00874962"/>
    <w:rsid w:val="00874FE8"/>
    <w:rsid w:val="0087554A"/>
    <w:rsid w:val="0087573C"/>
    <w:rsid w:val="00875A32"/>
    <w:rsid w:val="00875CC1"/>
    <w:rsid w:val="00876086"/>
    <w:rsid w:val="0087616B"/>
    <w:rsid w:val="00876651"/>
    <w:rsid w:val="00876E06"/>
    <w:rsid w:val="00876E83"/>
    <w:rsid w:val="0087722C"/>
    <w:rsid w:val="008772BC"/>
    <w:rsid w:val="00880A0E"/>
    <w:rsid w:val="00880F17"/>
    <w:rsid w:val="008817FE"/>
    <w:rsid w:val="00881CD7"/>
    <w:rsid w:val="00882911"/>
    <w:rsid w:val="00882F6E"/>
    <w:rsid w:val="00883202"/>
    <w:rsid w:val="008842AA"/>
    <w:rsid w:val="008847B8"/>
    <w:rsid w:val="00884E02"/>
    <w:rsid w:val="0088502B"/>
    <w:rsid w:val="00885D40"/>
    <w:rsid w:val="00886032"/>
    <w:rsid w:val="00886274"/>
    <w:rsid w:val="0088673E"/>
    <w:rsid w:val="00886926"/>
    <w:rsid w:val="008873D4"/>
    <w:rsid w:val="00887911"/>
    <w:rsid w:val="00890CB1"/>
    <w:rsid w:val="00891EDF"/>
    <w:rsid w:val="00892872"/>
    <w:rsid w:val="0089296D"/>
    <w:rsid w:val="00892A24"/>
    <w:rsid w:val="00893E85"/>
    <w:rsid w:val="00893EBE"/>
    <w:rsid w:val="00894031"/>
    <w:rsid w:val="00894C5D"/>
    <w:rsid w:val="00895114"/>
    <w:rsid w:val="00895508"/>
    <w:rsid w:val="00895797"/>
    <w:rsid w:val="0089651B"/>
    <w:rsid w:val="008967E9"/>
    <w:rsid w:val="00896A5C"/>
    <w:rsid w:val="00897155"/>
    <w:rsid w:val="008972D2"/>
    <w:rsid w:val="0089754C"/>
    <w:rsid w:val="00897CFA"/>
    <w:rsid w:val="008A0659"/>
    <w:rsid w:val="008A0ADD"/>
    <w:rsid w:val="008A0D27"/>
    <w:rsid w:val="008A1C59"/>
    <w:rsid w:val="008A2046"/>
    <w:rsid w:val="008A208B"/>
    <w:rsid w:val="008A30B3"/>
    <w:rsid w:val="008A37E2"/>
    <w:rsid w:val="008A388E"/>
    <w:rsid w:val="008A394E"/>
    <w:rsid w:val="008A3CBA"/>
    <w:rsid w:val="008A48E1"/>
    <w:rsid w:val="008A4B59"/>
    <w:rsid w:val="008A5116"/>
    <w:rsid w:val="008A63E1"/>
    <w:rsid w:val="008A6475"/>
    <w:rsid w:val="008A66B7"/>
    <w:rsid w:val="008A68BB"/>
    <w:rsid w:val="008A6AA5"/>
    <w:rsid w:val="008A7127"/>
    <w:rsid w:val="008A7597"/>
    <w:rsid w:val="008B06C2"/>
    <w:rsid w:val="008B0CBA"/>
    <w:rsid w:val="008B1792"/>
    <w:rsid w:val="008B1850"/>
    <w:rsid w:val="008B2639"/>
    <w:rsid w:val="008B2D31"/>
    <w:rsid w:val="008B3537"/>
    <w:rsid w:val="008B3690"/>
    <w:rsid w:val="008B3A80"/>
    <w:rsid w:val="008B3AEC"/>
    <w:rsid w:val="008B3C07"/>
    <w:rsid w:val="008B3F7B"/>
    <w:rsid w:val="008B4242"/>
    <w:rsid w:val="008B43CA"/>
    <w:rsid w:val="008B5324"/>
    <w:rsid w:val="008B5C99"/>
    <w:rsid w:val="008B6106"/>
    <w:rsid w:val="008B6409"/>
    <w:rsid w:val="008B7C02"/>
    <w:rsid w:val="008B7D2B"/>
    <w:rsid w:val="008B7EF9"/>
    <w:rsid w:val="008C0049"/>
    <w:rsid w:val="008C0314"/>
    <w:rsid w:val="008C0A94"/>
    <w:rsid w:val="008C0E3C"/>
    <w:rsid w:val="008C0E88"/>
    <w:rsid w:val="008C0EBE"/>
    <w:rsid w:val="008C1717"/>
    <w:rsid w:val="008C17F0"/>
    <w:rsid w:val="008C239D"/>
    <w:rsid w:val="008C3A32"/>
    <w:rsid w:val="008C3B05"/>
    <w:rsid w:val="008C4B50"/>
    <w:rsid w:val="008C5128"/>
    <w:rsid w:val="008C58EF"/>
    <w:rsid w:val="008C5A37"/>
    <w:rsid w:val="008C6EB0"/>
    <w:rsid w:val="008C7569"/>
    <w:rsid w:val="008C79C3"/>
    <w:rsid w:val="008D006F"/>
    <w:rsid w:val="008D033D"/>
    <w:rsid w:val="008D0759"/>
    <w:rsid w:val="008D0DBD"/>
    <w:rsid w:val="008D117E"/>
    <w:rsid w:val="008D127E"/>
    <w:rsid w:val="008D1CA8"/>
    <w:rsid w:val="008D1E0A"/>
    <w:rsid w:val="008D1E6A"/>
    <w:rsid w:val="008D2407"/>
    <w:rsid w:val="008D2A16"/>
    <w:rsid w:val="008D2AEC"/>
    <w:rsid w:val="008D2F75"/>
    <w:rsid w:val="008D3295"/>
    <w:rsid w:val="008D33F5"/>
    <w:rsid w:val="008D35E4"/>
    <w:rsid w:val="008D3ACD"/>
    <w:rsid w:val="008D3CEE"/>
    <w:rsid w:val="008D4200"/>
    <w:rsid w:val="008D5F1D"/>
    <w:rsid w:val="008D6C3A"/>
    <w:rsid w:val="008D70E2"/>
    <w:rsid w:val="008D7F47"/>
    <w:rsid w:val="008E0001"/>
    <w:rsid w:val="008E039E"/>
    <w:rsid w:val="008E0CFA"/>
    <w:rsid w:val="008E292B"/>
    <w:rsid w:val="008E2C57"/>
    <w:rsid w:val="008E31FF"/>
    <w:rsid w:val="008E3287"/>
    <w:rsid w:val="008E38E4"/>
    <w:rsid w:val="008E3C67"/>
    <w:rsid w:val="008E3DFA"/>
    <w:rsid w:val="008E3E88"/>
    <w:rsid w:val="008E490D"/>
    <w:rsid w:val="008E51EB"/>
    <w:rsid w:val="008E5746"/>
    <w:rsid w:val="008E64D7"/>
    <w:rsid w:val="008E69F6"/>
    <w:rsid w:val="008E6CA2"/>
    <w:rsid w:val="008E6DCB"/>
    <w:rsid w:val="008E6F06"/>
    <w:rsid w:val="008E7000"/>
    <w:rsid w:val="008E723E"/>
    <w:rsid w:val="008E7B8E"/>
    <w:rsid w:val="008E7FC9"/>
    <w:rsid w:val="008F0107"/>
    <w:rsid w:val="008F029B"/>
    <w:rsid w:val="008F0589"/>
    <w:rsid w:val="008F115A"/>
    <w:rsid w:val="008F2A5D"/>
    <w:rsid w:val="008F2BC7"/>
    <w:rsid w:val="008F2E83"/>
    <w:rsid w:val="008F3636"/>
    <w:rsid w:val="008F3FC9"/>
    <w:rsid w:val="008F509F"/>
    <w:rsid w:val="008F525A"/>
    <w:rsid w:val="008F5383"/>
    <w:rsid w:val="008F585B"/>
    <w:rsid w:val="008F7FB0"/>
    <w:rsid w:val="009003A8"/>
    <w:rsid w:val="009005E4"/>
    <w:rsid w:val="00900977"/>
    <w:rsid w:val="00900AA5"/>
    <w:rsid w:val="009021DA"/>
    <w:rsid w:val="00902500"/>
    <w:rsid w:val="00902EFF"/>
    <w:rsid w:val="00903A8E"/>
    <w:rsid w:val="0090432C"/>
    <w:rsid w:val="00904F96"/>
    <w:rsid w:val="00905037"/>
    <w:rsid w:val="009052A3"/>
    <w:rsid w:val="00905314"/>
    <w:rsid w:val="009056D7"/>
    <w:rsid w:val="00905B8D"/>
    <w:rsid w:val="00905D90"/>
    <w:rsid w:val="00906401"/>
    <w:rsid w:val="009065CB"/>
    <w:rsid w:val="009067EA"/>
    <w:rsid w:val="00906B79"/>
    <w:rsid w:val="0090786F"/>
    <w:rsid w:val="009079CA"/>
    <w:rsid w:val="0091001E"/>
    <w:rsid w:val="00910C18"/>
    <w:rsid w:val="009110F7"/>
    <w:rsid w:val="009112E3"/>
    <w:rsid w:val="0091155E"/>
    <w:rsid w:val="00912437"/>
    <w:rsid w:val="00912A38"/>
    <w:rsid w:val="00912A92"/>
    <w:rsid w:val="00913237"/>
    <w:rsid w:val="00913B36"/>
    <w:rsid w:val="00913FDA"/>
    <w:rsid w:val="0091476D"/>
    <w:rsid w:val="00914AC7"/>
    <w:rsid w:val="00915D07"/>
    <w:rsid w:val="009160D6"/>
    <w:rsid w:val="009162AE"/>
    <w:rsid w:val="00917154"/>
    <w:rsid w:val="00917251"/>
    <w:rsid w:val="0091728D"/>
    <w:rsid w:val="00917351"/>
    <w:rsid w:val="00917A2B"/>
    <w:rsid w:val="0092036B"/>
    <w:rsid w:val="009203CC"/>
    <w:rsid w:val="00920EC4"/>
    <w:rsid w:val="0092180B"/>
    <w:rsid w:val="00921F14"/>
    <w:rsid w:val="009227A9"/>
    <w:rsid w:val="0092292F"/>
    <w:rsid w:val="00922AAE"/>
    <w:rsid w:val="00922D28"/>
    <w:rsid w:val="00923AE5"/>
    <w:rsid w:val="00923CB0"/>
    <w:rsid w:val="00923D8C"/>
    <w:rsid w:val="00924871"/>
    <w:rsid w:val="009248DB"/>
    <w:rsid w:val="00924AC8"/>
    <w:rsid w:val="00924E73"/>
    <w:rsid w:val="00925429"/>
    <w:rsid w:val="00925615"/>
    <w:rsid w:val="0092572D"/>
    <w:rsid w:val="0092597A"/>
    <w:rsid w:val="00926427"/>
    <w:rsid w:val="00926520"/>
    <w:rsid w:val="00926956"/>
    <w:rsid w:val="00926C8A"/>
    <w:rsid w:val="00926CF0"/>
    <w:rsid w:val="009273A9"/>
    <w:rsid w:val="00927E1A"/>
    <w:rsid w:val="00930251"/>
    <w:rsid w:val="0093033E"/>
    <w:rsid w:val="009305FC"/>
    <w:rsid w:val="00930FB1"/>
    <w:rsid w:val="00931163"/>
    <w:rsid w:val="0093139F"/>
    <w:rsid w:val="00932098"/>
    <w:rsid w:val="00932239"/>
    <w:rsid w:val="00932443"/>
    <w:rsid w:val="00932B32"/>
    <w:rsid w:val="00932BF5"/>
    <w:rsid w:val="00932F45"/>
    <w:rsid w:val="0093305E"/>
    <w:rsid w:val="00933F4A"/>
    <w:rsid w:val="009341F1"/>
    <w:rsid w:val="00934FF2"/>
    <w:rsid w:val="009358D7"/>
    <w:rsid w:val="00935BD4"/>
    <w:rsid w:val="00935DFE"/>
    <w:rsid w:val="00935F70"/>
    <w:rsid w:val="0093648B"/>
    <w:rsid w:val="00936906"/>
    <w:rsid w:val="00937017"/>
    <w:rsid w:val="009373B2"/>
    <w:rsid w:val="009378B2"/>
    <w:rsid w:val="00937AE2"/>
    <w:rsid w:val="00937CE5"/>
    <w:rsid w:val="0094061F"/>
    <w:rsid w:val="00940F0F"/>
    <w:rsid w:val="00940FB0"/>
    <w:rsid w:val="00941912"/>
    <w:rsid w:val="009434A5"/>
    <w:rsid w:val="0094356F"/>
    <w:rsid w:val="00943B66"/>
    <w:rsid w:val="0094416B"/>
    <w:rsid w:val="0094427A"/>
    <w:rsid w:val="009449C6"/>
    <w:rsid w:val="00944C7C"/>
    <w:rsid w:val="00945245"/>
    <w:rsid w:val="00945523"/>
    <w:rsid w:val="0094580E"/>
    <w:rsid w:val="00946C43"/>
    <w:rsid w:val="00950921"/>
    <w:rsid w:val="00951457"/>
    <w:rsid w:val="00951D68"/>
    <w:rsid w:val="00951E5B"/>
    <w:rsid w:val="00952050"/>
    <w:rsid w:val="00952315"/>
    <w:rsid w:val="009523D9"/>
    <w:rsid w:val="00952B7B"/>
    <w:rsid w:val="00952C67"/>
    <w:rsid w:val="0095357B"/>
    <w:rsid w:val="009538B3"/>
    <w:rsid w:val="00953B99"/>
    <w:rsid w:val="00954183"/>
    <w:rsid w:val="00954F39"/>
    <w:rsid w:val="009550A2"/>
    <w:rsid w:val="009550FF"/>
    <w:rsid w:val="009555FD"/>
    <w:rsid w:val="00955655"/>
    <w:rsid w:val="00955BAD"/>
    <w:rsid w:val="00955CDA"/>
    <w:rsid w:val="009560D7"/>
    <w:rsid w:val="009563B3"/>
    <w:rsid w:val="0095664B"/>
    <w:rsid w:val="009566A4"/>
    <w:rsid w:val="009567A9"/>
    <w:rsid w:val="009568DC"/>
    <w:rsid w:val="00957140"/>
    <w:rsid w:val="00957445"/>
    <w:rsid w:val="0095759C"/>
    <w:rsid w:val="0096101F"/>
    <w:rsid w:val="009618EE"/>
    <w:rsid w:val="00961DDD"/>
    <w:rsid w:val="009624D2"/>
    <w:rsid w:val="009628D9"/>
    <w:rsid w:val="009630EB"/>
    <w:rsid w:val="009637AE"/>
    <w:rsid w:val="00963A06"/>
    <w:rsid w:val="00963B36"/>
    <w:rsid w:val="00964068"/>
    <w:rsid w:val="009640F6"/>
    <w:rsid w:val="0096469D"/>
    <w:rsid w:val="00964776"/>
    <w:rsid w:val="00964A4E"/>
    <w:rsid w:val="00964B35"/>
    <w:rsid w:val="00964F43"/>
    <w:rsid w:val="009651C7"/>
    <w:rsid w:val="00965797"/>
    <w:rsid w:val="00965A10"/>
    <w:rsid w:val="00965AD0"/>
    <w:rsid w:val="009670A3"/>
    <w:rsid w:val="009674BE"/>
    <w:rsid w:val="0097053D"/>
    <w:rsid w:val="00970FB5"/>
    <w:rsid w:val="00971710"/>
    <w:rsid w:val="00971B87"/>
    <w:rsid w:val="00971C77"/>
    <w:rsid w:val="00971CDA"/>
    <w:rsid w:val="0097203A"/>
    <w:rsid w:val="00972FCD"/>
    <w:rsid w:val="0097328E"/>
    <w:rsid w:val="00973324"/>
    <w:rsid w:val="009736DF"/>
    <w:rsid w:val="009741AE"/>
    <w:rsid w:val="009741FC"/>
    <w:rsid w:val="0097442F"/>
    <w:rsid w:val="00974782"/>
    <w:rsid w:val="00974923"/>
    <w:rsid w:val="00975909"/>
    <w:rsid w:val="00976631"/>
    <w:rsid w:val="00977C33"/>
    <w:rsid w:val="00977C3D"/>
    <w:rsid w:val="009804F2"/>
    <w:rsid w:val="00980997"/>
    <w:rsid w:val="00980D3D"/>
    <w:rsid w:val="0098103E"/>
    <w:rsid w:val="0098157D"/>
    <w:rsid w:val="00981894"/>
    <w:rsid w:val="00981B62"/>
    <w:rsid w:val="00982CB5"/>
    <w:rsid w:val="00982FEF"/>
    <w:rsid w:val="00983101"/>
    <w:rsid w:val="00983E41"/>
    <w:rsid w:val="009845E1"/>
    <w:rsid w:val="00984CE5"/>
    <w:rsid w:val="00984D1B"/>
    <w:rsid w:val="00985DA3"/>
    <w:rsid w:val="00986246"/>
    <w:rsid w:val="00986EB1"/>
    <w:rsid w:val="00987743"/>
    <w:rsid w:val="00987A2E"/>
    <w:rsid w:val="00987A30"/>
    <w:rsid w:val="00990312"/>
    <w:rsid w:val="009908AF"/>
    <w:rsid w:val="0099182E"/>
    <w:rsid w:val="00991D45"/>
    <w:rsid w:val="00992B49"/>
    <w:rsid w:val="00992BB3"/>
    <w:rsid w:val="00992CF3"/>
    <w:rsid w:val="00992F11"/>
    <w:rsid w:val="00993194"/>
    <w:rsid w:val="0099321E"/>
    <w:rsid w:val="00994171"/>
    <w:rsid w:val="00994868"/>
    <w:rsid w:val="00994976"/>
    <w:rsid w:val="00994D28"/>
    <w:rsid w:val="00994F2C"/>
    <w:rsid w:val="00995720"/>
    <w:rsid w:val="009957CC"/>
    <w:rsid w:val="00996370"/>
    <w:rsid w:val="009968D6"/>
    <w:rsid w:val="0099699F"/>
    <w:rsid w:val="00997646"/>
    <w:rsid w:val="00997953"/>
    <w:rsid w:val="00997D55"/>
    <w:rsid w:val="00997E23"/>
    <w:rsid w:val="009A0BFF"/>
    <w:rsid w:val="009A10A0"/>
    <w:rsid w:val="009A12B7"/>
    <w:rsid w:val="009A16E6"/>
    <w:rsid w:val="009A1CAB"/>
    <w:rsid w:val="009A2359"/>
    <w:rsid w:val="009A24F1"/>
    <w:rsid w:val="009A27E0"/>
    <w:rsid w:val="009A4D57"/>
    <w:rsid w:val="009A4E5E"/>
    <w:rsid w:val="009A51A5"/>
    <w:rsid w:val="009A5309"/>
    <w:rsid w:val="009A5526"/>
    <w:rsid w:val="009A5759"/>
    <w:rsid w:val="009A5E32"/>
    <w:rsid w:val="009A60D1"/>
    <w:rsid w:val="009A6225"/>
    <w:rsid w:val="009A64F5"/>
    <w:rsid w:val="009A6C12"/>
    <w:rsid w:val="009A6D5C"/>
    <w:rsid w:val="009B00D2"/>
    <w:rsid w:val="009B05B3"/>
    <w:rsid w:val="009B0CAF"/>
    <w:rsid w:val="009B1324"/>
    <w:rsid w:val="009B2558"/>
    <w:rsid w:val="009B284F"/>
    <w:rsid w:val="009B2CE4"/>
    <w:rsid w:val="009B3764"/>
    <w:rsid w:val="009B3840"/>
    <w:rsid w:val="009B4B8E"/>
    <w:rsid w:val="009B4F2C"/>
    <w:rsid w:val="009B52AC"/>
    <w:rsid w:val="009B553D"/>
    <w:rsid w:val="009B59EA"/>
    <w:rsid w:val="009B5B6E"/>
    <w:rsid w:val="009B66CE"/>
    <w:rsid w:val="009B6FD3"/>
    <w:rsid w:val="009B72BE"/>
    <w:rsid w:val="009B78A4"/>
    <w:rsid w:val="009B7DB2"/>
    <w:rsid w:val="009C03DB"/>
    <w:rsid w:val="009C047E"/>
    <w:rsid w:val="009C15AF"/>
    <w:rsid w:val="009C1750"/>
    <w:rsid w:val="009C1A5A"/>
    <w:rsid w:val="009C2E29"/>
    <w:rsid w:val="009C3E8F"/>
    <w:rsid w:val="009C4275"/>
    <w:rsid w:val="009C550E"/>
    <w:rsid w:val="009C554B"/>
    <w:rsid w:val="009C5E83"/>
    <w:rsid w:val="009C7126"/>
    <w:rsid w:val="009C719E"/>
    <w:rsid w:val="009C7799"/>
    <w:rsid w:val="009C77AF"/>
    <w:rsid w:val="009D07A9"/>
    <w:rsid w:val="009D0AE2"/>
    <w:rsid w:val="009D0D9F"/>
    <w:rsid w:val="009D0EBB"/>
    <w:rsid w:val="009D12B7"/>
    <w:rsid w:val="009D1FE6"/>
    <w:rsid w:val="009D2038"/>
    <w:rsid w:val="009D25FB"/>
    <w:rsid w:val="009D27D1"/>
    <w:rsid w:val="009D2C46"/>
    <w:rsid w:val="009D370B"/>
    <w:rsid w:val="009D3ACD"/>
    <w:rsid w:val="009D4254"/>
    <w:rsid w:val="009D4F21"/>
    <w:rsid w:val="009D587D"/>
    <w:rsid w:val="009D6EA6"/>
    <w:rsid w:val="009D7731"/>
    <w:rsid w:val="009E00E1"/>
    <w:rsid w:val="009E066D"/>
    <w:rsid w:val="009E1120"/>
    <w:rsid w:val="009E1393"/>
    <w:rsid w:val="009E1922"/>
    <w:rsid w:val="009E1A3D"/>
    <w:rsid w:val="009E1FDE"/>
    <w:rsid w:val="009E22A5"/>
    <w:rsid w:val="009E3388"/>
    <w:rsid w:val="009E3975"/>
    <w:rsid w:val="009E4715"/>
    <w:rsid w:val="009E4A58"/>
    <w:rsid w:val="009E4DFB"/>
    <w:rsid w:val="009E5273"/>
    <w:rsid w:val="009E57A8"/>
    <w:rsid w:val="009E5B85"/>
    <w:rsid w:val="009E5C39"/>
    <w:rsid w:val="009E5DDB"/>
    <w:rsid w:val="009F01E6"/>
    <w:rsid w:val="009F026B"/>
    <w:rsid w:val="009F032E"/>
    <w:rsid w:val="009F1CA6"/>
    <w:rsid w:val="009F23F8"/>
    <w:rsid w:val="009F2921"/>
    <w:rsid w:val="009F42CF"/>
    <w:rsid w:val="009F4982"/>
    <w:rsid w:val="009F4CA7"/>
    <w:rsid w:val="009F4F6A"/>
    <w:rsid w:val="009F55BA"/>
    <w:rsid w:val="009F5A60"/>
    <w:rsid w:val="009F6723"/>
    <w:rsid w:val="009F7BE2"/>
    <w:rsid w:val="009F7D36"/>
    <w:rsid w:val="009F7D61"/>
    <w:rsid w:val="00A00E71"/>
    <w:rsid w:val="00A00E76"/>
    <w:rsid w:val="00A01839"/>
    <w:rsid w:val="00A0187B"/>
    <w:rsid w:val="00A01F1D"/>
    <w:rsid w:val="00A02E8B"/>
    <w:rsid w:val="00A02F2C"/>
    <w:rsid w:val="00A0306F"/>
    <w:rsid w:val="00A032E2"/>
    <w:rsid w:val="00A03511"/>
    <w:rsid w:val="00A03B10"/>
    <w:rsid w:val="00A03E2E"/>
    <w:rsid w:val="00A04616"/>
    <w:rsid w:val="00A04717"/>
    <w:rsid w:val="00A0535F"/>
    <w:rsid w:val="00A05AED"/>
    <w:rsid w:val="00A05D8F"/>
    <w:rsid w:val="00A05EB1"/>
    <w:rsid w:val="00A05EE4"/>
    <w:rsid w:val="00A06280"/>
    <w:rsid w:val="00A06F99"/>
    <w:rsid w:val="00A07730"/>
    <w:rsid w:val="00A1053B"/>
    <w:rsid w:val="00A107F5"/>
    <w:rsid w:val="00A10D66"/>
    <w:rsid w:val="00A113A4"/>
    <w:rsid w:val="00A12A8E"/>
    <w:rsid w:val="00A12BBD"/>
    <w:rsid w:val="00A133F9"/>
    <w:rsid w:val="00A13718"/>
    <w:rsid w:val="00A14114"/>
    <w:rsid w:val="00A149E5"/>
    <w:rsid w:val="00A152AF"/>
    <w:rsid w:val="00A1615C"/>
    <w:rsid w:val="00A16413"/>
    <w:rsid w:val="00A16545"/>
    <w:rsid w:val="00A16A1A"/>
    <w:rsid w:val="00A16A9F"/>
    <w:rsid w:val="00A16AED"/>
    <w:rsid w:val="00A16BD3"/>
    <w:rsid w:val="00A16C37"/>
    <w:rsid w:val="00A16E1D"/>
    <w:rsid w:val="00A170D7"/>
    <w:rsid w:val="00A171D5"/>
    <w:rsid w:val="00A17A15"/>
    <w:rsid w:val="00A17A37"/>
    <w:rsid w:val="00A17D5B"/>
    <w:rsid w:val="00A2016A"/>
    <w:rsid w:val="00A201E1"/>
    <w:rsid w:val="00A20FE1"/>
    <w:rsid w:val="00A21B4D"/>
    <w:rsid w:val="00A21D58"/>
    <w:rsid w:val="00A21F44"/>
    <w:rsid w:val="00A22073"/>
    <w:rsid w:val="00A223E0"/>
    <w:rsid w:val="00A22959"/>
    <w:rsid w:val="00A22F57"/>
    <w:rsid w:val="00A23158"/>
    <w:rsid w:val="00A232D7"/>
    <w:rsid w:val="00A23538"/>
    <w:rsid w:val="00A23847"/>
    <w:rsid w:val="00A23E43"/>
    <w:rsid w:val="00A24726"/>
    <w:rsid w:val="00A24DEB"/>
    <w:rsid w:val="00A24ED9"/>
    <w:rsid w:val="00A251DB"/>
    <w:rsid w:val="00A25216"/>
    <w:rsid w:val="00A2597D"/>
    <w:rsid w:val="00A2628E"/>
    <w:rsid w:val="00A263BA"/>
    <w:rsid w:val="00A266BF"/>
    <w:rsid w:val="00A26777"/>
    <w:rsid w:val="00A269AB"/>
    <w:rsid w:val="00A26BB8"/>
    <w:rsid w:val="00A26E12"/>
    <w:rsid w:val="00A26F2A"/>
    <w:rsid w:val="00A272FF"/>
    <w:rsid w:val="00A2731E"/>
    <w:rsid w:val="00A27707"/>
    <w:rsid w:val="00A30568"/>
    <w:rsid w:val="00A307C2"/>
    <w:rsid w:val="00A308D6"/>
    <w:rsid w:val="00A309AC"/>
    <w:rsid w:val="00A30EA4"/>
    <w:rsid w:val="00A30F65"/>
    <w:rsid w:val="00A315D0"/>
    <w:rsid w:val="00A3279E"/>
    <w:rsid w:val="00A32984"/>
    <w:rsid w:val="00A331E0"/>
    <w:rsid w:val="00A33CF3"/>
    <w:rsid w:val="00A33DB1"/>
    <w:rsid w:val="00A33EEB"/>
    <w:rsid w:val="00A345C2"/>
    <w:rsid w:val="00A34C63"/>
    <w:rsid w:val="00A351C8"/>
    <w:rsid w:val="00A3559C"/>
    <w:rsid w:val="00A356C1"/>
    <w:rsid w:val="00A35900"/>
    <w:rsid w:val="00A35E98"/>
    <w:rsid w:val="00A35F33"/>
    <w:rsid w:val="00A36231"/>
    <w:rsid w:val="00A37262"/>
    <w:rsid w:val="00A37F9F"/>
    <w:rsid w:val="00A401A3"/>
    <w:rsid w:val="00A40C39"/>
    <w:rsid w:val="00A40CD6"/>
    <w:rsid w:val="00A40EAC"/>
    <w:rsid w:val="00A418BC"/>
    <w:rsid w:val="00A419FF"/>
    <w:rsid w:val="00A41FCF"/>
    <w:rsid w:val="00A424B0"/>
    <w:rsid w:val="00A42936"/>
    <w:rsid w:val="00A43A2B"/>
    <w:rsid w:val="00A43CF8"/>
    <w:rsid w:val="00A43DF2"/>
    <w:rsid w:val="00A445A8"/>
    <w:rsid w:val="00A44B0D"/>
    <w:rsid w:val="00A44D21"/>
    <w:rsid w:val="00A45087"/>
    <w:rsid w:val="00A45489"/>
    <w:rsid w:val="00A45858"/>
    <w:rsid w:val="00A45CED"/>
    <w:rsid w:val="00A46502"/>
    <w:rsid w:val="00A465E9"/>
    <w:rsid w:val="00A46854"/>
    <w:rsid w:val="00A46894"/>
    <w:rsid w:val="00A468E7"/>
    <w:rsid w:val="00A46A86"/>
    <w:rsid w:val="00A46DE0"/>
    <w:rsid w:val="00A47240"/>
    <w:rsid w:val="00A478BA"/>
    <w:rsid w:val="00A5003B"/>
    <w:rsid w:val="00A50D73"/>
    <w:rsid w:val="00A518BB"/>
    <w:rsid w:val="00A51A85"/>
    <w:rsid w:val="00A51B7E"/>
    <w:rsid w:val="00A52A88"/>
    <w:rsid w:val="00A52CAD"/>
    <w:rsid w:val="00A53340"/>
    <w:rsid w:val="00A53FC7"/>
    <w:rsid w:val="00A54E0A"/>
    <w:rsid w:val="00A55569"/>
    <w:rsid w:val="00A55C36"/>
    <w:rsid w:val="00A56017"/>
    <w:rsid w:val="00A5661B"/>
    <w:rsid w:val="00A566A0"/>
    <w:rsid w:val="00A56EAA"/>
    <w:rsid w:val="00A56F8E"/>
    <w:rsid w:val="00A57580"/>
    <w:rsid w:val="00A601E7"/>
    <w:rsid w:val="00A60AC1"/>
    <w:rsid w:val="00A61EB1"/>
    <w:rsid w:val="00A62162"/>
    <w:rsid w:val="00A62427"/>
    <w:rsid w:val="00A626FF"/>
    <w:rsid w:val="00A62B42"/>
    <w:rsid w:val="00A62CE1"/>
    <w:rsid w:val="00A64939"/>
    <w:rsid w:val="00A65469"/>
    <w:rsid w:val="00A65528"/>
    <w:rsid w:val="00A655D3"/>
    <w:rsid w:val="00A65C25"/>
    <w:rsid w:val="00A662D9"/>
    <w:rsid w:val="00A6630C"/>
    <w:rsid w:val="00A66C06"/>
    <w:rsid w:val="00A670A0"/>
    <w:rsid w:val="00A6741E"/>
    <w:rsid w:val="00A67E29"/>
    <w:rsid w:val="00A7016A"/>
    <w:rsid w:val="00A7018D"/>
    <w:rsid w:val="00A7191D"/>
    <w:rsid w:val="00A722F9"/>
    <w:rsid w:val="00A72D42"/>
    <w:rsid w:val="00A733D0"/>
    <w:rsid w:val="00A7439C"/>
    <w:rsid w:val="00A746C9"/>
    <w:rsid w:val="00A74C2A"/>
    <w:rsid w:val="00A75E40"/>
    <w:rsid w:val="00A76818"/>
    <w:rsid w:val="00A771F7"/>
    <w:rsid w:val="00A7769C"/>
    <w:rsid w:val="00A77747"/>
    <w:rsid w:val="00A77AE6"/>
    <w:rsid w:val="00A77D1D"/>
    <w:rsid w:val="00A77E6B"/>
    <w:rsid w:val="00A801C9"/>
    <w:rsid w:val="00A80902"/>
    <w:rsid w:val="00A80F81"/>
    <w:rsid w:val="00A81652"/>
    <w:rsid w:val="00A82BF0"/>
    <w:rsid w:val="00A82C91"/>
    <w:rsid w:val="00A83150"/>
    <w:rsid w:val="00A83177"/>
    <w:rsid w:val="00A83398"/>
    <w:rsid w:val="00A83898"/>
    <w:rsid w:val="00A83D6E"/>
    <w:rsid w:val="00A83FD5"/>
    <w:rsid w:val="00A8508C"/>
    <w:rsid w:val="00A8521A"/>
    <w:rsid w:val="00A853BB"/>
    <w:rsid w:val="00A857C0"/>
    <w:rsid w:val="00A85ACB"/>
    <w:rsid w:val="00A8657A"/>
    <w:rsid w:val="00A9036F"/>
    <w:rsid w:val="00A9092B"/>
    <w:rsid w:val="00A90F2C"/>
    <w:rsid w:val="00A90FED"/>
    <w:rsid w:val="00A911D8"/>
    <w:rsid w:val="00A91482"/>
    <w:rsid w:val="00A9189D"/>
    <w:rsid w:val="00A91E71"/>
    <w:rsid w:val="00A92523"/>
    <w:rsid w:val="00A9254E"/>
    <w:rsid w:val="00A925B1"/>
    <w:rsid w:val="00A92A3E"/>
    <w:rsid w:val="00A934F9"/>
    <w:rsid w:val="00A936A2"/>
    <w:rsid w:val="00A940E3"/>
    <w:rsid w:val="00A94983"/>
    <w:rsid w:val="00A94C2A"/>
    <w:rsid w:val="00A9532C"/>
    <w:rsid w:val="00A95F1A"/>
    <w:rsid w:val="00A96116"/>
    <w:rsid w:val="00A9614E"/>
    <w:rsid w:val="00A96422"/>
    <w:rsid w:val="00A96A2F"/>
    <w:rsid w:val="00A96C0F"/>
    <w:rsid w:val="00A97075"/>
    <w:rsid w:val="00AA0052"/>
    <w:rsid w:val="00AA0E80"/>
    <w:rsid w:val="00AA16F4"/>
    <w:rsid w:val="00AA17CD"/>
    <w:rsid w:val="00AA1D85"/>
    <w:rsid w:val="00AA212B"/>
    <w:rsid w:val="00AA212F"/>
    <w:rsid w:val="00AA26A9"/>
    <w:rsid w:val="00AA2996"/>
    <w:rsid w:val="00AA2AF4"/>
    <w:rsid w:val="00AA3734"/>
    <w:rsid w:val="00AA37D2"/>
    <w:rsid w:val="00AA3EE8"/>
    <w:rsid w:val="00AA4282"/>
    <w:rsid w:val="00AA43F2"/>
    <w:rsid w:val="00AA4790"/>
    <w:rsid w:val="00AA50E6"/>
    <w:rsid w:val="00AA52BF"/>
    <w:rsid w:val="00AA53CE"/>
    <w:rsid w:val="00AA559A"/>
    <w:rsid w:val="00AA68C7"/>
    <w:rsid w:val="00AA6C31"/>
    <w:rsid w:val="00AA7752"/>
    <w:rsid w:val="00AA7CE8"/>
    <w:rsid w:val="00AA7F31"/>
    <w:rsid w:val="00AB1457"/>
    <w:rsid w:val="00AB1CF7"/>
    <w:rsid w:val="00AB2AF1"/>
    <w:rsid w:val="00AB32CB"/>
    <w:rsid w:val="00AB3AD7"/>
    <w:rsid w:val="00AB3BA7"/>
    <w:rsid w:val="00AB3EC7"/>
    <w:rsid w:val="00AB5901"/>
    <w:rsid w:val="00AB5A64"/>
    <w:rsid w:val="00AB5CA1"/>
    <w:rsid w:val="00AB6456"/>
    <w:rsid w:val="00AB75C5"/>
    <w:rsid w:val="00AB7E01"/>
    <w:rsid w:val="00AC044E"/>
    <w:rsid w:val="00AC1A6B"/>
    <w:rsid w:val="00AC1B6A"/>
    <w:rsid w:val="00AC2118"/>
    <w:rsid w:val="00AC2395"/>
    <w:rsid w:val="00AC24FE"/>
    <w:rsid w:val="00AC2960"/>
    <w:rsid w:val="00AC2996"/>
    <w:rsid w:val="00AC2AC4"/>
    <w:rsid w:val="00AC4284"/>
    <w:rsid w:val="00AC433A"/>
    <w:rsid w:val="00AC45BD"/>
    <w:rsid w:val="00AC4D34"/>
    <w:rsid w:val="00AC50BB"/>
    <w:rsid w:val="00AC5256"/>
    <w:rsid w:val="00AC5657"/>
    <w:rsid w:val="00AC7002"/>
    <w:rsid w:val="00AC78F1"/>
    <w:rsid w:val="00AC7B96"/>
    <w:rsid w:val="00AC7DB8"/>
    <w:rsid w:val="00AD0B22"/>
    <w:rsid w:val="00AD0D2F"/>
    <w:rsid w:val="00AD0EE7"/>
    <w:rsid w:val="00AD168E"/>
    <w:rsid w:val="00AD1B42"/>
    <w:rsid w:val="00AD202E"/>
    <w:rsid w:val="00AD306C"/>
    <w:rsid w:val="00AD44CD"/>
    <w:rsid w:val="00AD47A7"/>
    <w:rsid w:val="00AD4876"/>
    <w:rsid w:val="00AD4FF6"/>
    <w:rsid w:val="00AD5AD2"/>
    <w:rsid w:val="00AD5DD8"/>
    <w:rsid w:val="00AD6462"/>
    <w:rsid w:val="00AD66C5"/>
    <w:rsid w:val="00AD68C4"/>
    <w:rsid w:val="00AD71F9"/>
    <w:rsid w:val="00AD7B6C"/>
    <w:rsid w:val="00AE09B3"/>
    <w:rsid w:val="00AE0A6C"/>
    <w:rsid w:val="00AE1617"/>
    <w:rsid w:val="00AE1A83"/>
    <w:rsid w:val="00AE207E"/>
    <w:rsid w:val="00AE20B3"/>
    <w:rsid w:val="00AE2A78"/>
    <w:rsid w:val="00AE30BE"/>
    <w:rsid w:val="00AE3258"/>
    <w:rsid w:val="00AE3E6A"/>
    <w:rsid w:val="00AE4122"/>
    <w:rsid w:val="00AE417E"/>
    <w:rsid w:val="00AE434F"/>
    <w:rsid w:val="00AE4909"/>
    <w:rsid w:val="00AE540F"/>
    <w:rsid w:val="00AE56EE"/>
    <w:rsid w:val="00AE631C"/>
    <w:rsid w:val="00AE6414"/>
    <w:rsid w:val="00AE7269"/>
    <w:rsid w:val="00AE797C"/>
    <w:rsid w:val="00AE7CE7"/>
    <w:rsid w:val="00AE7FAB"/>
    <w:rsid w:val="00AF0DE4"/>
    <w:rsid w:val="00AF12A0"/>
    <w:rsid w:val="00AF1E87"/>
    <w:rsid w:val="00AF3A39"/>
    <w:rsid w:val="00AF436B"/>
    <w:rsid w:val="00AF5179"/>
    <w:rsid w:val="00AF5CC2"/>
    <w:rsid w:val="00AF660D"/>
    <w:rsid w:val="00AF6776"/>
    <w:rsid w:val="00AF6F98"/>
    <w:rsid w:val="00AF7277"/>
    <w:rsid w:val="00AF72B7"/>
    <w:rsid w:val="00AF79D9"/>
    <w:rsid w:val="00AF7E09"/>
    <w:rsid w:val="00B00024"/>
    <w:rsid w:val="00B00550"/>
    <w:rsid w:val="00B00913"/>
    <w:rsid w:val="00B00D4D"/>
    <w:rsid w:val="00B01548"/>
    <w:rsid w:val="00B01593"/>
    <w:rsid w:val="00B017AF"/>
    <w:rsid w:val="00B01D0F"/>
    <w:rsid w:val="00B01FF9"/>
    <w:rsid w:val="00B023F2"/>
    <w:rsid w:val="00B026FE"/>
    <w:rsid w:val="00B0271F"/>
    <w:rsid w:val="00B038CA"/>
    <w:rsid w:val="00B05424"/>
    <w:rsid w:val="00B056FC"/>
    <w:rsid w:val="00B05761"/>
    <w:rsid w:val="00B05F00"/>
    <w:rsid w:val="00B06DB4"/>
    <w:rsid w:val="00B0750D"/>
    <w:rsid w:val="00B07850"/>
    <w:rsid w:val="00B0799C"/>
    <w:rsid w:val="00B07C6A"/>
    <w:rsid w:val="00B10258"/>
    <w:rsid w:val="00B102CE"/>
    <w:rsid w:val="00B10A4D"/>
    <w:rsid w:val="00B10C90"/>
    <w:rsid w:val="00B11002"/>
    <w:rsid w:val="00B1114F"/>
    <w:rsid w:val="00B118FA"/>
    <w:rsid w:val="00B121B2"/>
    <w:rsid w:val="00B131B1"/>
    <w:rsid w:val="00B1401E"/>
    <w:rsid w:val="00B141B6"/>
    <w:rsid w:val="00B144C6"/>
    <w:rsid w:val="00B14BC1"/>
    <w:rsid w:val="00B154DE"/>
    <w:rsid w:val="00B162C3"/>
    <w:rsid w:val="00B16DD1"/>
    <w:rsid w:val="00B16EB8"/>
    <w:rsid w:val="00B1700A"/>
    <w:rsid w:val="00B17E71"/>
    <w:rsid w:val="00B17FDE"/>
    <w:rsid w:val="00B20632"/>
    <w:rsid w:val="00B20D04"/>
    <w:rsid w:val="00B20F55"/>
    <w:rsid w:val="00B2161E"/>
    <w:rsid w:val="00B21BCB"/>
    <w:rsid w:val="00B2379C"/>
    <w:rsid w:val="00B23D5D"/>
    <w:rsid w:val="00B23E6E"/>
    <w:rsid w:val="00B2450C"/>
    <w:rsid w:val="00B24E48"/>
    <w:rsid w:val="00B265AE"/>
    <w:rsid w:val="00B2687D"/>
    <w:rsid w:val="00B27EC6"/>
    <w:rsid w:val="00B3108D"/>
    <w:rsid w:val="00B323BE"/>
    <w:rsid w:val="00B327C0"/>
    <w:rsid w:val="00B32DDB"/>
    <w:rsid w:val="00B32F57"/>
    <w:rsid w:val="00B3345C"/>
    <w:rsid w:val="00B33672"/>
    <w:rsid w:val="00B33DE5"/>
    <w:rsid w:val="00B3410E"/>
    <w:rsid w:val="00B343BC"/>
    <w:rsid w:val="00B343C4"/>
    <w:rsid w:val="00B34528"/>
    <w:rsid w:val="00B34750"/>
    <w:rsid w:val="00B34B95"/>
    <w:rsid w:val="00B34CC9"/>
    <w:rsid w:val="00B34CDA"/>
    <w:rsid w:val="00B3563B"/>
    <w:rsid w:val="00B3574D"/>
    <w:rsid w:val="00B362A3"/>
    <w:rsid w:val="00B36BDC"/>
    <w:rsid w:val="00B37D3A"/>
    <w:rsid w:val="00B37D96"/>
    <w:rsid w:val="00B402FC"/>
    <w:rsid w:val="00B405E3"/>
    <w:rsid w:val="00B40A7D"/>
    <w:rsid w:val="00B40DF5"/>
    <w:rsid w:val="00B41424"/>
    <w:rsid w:val="00B422E2"/>
    <w:rsid w:val="00B42517"/>
    <w:rsid w:val="00B42902"/>
    <w:rsid w:val="00B42D5F"/>
    <w:rsid w:val="00B43216"/>
    <w:rsid w:val="00B43740"/>
    <w:rsid w:val="00B439DA"/>
    <w:rsid w:val="00B43DDF"/>
    <w:rsid w:val="00B4411A"/>
    <w:rsid w:val="00B45376"/>
    <w:rsid w:val="00B45A99"/>
    <w:rsid w:val="00B45FE8"/>
    <w:rsid w:val="00B46604"/>
    <w:rsid w:val="00B46637"/>
    <w:rsid w:val="00B47089"/>
    <w:rsid w:val="00B4712D"/>
    <w:rsid w:val="00B47587"/>
    <w:rsid w:val="00B5150A"/>
    <w:rsid w:val="00B52151"/>
    <w:rsid w:val="00B530CD"/>
    <w:rsid w:val="00B53639"/>
    <w:rsid w:val="00B53C7D"/>
    <w:rsid w:val="00B53DEF"/>
    <w:rsid w:val="00B53E56"/>
    <w:rsid w:val="00B54058"/>
    <w:rsid w:val="00B55311"/>
    <w:rsid w:val="00B55437"/>
    <w:rsid w:val="00B55A97"/>
    <w:rsid w:val="00B55F5E"/>
    <w:rsid w:val="00B5601B"/>
    <w:rsid w:val="00B560E3"/>
    <w:rsid w:val="00B5642C"/>
    <w:rsid w:val="00B5658D"/>
    <w:rsid w:val="00B56B6F"/>
    <w:rsid w:val="00B5713F"/>
    <w:rsid w:val="00B5752E"/>
    <w:rsid w:val="00B57ABC"/>
    <w:rsid w:val="00B60AC1"/>
    <w:rsid w:val="00B61FF6"/>
    <w:rsid w:val="00B62316"/>
    <w:rsid w:val="00B6274C"/>
    <w:rsid w:val="00B63A11"/>
    <w:rsid w:val="00B64425"/>
    <w:rsid w:val="00B646BC"/>
    <w:rsid w:val="00B647F4"/>
    <w:rsid w:val="00B64C24"/>
    <w:rsid w:val="00B64E72"/>
    <w:rsid w:val="00B659B0"/>
    <w:rsid w:val="00B65CEF"/>
    <w:rsid w:val="00B6608F"/>
    <w:rsid w:val="00B66B65"/>
    <w:rsid w:val="00B674C7"/>
    <w:rsid w:val="00B67749"/>
    <w:rsid w:val="00B679FB"/>
    <w:rsid w:val="00B67E43"/>
    <w:rsid w:val="00B71FBF"/>
    <w:rsid w:val="00B72CD3"/>
    <w:rsid w:val="00B734A0"/>
    <w:rsid w:val="00B73A14"/>
    <w:rsid w:val="00B73D35"/>
    <w:rsid w:val="00B74148"/>
    <w:rsid w:val="00B748BD"/>
    <w:rsid w:val="00B76100"/>
    <w:rsid w:val="00B7680F"/>
    <w:rsid w:val="00B76B48"/>
    <w:rsid w:val="00B76D1E"/>
    <w:rsid w:val="00B774BD"/>
    <w:rsid w:val="00B77543"/>
    <w:rsid w:val="00B77584"/>
    <w:rsid w:val="00B77E34"/>
    <w:rsid w:val="00B80D44"/>
    <w:rsid w:val="00B80D89"/>
    <w:rsid w:val="00B80EC6"/>
    <w:rsid w:val="00B81288"/>
    <w:rsid w:val="00B81D70"/>
    <w:rsid w:val="00B82EE1"/>
    <w:rsid w:val="00B833B9"/>
    <w:rsid w:val="00B836DA"/>
    <w:rsid w:val="00B839B1"/>
    <w:rsid w:val="00B83AAF"/>
    <w:rsid w:val="00B83CBF"/>
    <w:rsid w:val="00B83E07"/>
    <w:rsid w:val="00B84CF6"/>
    <w:rsid w:val="00B85016"/>
    <w:rsid w:val="00B85226"/>
    <w:rsid w:val="00B8561A"/>
    <w:rsid w:val="00B86628"/>
    <w:rsid w:val="00B86643"/>
    <w:rsid w:val="00B868F7"/>
    <w:rsid w:val="00B86EB1"/>
    <w:rsid w:val="00B871A7"/>
    <w:rsid w:val="00B90131"/>
    <w:rsid w:val="00B9074F"/>
    <w:rsid w:val="00B91136"/>
    <w:rsid w:val="00B92661"/>
    <w:rsid w:val="00B92951"/>
    <w:rsid w:val="00B92D1D"/>
    <w:rsid w:val="00B92D7E"/>
    <w:rsid w:val="00B930CE"/>
    <w:rsid w:val="00B938C5"/>
    <w:rsid w:val="00B940A8"/>
    <w:rsid w:val="00B944D4"/>
    <w:rsid w:val="00B95443"/>
    <w:rsid w:val="00B9554A"/>
    <w:rsid w:val="00B95940"/>
    <w:rsid w:val="00B95ACA"/>
    <w:rsid w:val="00B95C12"/>
    <w:rsid w:val="00B96D74"/>
    <w:rsid w:val="00B96FFD"/>
    <w:rsid w:val="00B9720E"/>
    <w:rsid w:val="00B97ACC"/>
    <w:rsid w:val="00B97FE2"/>
    <w:rsid w:val="00BA0E0B"/>
    <w:rsid w:val="00BA201A"/>
    <w:rsid w:val="00BA21DF"/>
    <w:rsid w:val="00BA2391"/>
    <w:rsid w:val="00BA270A"/>
    <w:rsid w:val="00BA3256"/>
    <w:rsid w:val="00BA361D"/>
    <w:rsid w:val="00BA3787"/>
    <w:rsid w:val="00BA3B00"/>
    <w:rsid w:val="00BA403A"/>
    <w:rsid w:val="00BA46E8"/>
    <w:rsid w:val="00BA49DB"/>
    <w:rsid w:val="00BA4AE9"/>
    <w:rsid w:val="00BA4E19"/>
    <w:rsid w:val="00BA62B5"/>
    <w:rsid w:val="00BA6436"/>
    <w:rsid w:val="00BA64F2"/>
    <w:rsid w:val="00BA684E"/>
    <w:rsid w:val="00BA6C2B"/>
    <w:rsid w:val="00BA7B64"/>
    <w:rsid w:val="00BB02A3"/>
    <w:rsid w:val="00BB0351"/>
    <w:rsid w:val="00BB085C"/>
    <w:rsid w:val="00BB15C3"/>
    <w:rsid w:val="00BB1AF4"/>
    <w:rsid w:val="00BB1CDD"/>
    <w:rsid w:val="00BB2202"/>
    <w:rsid w:val="00BB224A"/>
    <w:rsid w:val="00BB2A7E"/>
    <w:rsid w:val="00BB354D"/>
    <w:rsid w:val="00BB3C6B"/>
    <w:rsid w:val="00BB3EFB"/>
    <w:rsid w:val="00BB3FD6"/>
    <w:rsid w:val="00BB453F"/>
    <w:rsid w:val="00BB46F3"/>
    <w:rsid w:val="00BB4A71"/>
    <w:rsid w:val="00BB4CB1"/>
    <w:rsid w:val="00BB4F98"/>
    <w:rsid w:val="00BB50C0"/>
    <w:rsid w:val="00BB58A9"/>
    <w:rsid w:val="00BB5AB2"/>
    <w:rsid w:val="00BB5ABF"/>
    <w:rsid w:val="00BB6EA2"/>
    <w:rsid w:val="00BB7142"/>
    <w:rsid w:val="00BB736B"/>
    <w:rsid w:val="00BB76F3"/>
    <w:rsid w:val="00BB7ABB"/>
    <w:rsid w:val="00BB7B5B"/>
    <w:rsid w:val="00BB7EB1"/>
    <w:rsid w:val="00BC003F"/>
    <w:rsid w:val="00BC0930"/>
    <w:rsid w:val="00BC1D26"/>
    <w:rsid w:val="00BC2923"/>
    <w:rsid w:val="00BC327F"/>
    <w:rsid w:val="00BC3512"/>
    <w:rsid w:val="00BC4B35"/>
    <w:rsid w:val="00BC507A"/>
    <w:rsid w:val="00BC50BE"/>
    <w:rsid w:val="00BC5332"/>
    <w:rsid w:val="00BC5715"/>
    <w:rsid w:val="00BC5C12"/>
    <w:rsid w:val="00BC6105"/>
    <w:rsid w:val="00BC641B"/>
    <w:rsid w:val="00BC6706"/>
    <w:rsid w:val="00BC6CAD"/>
    <w:rsid w:val="00BC7154"/>
    <w:rsid w:val="00BC731E"/>
    <w:rsid w:val="00BC7614"/>
    <w:rsid w:val="00BC7EFA"/>
    <w:rsid w:val="00BD041B"/>
    <w:rsid w:val="00BD0595"/>
    <w:rsid w:val="00BD05C2"/>
    <w:rsid w:val="00BD25BB"/>
    <w:rsid w:val="00BD2AF8"/>
    <w:rsid w:val="00BD366B"/>
    <w:rsid w:val="00BD3C09"/>
    <w:rsid w:val="00BD410B"/>
    <w:rsid w:val="00BD4A73"/>
    <w:rsid w:val="00BD4EDD"/>
    <w:rsid w:val="00BD4EF4"/>
    <w:rsid w:val="00BD5C11"/>
    <w:rsid w:val="00BD6659"/>
    <w:rsid w:val="00BD672C"/>
    <w:rsid w:val="00BD6C75"/>
    <w:rsid w:val="00BD6D50"/>
    <w:rsid w:val="00BD7105"/>
    <w:rsid w:val="00BD73D2"/>
    <w:rsid w:val="00BD754D"/>
    <w:rsid w:val="00BE0AD1"/>
    <w:rsid w:val="00BE0EF9"/>
    <w:rsid w:val="00BE10A1"/>
    <w:rsid w:val="00BE18B9"/>
    <w:rsid w:val="00BE190A"/>
    <w:rsid w:val="00BE2495"/>
    <w:rsid w:val="00BE24DD"/>
    <w:rsid w:val="00BE34BB"/>
    <w:rsid w:val="00BE386D"/>
    <w:rsid w:val="00BE3A5C"/>
    <w:rsid w:val="00BE4071"/>
    <w:rsid w:val="00BE4DA9"/>
    <w:rsid w:val="00BE54BF"/>
    <w:rsid w:val="00BE557B"/>
    <w:rsid w:val="00BE55EF"/>
    <w:rsid w:val="00BE62ED"/>
    <w:rsid w:val="00BE6350"/>
    <w:rsid w:val="00BE779C"/>
    <w:rsid w:val="00BE7F5F"/>
    <w:rsid w:val="00BF0099"/>
    <w:rsid w:val="00BF02C8"/>
    <w:rsid w:val="00BF057E"/>
    <w:rsid w:val="00BF1099"/>
    <w:rsid w:val="00BF14A6"/>
    <w:rsid w:val="00BF1578"/>
    <w:rsid w:val="00BF15CA"/>
    <w:rsid w:val="00BF1672"/>
    <w:rsid w:val="00BF1D12"/>
    <w:rsid w:val="00BF1D3A"/>
    <w:rsid w:val="00BF2B5B"/>
    <w:rsid w:val="00BF2D41"/>
    <w:rsid w:val="00BF2D9D"/>
    <w:rsid w:val="00BF3274"/>
    <w:rsid w:val="00BF32DC"/>
    <w:rsid w:val="00BF35C9"/>
    <w:rsid w:val="00BF361E"/>
    <w:rsid w:val="00BF3D54"/>
    <w:rsid w:val="00BF4329"/>
    <w:rsid w:val="00BF450E"/>
    <w:rsid w:val="00BF4E10"/>
    <w:rsid w:val="00BF4E43"/>
    <w:rsid w:val="00BF5C4C"/>
    <w:rsid w:val="00BF5E71"/>
    <w:rsid w:val="00BF765C"/>
    <w:rsid w:val="00BF771F"/>
    <w:rsid w:val="00BF77FC"/>
    <w:rsid w:val="00BF7EC7"/>
    <w:rsid w:val="00C006D6"/>
    <w:rsid w:val="00C00BD7"/>
    <w:rsid w:val="00C01410"/>
    <w:rsid w:val="00C024BB"/>
    <w:rsid w:val="00C02D23"/>
    <w:rsid w:val="00C03264"/>
    <w:rsid w:val="00C03D4D"/>
    <w:rsid w:val="00C041F5"/>
    <w:rsid w:val="00C044F4"/>
    <w:rsid w:val="00C04B78"/>
    <w:rsid w:val="00C052AA"/>
    <w:rsid w:val="00C0540C"/>
    <w:rsid w:val="00C061AE"/>
    <w:rsid w:val="00C0644D"/>
    <w:rsid w:val="00C06EE3"/>
    <w:rsid w:val="00C07279"/>
    <w:rsid w:val="00C07749"/>
    <w:rsid w:val="00C07C67"/>
    <w:rsid w:val="00C07E8B"/>
    <w:rsid w:val="00C10742"/>
    <w:rsid w:val="00C10805"/>
    <w:rsid w:val="00C11244"/>
    <w:rsid w:val="00C113FF"/>
    <w:rsid w:val="00C114A7"/>
    <w:rsid w:val="00C118A9"/>
    <w:rsid w:val="00C11D48"/>
    <w:rsid w:val="00C12304"/>
    <w:rsid w:val="00C12316"/>
    <w:rsid w:val="00C1246C"/>
    <w:rsid w:val="00C133BB"/>
    <w:rsid w:val="00C14187"/>
    <w:rsid w:val="00C147B1"/>
    <w:rsid w:val="00C1493E"/>
    <w:rsid w:val="00C15537"/>
    <w:rsid w:val="00C159FA"/>
    <w:rsid w:val="00C15DBD"/>
    <w:rsid w:val="00C161C5"/>
    <w:rsid w:val="00C172F7"/>
    <w:rsid w:val="00C176A3"/>
    <w:rsid w:val="00C2010D"/>
    <w:rsid w:val="00C20CB5"/>
    <w:rsid w:val="00C21430"/>
    <w:rsid w:val="00C216DF"/>
    <w:rsid w:val="00C21B30"/>
    <w:rsid w:val="00C21CA0"/>
    <w:rsid w:val="00C21E61"/>
    <w:rsid w:val="00C21F94"/>
    <w:rsid w:val="00C224BD"/>
    <w:rsid w:val="00C224DF"/>
    <w:rsid w:val="00C22546"/>
    <w:rsid w:val="00C2272B"/>
    <w:rsid w:val="00C234DB"/>
    <w:rsid w:val="00C23B82"/>
    <w:rsid w:val="00C23C5C"/>
    <w:rsid w:val="00C2479A"/>
    <w:rsid w:val="00C24903"/>
    <w:rsid w:val="00C2590D"/>
    <w:rsid w:val="00C25D9C"/>
    <w:rsid w:val="00C27913"/>
    <w:rsid w:val="00C27FA7"/>
    <w:rsid w:val="00C300E2"/>
    <w:rsid w:val="00C311B0"/>
    <w:rsid w:val="00C3186E"/>
    <w:rsid w:val="00C31F21"/>
    <w:rsid w:val="00C32290"/>
    <w:rsid w:val="00C32631"/>
    <w:rsid w:val="00C32805"/>
    <w:rsid w:val="00C32DF9"/>
    <w:rsid w:val="00C33301"/>
    <w:rsid w:val="00C33311"/>
    <w:rsid w:val="00C33AA6"/>
    <w:rsid w:val="00C33B68"/>
    <w:rsid w:val="00C34AD4"/>
    <w:rsid w:val="00C35570"/>
    <w:rsid w:val="00C35A2A"/>
    <w:rsid w:val="00C36A79"/>
    <w:rsid w:val="00C375DE"/>
    <w:rsid w:val="00C401A9"/>
    <w:rsid w:val="00C401D2"/>
    <w:rsid w:val="00C4031A"/>
    <w:rsid w:val="00C405D4"/>
    <w:rsid w:val="00C40AFD"/>
    <w:rsid w:val="00C419D5"/>
    <w:rsid w:val="00C41D54"/>
    <w:rsid w:val="00C41FC7"/>
    <w:rsid w:val="00C42EBB"/>
    <w:rsid w:val="00C435E8"/>
    <w:rsid w:val="00C44277"/>
    <w:rsid w:val="00C44806"/>
    <w:rsid w:val="00C4513B"/>
    <w:rsid w:val="00C45CAD"/>
    <w:rsid w:val="00C46654"/>
    <w:rsid w:val="00C466EF"/>
    <w:rsid w:val="00C4729B"/>
    <w:rsid w:val="00C475E8"/>
    <w:rsid w:val="00C47996"/>
    <w:rsid w:val="00C50101"/>
    <w:rsid w:val="00C50E79"/>
    <w:rsid w:val="00C5197D"/>
    <w:rsid w:val="00C525FB"/>
    <w:rsid w:val="00C5390B"/>
    <w:rsid w:val="00C53A9B"/>
    <w:rsid w:val="00C53CDD"/>
    <w:rsid w:val="00C54257"/>
    <w:rsid w:val="00C54697"/>
    <w:rsid w:val="00C550CE"/>
    <w:rsid w:val="00C55249"/>
    <w:rsid w:val="00C553A5"/>
    <w:rsid w:val="00C55402"/>
    <w:rsid w:val="00C5603B"/>
    <w:rsid w:val="00C57023"/>
    <w:rsid w:val="00C60973"/>
    <w:rsid w:val="00C60AE3"/>
    <w:rsid w:val="00C60FA1"/>
    <w:rsid w:val="00C61F47"/>
    <w:rsid w:val="00C62828"/>
    <w:rsid w:val="00C63340"/>
    <w:rsid w:val="00C6337A"/>
    <w:rsid w:val="00C63B2C"/>
    <w:rsid w:val="00C644F0"/>
    <w:rsid w:val="00C655DA"/>
    <w:rsid w:val="00C65A5C"/>
    <w:rsid w:val="00C65C81"/>
    <w:rsid w:val="00C66509"/>
    <w:rsid w:val="00C66D4C"/>
    <w:rsid w:val="00C672C1"/>
    <w:rsid w:val="00C67908"/>
    <w:rsid w:val="00C67B10"/>
    <w:rsid w:val="00C7053D"/>
    <w:rsid w:val="00C706D2"/>
    <w:rsid w:val="00C71060"/>
    <w:rsid w:val="00C715CC"/>
    <w:rsid w:val="00C719A3"/>
    <w:rsid w:val="00C71D2F"/>
    <w:rsid w:val="00C72984"/>
    <w:rsid w:val="00C72D93"/>
    <w:rsid w:val="00C73885"/>
    <w:rsid w:val="00C73C93"/>
    <w:rsid w:val="00C7435A"/>
    <w:rsid w:val="00C747B1"/>
    <w:rsid w:val="00C7520F"/>
    <w:rsid w:val="00C75510"/>
    <w:rsid w:val="00C755F9"/>
    <w:rsid w:val="00C75752"/>
    <w:rsid w:val="00C75B60"/>
    <w:rsid w:val="00C75F8E"/>
    <w:rsid w:val="00C761EC"/>
    <w:rsid w:val="00C770C9"/>
    <w:rsid w:val="00C800C9"/>
    <w:rsid w:val="00C8019E"/>
    <w:rsid w:val="00C81070"/>
    <w:rsid w:val="00C8174E"/>
    <w:rsid w:val="00C81D8E"/>
    <w:rsid w:val="00C82191"/>
    <w:rsid w:val="00C829C2"/>
    <w:rsid w:val="00C82A0C"/>
    <w:rsid w:val="00C83134"/>
    <w:rsid w:val="00C831E7"/>
    <w:rsid w:val="00C832F3"/>
    <w:rsid w:val="00C84307"/>
    <w:rsid w:val="00C845A4"/>
    <w:rsid w:val="00C847BB"/>
    <w:rsid w:val="00C85219"/>
    <w:rsid w:val="00C85545"/>
    <w:rsid w:val="00C855B5"/>
    <w:rsid w:val="00C85BEC"/>
    <w:rsid w:val="00C85F0E"/>
    <w:rsid w:val="00C866FE"/>
    <w:rsid w:val="00C867F9"/>
    <w:rsid w:val="00C872AA"/>
    <w:rsid w:val="00C87C6B"/>
    <w:rsid w:val="00C87EB8"/>
    <w:rsid w:val="00C90357"/>
    <w:rsid w:val="00C90627"/>
    <w:rsid w:val="00C90CF4"/>
    <w:rsid w:val="00C91103"/>
    <w:rsid w:val="00C91C20"/>
    <w:rsid w:val="00C922DE"/>
    <w:rsid w:val="00C92843"/>
    <w:rsid w:val="00C92EB6"/>
    <w:rsid w:val="00C93019"/>
    <w:rsid w:val="00C93389"/>
    <w:rsid w:val="00C93938"/>
    <w:rsid w:val="00C94743"/>
    <w:rsid w:val="00C948E6"/>
    <w:rsid w:val="00C94CDD"/>
    <w:rsid w:val="00C95123"/>
    <w:rsid w:val="00C96C96"/>
    <w:rsid w:val="00C9714C"/>
    <w:rsid w:val="00C9735A"/>
    <w:rsid w:val="00C97588"/>
    <w:rsid w:val="00C97D83"/>
    <w:rsid w:val="00CA0346"/>
    <w:rsid w:val="00CA0BD5"/>
    <w:rsid w:val="00CA0DA1"/>
    <w:rsid w:val="00CA0F40"/>
    <w:rsid w:val="00CA1293"/>
    <w:rsid w:val="00CA1BD6"/>
    <w:rsid w:val="00CA2B32"/>
    <w:rsid w:val="00CA37FF"/>
    <w:rsid w:val="00CA3B9C"/>
    <w:rsid w:val="00CA423A"/>
    <w:rsid w:val="00CA4441"/>
    <w:rsid w:val="00CA47BC"/>
    <w:rsid w:val="00CA4FA7"/>
    <w:rsid w:val="00CA5EAD"/>
    <w:rsid w:val="00CA6AB4"/>
    <w:rsid w:val="00CA7255"/>
    <w:rsid w:val="00CA79E2"/>
    <w:rsid w:val="00CB043F"/>
    <w:rsid w:val="00CB111E"/>
    <w:rsid w:val="00CB1BEE"/>
    <w:rsid w:val="00CB2351"/>
    <w:rsid w:val="00CB2AB0"/>
    <w:rsid w:val="00CB3CEC"/>
    <w:rsid w:val="00CB4022"/>
    <w:rsid w:val="00CB42C0"/>
    <w:rsid w:val="00CB4930"/>
    <w:rsid w:val="00CB4BA9"/>
    <w:rsid w:val="00CB4C48"/>
    <w:rsid w:val="00CB4C63"/>
    <w:rsid w:val="00CB5371"/>
    <w:rsid w:val="00CB5565"/>
    <w:rsid w:val="00CB5A48"/>
    <w:rsid w:val="00CB5E10"/>
    <w:rsid w:val="00CB613B"/>
    <w:rsid w:val="00CB6152"/>
    <w:rsid w:val="00CB64E1"/>
    <w:rsid w:val="00CB6C6F"/>
    <w:rsid w:val="00CB6E4D"/>
    <w:rsid w:val="00CC009B"/>
    <w:rsid w:val="00CC0834"/>
    <w:rsid w:val="00CC0894"/>
    <w:rsid w:val="00CC0AEA"/>
    <w:rsid w:val="00CC0F7D"/>
    <w:rsid w:val="00CC157C"/>
    <w:rsid w:val="00CC20FE"/>
    <w:rsid w:val="00CC225C"/>
    <w:rsid w:val="00CC2AF6"/>
    <w:rsid w:val="00CC2E7D"/>
    <w:rsid w:val="00CC3A0C"/>
    <w:rsid w:val="00CC469E"/>
    <w:rsid w:val="00CC5BE8"/>
    <w:rsid w:val="00CC612B"/>
    <w:rsid w:val="00CC655F"/>
    <w:rsid w:val="00CC66F0"/>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6331"/>
    <w:rsid w:val="00CD6DE1"/>
    <w:rsid w:val="00CD7E9E"/>
    <w:rsid w:val="00CE14BE"/>
    <w:rsid w:val="00CE17A4"/>
    <w:rsid w:val="00CE1BA9"/>
    <w:rsid w:val="00CE1BE3"/>
    <w:rsid w:val="00CE245A"/>
    <w:rsid w:val="00CE2A11"/>
    <w:rsid w:val="00CE2D8F"/>
    <w:rsid w:val="00CE33B1"/>
    <w:rsid w:val="00CE3532"/>
    <w:rsid w:val="00CE3E48"/>
    <w:rsid w:val="00CE46C0"/>
    <w:rsid w:val="00CE47B8"/>
    <w:rsid w:val="00CE4A31"/>
    <w:rsid w:val="00CE4A7A"/>
    <w:rsid w:val="00CE54FD"/>
    <w:rsid w:val="00CE5C92"/>
    <w:rsid w:val="00CE5CC2"/>
    <w:rsid w:val="00CE5E12"/>
    <w:rsid w:val="00CE62FA"/>
    <w:rsid w:val="00CE670B"/>
    <w:rsid w:val="00CE6833"/>
    <w:rsid w:val="00CE7562"/>
    <w:rsid w:val="00CE7D0B"/>
    <w:rsid w:val="00CF020B"/>
    <w:rsid w:val="00CF04DC"/>
    <w:rsid w:val="00CF05F4"/>
    <w:rsid w:val="00CF082E"/>
    <w:rsid w:val="00CF0F7D"/>
    <w:rsid w:val="00CF0FA0"/>
    <w:rsid w:val="00CF15BF"/>
    <w:rsid w:val="00CF2E4D"/>
    <w:rsid w:val="00CF35A7"/>
    <w:rsid w:val="00CF4205"/>
    <w:rsid w:val="00CF42CB"/>
    <w:rsid w:val="00CF4908"/>
    <w:rsid w:val="00CF494A"/>
    <w:rsid w:val="00CF5078"/>
    <w:rsid w:val="00CF51EC"/>
    <w:rsid w:val="00CF545D"/>
    <w:rsid w:val="00CF5873"/>
    <w:rsid w:val="00CF6A39"/>
    <w:rsid w:val="00CF6AB7"/>
    <w:rsid w:val="00CF6E02"/>
    <w:rsid w:val="00CF73AE"/>
    <w:rsid w:val="00CF7777"/>
    <w:rsid w:val="00D001BE"/>
    <w:rsid w:val="00D004F1"/>
    <w:rsid w:val="00D0085A"/>
    <w:rsid w:val="00D00D23"/>
    <w:rsid w:val="00D016AE"/>
    <w:rsid w:val="00D0197F"/>
    <w:rsid w:val="00D01A83"/>
    <w:rsid w:val="00D01B31"/>
    <w:rsid w:val="00D0242D"/>
    <w:rsid w:val="00D02716"/>
    <w:rsid w:val="00D027C4"/>
    <w:rsid w:val="00D03207"/>
    <w:rsid w:val="00D036E3"/>
    <w:rsid w:val="00D03A72"/>
    <w:rsid w:val="00D03B6B"/>
    <w:rsid w:val="00D04076"/>
    <w:rsid w:val="00D040DD"/>
    <w:rsid w:val="00D04134"/>
    <w:rsid w:val="00D052A7"/>
    <w:rsid w:val="00D0538E"/>
    <w:rsid w:val="00D05C65"/>
    <w:rsid w:val="00D05F36"/>
    <w:rsid w:val="00D0676F"/>
    <w:rsid w:val="00D06A26"/>
    <w:rsid w:val="00D06B56"/>
    <w:rsid w:val="00D06CA2"/>
    <w:rsid w:val="00D06D68"/>
    <w:rsid w:val="00D06F7A"/>
    <w:rsid w:val="00D075BE"/>
    <w:rsid w:val="00D07AFF"/>
    <w:rsid w:val="00D10566"/>
    <w:rsid w:val="00D10C15"/>
    <w:rsid w:val="00D11011"/>
    <w:rsid w:val="00D11476"/>
    <w:rsid w:val="00D1271C"/>
    <w:rsid w:val="00D12C25"/>
    <w:rsid w:val="00D130FB"/>
    <w:rsid w:val="00D133B4"/>
    <w:rsid w:val="00D133FF"/>
    <w:rsid w:val="00D13704"/>
    <w:rsid w:val="00D13986"/>
    <w:rsid w:val="00D13F3E"/>
    <w:rsid w:val="00D14C5B"/>
    <w:rsid w:val="00D152B6"/>
    <w:rsid w:val="00D158DA"/>
    <w:rsid w:val="00D15D3A"/>
    <w:rsid w:val="00D15FED"/>
    <w:rsid w:val="00D1605A"/>
    <w:rsid w:val="00D160FB"/>
    <w:rsid w:val="00D16712"/>
    <w:rsid w:val="00D169F6"/>
    <w:rsid w:val="00D174E0"/>
    <w:rsid w:val="00D174FD"/>
    <w:rsid w:val="00D17F29"/>
    <w:rsid w:val="00D214EF"/>
    <w:rsid w:val="00D215B0"/>
    <w:rsid w:val="00D21B36"/>
    <w:rsid w:val="00D21D6D"/>
    <w:rsid w:val="00D21D83"/>
    <w:rsid w:val="00D21F29"/>
    <w:rsid w:val="00D22437"/>
    <w:rsid w:val="00D22A47"/>
    <w:rsid w:val="00D232ED"/>
    <w:rsid w:val="00D235B7"/>
    <w:rsid w:val="00D2371B"/>
    <w:rsid w:val="00D23A99"/>
    <w:rsid w:val="00D23FAE"/>
    <w:rsid w:val="00D25F28"/>
    <w:rsid w:val="00D26071"/>
    <w:rsid w:val="00D260C7"/>
    <w:rsid w:val="00D2641A"/>
    <w:rsid w:val="00D269B9"/>
    <w:rsid w:val="00D27384"/>
    <w:rsid w:val="00D27973"/>
    <w:rsid w:val="00D27F3A"/>
    <w:rsid w:val="00D31537"/>
    <w:rsid w:val="00D31E1E"/>
    <w:rsid w:val="00D322A0"/>
    <w:rsid w:val="00D32824"/>
    <w:rsid w:val="00D328E1"/>
    <w:rsid w:val="00D334E2"/>
    <w:rsid w:val="00D33950"/>
    <w:rsid w:val="00D34078"/>
    <w:rsid w:val="00D350B1"/>
    <w:rsid w:val="00D35AD6"/>
    <w:rsid w:val="00D35BBB"/>
    <w:rsid w:val="00D35E1A"/>
    <w:rsid w:val="00D364E1"/>
    <w:rsid w:val="00D36B0A"/>
    <w:rsid w:val="00D36DFB"/>
    <w:rsid w:val="00D36E1C"/>
    <w:rsid w:val="00D373AF"/>
    <w:rsid w:val="00D40556"/>
    <w:rsid w:val="00D4115C"/>
    <w:rsid w:val="00D41F74"/>
    <w:rsid w:val="00D4223D"/>
    <w:rsid w:val="00D428C8"/>
    <w:rsid w:val="00D43034"/>
    <w:rsid w:val="00D43ED2"/>
    <w:rsid w:val="00D45D2C"/>
    <w:rsid w:val="00D45D7F"/>
    <w:rsid w:val="00D46076"/>
    <w:rsid w:val="00D4768F"/>
    <w:rsid w:val="00D50BC3"/>
    <w:rsid w:val="00D50F46"/>
    <w:rsid w:val="00D51BF9"/>
    <w:rsid w:val="00D5302A"/>
    <w:rsid w:val="00D533AD"/>
    <w:rsid w:val="00D533C4"/>
    <w:rsid w:val="00D5384E"/>
    <w:rsid w:val="00D53AD9"/>
    <w:rsid w:val="00D544E7"/>
    <w:rsid w:val="00D5499F"/>
    <w:rsid w:val="00D5560A"/>
    <w:rsid w:val="00D56FBF"/>
    <w:rsid w:val="00D57677"/>
    <w:rsid w:val="00D5781F"/>
    <w:rsid w:val="00D57ABE"/>
    <w:rsid w:val="00D57AF9"/>
    <w:rsid w:val="00D60415"/>
    <w:rsid w:val="00D60DAE"/>
    <w:rsid w:val="00D60E3C"/>
    <w:rsid w:val="00D60EAE"/>
    <w:rsid w:val="00D60FA7"/>
    <w:rsid w:val="00D60FF1"/>
    <w:rsid w:val="00D61FAB"/>
    <w:rsid w:val="00D62C4E"/>
    <w:rsid w:val="00D63BE5"/>
    <w:rsid w:val="00D6475F"/>
    <w:rsid w:val="00D64B85"/>
    <w:rsid w:val="00D650C4"/>
    <w:rsid w:val="00D655D4"/>
    <w:rsid w:val="00D658A7"/>
    <w:rsid w:val="00D66060"/>
    <w:rsid w:val="00D66223"/>
    <w:rsid w:val="00D667B8"/>
    <w:rsid w:val="00D66981"/>
    <w:rsid w:val="00D67D55"/>
    <w:rsid w:val="00D70117"/>
    <w:rsid w:val="00D70289"/>
    <w:rsid w:val="00D7041F"/>
    <w:rsid w:val="00D70822"/>
    <w:rsid w:val="00D70A33"/>
    <w:rsid w:val="00D717A1"/>
    <w:rsid w:val="00D72076"/>
    <w:rsid w:val="00D721B4"/>
    <w:rsid w:val="00D726A9"/>
    <w:rsid w:val="00D72DBA"/>
    <w:rsid w:val="00D7329C"/>
    <w:rsid w:val="00D743E0"/>
    <w:rsid w:val="00D7469D"/>
    <w:rsid w:val="00D7490C"/>
    <w:rsid w:val="00D75AC1"/>
    <w:rsid w:val="00D76698"/>
    <w:rsid w:val="00D76E4A"/>
    <w:rsid w:val="00D77252"/>
    <w:rsid w:val="00D772A5"/>
    <w:rsid w:val="00D777AC"/>
    <w:rsid w:val="00D778EB"/>
    <w:rsid w:val="00D804C7"/>
    <w:rsid w:val="00D8084C"/>
    <w:rsid w:val="00D81578"/>
    <w:rsid w:val="00D81809"/>
    <w:rsid w:val="00D82EF1"/>
    <w:rsid w:val="00D83277"/>
    <w:rsid w:val="00D832FA"/>
    <w:rsid w:val="00D840AF"/>
    <w:rsid w:val="00D84CC9"/>
    <w:rsid w:val="00D84F43"/>
    <w:rsid w:val="00D85114"/>
    <w:rsid w:val="00D855D5"/>
    <w:rsid w:val="00D85668"/>
    <w:rsid w:val="00D85821"/>
    <w:rsid w:val="00D8598C"/>
    <w:rsid w:val="00D85CC3"/>
    <w:rsid w:val="00D86B80"/>
    <w:rsid w:val="00D87C06"/>
    <w:rsid w:val="00D915EA"/>
    <w:rsid w:val="00D919ED"/>
    <w:rsid w:val="00D91B90"/>
    <w:rsid w:val="00D922A1"/>
    <w:rsid w:val="00D928BE"/>
    <w:rsid w:val="00D932B8"/>
    <w:rsid w:val="00D932F0"/>
    <w:rsid w:val="00D937A0"/>
    <w:rsid w:val="00D95104"/>
    <w:rsid w:val="00D95140"/>
    <w:rsid w:val="00D95302"/>
    <w:rsid w:val="00D95889"/>
    <w:rsid w:val="00D95C5D"/>
    <w:rsid w:val="00D95CBE"/>
    <w:rsid w:val="00D95E7F"/>
    <w:rsid w:val="00D97D00"/>
    <w:rsid w:val="00DA0255"/>
    <w:rsid w:val="00DA0359"/>
    <w:rsid w:val="00DA096C"/>
    <w:rsid w:val="00DA1AB6"/>
    <w:rsid w:val="00DA2080"/>
    <w:rsid w:val="00DA213D"/>
    <w:rsid w:val="00DA23DE"/>
    <w:rsid w:val="00DA2E21"/>
    <w:rsid w:val="00DA2E65"/>
    <w:rsid w:val="00DA37CA"/>
    <w:rsid w:val="00DA37DE"/>
    <w:rsid w:val="00DA3ADF"/>
    <w:rsid w:val="00DA3F34"/>
    <w:rsid w:val="00DA4174"/>
    <w:rsid w:val="00DA5378"/>
    <w:rsid w:val="00DA544C"/>
    <w:rsid w:val="00DA5F8E"/>
    <w:rsid w:val="00DA6364"/>
    <w:rsid w:val="00DA7114"/>
    <w:rsid w:val="00DA7C0C"/>
    <w:rsid w:val="00DA7E2F"/>
    <w:rsid w:val="00DB03DD"/>
    <w:rsid w:val="00DB04B2"/>
    <w:rsid w:val="00DB08A9"/>
    <w:rsid w:val="00DB0B33"/>
    <w:rsid w:val="00DB0D79"/>
    <w:rsid w:val="00DB0FD9"/>
    <w:rsid w:val="00DB13EF"/>
    <w:rsid w:val="00DB1DF4"/>
    <w:rsid w:val="00DB2DFA"/>
    <w:rsid w:val="00DB2EC8"/>
    <w:rsid w:val="00DB321D"/>
    <w:rsid w:val="00DB3FD0"/>
    <w:rsid w:val="00DB459B"/>
    <w:rsid w:val="00DB47FD"/>
    <w:rsid w:val="00DB4F13"/>
    <w:rsid w:val="00DB51B9"/>
    <w:rsid w:val="00DB5403"/>
    <w:rsid w:val="00DB5E3A"/>
    <w:rsid w:val="00DB5E9A"/>
    <w:rsid w:val="00DB613B"/>
    <w:rsid w:val="00DB61EE"/>
    <w:rsid w:val="00DB657E"/>
    <w:rsid w:val="00DB7342"/>
    <w:rsid w:val="00DB7489"/>
    <w:rsid w:val="00DC0B4D"/>
    <w:rsid w:val="00DC0CBB"/>
    <w:rsid w:val="00DC120D"/>
    <w:rsid w:val="00DC17D0"/>
    <w:rsid w:val="00DC1E5D"/>
    <w:rsid w:val="00DC1ED4"/>
    <w:rsid w:val="00DC2B41"/>
    <w:rsid w:val="00DC2EA7"/>
    <w:rsid w:val="00DC3128"/>
    <w:rsid w:val="00DC37DD"/>
    <w:rsid w:val="00DC3B47"/>
    <w:rsid w:val="00DC435B"/>
    <w:rsid w:val="00DC4AC4"/>
    <w:rsid w:val="00DC53D8"/>
    <w:rsid w:val="00DC56FE"/>
    <w:rsid w:val="00DC5B3B"/>
    <w:rsid w:val="00DC5F11"/>
    <w:rsid w:val="00DC6C2D"/>
    <w:rsid w:val="00DC77CB"/>
    <w:rsid w:val="00DC7A19"/>
    <w:rsid w:val="00DC7B1A"/>
    <w:rsid w:val="00DC7EB8"/>
    <w:rsid w:val="00DD04B0"/>
    <w:rsid w:val="00DD0E32"/>
    <w:rsid w:val="00DD129F"/>
    <w:rsid w:val="00DD13FC"/>
    <w:rsid w:val="00DD1A3F"/>
    <w:rsid w:val="00DD253D"/>
    <w:rsid w:val="00DD29B5"/>
    <w:rsid w:val="00DD3096"/>
    <w:rsid w:val="00DD32DD"/>
    <w:rsid w:val="00DD33E8"/>
    <w:rsid w:val="00DD5287"/>
    <w:rsid w:val="00DD56D4"/>
    <w:rsid w:val="00DD5B36"/>
    <w:rsid w:val="00DD6003"/>
    <w:rsid w:val="00DD7849"/>
    <w:rsid w:val="00DE03DE"/>
    <w:rsid w:val="00DE0D8B"/>
    <w:rsid w:val="00DE1237"/>
    <w:rsid w:val="00DE140F"/>
    <w:rsid w:val="00DE17E9"/>
    <w:rsid w:val="00DE1B2A"/>
    <w:rsid w:val="00DE2491"/>
    <w:rsid w:val="00DE273F"/>
    <w:rsid w:val="00DE2C79"/>
    <w:rsid w:val="00DE3503"/>
    <w:rsid w:val="00DE3E22"/>
    <w:rsid w:val="00DE3E5D"/>
    <w:rsid w:val="00DE450F"/>
    <w:rsid w:val="00DE4865"/>
    <w:rsid w:val="00DE503E"/>
    <w:rsid w:val="00DE5CA6"/>
    <w:rsid w:val="00DE5E55"/>
    <w:rsid w:val="00DE60BC"/>
    <w:rsid w:val="00DE63AE"/>
    <w:rsid w:val="00DE7156"/>
    <w:rsid w:val="00DE7AC8"/>
    <w:rsid w:val="00DF0830"/>
    <w:rsid w:val="00DF0852"/>
    <w:rsid w:val="00DF0DA6"/>
    <w:rsid w:val="00DF1877"/>
    <w:rsid w:val="00DF2C5D"/>
    <w:rsid w:val="00DF2CD3"/>
    <w:rsid w:val="00DF3643"/>
    <w:rsid w:val="00DF42FF"/>
    <w:rsid w:val="00DF4369"/>
    <w:rsid w:val="00DF4423"/>
    <w:rsid w:val="00DF4ADF"/>
    <w:rsid w:val="00DF57D6"/>
    <w:rsid w:val="00DF5D1E"/>
    <w:rsid w:val="00DF77E4"/>
    <w:rsid w:val="00DF7F88"/>
    <w:rsid w:val="00E00B88"/>
    <w:rsid w:val="00E01C0E"/>
    <w:rsid w:val="00E02071"/>
    <w:rsid w:val="00E0368F"/>
    <w:rsid w:val="00E03D73"/>
    <w:rsid w:val="00E03F9A"/>
    <w:rsid w:val="00E040DA"/>
    <w:rsid w:val="00E04485"/>
    <w:rsid w:val="00E04694"/>
    <w:rsid w:val="00E04AEF"/>
    <w:rsid w:val="00E04F23"/>
    <w:rsid w:val="00E05333"/>
    <w:rsid w:val="00E06251"/>
    <w:rsid w:val="00E062CF"/>
    <w:rsid w:val="00E07392"/>
    <w:rsid w:val="00E0768A"/>
    <w:rsid w:val="00E07C03"/>
    <w:rsid w:val="00E1085C"/>
    <w:rsid w:val="00E11480"/>
    <w:rsid w:val="00E1168B"/>
    <w:rsid w:val="00E12191"/>
    <w:rsid w:val="00E129E7"/>
    <w:rsid w:val="00E12ABE"/>
    <w:rsid w:val="00E12B1E"/>
    <w:rsid w:val="00E12C42"/>
    <w:rsid w:val="00E135EB"/>
    <w:rsid w:val="00E13995"/>
    <w:rsid w:val="00E14119"/>
    <w:rsid w:val="00E1444C"/>
    <w:rsid w:val="00E14469"/>
    <w:rsid w:val="00E1492B"/>
    <w:rsid w:val="00E14D05"/>
    <w:rsid w:val="00E156A3"/>
    <w:rsid w:val="00E15FA8"/>
    <w:rsid w:val="00E17262"/>
    <w:rsid w:val="00E17F36"/>
    <w:rsid w:val="00E20016"/>
    <w:rsid w:val="00E2009B"/>
    <w:rsid w:val="00E20BB9"/>
    <w:rsid w:val="00E20BCC"/>
    <w:rsid w:val="00E21DDD"/>
    <w:rsid w:val="00E2251C"/>
    <w:rsid w:val="00E2291F"/>
    <w:rsid w:val="00E23388"/>
    <w:rsid w:val="00E2363D"/>
    <w:rsid w:val="00E23C6A"/>
    <w:rsid w:val="00E2484B"/>
    <w:rsid w:val="00E253A2"/>
    <w:rsid w:val="00E260F6"/>
    <w:rsid w:val="00E26122"/>
    <w:rsid w:val="00E26903"/>
    <w:rsid w:val="00E27127"/>
    <w:rsid w:val="00E27233"/>
    <w:rsid w:val="00E274BB"/>
    <w:rsid w:val="00E30B71"/>
    <w:rsid w:val="00E30F15"/>
    <w:rsid w:val="00E31771"/>
    <w:rsid w:val="00E3186D"/>
    <w:rsid w:val="00E31A3E"/>
    <w:rsid w:val="00E32080"/>
    <w:rsid w:val="00E32778"/>
    <w:rsid w:val="00E3309D"/>
    <w:rsid w:val="00E346F4"/>
    <w:rsid w:val="00E34E3F"/>
    <w:rsid w:val="00E350B1"/>
    <w:rsid w:val="00E35339"/>
    <w:rsid w:val="00E353D7"/>
    <w:rsid w:val="00E35A53"/>
    <w:rsid w:val="00E3634A"/>
    <w:rsid w:val="00E3656B"/>
    <w:rsid w:val="00E3712B"/>
    <w:rsid w:val="00E3724A"/>
    <w:rsid w:val="00E378B1"/>
    <w:rsid w:val="00E37C1C"/>
    <w:rsid w:val="00E41131"/>
    <w:rsid w:val="00E41179"/>
    <w:rsid w:val="00E41463"/>
    <w:rsid w:val="00E417BE"/>
    <w:rsid w:val="00E41CD5"/>
    <w:rsid w:val="00E42054"/>
    <w:rsid w:val="00E4273C"/>
    <w:rsid w:val="00E4328C"/>
    <w:rsid w:val="00E4372D"/>
    <w:rsid w:val="00E43889"/>
    <w:rsid w:val="00E43A9E"/>
    <w:rsid w:val="00E44243"/>
    <w:rsid w:val="00E449A8"/>
    <w:rsid w:val="00E453F9"/>
    <w:rsid w:val="00E45D7D"/>
    <w:rsid w:val="00E4623F"/>
    <w:rsid w:val="00E465A0"/>
    <w:rsid w:val="00E4665D"/>
    <w:rsid w:val="00E47854"/>
    <w:rsid w:val="00E478E2"/>
    <w:rsid w:val="00E47EBA"/>
    <w:rsid w:val="00E50156"/>
    <w:rsid w:val="00E504EB"/>
    <w:rsid w:val="00E5076C"/>
    <w:rsid w:val="00E50D2E"/>
    <w:rsid w:val="00E50D7D"/>
    <w:rsid w:val="00E513B4"/>
    <w:rsid w:val="00E51D3C"/>
    <w:rsid w:val="00E51EF0"/>
    <w:rsid w:val="00E53470"/>
    <w:rsid w:val="00E5368D"/>
    <w:rsid w:val="00E539F6"/>
    <w:rsid w:val="00E53B5C"/>
    <w:rsid w:val="00E54698"/>
    <w:rsid w:val="00E54BE9"/>
    <w:rsid w:val="00E54FB4"/>
    <w:rsid w:val="00E5539A"/>
    <w:rsid w:val="00E55791"/>
    <w:rsid w:val="00E55E1A"/>
    <w:rsid w:val="00E578A2"/>
    <w:rsid w:val="00E579ED"/>
    <w:rsid w:val="00E60043"/>
    <w:rsid w:val="00E6105A"/>
    <w:rsid w:val="00E61740"/>
    <w:rsid w:val="00E61EB5"/>
    <w:rsid w:val="00E62429"/>
    <w:rsid w:val="00E6324D"/>
    <w:rsid w:val="00E63AC6"/>
    <w:rsid w:val="00E64782"/>
    <w:rsid w:val="00E647C1"/>
    <w:rsid w:val="00E64D6C"/>
    <w:rsid w:val="00E65084"/>
    <w:rsid w:val="00E6519D"/>
    <w:rsid w:val="00E66062"/>
    <w:rsid w:val="00E6660E"/>
    <w:rsid w:val="00E666EA"/>
    <w:rsid w:val="00E66768"/>
    <w:rsid w:val="00E67305"/>
    <w:rsid w:val="00E673E4"/>
    <w:rsid w:val="00E67696"/>
    <w:rsid w:val="00E67DEF"/>
    <w:rsid w:val="00E7027F"/>
    <w:rsid w:val="00E705A5"/>
    <w:rsid w:val="00E709AF"/>
    <w:rsid w:val="00E70C5F"/>
    <w:rsid w:val="00E71A58"/>
    <w:rsid w:val="00E71ECD"/>
    <w:rsid w:val="00E72774"/>
    <w:rsid w:val="00E72792"/>
    <w:rsid w:val="00E728D7"/>
    <w:rsid w:val="00E72A26"/>
    <w:rsid w:val="00E72A7A"/>
    <w:rsid w:val="00E7335A"/>
    <w:rsid w:val="00E73986"/>
    <w:rsid w:val="00E74234"/>
    <w:rsid w:val="00E7467D"/>
    <w:rsid w:val="00E747DC"/>
    <w:rsid w:val="00E74A2D"/>
    <w:rsid w:val="00E75B3A"/>
    <w:rsid w:val="00E75C94"/>
    <w:rsid w:val="00E76A08"/>
    <w:rsid w:val="00E76B9B"/>
    <w:rsid w:val="00E76BA9"/>
    <w:rsid w:val="00E76C70"/>
    <w:rsid w:val="00E76E61"/>
    <w:rsid w:val="00E76EE4"/>
    <w:rsid w:val="00E77CC0"/>
    <w:rsid w:val="00E801B0"/>
    <w:rsid w:val="00E80B3D"/>
    <w:rsid w:val="00E80CA3"/>
    <w:rsid w:val="00E81504"/>
    <w:rsid w:val="00E81AAA"/>
    <w:rsid w:val="00E82618"/>
    <w:rsid w:val="00E82A42"/>
    <w:rsid w:val="00E82B16"/>
    <w:rsid w:val="00E83D8D"/>
    <w:rsid w:val="00E84E09"/>
    <w:rsid w:val="00E859E5"/>
    <w:rsid w:val="00E874B1"/>
    <w:rsid w:val="00E87811"/>
    <w:rsid w:val="00E87CE2"/>
    <w:rsid w:val="00E87D5B"/>
    <w:rsid w:val="00E90CA8"/>
    <w:rsid w:val="00E911C6"/>
    <w:rsid w:val="00E917A5"/>
    <w:rsid w:val="00E920DE"/>
    <w:rsid w:val="00E930A1"/>
    <w:rsid w:val="00E93820"/>
    <w:rsid w:val="00E93E65"/>
    <w:rsid w:val="00E94A86"/>
    <w:rsid w:val="00E951AB"/>
    <w:rsid w:val="00E953F6"/>
    <w:rsid w:val="00E95DAB"/>
    <w:rsid w:val="00E96018"/>
    <w:rsid w:val="00E96143"/>
    <w:rsid w:val="00E96833"/>
    <w:rsid w:val="00E973D3"/>
    <w:rsid w:val="00E97506"/>
    <w:rsid w:val="00E977B0"/>
    <w:rsid w:val="00E97BB5"/>
    <w:rsid w:val="00E97D5B"/>
    <w:rsid w:val="00E97F14"/>
    <w:rsid w:val="00EA04C3"/>
    <w:rsid w:val="00EA0C68"/>
    <w:rsid w:val="00EA0E39"/>
    <w:rsid w:val="00EA1D0E"/>
    <w:rsid w:val="00EA1DAD"/>
    <w:rsid w:val="00EA2072"/>
    <w:rsid w:val="00EA2841"/>
    <w:rsid w:val="00EA32BC"/>
    <w:rsid w:val="00EA35A7"/>
    <w:rsid w:val="00EA3B32"/>
    <w:rsid w:val="00EA3CEB"/>
    <w:rsid w:val="00EA3D05"/>
    <w:rsid w:val="00EA4222"/>
    <w:rsid w:val="00EA4402"/>
    <w:rsid w:val="00EA4B8D"/>
    <w:rsid w:val="00EA4F0E"/>
    <w:rsid w:val="00EA513E"/>
    <w:rsid w:val="00EA60E9"/>
    <w:rsid w:val="00EA658A"/>
    <w:rsid w:val="00EA7419"/>
    <w:rsid w:val="00EA7CD5"/>
    <w:rsid w:val="00EB070B"/>
    <w:rsid w:val="00EB0E32"/>
    <w:rsid w:val="00EB1CDC"/>
    <w:rsid w:val="00EB1D89"/>
    <w:rsid w:val="00EB3E60"/>
    <w:rsid w:val="00EB4511"/>
    <w:rsid w:val="00EB48D7"/>
    <w:rsid w:val="00EB4994"/>
    <w:rsid w:val="00EB49F1"/>
    <w:rsid w:val="00EB4A8E"/>
    <w:rsid w:val="00EB4BC5"/>
    <w:rsid w:val="00EB599C"/>
    <w:rsid w:val="00EB5BF7"/>
    <w:rsid w:val="00EB5E79"/>
    <w:rsid w:val="00EB620B"/>
    <w:rsid w:val="00EB6DA6"/>
    <w:rsid w:val="00EB6F12"/>
    <w:rsid w:val="00EB6FAC"/>
    <w:rsid w:val="00EB73CA"/>
    <w:rsid w:val="00EB7BAC"/>
    <w:rsid w:val="00EB7CC9"/>
    <w:rsid w:val="00EC03D7"/>
    <w:rsid w:val="00EC0EE6"/>
    <w:rsid w:val="00EC13A7"/>
    <w:rsid w:val="00EC148A"/>
    <w:rsid w:val="00EC1984"/>
    <w:rsid w:val="00EC2177"/>
    <w:rsid w:val="00EC2EB6"/>
    <w:rsid w:val="00EC39F9"/>
    <w:rsid w:val="00EC4FFF"/>
    <w:rsid w:val="00EC51F7"/>
    <w:rsid w:val="00EC53D0"/>
    <w:rsid w:val="00EC5517"/>
    <w:rsid w:val="00EC602A"/>
    <w:rsid w:val="00EC64EC"/>
    <w:rsid w:val="00EC6E8C"/>
    <w:rsid w:val="00EC7386"/>
    <w:rsid w:val="00ED018F"/>
    <w:rsid w:val="00ED05B0"/>
    <w:rsid w:val="00ED0962"/>
    <w:rsid w:val="00ED0EF0"/>
    <w:rsid w:val="00ED0F73"/>
    <w:rsid w:val="00ED12B9"/>
    <w:rsid w:val="00ED15EF"/>
    <w:rsid w:val="00ED16B8"/>
    <w:rsid w:val="00ED1959"/>
    <w:rsid w:val="00ED1A00"/>
    <w:rsid w:val="00ED1CB1"/>
    <w:rsid w:val="00ED1DF0"/>
    <w:rsid w:val="00ED1FB8"/>
    <w:rsid w:val="00ED2386"/>
    <w:rsid w:val="00ED250F"/>
    <w:rsid w:val="00ED2525"/>
    <w:rsid w:val="00ED2EA1"/>
    <w:rsid w:val="00ED3448"/>
    <w:rsid w:val="00ED3851"/>
    <w:rsid w:val="00ED3E51"/>
    <w:rsid w:val="00ED3F10"/>
    <w:rsid w:val="00ED3F9B"/>
    <w:rsid w:val="00ED3FB3"/>
    <w:rsid w:val="00ED4380"/>
    <w:rsid w:val="00ED4D04"/>
    <w:rsid w:val="00ED566D"/>
    <w:rsid w:val="00ED5907"/>
    <w:rsid w:val="00ED5F5B"/>
    <w:rsid w:val="00ED62B7"/>
    <w:rsid w:val="00ED62C6"/>
    <w:rsid w:val="00ED64C1"/>
    <w:rsid w:val="00ED6CDF"/>
    <w:rsid w:val="00ED73B7"/>
    <w:rsid w:val="00ED781F"/>
    <w:rsid w:val="00EE0E7E"/>
    <w:rsid w:val="00EE222F"/>
    <w:rsid w:val="00EE22A5"/>
    <w:rsid w:val="00EE249F"/>
    <w:rsid w:val="00EE2EB4"/>
    <w:rsid w:val="00EE3446"/>
    <w:rsid w:val="00EE3E78"/>
    <w:rsid w:val="00EE41FD"/>
    <w:rsid w:val="00EE460E"/>
    <w:rsid w:val="00EE4B1B"/>
    <w:rsid w:val="00EE5FBA"/>
    <w:rsid w:val="00EE601C"/>
    <w:rsid w:val="00EE66E3"/>
    <w:rsid w:val="00EE6E06"/>
    <w:rsid w:val="00EE7179"/>
    <w:rsid w:val="00EF0C55"/>
    <w:rsid w:val="00EF0D90"/>
    <w:rsid w:val="00EF0DA4"/>
    <w:rsid w:val="00EF150D"/>
    <w:rsid w:val="00EF1F5A"/>
    <w:rsid w:val="00EF23B5"/>
    <w:rsid w:val="00EF2AFA"/>
    <w:rsid w:val="00EF326A"/>
    <w:rsid w:val="00EF3898"/>
    <w:rsid w:val="00EF47BF"/>
    <w:rsid w:val="00EF4D0A"/>
    <w:rsid w:val="00EF52F7"/>
    <w:rsid w:val="00EF59B1"/>
    <w:rsid w:val="00EF5A13"/>
    <w:rsid w:val="00EF5D79"/>
    <w:rsid w:val="00EF5FF9"/>
    <w:rsid w:val="00EF6950"/>
    <w:rsid w:val="00EF6A17"/>
    <w:rsid w:val="00EF75D0"/>
    <w:rsid w:val="00EF77D4"/>
    <w:rsid w:val="00EF7CC7"/>
    <w:rsid w:val="00F00535"/>
    <w:rsid w:val="00F00853"/>
    <w:rsid w:val="00F00866"/>
    <w:rsid w:val="00F0086F"/>
    <w:rsid w:val="00F00EC8"/>
    <w:rsid w:val="00F0160B"/>
    <w:rsid w:val="00F0193E"/>
    <w:rsid w:val="00F03E2F"/>
    <w:rsid w:val="00F03F8D"/>
    <w:rsid w:val="00F044D1"/>
    <w:rsid w:val="00F04811"/>
    <w:rsid w:val="00F04869"/>
    <w:rsid w:val="00F0488C"/>
    <w:rsid w:val="00F04955"/>
    <w:rsid w:val="00F052D2"/>
    <w:rsid w:val="00F0730A"/>
    <w:rsid w:val="00F073ED"/>
    <w:rsid w:val="00F07730"/>
    <w:rsid w:val="00F07C4C"/>
    <w:rsid w:val="00F07E45"/>
    <w:rsid w:val="00F10F11"/>
    <w:rsid w:val="00F11159"/>
    <w:rsid w:val="00F115E4"/>
    <w:rsid w:val="00F11AC4"/>
    <w:rsid w:val="00F120A5"/>
    <w:rsid w:val="00F123DF"/>
    <w:rsid w:val="00F12CFB"/>
    <w:rsid w:val="00F13E60"/>
    <w:rsid w:val="00F13FDB"/>
    <w:rsid w:val="00F15AAA"/>
    <w:rsid w:val="00F15BEF"/>
    <w:rsid w:val="00F17898"/>
    <w:rsid w:val="00F204BF"/>
    <w:rsid w:val="00F205AB"/>
    <w:rsid w:val="00F207C2"/>
    <w:rsid w:val="00F21337"/>
    <w:rsid w:val="00F219A1"/>
    <w:rsid w:val="00F23520"/>
    <w:rsid w:val="00F23E20"/>
    <w:rsid w:val="00F24407"/>
    <w:rsid w:val="00F249CE"/>
    <w:rsid w:val="00F24FAA"/>
    <w:rsid w:val="00F25040"/>
    <w:rsid w:val="00F2507B"/>
    <w:rsid w:val="00F2533E"/>
    <w:rsid w:val="00F25A4E"/>
    <w:rsid w:val="00F26359"/>
    <w:rsid w:val="00F269D7"/>
    <w:rsid w:val="00F27071"/>
    <w:rsid w:val="00F27331"/>
    <w:rsid w:val="00F276D3"/>
    <w:rsid w:val="00F27EE5"/>
    <w:rsid w:val="00F27FB1"/>
    <w:rsid w:val="00F27FD6"/>
    <w:rsid w:val="00F307C3"/>
    <w:rsid w:val="00F307CB"/>
    <w:rsid w:val="00F30C0C"/>
    <w:rsid w:val="00F30C65"/>
    <w:rsid w:val="00F30CA2"/>
    <w:rsid w:val="00F30D46"/>
    <w:rsid w:val="00F321D2"/>
    <w:rsid w:val="00F32649"/>
    <w:rsid w:val="00F33523"/>
    <w:rsid w:val="00F3364D"/>
    <w:rsid w:val="00F33914"/>
    <w:rsid w:val="00F349BF"/>
    <w:rsid w:val="00F34DDC"/>
    <w:rsid w:val="00F36191"/>
    <w:rsid w:val="00F3629F"/>
    <w:rsid w:val="00F363F5"/>
    <w:rsid w:val="00F36DF3"/>
    <w:rsid w:val="00F37362"/>
    <w:rsid w:val="00F37EDC"/>
    <w:rsid w:val="00F416AE"/>
    <w:rsid w:val="00F41C19"/>
    <w:rsid w:val="00F43035"/>
    <w:rsid w:val="00F437CC"/>
    <w:rsid w:val="00F43A77"/>
    <w:rsid w:val="00F43C60"/>
    <w:rsid w:val="00F44537"/>
    <w:rsid w:val="00F44BEE"/>
    <w:rsid w:val="00F45EE4"/>
    <w:rsid w:val="00F45F6A"/>
    <w:rsid w:val="00F46185"/>
    <w:rsid w:val="00F46423"/>
    <w:rsid w:val="00F4680A"/>
    <w:rsid w:val="00F4696A"/>
    <w:rsid w:val="00F47067"/>
    <w:rsid w:val="00F47234"/>
    <w:rsid w:val="00F5199B"/>
    <w:rsid w:val="00F51ADD"/>
    <w:rsid w:val="00F525AB"/>
    <w:rsid w:val="00F525EB"/>
    <w:rsid w:val="00F52CB5"/>
    <w:rsid w:val="00F52D67"/>
    <w:rsid w:val="00F52F07"/>
    <w:rsid w:val="00F53378"/>
    <w:rsid w:val="00F53917"/>
    <w:rsid w:val="00F53A68"/>
    <w:rsid w:val="00F54934"/>
    <w:rsid w:val="00F54C62"/>
    <w:rsid w:val="00F55A92"/>
    <w:rsid w:val="00F5615B"/>
    <w:rsid w:val="00F56809"/>
    <w:rsid w:val="00F575D3"/>
    <w:rsid w:val="00F57983"/>
    <w:rsid w:val="00F57A76"/>
    <w:rsid w:val="00F57D57"/>
    <w:rsid w:val="00F60ECA"/>
    <w:rsid w:val="00F6178B"/>
    <w:rsid w:val="00F61CB5"/>
    <w:rsid w:val="00F62BFF"/>
    <w:rsid w:val="00F62CCE"/>
    <w:rsid w:val="00F63092"/>
    <w:rsid w:val="00F63AAE"/>
    <w:rsid w:val="00F63DDE"/>
    <w:rsid w:val="00F63FB7"/>
    <w:rsid w:val="00F6421B"/>
    <w:rsid w:val="00F647F1"/>
    <w:rsid w:val="00F649D2"/>
    <w:rsid w:val="00F64D5A"/>
    <w:rsid w:val="00F65460"/>
    <w:rsid w:val="00F65CA4"/>
    <w:rsid w:val="00F6602B"/>
    <w:rsid w:val="00F66656"/>
    <w:rsid w:val="00F67077"/>
    <w:rsid w:val="00F6715A"/>
    <w:rsid w:val="00F6779D"/>
    <w:rsid w:val="00F6799D"/>
    <w:rsid w:val="00F703B6"/>
    <w:rsid w:val="00F70CC7"/>
    <w:rsid w:val="00F70DE0"/>
    <w:rsid w:val="00F7150B"/>
    <w:rsid w:val="00F717E4"/>
    <w:rsid w:val="00F71DE6"/>
    <w:rsid w:val="00F72D71"/>
    <w:rsid w:val="00F7381C"/>
    <w:rsid w:val="00F73A0C"/>
    <w:rsid w:val="00F74397"/>
    <w:rsid w:val="00F74B00"/>
    <w:rsid w:val="00F752DC"/>
    <w:rsid w:val="00F7549F"/>
    <w:rsid w:val="00F756DB"/>
    <w:rsid w:val="00F766BE"/>
    <w:rsid w:val="00F767A8"/>
    <w:rsid w:val="00F768DE"/>
    <w:rsid w:val="00F77590"/>
    <w:rsid w:val="00F77A50"/>
    <w:rsid w:val="00F80012"/>
    <w:rsid w:val="00F80BB3"/>
    <w:rsid w:val="00F81340"/>
    <w:rsid w:val="00F81B1E"/>
    <w:rsid w:val="00F81D58"/>
    <w:rsid w:val="00F82C44"/>
    <w:rsid w:val="00F82D14"/>
    <w:rsid w:val="00F82E98"/>
    <w:rsid w:val="00F84E7D"/>
    <w:rsid w:val="00F85066"/>
    <w:rsid w:val="00F868EE"/>
    <w:rsid w:val="00F874F8"/>
    <w:rsid w:val="00F87520"/>
    <w:rsid w:val="00F87A4D"/>
    <w:rsid w:val="00F87C30"/>
    <w:rsid w:val="00F90EEB"/>
    <w:rsid w:val="00F91237"/>
    <w:rsid w:val="00F9135C"/>
    <w:rsid w:val="00F919C6"/>
    <w:rsid w:val="00F91B66"/>
    <w:rsid w:val="00F91C3D"/>
    <w:rsid w:val="00F93688"/>
    <w:rsid w:val="00F939F3"/>
    <w:rsid w:val="00F93C6E"/>
    <w:rsid w:val="00F93F2C"/>
    <w:rsid w:val="00F94390"/>
    <w:rsid w:val="00F947E9"/>
    <w:rsid w:val="00F9516B"/>
    <w:rsid w:val="00F95E27"/>
    <w:rsid w:val="00F962AD"/>
    <w:rsid w:val="00F9644E"/>
    <w:rsid w:val="00F977DB"/>
    <w:rsid w:val="00F97EDD"/>
    <w:rsid w:val="00FA0105"/>
    <w:rsid w:val="00FA05A0"/>
    <w:rsid w:val="00FA0AEF"/>
    <w:rsid w:val="00FA0ECC"/>
    <w:rsid w:val="00FA17CC"/>
    <w:rsid w:val="00FA1CFE"/>
    <w:rsid w:val="00FA1ECA"/>
    <w:rsid w:val="00FA1EE7"/>
    <w:rsid w:val="00FA1F01"/>
    <w:rsid w:val="00FA268D"/>
    <w:rsid w:val="00FA26DF"/>
    <w:rsid w:val="00FA298B"/>
    <w:rsid w:val="00FA32BC"/>
    <w:rsid w:val="00FA3FA8"/>
    <w:rsid w:val="00FA4059"/>
    <w:rsid w:val="00FA4230"/>
    <w:rsid w:val="00FA4574"/>
    <w:rsid w:val="00FA46B9"/>
    <w:rsid w:val="00FA48A4"/>
    <w:rsid w:val="00FA4CB7"/>
    <w:rsid w:val="00FA5112"/>
    <w:rsid w:val="00FA5526"/>
    <w:rsid w:val="00FA5D4D"/>
    <w:rsid w:val="00FA6CB6"/>
    <w:rsid w:val="00FA6CE4"/>
    <w:rsid w:val="00FA6E38"/>
    <w:rsid w:val="00FA70D3"/>
    <w:rsid w:val="00FA7AEC"/>
    <w:rsid w:val="00FB0AEA"/>
    <w:rsid w:val="00FB0DB4"/>
    <w:rsid w:val="00FB0EE2"/>
    <w:rsid w:val="00FB1A79"/>
    <w:rsid w:val="00FB1F0B"/>
    <w:rsid w:val="00FB208B"/>
    <w:rsid w:val="00FB2494"/>
    <w:rsid w:val="00FB2A31"/>
    <w:rsid w:val="00FB2B2D"/>
    <w:rsid w:val="00FB373F"/>
    <w:rsid w:val="00FB542E"/>
    <w:rsid w:val="00FB5580"/>
    <w:rsid w:val="00FB564F"/>
    <w:rsid w:val="00FB59BA"/>
    <w:rsid w:val="00FB6E8F"/>
    <w:rsid w:val="00FB6F62"/>
    <w:rsid w:val="00FB744F"/>
    <w:rsid w:val="00FB7DBB"/>
    <w:rsid w:val="00FC05F8"/>
    <w:rsid w:val="00FC077B"/>
    <w:rsid w:val="00FC0B1B"/>
    <w:rsid w:val="00FC0E5F"/>
    <w:rsid w:val="00FC1070"/>
    <w:rsid w:val="00FC1266"/>
    <w:rsid w:val="00FC1A95"/>
    <w:rsid w:val="00FC1ED4"/>
    <w:rsid w:val="00FC368D"/>
    <w:rsid w:val="00FC3BEC"/>
    <w:rsid w:val="00FC3FC0"/>
    <w:rsid w:val="00FC42C5"/>
    <w:rsid w:val="00FC440B"/>
    <w:rsid w:val="00FC5180"/>
    <w:rsid w:val="00FC56DE"/>
    <w:rsid w:val="00FC5B13"/>
    <w:rsid w:val="00FC5DD2"/>
    <w:rsid w:val="00FC63D9"/>
    <w:rsid w:val="00FC64DE"/>
    <w:rsid w:val="00FC6785"/>
    <w:rsid w:val="00FC684B"/>
    <w:rsid w:val="00FC7D98"/>
    <w:rsid w:val="00FD091B"/>
    <w:rsid w:val="00FD0F8C"/>
    <w:rsid w:val="00FD1135"/>
    <w:rsid w:val="00FD125F"/>
    <w:rsid w:val="00FD3265"/>
    <w:rsid w:val="00FD3CF7"/>
    <w:rsid w:val="00FD4124"/>
    <w:rsid w:val="00FD43E6"/>
    <w:rsid w:val="00FD4916"/>
    <w:rsid w:val="00FD4D12"/>
    <w:rsid w:val="00FD4F73"/>
    <w:rsid w:val="00FD595E"/>
    <w:rsid w:val="00FD5B4C"/>
    <w:rsid w:val="00FD6D53"/>
    <w:rsid w:val="00FD7802"/>
    <w:rsid w:val="00FD7D3B"/>
    <w:rsid w:val="00FD7FBE"/>
    <w:rsid w:val="00FE00E7"/>
    <w:rsid w:val="00FE0730"/>
    <w:rsid w:val="00FE0FB9"/>
    <w:rsid w:val="00FE1B5F"/>
    <w:rsid w:val="00FE27C7"/>
    <w:rsid w:val="00FE2C7E"/>
    <w:rsid w:val="00FE2F78"/>
    <w:rsid w:val="00FE3137"/>
    <w:rsid w:val="00FE3156"/>
    <w:rsid w:val="00FE346B"/>
    <w:rsid w:val="00FE346F"/>
    <w:rsid w:val="00FE37F1"/>
    <w:rsid w:val="00FE431E"/>
    <w:rsid w:val="00FE4418"/>
    <w:rsid w:val="00FE460E"/>
    <w:rsid w:val="00FE48E4"/>
    <w:rsid w:val="00FE521B"/>
    <w:rsid w:val="00FE5466"/>
    <w:rsid w:val="00FE634C"/>
    <w:rsid w:val="00FE6D9C"/>
    <w:rsid w:val="00FE6E69"/>
    <w:rsid w:val="00FE6F59"/>
    <w:rsid w:val="00FE736B"/>
    <w:rsid w:val="00FE7EAB"/>
    <w:rsid w:val="00FF01B6"/>
    <w:rsid w:val="00FF0989"/>
    <w:rsid w:val="00FF0C09"/>
    <w:rsid w:val="00FF0F79"/>
    <w:rsid w:val="00FF1136"/>
    <w:rsid w:val="00FF2666"/>
    <w:rsid w:val="00FF2A6D"/>
    <w:rsid w:val="00FF2D47"/>
    <w:rsid w:val="00FF2F4F"/>
    <w:rsid w:val="00FF3612"/>
    <w:rsid w:val="00FF3D76"/>
    <w:rsid w:val="00FF5B8C"/>
    <w:rsid w:val="00FF6072"/>
    <w:rsid w:val="00FF63E6"/>
    <w:rsid w:val="00FF72DC"/>
    <w:rsid w:val="00FF7B96"/>
    <w:rsid w:val="0523CDF2"/>
    <w:rsid w:val="06B1A837"/>
    <w:rsid w:val="12650F4E"/>
    <w:rsid w:val="1394E51D"/>
    <w:rsid w:val="2A0E9F3A"/>
    <w:rsid w:val="2A2A6298"/>
    <w:rsid w:val="38C72AFC"/>
    <w:rsid w:val="3E4A9713"/>
    <w:rsid w:val="48038D4B"/>
    <w:rsid w:val="49E8263C"/>
    <w:rsid w:val="50A35788"/>
    <w:rsid w:val="52944939"/>
    <w:rsid w:val="5CF587E8"/>
    <w:rsid w:val="6AEA4E8B"/>
    <w:rsid w:val="75B5B79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qFormat/>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character" w:styleId="Sledovanodkaz">
    <w:name w:val="FollowedHyperlink"/>
    <w:basedOn w:val="Standardnpsmoodstavce"/>
    <w:uiPriority w:val="99"/>
    <w:semiHidden/>
    <w:unhideWhenUsed/>
    <w:rsid w:val="004D66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111294050">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Q-makro-2022\Celorok-2022\ENGL\ENGL-Odv&#283;tv&#237;_grafy-rok-2022-ak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Q-makro-2022\Celorok-2022\ENGL\ENGL-Odv&#283;tv&#237;_grafy-rok-2022-ak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Q-makro-2022\Celorok-2022\ENGL\ENGL-Odv&#283;tv&#237;_grafy-rok-2022-ak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Q-makro-2022\Celorok-2022\ENGL\ENGL-Odv&#283;tv&#237;_grafy-rok-2022-ak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Q-makro-2022\Celorok-2022\ENGL\ENGL-Odv&#283;tv&#237;_grafy-rok-2022-ak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610992424025054E-2"/>
          <c:y val="1.5804777005479873E-2"/>
          <c:w val="0.8441910279518956"/>
          <c:h val="0.71607799718837195"/>
        </c:manualLayout>
      </c:layout>
      <c:barChart>
        <c:barDir val="col"/>
        <c:grouping val="stacked"/>
        <c:varyColors val="0"/>
        <c:ser>
          <c:idx val="0"/>
          <c:order val="0"/>
          <c:tx>
            <c:strRef>
              <c:f>'GRAF příspěvky IPP'!$A$27</c:f>
              <c:strCache>
                <c:ptCount val="1"/>
                <c:pt idx="0">
                  <c:v>Manufacture of transport equip. (29, 30)</c:v>
                </c:pt>
              </c:strCache>
            </c:strRef>
          </c:tx>
          <c:spPr>
            <a:solidFill>
              <a:srgbClr val="E8AFB2"/>
            </a:solidFill>
          </c:spPr>
          <c:invertIfNegative val="0"/>
          <c:cat>
            <c:multiLvlStrRef>
              <c:f>'GRAF příspěvky IPP'!$R$25:$AW$26</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'GRAF příspěvky IPP'!$R$27:$AW$27</c:f>
              <c:numCache>
                <c:formatCode>0.0</c:formatCode>
                <c:ptCount val="32"/>
                <c:pt idx="0">
                  <c:v>1.5414336001551852</c:v>
                </c:pt>
                <c:pt idx="1">
                  <c:v>2.1741500812415593</c:v>
                </c:pt>
                <c:pt idx="2">
                  <c:v>2.3807451285231713</c:v>
                </c:pt>
                <c:pt idx="3">
                  <c:v>2.8689756615217954</c:v>
                </c:pt>
                <c:pt idx="4">
                  <c:v>3.3341210196737845</c:v>
                </c:pt>
                <c:pt idx="5">
                  <c:v>2.686672264317759</c:v>
                </c:pt>
                <c:pt idx="6">
                  <c:v>1.480949197612129</c:v>
                </c:pt>
                <c:pt idx="7">
                  <c:v>1.0295786410238907</c:v>
                </c:pt>
                <c:pt idx="8">
                  <c:v>1.7176851530772042</c:v>
                </c:pt>
                <c:pt idx="9">
                  <c:v>2.162430036953364</c:v>
                </c:pt>
                <c:pt idx="10">
                  <c:v>1.6010808371876544</c:v>
                </c:pt>
                <c:pt idx="11">
                  <c:v>1.6765308689366027</c:v>
                </c:pt>
                <c:pt idx="12">
                  <c:v>0.76463369901420963</c:v>
                </c:pt>
                <c:pt idx="13">
                  <c:v>0.53745054525373026</c:v>
                </c:pt>
                <c:pt idx="14">
                  <c:v>0.24390176608722342</c:v>
                </c:pt>
                <c:pt idx="15">
                  <c:v>0.97145099568383697</c:v>
                </c:pt>
                <c:pt idx="16">
                  <c:v>-0.22653642884122754</c:v>
                </c:pt>
                <c:pt idx="17">
                  <c:v>0.48861091853368621</c:v>
                </c:pt>
                <c:pt idx="18">
                  <c:v>0.80855917746087225</c:v>
                </c:pt>
                <c:pt idx="19">
                  <c:v>-1.0897983527427608</c:v>
                </c:pt>
                <c:pt idx="20">
                  <c:v>-1.54355438519358</c:v>
                </c:pt>
                <c:pt idx="21">
                  <c:v>-9.4039632081130193</c:v>
                </c:pt>
                <c:pt idx="22">
                  <c:v>-0.18743733484121544</c:v>
                </c:pt>
                <c:pt idx="23">
                  <c:v>2.0451875585567265</c:v>
                </c:pt>
                <c:pt idx="24">
                  <c:v>1.8998981300154267</c:v>
                </c:pt>
                <c:pt idx="25">
                  <c:v>10.981696435394747</c:v>
                </c:pt>
                <c:pt idx="26">
                  <c:v>-3.777744730919939</c:v>
                </c:pt>
                <c:pt idx="27">
                  <c:v>-3.2745552925864509</c:v>
                </c:pt>
                <c:pt idx="28">
                  <c:v>-1.9102799380643067</c:v>
                </c:pt>
                <c:pt idx="29">
                  <c:v>7.1908710545503574E-2</c:v>
                </c:pt>
                <c:pt idx="30">
                  <c:v>5.6241519876439376</c:v>
                </c:pt>
                <c:pt idx="31">
                  <c:v>4.0478662222931554</c:v>
                </c:pt>
              </c:numCache>
            </c:numRef>
          </c:val>
          <c:extLst>
            <c:ext xmlns:c16="http://schemas.microsoft.com/office/drawing/2014/chart" uri="{C3380CC4-5D6E-409C-BE32-E72D297353CC}">
              <c16:uniqueId val="{00000000-B0A5-4BCC-A34A-019A51465166}"/>
            </c:ext>
          </c:extLst>
        </c:ser>
        <c:ser>
          <c:idx val="1"/>
          <c:order val="1"/>
          <c:tx>
            <c:strRef>
              <c:f>'GRAF příspěvky IPP'!$A$28</c:f>
              <c:strCache>
                <c:ptCount val="1"/>
                <c:pt idx="0">
                  <c:v>Rubber, electro technical ind. (22, 27)</c:v>
                </c:pt>
              </c:strCache>
            </c:strRef>
          </c:tx>
          <c:spPr>
            <a:solidFill>
              <a:srgbClr val="BD1B21"/>
            </a:solidFill>
          </c:spPr>
          <c:invertIfNegative val="0"/>
          <c:cat>
            <c:multiLvlStrRef>
              <c:f>'GRAF příspěvky IPP'!$R$25:$AW$26</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'GRAF příspěvky IPP'!$R$28:$AW$28</c:f>
              <c:numCache>
                <c:formatCode>0.0</c:formatCode>
                <c:ptCount val="32"/>
                <c:pt idx="0">
                  <c:v>1.0327842576995627</c:v>
                </c:pt>
                <c:pt idx="1">
                  <c:v>1.2398193770878816</c:v>
                </c:pt>
                <c:pt idx="2">
                  <c:v>1.4194520754584405</c:v>
                </c:pt>
                <c:pt idx="3">
                  <c:v>0.62945179373892213</c:v>
                </c:pt>
                <c:pt idx="4">
                  <c:v>0.81066950070394839</c:v>
                </c:pt>
                <c:pt idx="5">
                  <c:v>0.15910929112689293</c:v>
                </c:pt>
                <c:pt idx="6">
                  <c:v>0.27430884251769166</c:v>
                </c:pt>
                <c:pt idx="7">
                  <c:v>0.4296681239712602</c:v>
                </c:pt>
                <c:pt idx="8">
                  <c:v>0.81190885185629913</c:v>
                </c:pt>
                <c:pt idx="9">
                  <c:v>1.447816278357023</c:v>
                </c:pt>
                <c:pt idx="10">
                  <c:v>0.86831270392558846</c:v>
                </c:pt>
                <c:pt idx="11">
                  <c:v>1.6467937182997421</c:v>
                </c:pt>
                <c:pt idx="12">
                  <c:v>0.99355825089752003</c:v>
                </c:pt>
                <c:pt idx="13">
                  <c:v>0.32981714268582174</c:v>
                </c:pt>
                <c:pt idx="14">
                  <c:v>0.43066392508053103</c:v>
                </c:pt>
                <c:pt idx="15">
                  <c:v>-5.4042637097958549E-2</c:v>
                </c:pt>
                <c:pt idx="16">
                  <c:v>0.52511448325990218</c:v>
                </c:pt>
                <c:pt idx="17">
                  <c:v>0.41827161057405121</c:v>
                </c:pt>
                <c:pt idx="18">
                  <c:v>0.20321919004157385</c:v>
                </c:pt>
                <c:pt idx="19">
                  <c:v>0.40664545615593151</c:v>
                </c:pt>
                <c:pt idx="20">
                  <c:v>-0.5451880349918935</c:v>
                </c:pt>
                <c:pt idx="21">
                  <c:v>-4.0594843067761079</c:v>
                </c:pt>
                <c:pt idx="22">
                  <c:v>-0.42308415860457249</c:v>
                </c:pt>
                <c:pt idx="23">
                  <c:v>0.57531703991443739</c:v>
                </c:pt>
                <c:pt idx="24">
                  <c:v>0.72127374997619464</c:v>
                </c:pt>
                <c:pt idx="25">
                  <c:v>5.5133080211538443</c:v>
                </c:pt>
                <c:pt idx="26">
                  <c:v>0.63109141066247343</c:v>
                </c:pt>
                <c:pt idx="27">
                  <c:v>-0.40575686667122407</c:v>
                </c:pt>
                <c:pt idx="28">
                  <c:v>9.564994163188717E-2</c:v>
                </c:pt>
                <c:pt idx="29">
                  <c:v>0.14616646719142357</c:v>
                </c:pt>
                <c:pt idx="30">
                  <c:v>0.53290769757744694</c:v>
                </c:pt>
                <c:pt idx="31">
                  <c:v>0.60794822436824048</c:v>
                </c:pt>
              </c:numCache>
            </c:numRef>
          </c:val>
          <c:extLst>
            <c:ext xmlns:c16="http://schemas.microsoft.com/office/drawing/2014/chart" uri="{C3380CC4-5D6E-409C-BE32-E72D297353CC}">
              <c16:uniqueId val="{00000001-B0A5-4BCC-A34A-019A51465166}"/>
            </c:ext>
          </c:extLst>
        </c:ser>
        <c:ser>
          <c:idx val="2"/>
          <c:order val="2"/>
          <c:tx>
            <c:strRef>
              <c:f>'GRAF příspěvky IPP'!$A$29</c:f>
              <c:strCache>
                <c:ptCount val="1"/>
                <c:pt idx="0">
                  <c:v>Machinery (28)</c:v>
                </c:pt>
              </c:strCache>
            </c:strRef>
          </c:tx>
          <c:spPr>
            <a:solidFill>
              <a:srgbClr val="BFE3F7"/>
            </a:solidFill>
          </c:spPr>
          <c:invertIfNegative val="0"/>
          <c:cat>
            <c:multiLvlStrRef>
              <c:f>'GRAF příspěvky IPP'!$R$25:$AW$26</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'GRAF příspěvky IPP'!$R$29:$AW$29</c:f>
              <c:numCache>
                <c:formatCode>0.0</c:formatCode>
                <c:ptCount val="32"/>
                <c:pt idx="0">
                  <c:v>0.27352741322260471</c:v>
                </c:pt>
                <c:pt idx="1">
                  <c:v>0.29435778863230133</c:v>
                </c:pt>
                <c:pt idx="2">
                  <c:v>0.3838190189382153</c:v>
                </c:pt>
                <c:pt idx="3">
                  <c:v>1.9907538862099908E-2</c:v>
                </c:pt>
                <c:pt idx="4">
                  <c:v>0.36213267281302258</c:v>
                </c:pt>
                <c:pt idx="5">
                  <c:v>-6.5064708510287728E-2</c:v>
                </c:pt>
                <c:pt idx="6">
                  <c:v>0.19502661099256183</c:v>
                </c:pt>
                <c:pt idx="7">
                  <c:v>0.31976595271137093</c:v>
                </c:pt>
                <c:pt idx="8">
                  <c:v>0.36260721751312486</c:v>
                </c:pt>
                <c:pt idx="9">
                  <c:v>1.0676230430151594</c:v>
                </c:pt>
                <c:pt idx="10">
                  <c:v>0.84856622097502943</c:v>
                </c:pt>
                <c:pt idx="11">
                  <c:v>0.8011679796708624</c:v>
                </c:pt>
                <c:pt idx="12">
                  <c:v>0.47154480134890669</c:v>
                </c:pt>
                <c:pt idx="13">
                  <c:v>0.14539794495792585</c:v>
                </c:pt>
                <c:pt idx="14">
                  <c:v>0.18518957990291948</c:v>
                </c:pt>
                <c:pt idx="15">
                  <c:v>-0.19190856298894729</c:v>
                </c:pt>
                <c:pt idx="16">
                  <c:v>0.14248219231403364</c:v>
                </c:pt>
                <c:pt idx="17">
                  <c:v>-2.1421773901395595E-2</c:v>
                </c:pt>
                <c:pt idx="18">
                  <c:v>-0.25698546548398382</c:v>
                </c:pt>
                <c:pt idx="19">
                  <c:v>-0.1385976419695116</c:v>
                </c:pt>
                <c:pt idx="20">
                  <c:v>-0.69677730727295717</c:v>
                </c:pt>
                <c:pt idx="21">
                  <c:v>-2.1434069100206701</c:v>
                </c:pt>
                <c:pt idx="22">
                  <c:v>-0.80071965285565583</c:v>
                </c:pt>
                <c:pt idx="23">
                  <c:v>-0.53337369043417571</c:v>
                </c:pt>
                <c:pt idx="24">
                  <c:v>7.0388429332234645E-2</c:v>
                </c:pt>
                <c:pt idx="25">
                  <c:v>2.1082132332125232</c:v>
                </c:pt>
                <c:pt idx="26">
                  <c:v>0.54002718228061808</c:v>
                </c:pt>
                <c:pt idx="27">
                  <c:v>0.28651169955913558</c:v>
                </c:pt>
                <c:pt idx="28">
                  <c:v>0.3825917665588689</c:v>
                </c:pt>
                <c:pt idx="29">
                  <c:v>0.10571776271065517</c:v>
                </c:pt>
                <c:pt idx="30">
                  <c:v>0.49644675486725759</c:v>
                </c:pt>
                <c:pt idx="31">
                  <c:v>0.6596356526852849</c:v>
                </c:pt>
              </c:numCache>
            </c:numRef>
          </c:val>
          <c:extLst>
            <c:ext xmlns:c16="http://schemas.microsoft.com/office/drawing/2014/chart" uri="{C3380CC4-5D6E-409C-BE32-E72D297353CC}">
              <c16:uniqueId val="{00000002-B0A5-4BCC-A34A-019A51465166}"/>
            </c:ext>
          </c:extLst>
        </c:ser>
        <c:ser>
          <c:idx val="3"/>
          <c:order val="3"/>
          <c:tx>
            <c:strRef>
              <c:f>'GRAF příspěvky IPP'!$A$30</c:f>
              <c:strCache>
                <c:ptCount val="1"/>
                <c:pt idx="0">
                  <c:v>Fabricated metal product industry (25)</c:v>
                </c:pt>
              </c:strCache>
            </c:strRef>
          </c:tx>
          <c:spPr>
            <a:solidFill>
              <a:srgbClr val="48AEE7"/>
            </a:solidFill>
          </c:spPr>
          <c:invertIfNegative val="0"/>
          <c:cat>
            <c:multiLvlStrRef>
              <c:f>'GRAF příspěvky IPP'!$R$25:$AW$26</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IPP'!$R$30:$AW$30</c:f>
              <c:numCache>
                <c:formatCode>0.0</c:formatCode>
                <c:ptCount val="32"/>
                <c:pt idx="0">
                  <c:v>0.69497691812608653</c:v>
                </c:pt>
                <c:pt idx="1">
                  <c:v>0.78508725997594475</c:v>
                </c:pt>
                <c:pt idx="2">
                  <c:v>0.99073344247385242</c:v>
                </c:pt>
                <c:pt idx="3">
                  <c:v>0.60112803930591452</c:v>
                </c:pt>
                <c:pt idx="4">
                  <c:v>0.80565108552423126</c:v>
                </c:pt>
                <c:pt idx="5">
                  <c:v>0.37292975928366573</c:v>
                </c:pt>
                <c:pt idx="6">
                  <c:v>0.22874403118707295</c:v>
                </c:pt>
                <c:pt idx="7">
                  <c:v>0.25105221227274938</c:v>
                </c:pt>
                <c:pt idx="8">
                  <c:v>0.3985956654395556</c:v>
                </c:pt>
                <c:pt idx="9">
                  <c:v>0.93860836876068798</c:v>
                </c:pt>
                <c:pt idx="10">
                  <c:v>0.85733344200421946</c:v>
                </c:pt>
                <c:pt idx="11">
                  <c:v>0.96180148351524508</c:v>
                </c:pt>
                <c:pt idx="12">
                  <c:v>0.6638239940502253</c:v>
                </c:pt>
                <c:pt idx="13">
                  <c:v>0.46639173271760564</c:v>
                </c:pt>
                <c:pt idx="14">
                  <c:v>0.40419840691742392</c:v>
                </c:pt>
                <c:pt idx="15">
                  <c:v>0.14440932883616298</c:v>
                </c:pt>
                <c:pt idx="16">
                  <c:v>0.25807569584954437</c:v>
                </c:pt>
                <c:pt idx="17">
                  <c:v>1.4459010693799904E-2</c:v>
                </c:pt>
                <c:pt idx="18">
                  <c:v>-0.25651049213587412</c:v>
                </c:pt>
                <c:pt idx="19">
                  <c:v>-0.34928328908715428</c:v>
                </c:pt>
                <c:pt idx="20">
                  <c:v>-0.60808014688232792</c:v>
                </c:pt>
                <c:pt idx="21">
                  <c:v>-2.0880437771647515</c:v>
                </c:pt>
                <c:pt idx="22">
                  <c:v>-0.5397213489370003</c:v>
                </c:pt>
                <c:pt idx="23">
                  <c:v>0.14511452076092651</c:v>
                </c:pt>
                <c:pt idx="24">
                  <c:v>0.49633095542560085</c:v>
                </c:pt>
                <c:pt idx="25">
                  <c:v>3.0129249260537714</c:v>
                </c:pt>
                <c:pt idx="26">
                  <c:v>0.73648478182031074</c:v>
                </c:pt>
                <c:pt idx="27">
                  <c:v>-5.6080447887036436E-2</c:v>
                </c:pt>
                <c:pt idx="28">
                  <c:v>0.15052763981480349</c:v>
                </c:pt>
                <c:pt idx="29">
                  <c:v>-0.43513827220515977</c:v>
                </c:pt>
                <c:pt idx="30">
                  <c:v>-0.39420121684574294</c:v>
                </c:pt>
                <c:pt idx="31">
                  <c:v>-0.25494692912799483</c:v>
                </c:pt>
              </c:numCache>
            </c:numRef>
          </c:val>
          <c:extLst>
            <c:ext xmlns:c16="http://schemas.microsoft.com/office/drawing/2014/chart" uri="{C3380CC4-5D6E-409C-BE32-E72D297353CC}">
              <c16:uniqueId val="{00000003-B0A5-4BCC-A34A-019A51465166}"/>
            </c:ext>
          </c:extLst>
        </c:ser>
        <c:ser>
          <c:idx val="4"/>
          <c:order val="4"/>
          <c:tx>
            <c:strRef>
              <c:f>'GRAF příspěvky IPP'!$A$31</c:f>
              <c:strCache>
                <c:ptCount val="1"/>
                <c:pt idx="0">
                  <c:v>PC, electronic and optical products (26)</c:v>
                </c:pt>
              </c:strCache>
            </c:strRef>
          </c:tx>
          <c:spPr>
            <a:solidFill>
              <a:srgbClr val="FDDEB3"/>
            </a:solidFill>
          </c:spPr>
          <c:invertIfNegative val="0"/>
          <c:cat>
            <c:multiLvlStrRef>
              <c:f>'GRAF příspěvky IPP'!$R$25:$AW$26</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IPP'!$R$31:$AW$31</c:f>
              <c:numCache>
                <c:formatCode>0.0</c:formatCode>
                <c:ptCount val="32"/>
                <c:pt idx="0">
                  <c:v>0.10273275765267489</c:v>
                </c:pt>
                <c:pt idx="1">
                  <c:v>1.7022273503113708E-2</c:v>
                </c:pt>
                <c:pt idx="2">
                  <c:v>3.14516785151049E-2</c:v>
                </c:pt>
                <c:pt idx="3">
                  <c:v>-6.7148299810871712E-2</c:v>
                </c:pt>
                <c:pt idx="4">
                  <c:v>-1.2685476667277826E-2</c:v>
                </c:pt>
                <c:pt idx="5">
                  <c:v>7.6588175669583008E-2</c:v>
                </c:pt>
                <c:pt idx="6">
                  <c:v>4.5204856094121497E-2</c:v>
                </c:pt>
                <c:pt idx="7">
                  <c:v>0.16194666355811338</c:v>
                </c:pt>
                <c:pt idx="8">
                  <c:v>0.16169573185966199</c:v>
                </c:pt>
                <c:pt idx="9">
                  <c:v>0.34034954986554045</c:v>
                </c:pt>
                <c:pt idx="10">
                  <c:v>0.22387493834902861</c:v>
                </c:pt>
                <c:pt idx="11">
                  <c:v>0.23474883574173058</c:v>
                </c:pt>
                <c:pt idx="12">
                  <c:v>0.37691682805498228</c:v>
                </c:pt>
                <c:pt idx="13">
                  <c:v>0.16170745152429053</c:v>
                </c:pt>
                <c:pt idx="14">
                  <c:v>0.6354136856022391</c:v>
                </c:pt>
                <c:pt idx="15">
                  <c:v>0.32151776055716902</c:v>
                </c:pt>
                <c:pt idx="16">
                  <c:v>-0.11432204894408431</c:v>
                </c:pt>
                <c:pt idx="17">
                  <c:v>-5.1757146500390386E-2</c:v>
                </c:pt>
                <c:pt idx="18">
                  <c:v>-0.58706510968263703</c:v>
                </c:pt>
                <c:pt idx="19">
                  <c:v>-0.35487188237441031</c:v>
                </c:pt>
                <c:pt idx="20">
                  <c:v>-8.5397778834990529E-2</c:v>
                </c:pt>
                <c:pt idx="21">
                  <c:v>-0.27817734072291866</c:v>
                </c:pt>
                <c:pt idx="22">
                  <c:v>-2.9065624151318084E-3</c:v>
                </c:pt>
                <c:pt idx="23">
                  <c:v>-5.9498285904227661E-3</c:v>
                </c:pt>
                <c:pt idx="24">
                  <c:v>0.12344573775217317</c:v>
                </c:pt>
                <c:pt idx="25">
                  <c:v>0.16503598968244623</c:v>
                </c:pt>
                <c:pt idx="26">
                  <c:v>0.2187690869142794</c:v>
                </c:pt>
                <c:pt idx="27">
                  <c:v>-0.21769009003114986</c:v>
                </c:pt>
                <c:pt idx="28">
                  <c:v>1.9919062957815679E-2</c:v>
                </c:pt>
                <c:pt idx="29">
                  <c:v>-9.7779772813260876E-3</c:v>
                </c:pt>
                <c:pt idx="30">
                  <c:v>6.4933152168677274E-2</c:v>
                </c:pt>
                <c:pt idx="31">
                  <c:v>0.43528438515827672</c:v>
                </c:pt>
              </c:numCache>
            </c:numRef>
          </c:val>
          <c:extLst>
            <c:ext xmlns:c16="http://schemas.microsoft.com/office/drawing/2014/chart" uri="{C3380CC4-5D6E-409C-BE32-E72D297353CC}">
              <c16:uniqueId val="{00000004-B0A5-4BCC-A34A-019A51465166}"/>
            </c:ext>
          </c:extLst>
        </c:ser>
        <c:ser>
          <c:idx val="5"/>
          <c:order val="5"/>
          <c:tx>
            <c:strRef>
              <c:f>'GRAF příspěvky IPP'!$A$32</c:f>
              <c:strCache>
                <c:ptCount val="1"/>
                <c:pt idx="0">
                  <c:v>Chemical, pharmaceutical ind. (20, 21)</c:v>
                </c:pt>
              </c:strCache>
            </c:strRef>
          </c:tx>
          <c:spPr>
            <a:solidFill>
              <a:srgbClr val="F8A124"/>
            </a:solidFill>
            <a:ln>
              <a:noFill/>
            </a:ln>
          </c:spPr>
          <c:invertIfNegative val="0"/>
          <c:cat>
            <c:multiLvlStrRef>
              <c:f>'GRAF příspěvky IPP'!$R$25:$AW$26</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IPP'!$R$32:$AW$32</c:f>
              <c:numCache>
                <c:formatCode>0.0</c:formatCode>
                <c:ptCount val="32"/>
                <c:pt idx="0">
                  <c:v>7.7208317080078276E-2</c:v>
                </c:pt>
                <c:pt idx="1">
                  <c:v>0.23592866818826697</c:v>
                </c:pt>
                <c:pt idx="2">
                  <c:v>-0.16336143877828857</c:v>
                </c:pt>
                <c:pt idx="3">
                  <c:v>-0.33439989501657991</c:v>
                </c:pt>
                <c:pt idx="4">
                  <c:v>-0.41779515285163249</c:v>
                </c:pt>
                <c:pt idx="5">
                  <c:v>-0.42569819359762023</c:v>
                </c:pt>
                <c:pt idx="6">
                  <c:v>-0.10788089066016893</c:v>
                </c:pt>
                <c:pt idx="7">
                  <c:v>0.23743965472329742</c:v>
                </c:pt>
                <c:pt idx="8">
                  <c:v>0.52311070740015475</c:v>
                </c:pt>
                <c:pt idx="9">
                  <c:v>0.82341422334347203</c:v>
                </c:pt>
                <c:pt idx="10">
                  <c:v>0.65076836480306144</c:v>
                </c:pt>
                <c:pt idx="11">
                  <c:v>0.50493978173151843</c:v>
                </c:pt>
                <c:pt idx="12">
                  <c:v>0.40295639892988067</c:v>
                </c:pt>
                <c:pt idx="13">
                  <c:v>8.0557374992047126E-2</c:v>
                </c:pt>
                <c:pt idx="14">
                  <c:v>-5.3154805616806716E-2</c:v>
                </c:pt>
                <c:pt idx="15">
                  <c:v>-6.7994611415210252E-2</c:v>
                </c:pt>
                <c:pt idx="16">
                  <c:v>0.10386183133359356</c:v>
                </c:pt>
                <c:pt idx="17">
                  <c:v>4.7610492592970455E-2</c:v>
                </c:pt>
                <c:pt idx="18">
                  <c:v>0.23071819932128132</c:v>
                </c:pt>
                <c:pt idx="19">
                  <c:v>3.0462943071166648E-2</c:v>
                </c:pt>
                <c:pt idx="20">
                  <c:v>-3.121877831637726E-2</c:v>
                </c:pt>
                <c:pt idx="21">
                  <c:v>-0.54858975903434926</c:v>
                </c:pt>
                <c:pt idx="22">
                  <c:v>-0.21411469460909963</c:v>
                </c:pt>
                <c:pt idx="23">
                  <c:v>0.43233148897113949</c:v>
                </c:pt>
                <c:pt idx="24">
                  <c:v>0.28829426971776501</c:v>
                </c:pt>
                <c:pt idx="25">
                  <c:v>0.79933281321603356</c:v>
                </c:pt>
                <c:pt idx="26">
                  <c:v>0.31192170113272516</c:v>
                </c:pt>
                <c:pt idx="27">
                  <c:v>7.2471498351694613E-2</c:v>
                </c:pt>
                <c:pt idx="28">
                  <c:v>0.25226208715448495</c:v>
                </c:pt>
                <c:pt idx="29">
                  <c:v>0.17185604089715317</c:v>
                </c:pt>
                <c:pt idx="30">
                  <c:v>-8.9143418130066598E-2</c:v>
                </c:pt>
                <c:pt idx="31">
                  <c:v>-0.26779459078234175</c:v>
                </c:pt>
              </c:numCache>
            </c:numRef>
          </c:val>
          <c:extLst>
            <c:ext xmlns:c16="http://schemas.microsoft.com/office/drawing/2014/chart" uri="{C3380CC4-5D6E-409C-BE32-E72D297353CC}">
              <c16:uniqueId val="{00000005-B0A5-4BCC-A34A-019A51465166}"/>
            </c:ext>
          </c:extLst>
        </c:ser>
        <c:ser>
          <c:idx val="6"/>
          <c:order val="6"/>
          <c:tx>
            <c:strRef>
              <c:f>'GRAF příspěvky IPP'!$A$33</c:f>
              <c:strCache>
                <c:ptCount val="1"/>
                <c:pt idx="0">
                  <c:v>Remaining manufacturing industry</c:v>
                </c:pt>
              </c:strCache>
            </c:strRef>
          </c:tx>
          <c:spPr>
            <a:solidFill>
              <a:schemeClr val="bg1">
                <a:lumMod val="85000"/>
              </a:schemeClr>
            </a:solidFill>
          </c:spPr>
          <c:invertIfNegative val="0"/>
          <c:cat>
            <c:multiLvlStrRef>
              <c:f>'GRAF příspěvky IPP'!$R$25:$AW$26</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IPP'!$R$33:$AW$33</c:f>
              <c:numCache>
                <c:formatCode>0.0</c:formatCode>
                <c:ptCount val="32"/>
                <c:pt idx="0">
                  <c:v>0.98358746940884245</c:v>
                </c:pt>
                <c:pt idx="1">
                  <c:v>0.89923246363091325</c:v>
                </c:pt>
                <c:pt idx="2">
                  <c:v>1.0053837817799574</c:v>
                </c:pt>
                <c:pt idx="3">
                  <c:v>-0.19974639261354676</c:v>
                </c:pt>
                <c:pt idx="4">
                  <c:v>0.24329990001740021</c:v>
                </c:pt>
                <c:pt idx="5">
                  <c:v>-0.35930073634947618</c:v>
                </c:pt>
                <c:pt idx="6">
                  <c:v>5.4611870755817526E-2</c:v>
                </c:pt>
                <c:pt idx="7">
                  <c:v>0.57938738739229823</c:v>
                </c:pt>
                <c:pt idx="8">
                  <c:v>0.10796722998385244</c:v>
                </c:pt>
                <c:pt idx="9">
                  <c:v>1.484966796227404</c:v>
                </c:pt>
                <c:pt idx="10">
                  <c:v>0.76494329225869084</c:v>
                </c:pt>
                <c:pt idx="11">
                  <c:v>0.9298110177603145</c:v>
                </c:pt>
                <c:pt idx="12">
                  <c:v>1.1595945228996394</c:v>
                </c:pt>
                <c:pt idx="13">
                  <c:v>0.67905455733759479</c:v>
                </c:pt>
                <c:pt idx="14">
                  <c:v>1.1071544502276871</c:v>
                </c:pt>
                <c:pt idx="15">
                  <c:v>0.4584448107077318</c:v>
                </c:pt>
                <c:pt idx="16">
                  <c:v>-4.2034374602800018E-2</c:v>
                </c:pt>
                <c:pt idx="17">
                  <c:v>4.7080538912348396E-2</c:v>
                </c:pt>
                <c:pt idx="18">
                  <c:v>-0.67715517865176933</c:v>
                </c:pt>
                <c:pt idx="19">
                  <c:v>-0.19783909206023381</c:v>
                </c:pt>
                <c:pt idx="20">
                  <c:v>7.5330777097780563E-2</c:v>
                </c:pt>
                <c:pt idx="21">
                  <c:v>-2.8438492263065807</c:v>
                </c:pt>
                <c:pt idx="22">
                  <c:v>8.8873578450232471E-2</c:v>
                </c:pt>
                <c:pt idx="23">
                  <c:v>0.13876281570829019</c:v>
                </c:pt>
                <c:pt idx="24">
                  <c:v>0.21014615403229484</c:v>
                </c:pt>
                <c:pt idx="25">
                  <c:v>5.1936386612240169</c:v>
                </c:pt>
                <c:pt idx="26">
                  <c:v>1.0321859362308032</c:v>
                </c:pt>
                <c:pt idx="27">
                  <c:v>0.89717493659966907</c:v>
                </c:pt>
                <c:pt idx="28">
                  <c:v>1.4488761025604127</c:v>
                </c:pt>
                <c:pt idx="29">
                  <c:v>0.43148107157606835</c:v>
                </c:pt>
                <c:pt idx="30">
                  <c:v>-0.55869597945929184</c:v>
                </c:pt>
                <c:pt idx="31">
                  <c:v>-0.67912238159015614</c:v>
                </c:pt>
              </c:numCache>
            </c:numRef>
          </c:val>
          <c:extLst>
            <c:ext xmlns:c16="http://schemas.microsoft.com/office/drawing/2014/chart" uri="{C3380CC4-5D6E-409C-BE32-E72D297353CC}">
              <c16:uniqueId val="{00000006-B0A5-4BCC-A34A-019A51465166}"/>
            </c:ext>
          </c:extLst>
        </c:ser>
        <c:ser>
          <c:idx val="7"/>
          <c:order val="7"/>
          <c:tx>
            <c:strRef>
              <c:f>'GRAF příspěvky IPP'!$A$34</c:f>
              <c:strCache>
                <c:ptCount val="1"/>
                <c:pt idx="0">
                  <c:v>Mining and energetics (B, D)</c:v>
                </c:pt>
              </c:strCache>
            </c:strRef>
          </c:tx>
          <c:spPr>
            <a:solidFill>
              <a:srgbClr val="808080"/>
            </a:solidFill>
          </c:spPr>
          <c:invertIfNegative val="0"/>
          <c:cat>
            <c:multiLvlStrRef>
              <c:f>'GRAF příspěvky IPP'!$R$25:$AW$26</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IPP'!$R$34:$AW$34</c:f>
              <c:numCache>
                <c:formatCode>0.0</c:formatCode>
                <c:ptCount val="32"/>
                <c:pt idx="0">
                  <c:v>0.14536897805497162</c:v>
                </c:pt>
                <c:pt idx="1">
                  <c:v>-0.33983324755997268</c:v>
                </c:pt>
                <c:pt idx="2">
                  <c:v>-0.39725135811041795</c:v>
                </c:pt>
                <c:pt idx="3">
                  <c:v>-1.114644115487744</c:v>
                </c:pt>
                <c:pt idx="4">
                  <c:v>-0.64587487131351107</c:v>
                </c:pt>
                <c:pt idx="5">
                  <c:v>9.8834575359488031E-2</c:v>
                </c:pt>
                <c:pt idx="6">
                  <c:v>-0.47676721369922492</c:v>
                </c:pt>
                <c:pt idx="7">
                  <c:v>0.50385695934700236</c:v>
                </c:pt>
                <c:pt idx="8">
                  <c:v>0.66227118757014092</c:v>
                </c:pt>
                <c:pt idx="9">
                  <c:v>-0.18254891472265217</c:v>
                </c:pt>
                <c:pt idx="10">
                  <c:v>0.77170124339672286</c:v>
                </c:pt>
                <c:pt idx="11">
                  <c:v>0.73276064564397903</c:v>
                </c:pt>
                <c:pt idx="12">
                  <c:v>-0.53888499639537091</c:v>
                </c:pt>
                <c:pt idx="13">
                  <c:v>4.2147847309763065E-3</c:v>
                </c:pt>
                <c:pt idx="14">
                  <c:v>0.78783573859879075</c:v>
                </c:pt>
                <c:pt idx="15">
                  <c:v>0.33124933161720838</c:v>
                </c:pt>
                <c:pt idx="16">
                  <c:v>0.21326825173098596</c:v>
                </c:pt>
                <c:pt idx="17">
                  <c:v>4.5891627194929563E-2</c:v>
                </c:pt>
                <c:pt idx="18">
                  <c:v>-0.66559651426949951</c:v>
                </c:pt>
                <c:pt idx="19">
                  <c:v>-0.33090808889302359</c:v>
                </c:pt>
                <c:pt idx="20">
                  <c:v>-0.97342506810566587</c:v>
                </c:pt>
                <c:pt idx="21">
                  <c:v>-1.5875613971615949</c:v>
                </c:pt>
                <c:pt idx="22">
                  <c:v>-0.71564578738754847</c:v>
                </c:pt>
                <c:pt idx="23">
                  <c:v>-0.69506985368693841</c:v>
                </c:pt>
                <c:pt idx="24">
                  <c:v>0.48072477574831768</c:v>
                </c:pt>
                <c:pt idx="25">
                  <c:v>0.46331760076263306</c:v>
                </c:pt>
                <c:pt idx="26">
                  <c:v>0.22196846067872936</c:v>
                </c:pt>
                <c:pt idx="27">
                  <c:v>0.81349879426535543</c:v>
                </c:pt>
                <c:pt idx="28">
                  <c:v>-0.17502569401397033</c:v>
                </c:pt>
                <c:pt idx="29">
                  <c:v>0.27464113436568205</c:v>
                </c:pt>
                <c:pt idx="30">
                  <c:v>0.37981651547778367</c:v>
                </c:pt>
                <c:pt idx="31">
                  <c:v>-1.3730226786044646</c:v>
                </c:pt>
              </c:numCache>
            </c:numRef>
          </c:val>
          <c:extLst>
            <c:ext xmlns:c16="http://schemas.microsoft.com/office/drawing/2014/chart" uri="{C3380CC4-5D6E-409C-BE32-E72D297353CC}">
              <c16:uniqueId val="{00000007-B0A5-4BCC-A34A-019A51465166}"/>
            </c:ext>
          </c:extLst>
        </c:ser>
        <c:dLbls>
          <c:showLegendKey val="0"/>
          <c:showVal val="0"/>
          <c:showCatName val="0"/>
          <c:showSerName val="0"/>
          <c:showPercent val="0"/>
          <c:showBubbleSize val="0"/>
        </c:dLbls>
        <c:gapWidth val="15"/>
        <c:overlap val="100"/>
        <c:axId val="112768128"/>
        <c:axId val="112769664"/>
      </c:barChart>
      <c:lineChart>
        <c:grouping val="standard"/>
        <c:varyColors val="0"/>
        <c:ser>
          <c:idx val="8"/>
          <c:order val="8"/>
          <c:tx>
            <c:strRef>
              <c:f>'GRAF příspěvky IPP'!$A$35</c:f>
              <c:strCache>
                <c:ptCount val="1"/>
                <c:pt idx="0">
                  <c:v>Total output in industry (NACE B to D)</c:v>
                </c:pt>
              </c:strCache>
            </c:strRef>
          </c:tx>
          <c:spPr>
            <a:ln w="19050">
              <a:noFill/>
            </a:ln>
          </c:spPr>
          <c:marker>
            <c:symbol val="circle"/>
            <c:size val="4"/>
            <c:spPr>
              <a:solidFill>
                <a:schemeClr val="bg1"/>
              </a:solidFill>
              <a:ln>
                <a:solidFill>
                  <a:schemeClr val="tx1">
                    <a:lumMod val="95000"/>
                    <a:lumOff val="5000"/>
                  </a:schemeClr>
                </a:solidFill>
              </a:ln>
            </c:spPr>
          </c:marker>
          <c:cat>
            <c:multiLvlStrRef>
              <c:f>'GRAF příspěvky IPP'!$R$25:$AW$26</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IPP'!$R$35:$AW$35</c:f>
              <c:numCache>
                <c:formatCode>0.0</c:formatCode>
                <c:ptCount val="32"/>
                <c:pt idx="0">
                  <c:v>4.8516197114000059</c:v>
                </c:pt>
                <c:pt idx="1">
                  <c:v>5.3057646647000078</c:v>
                </c:pt>
                <c:pt idx="2">
                  <c:v>5.6509723288000364</c:v>
                </c:pt>
                <c:pt idx="3">
                  <c:v>2.4035243304999891</c:v>
                </c:pt>
                <c:pt idx="4">
                  <c:v>4.4795186778999661</c:v>
                </c:pt>
                <c:pt idx="5">
                  <c:v>2.5440704273000043</c:v>
                </c:pt>
                <c:pt idx="6">
                  <c:v>1.6941973048000005</c:v>
                </c:pt>
                <c:pt idx="7">
                  <c:v>3.512695594999983</c:v>
                </c:pt>
                <c:pt idx="8">
                  <c:v>4.7458417446999945</c:v>
                </c:pt>
                <c:pt idx="9">
                  <c:v>8.0826593817999992</c:v>
                </c:pt>
                <c:pt idx="10">
                  <c:v>6.5865810428999962</c:v>
                </c:pt>
                <c:pt idx="11">
                  <c:v>7.4885543312999943</c:v>
                </c:pt>
                <c:pt idx="12">
                  <c:v>4.2941434987999934</c:v>
                </c:pt>
                <c:pt idx="13">
                  <c:v>2.4045915341999926</c:v>
                </c:pt>
                <c:pt idx="14">
                  <c:v>3.7412027468000084</c:v>
                </c:pt>
                <c:pt idx="15">
                  <c:v>1.913126415899993</c:v>
                </c:pt>
                <c:pt idx="16">
                  <c:v>0.85990960209994793</c:v>
                </c:pt>
                <c:pt idx="17">
                  <c:v>0.98874527809999968</c:v>
                </c:pt>
                <c:pt idx="18">
                  <c:v>-1.2008161934000363</c:v>
                </c:pt>
                <c:pt idx="19">
                  <c:v>-2.0241899478999965</c:v>
                </c:pt>
                <c:pt idx="20">
                  <c:v>-4.408310722500012</c:v>
                </c:pt>
                <c:pt idx="21">
                  <c:v>-22.953075925300002</c:v>
                </c:pt>
                <c:pt idx="22">
                  <c:v>-2.7947559611999915</c:v>
                </c:pt>
                <c:pt idx="23">
                  <c:v>2.1023200511999836</c:v>
                </c:pt>
                <c:pt idx="24">
                  <c:v>4.2905022020000079</c:v>
                </c:pt>
                <c:pt idx="25">
                  <c:v>28.237467680700014</c:v>
                </c:pt>
                <c:pt idx="26">
                  <c:v>-8.5296171199999715E-2</c:v>
                </c:pt>
                <c:pt idx="27">
                  <c:v>-1.8844257684000061</c:v>
                </c:pt>
                <c:pt idx="28">
                  <c:v>0.26452096859999585</c:v>
                </c:pt>
                <c:pt idx="29">
                  <c:v>0.75685493780000002</c:v>
                </c:pt>
                <c:pt idx="30">
                  <c:v>6.0562154933000016</c:v>
                </c:pt>
                <c:pt idx="31">
                  <c:v>3.1758479044000012</c:v>
                </c:pt>
              </c:numCache>
            </c:numRef>
          </c:val>
          <c:smooth val="0"/>
          <c:extLst>
            <c:ext xmlns:c16="http://schemas.microsoft.com/office/drawing/2014/chart" uri="{C3380CC4-5D6E-409C-BE32-E72D297353CC}">
              <c16:uniqueId val="{00000008-B0A5-4BCC-A34A-019A51465166}"/>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9"/>
          <c:order val="9"/>
          <c:tx>
            <c:strRef>
              <c:f>'GRAF příspěvky IPP'!$A$36</c:f>
              <c:strCache>
                <c:ptCount val="1"/>
              </c:strCache>
            </c:strRef>
          </c:tx>
          <c:spPr>
            <a:ln w="15875">
              <a:noFill/>
              <a:prstDash val="sysDot"/>
            </a:ln>
          </c:spPr>
          <c:marker>
            <c:symbol val="none"/>
          </c:marker>
          <c:cat>
            <c:multiLvlStrRef>
              <c:f>'GRAF příspěvky IPP'!$R$25:$AW$26</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IPP'!$R$36:$AW$36</c:f>
              <c:numCache>
                <c:formatCode>General</c:formatCode>
                <c:ptCount val="32"/>
              </c:numCache>
            </c:numRef>
          </c:val>
          <c:smooth val="0"/>
          <c:extLst>
            <c:ext xmlns:c16="http://schemas.microsoft.com/office/drawing/2014/chart" uri="{C3380CC4-5D6E-409C-BE32-E72D297353CC}">
              <c16:uniqueId val="{00000009-B0A5-4BCC-A34A-019A51465166}"/>
            </c:ext>
          </c:extLst>
        </c:ser>
        <c:ser>
          <c:idx val="10"/>
          <c:order val="10"/>
          <c:tx>
            <c:strRef>
              <c:f>'GRAF příspěvky IPP'!$A$37</c:f>
              <c:strCache>
                <c:ptCount val="1"/>
                <c:pt idx="0">
                  <c:v>Output, total industry (basis 2015=100)</c:v>
                </c:pt>
              </c:strCache>
            </c:strRef>
          </c:tx>
          <c:spPr>
            <a:ln w="15875">
              <a:solidFill>
                <a:schemeClr val="tx1">
                  <a:lumMod val="95000"/>
                  <a:lumOff val="5000"/>
                </a:schemeClr>
              </a:solidFill>
            </a:ln>
          </c:spPr>
          <c:marker>
            <c:symbol val="none"/>
          </c:marker>
          <c:cat>
            <c:multiLvlStrRef>
              <c:f>'GRAF příspěvky IPP'!$R$25:$AW$26</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IPP'!$R$37:$AW$37</c:f>
              <c:numCache>
                <c:formatCode>##0.0</c:formatCode>
                <c:ptCount val="32"/>
                <c:pt idx="0">
                  <c:v>98.645602479999994</c:v>
                </c:pt>
                <c:pt idx="1">
                  <c:v>100.18242374</c:v>
                </c:pt>
                <c:pt idx="2">
                  <c:v>101.2850845633</c:v>
                </c:pt>
                <c:pt idx="3">
                  <c:v>100.52111345</c:v>
                </c:pt>
                <c:pt idx="4">
                  <c:v>103.0563593</c:v>
                </c:pt>
                <c:pt idx="5">
                  <c:v>102.5992794233</c:v>
                </c:pt>
                <c:pt idx="6">
                  <c:v>102.83954233670001</c:v>
                </c:pt>
                <c:pt idx="7">
                  <c:v>104.07328304329999</c:v>
                </c:pt>
                <c:pt idx="8">
                  <c:v>107.56794223670001</c:v>
                </c:pt>
                <c:pt idx="9">
                  <c:v>110.67653848</c:v>
                </c:pt>
                <c:pt idx="10">
                  <c:v>109.9586102967</c:v>
                </c:pt>
                <c:pt idx="11">
                  <c:v>112.16043972999999</c:v>
                </c:pt>
                <c:pt idx="12">
                  <c:v>112.4788675433</c:v>
                </c:pt>
                <c:pt idx="13">
                  <c:v>113.5077588267</c:v>
                </c:pt>
                <c:pt idx="14">
                  <c:v>114.2538401133</c:v>
                </c:pt>
                <c:pt idx="15">
                  <c:v>113.8813012367</c:v>
                </c:pt>
                <c:pt idx="16">
                  <c:v>113.3884428333</c:v>
                </c:pt>
                <c:pt idx="17">
                  <c:v>115.08486213330001</c:v>
                </c:pt>
                <c:pt idx="18">
                  <c:v>112.5355021167</c:v>
                </c:pt>
                <c:pt idx="19">
                  <c:v>111.4403992933</c:v>
                </c:pt>
                <c:pt idx="20">
                  <c:v>108.6749157867</c:v>
                </c:pt>
                <c:pt idx="21">
                  <c:v>88.9758235133</c:v>
                </c:pt>
                <c:pt idx="22">
                  <c:v>109.4050159767</c:v>
                </c:pt>
                <c:pt idx="23">
                  <c:v>113.95534517</c:v>
                </c:pt>
                <c:pt idx="24">
                  <c:v>112.2920782133</c:v>
                </c:pt>
                <c:pt idx="25">
                  <c:v>113.25779428</c:v>
                </c:pt>
                <c:pt idx="26">
                  <c:v>110.3519137733</c:v>
                </c:pt>
                <c:pt idx="27">
                  <c:v>111.2413768733</c:v>
                </c:pt>
                <c:pt idx="28">
                  <c:v>113.30469189999999</c:v>
                </c:pt>
                <c:pt idx="29">
                  <c:v>114.2816303</c:v>
                </c:pt>
                <c:pt idx="30">
                  <c:v>116.4354895833</c:v>
                </c:pt>
                <c:pt idx="31">
                  <c:v>115.1998627</c:v>
                </c:pt>
              </c:numCache>
            </c:numRef>
          </c:val>
          <c:smooth val="0"/>
          <c:extLst>
            <c:ext xmlns:c16="http://schemas.microsoft.com/office/drawing/2014/chart" uri="{C3380CC4-5D6E-409C-BE32-E72D297353CC}">
              <c16:uniqueId val="{0000000A-B0A5-4BCC-A34A-019A51465166}"/>
            </c:ext>
          </c:extLst>
        </c:ser>
        <c:ser>
          <c:idx val="11"/>
          <c:order val="11"/>
          <c:tx>
            <c:strRef>
              <c:f>'GRAF příspěvky IPP'!$A$38</c:f>
              <c:strCache>
                <c:ptCount val="1"/>
                <c:pt idx="0">
                  <c:v>Sales, total industry (basis 2015=100)</c:v>
                </c:pt>
              </c:strCache>
            </c:strRef>
          </c:tx>
          <c:spPr>
            <a:ln w="15875">
              <a:solidFill>
                <a:schemeClr val="tx1">
                  <a:lumMod val="50000"/>
                  <a:lumOff val="50000"/>
                </a:schemeClr>
              </a:solidFill>
              <a:prstDash val="sysDash"/>
            </a:ln>
          </c:spPr>
          <c:marker>
            <c:symbol val="none"/>
          </c:marker>
          <c:cat>
            <c:multiLvlStrRef>
              <c:f>'GRAF příspěvky IPP'!$R$25:$AW$26</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IPP'!$R$38:$AW$38</c:f>
              <c:numCache>
                <c:formatCode>##0.0</c:formatCode>
                <c:ptCount val="32"/>
                <c:pt idx="0">
                  <c:v>98.928647706700005</c:v>
                </c:pt>
                <c:pt idx="1">
                  <c:v>100.52995774670001</c:v>
                </c:pt>
                <c:pt idx="2">
                  <c:v>100.75502845</c:v>
                </c:pt>
                <c:pt idx="3">
                  <c:v>99.786366096699993</c:v>
                </c:pt>
                <c:pt idx="4">
                  <c:v>100.23325782000001</c:v>
                </c:pt>
                <c:pt idx="5">
                  <c:v>99.062532509999997</c:v>
                </c:pt>
                <c:pt idx="6">
                  <c:v>100.58475803669999</c:v>
                </c:pt>
                <c:pt idx="7">
                  <c:v>103.3260101133</c:v>
                </c:pt>
                <c:pt idx="8">
                  <c:v>106.91453119329999</c:v>
                </c:pt>
                <c:pt idx="9">
                  <c:v>109.5325771033</c:v>
                </c:pt>
                <c:pt idx="10">
                  <c:v>107.5092221533</c:v>
                </c:pt>
                <c:pt idx="11">
                  <c:v>109.11652482</c:v>
                </c:pt>
                <c:pt idx="12">
                  <c:v>110.0374085</c:v>
                </c:pt>
                <c:pt idx="13">
                  <c:v>110.9731715833</c:v>
                </c:pt>
                <c:pt idx="14">
                  <c:v>113.0288010533</c:v>
                </c:pt>
                <c:pt idx="15">
                  <c:v>114.48280249</c:v>
                </c:pt>
                <c:pt idx="16">
                  <c:v>113.39006211</c:v>
                </c:pt>
                <c:pt idx="17">
                  <c:v>115.2735759567</c:v>
                </c:pt>
                <c:pt idx="18">
                  <c:v>112.1540635667</c:v>
                </c:pt>
                <c:pt idx="19">
                  <c:v>111.5258905033</c:v>
                </c:pt>
                <c:pt idx="20">
                  <c:v>109.6038404267</c:v>
                </c:pt>
                <c:pt idx="21">
                  <c:v>88.713331716699997</c:v>
                </c:pt>
                <c:pt idx="22">
                  <c:v>110.6502057333</c:v>
                </c:pt>
                <c:pt idx="23">
                  <c:v>116.5514529133</c:v>
                </c:pt>
                <c:pt idx="24">
                  <c:v>116.5100608533</c:v>
                </c:pt>
                <c:pt idx="25">
                  <c:v>118.2855516467</c:v>
                </c:pt>
                <c:pt idx="26">
                  <c:v>115.0804897467</c:v>
                </c:pt>
                <c:pt idx="27">
                  <c:v>120.3196722533</c:v>
                </c:pt>
                <c:pt idx="28">
                  <c:v>128.94960384000001</c:v>
                </c:pt>
                <c:pt idx="29">
                  <c:v>134.39103933000001</c:v>
                </c:pt>
                <c:pt idx="30">
                  <c:v>142.0309729267</c:v>
                </c:pt>
                <c:pt idx="31">
                  <c:v>140.6569815933</c:v>
                </c:pt>
              </c:numCache>
            </c:numRef>
          </c:val>
          <c:smooth val="0"/>
          <c:extLst>
            <c:ext xmlns:c16="http://schemas.microsoft.com/office/drawing/2014/chart" uri="{C3380CC4-5D6E-409C-BE32-E72D297353CC}">
              <c16:uniqueId val="{0000000B-B0A5-4BCC-A34A-019A51465166}"/>
            </c:ext>
          </c:extLst>
        </c:ser>
        <c:dLbls>
          <c:showLegendKey val="0"/>
          <c:showVal val="0"/>
          <c:showCatName val="0"/>
          <c:showSerName val="0"/>
          <c:showPercent val="0"/>
          <c:showBubbleSize val="0"/>
        </c:dLbls>
        <c:marker val="1"/>
        <c:smooth val="0"/>
        <c:axId val="1513731104"/>
        <c:axId val="1513729024"/>
      </c:lineChart>
      <c:catAx>
        <c:axId val="112768128"/>
        <c:scaling>
          <c:orientation val="minMax"/>
        </c:scaling>
        <c:delete val="0"/>
        <c:axPos val="b"/>
        <c:numFmt formatCode="General" sourceLinked="1"/>
        <c:majorTickMark val="none"/>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31.5"/>
          <c:min val="-25"/>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Industrial output in sub-branches (addition to growth)</a:t>
                </a:r>
              </a:p>
            </c:rich>
          </c:tx>
          <c:layout>
            <c:manualLayout>
              <c:xMode val="edge"/>
              <c:yMode val="edge"/>
              <c:x val="0"/>
              <c:y val="5.1905346109932318E-2"/>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5"/>
      </c:valAx>
      <c:valAx>
        <c:axId val="1513729024"/>
        <c:scaling>
          <c:orientation val="minMax"/>
          <c:max val="143"/>
          <c:min val="30"/>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Output, Sales in the entire industry (basis 2015=100)</a:t>
                </a:r>
              </a:p>
            </c:rich>
          </c:tx>
          <c:layout>
            <c:manualLayout>
              <c:xMode val="edge"/>
              <c:yMode val="edge"/>
              <c:x val="0.97073906692287293"/>
              <c:y val="0.10785719131595946"/>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513731104"/>
        <c:crosses val="max"/>
        <c:crossBetween val="between"/>
        <c:majorUnit val="10"/>
      </c:valAx>
      <c:catAx>
        <c:axId val="1513731104"/>
        <c:scaling>
          <c:orientation val="minMax"/>
        </c:scaling>
        <c:delete val="1"/>
        <c:axPos val="b"/>
        <c:numFmt formatCode="General" sourceLinked="1"/>
        <c:majorTickMark val="out"/>
        <c:minorTickMark val="none"/>
        <c:tickLblPos val="nextTo"/>
        <c:crossAx val="1513729024"/>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279966237038124E-3"/>
          <c:y val="0.82543385995838137"/>
          <c:w val="0.98919860566585194"/>
          <c:h val="0.16756133452824207"/>
        </c:manualLayout>
      </c:layout>
      <c:overlay val="0"/>
      <c:spPr>
        <a:ln w="6350">
          <a:solidFill>
            <a:prstClr val="black">
              <a:lumMod val="95000"/>
              <a:lumOff val="5000"/>
            </a:prstClr>
          </a:solidFill>
        </a:ln>
      </c:spPr>
      <c:txPr>
        <a:bodyPr/>
        <a:lstStyle/>
        <a:p>
          <a:pPr>
            <a:defRPr sz="75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88042665536843E-2"/>
          <c:y val="1.5647041011259352E-2"/>
          <c:w val="0.84974974879787502"/>
          <c:h val="0.750636022143085"/>
        </c:manualLayout>
      </c:layout>
      <c:barChart>
        <c:barDir val="col"/>
        <c:grouping val="clustered"/>
        <c:varyColors val="0"/>
        <c:ser>
          <c:idx val="0"/>
          <c:order val="0"/>
          <c:tx>
            <c:strRef>
              <c:f>'výkonnost odvětví 2'!$A$36</c:f>
              <c:strCache>
                <c:ptCount val="1"/>
                <c:pt idx="0">
                  <c:v>Total orders (all industry)</c:v>
                </c:pt>
              </c:strCache>
            </c:strRef>
          </c:tx>
          <c:spPr>
            <a:solidFill>
              <a:schemeClr val="bg1">
                <a:lumMod val="75000"/>
              </a:schemeClr>
            </a:solidFill>
            <a:ln>
              <a:noFill/>
            </a:ln>
          </c:spPr>
          <c:invertIfNegative val="0"/>
          <c:cat>
            <c:multiLvlStrRef>
              <c:f>'výkonnost odvětví 2'!$R$34:$AX$35</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2'!$R$36:$AX$36</c:f>
              <c:numCache>
                <c:formatCode>##0.0</c:formatCode>
                <c:ptCount val="33"/>
                <c:pt idx="0">
                  <c:v>8.5353894547999971</c:v>
                </c:pt>
                <c:pt idx="1">
                  <c:v>6.3740032441999972</c:v>
                </c:pt>
                <c:pt idx="2">
                  <c:v>6.0540271236999956</c:v>
                </c:pt>
                <c:pt idx="3">
                  <c:v>5.2610868973000038</c:v>
                </c:pt>
                <c:pt idx="4">
                  <c:v>2.6398924801000021</c:v>
                </c:pt>
                <c:pt idx="5">
                  <c:v>7.5233833736999998</c:v>
                </c:pt>
                <c:pt idx="6">
                  <c:v>2.3667401951999949</c:v>
                </c:pt>
                <c:pt idx="7">
                  <c:v>6.6372980220999978</c:v>
                </c:pt>
                <c:pt idx="8">
                  <c:v>7.264263741700006</c:v>
                </c:pt>
                <c:pt idx="9">
                  <c:v>8.2151073244999964</c:v>
                </c:pt>
                <c:pt idx="10">
                  <c:v>7.9541665196999958</c:v>
                </c:pt>
                <c:pt idx="11">
                  <c:v>7.3518853409999991</c:v>
                </c:pt>
                <c:pt idx="12">
                  <c:v>3.4479253911000001</c:v>
                </c:pt>
                <c:pt idx="13">
                  <c:v>3.7095478141000058</c:v>
                </c:pt>
                <c:pt idx="14">
                  <c:v>3.8047927777000012</c:v>
                </c:pt>
                <c:pt idx="15">
                  <c:v>3.0958525626000011</c:v>
                </c:pt>
                <c:pt idx="16">
                  <c:v>3.2186335616000008</c:v>
                </c:pt>
                <c:pt idx="17">
                  <c:v>1.4218114762000056</c:v>
                </c:pt>
                <c:pt idx="18">
                  <c:v>-0.25322037120000118</c:v>
                </c:pt>
                <c:pt idx="19">
                  <c:v>-3.8029715272000004</c:v>
                </c:pt>
                <c:pt idx="20">
                  <c:v>-2.0918519482000022</c:v>
                </c:pt>
                <c:pt idx="21">
                  <c:v>-27.667187618300005</c:v>
                </c:pt>
                <c:pt idx="22">
                  <c:v>-1.310591588500003</c:v>
                </c:pt>
                <c:pt idx="23">
                  <c:v>7.1560873369000007</c:v>
                </c:pt>
                <c:pt idx="24">
                  <c:v>8.4043556738999996</c:v>
                </c:pt>
                <c:pt idx="25">
                  <c:v>47.896596400899995</c:v>
                </c:pt>
                <c:pt idx="26">
                  <c:v>7.3132490553000054</c:v>
                </c:pt>
                <c:pt idx="27">
                  <c:v>3.5880299908999973</c:v>
                </c:pt>
                <c:pt idx="28">
                  <c:v>6.0548908874999938</c:v>
                </c:pt>
                <c:pt idx="29">
                  <c:v>9.814620017699994</c:v>
                </c:pt>
                <c:pt idx="30">
                  <c:v>14.889224321499995</c:v>
                </c:pt>
                <c:pt idx="31">
                  <c:v>12.496406793800006</c:v>
                </c:pt>
              </c:numCache>
            </c:numRef>
          </c:val>
          <c:extLst>
            <c:ext xmlns:c16="http://schemas.microsoft.com/office/drawing/2014/chart" uri="{C3380CC4-5D6E-409C-BE32-E72D297353CC}">
              <c16:uniqueId val="{00000000-4F76-4F26-AD04-22FACF94F0B4}"/>
            </c:ext>
          </c:extLst>
        </c:ser>
        <c:dLbls>
          <c:showLegendKey val="0"/>
          <c:showVal val="0"/>
          <c:showCatName val="0"/>
          <c:showSerName val="0"/>
          <c:showPercent val="0"/>
          <c:showBubbleSize val="0"/>
        </c:dLbls>
        <c:gapWidth val="30"/>
        <c:axId val="112768128"/>
        <c:axId val="112769664"/>
      </c:barChart>
      <c:lineChart>
        <c:grouping val="standard"/>
        <c:varyColors val="0"/>
        <c:ser>
          <c:idx val="1"/>
          <c:order val="1"/>
          <c:tx>
            <c:strRef>
              <c:f>'výkonnost odvětví 2'!$A$37</c:f>
              <c:strCache>
                <c:ptCount val="1"/>
                <c:pt idx="0">
                  <c:v>In that: domestic orders</c:v>
                </c:pt>
              </c:strCache>
            </c:strRef>
          </c:tx>
          <c:spPr>
            <a:ln w="15875">
              <a:noFill/>
              <a:prstDash val="sysDot"/>
            </a:ln>
          </c:spPr>
          <c:marker>
            <c:symbol val="diamond"/>
            <c:size val="5"/>
            <c:spPr>
              <a:solidFill>
                <a:srgbClr val="984807"/>
              </a:solidFill>
              <a:ln>
                <a:noFill/>
              </a:ln>
            </c:spPr>
          </c:marker>
          <c:cat>
            <c:multiLvlStrRef>
              <c:f>'výkonnost odvětví 2'!$R$34:$AX$35</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2'!$R$37:$AX$37</c:f>
              <c:numCache>
                <c:formatCode>#\ ##0.0</c:formatCode>
                <c:ptCount val="33"/>
                <c:pt idx="0">
                  <c:v>4.3678555678000066</c:v>
                </c:pt>
                <c:pt idx="1">
                  <c:v>9.9380074582000049</c:v>
                </c:pt>
                <c:pt idx="2">
                  <c:v>-2.8625917786000059</c:v>
                </c:pt>
                <c:pt idx="3">
                  <c:v>-0.24449638430000675</c:v>
                </c:pt>
                <c:pt idx="4">
                  <c:v>1.5608556055999969</c:v>
                </c:pt>
                <c:pt idx="5">
                  <c:v>1.4530189575000065</c:v>
                </c:pt>
                <c:pt idx="6">
                  <c:v>0.19507191760000353</c:v>
                </c:pt>
                <c:pt idx="7">
                  <c:v>2.810568046100002</c:v>
                </c:pt>
                <c:pt idx="8">
                  <c:v>12.6195755233</c:v>
                </c:pt>
                <c:pt idx="9">
                  <c:v>15.740843176200002</c:v>
                </c:pt>
                <c:pt idx="10">
                  <c:v>15.881411785300003</c:v>
                </c:pt>
                <c:pt idx="11">
                  <c:v>15.4396235432</c:v>
                </c:pt>
                <c:pt idx="12">
                  <c:v>1.4059943362999974</c:v>
                </c:pt>
                <c:pt idx="13">
                  <c:v>2.5119296337000065</c:v>
                </c:pt>
                <c:pt idx="14">
                  <c:v>4.7248831052000071</c:v>
                </c:pt>
                <c:pt idx="15">
                  <c:v>3.5273288478999945</c:v>
                </c:pt>
                <c:pt idx="16">
                  <c:v>8.0476176921000047</c:v>
                </c:pt>
                <c:pt idx="17">
                  <c:v>5.293639082599995</c:v>
                </c:pt>
                <c:pt idx="18">
                  <c:v>0.41940306940000482</c:v>
                </c:pt>
                <c:pt idx="19">
                  <c:v>-1.3456257084999947</c:v>
                </c:pt>
                <c:pt idx="20">
                  <c:v>5.5521264895999991</c:v>
                </c:pt>
                <c:pt idx="21">
                  <c:v>-25.896794335699994</c:v>
                </c:pt>
                <c:pt idx="22">
                  <c:v>-3.0500801793999983</c:v>
                </c:pt>
                <c:pt idx="23">
                  <c:v>6.9104797819999959</c:v>
                </c:pt>
                <c:pt idx="24">
                  <c:v>-2.8581604621000025</c:v>
                </c:pt>
                <c:pt idx="25">
                  <c:v>43.475840820900004</c:v>
                </c:pt>
                <c:pt idx="26">
                  <c:v>9.2869426111000024</c:v>
                </c:pt>
                <c:pt idx="27">
                  <c:v>5.3976112146000048</c:v>
                </c:pt>
                <c:pt idx="28">
                  <c:v>7.1489622176000012</c:v>
                </c:pt>
                <c:pt idx="29">
                  <c:v>14.097792744900005</c:v>
                </c:pt>
                <c:pt idx="30">
                  <c:v>25.327159451300005</c:v>
                </c:pt>
                <c:pt idx="31">
                  <c:v>16.556125444499997</c:v>
                </c:pt>
              </c:numCache>
            </c:numRef>
          </c:val>
          <c:smooth val="0"/>
          <c:extLst>
            <c:ext xmlns:c16="http://schemas.microsoft.com/office/drawing/2014/chart" uri="{C3380CC4-5D6E-409C-BE32-E72D297353CC}">
              <c16:uniqueId val="{00000001-4F76-4F26-AD04-22FACF94F0B4}"/>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2"/>
          <c:order val="2"/>
          <c:tx>
            <c:strRef>
              <c:f>'výkonnost odvětví 2'!$A$38</c:f>
              <c:strCache>
                <c:ptCount val="1"/>
                <c:pt idx="0">
                  <c:v>Utilisation of product.capacities (all industry)</c:v>
                </c:pt>
              </c:strCache>
            </c:strRef>
          </c:tx>
          <c:spPr>
            <a:ln w="15875">
              <a:solidFill>
                <a:schemeClr val="accent6">
                  <a:lumMod val="75000"/>
                </a:schemeClr>
              </a:solidFill>
            </a:ln>
          </c:spPr>
          <c:marker>
            <c:symbol val="none"/>
          </c:marker>
          <c:cat>
            <c:multiLvlStrRef>
              <c:f>'výkonnost odvětví 2'!$R$34:$AX$35</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2'!$R$38:$AX$38</c:f>
              <c:numCache>
                <c:formatCode>##0.0</c:formatCode>
                <c:ptCount val="33"/>
                <c:pt idx="0">
                  <c:v>85.4</c:v>
                </c:pt>
                <c:pt idx="1">
                  <c:v>85.1</c:v>
                </c:pt>
                <c:pt idx="2">
                  <c:v>85</c:v>
                </c:pt>
                <c:pt idx="3">
                  <c:v>84.1</c:v>
                </c:pt>
                <c:pt idx="4">
                  <c:v>83.7</c:v>
                </c:pt>
                <c:pt idx="5">
                  <c:v>85.2</c:v>
                </c:pt>
                <c:pt idx="6">
                  <c:v>84.4</c:v>
                </c:pt>
                <c:pt idx="7">
                  <c:v>84.7</c:v>
                </c:pt>
                <c:pt idx="8">
                  <c:v>84.4</c:v>
                </c:pt>
                <c:pt idx="9">
                  <c:v>83.4</c:v>
                </c:pt>
                <c:pt idx="10">
                  <c:v>84.2</c:v>
                </c:pt>
                <c:pt idx="11">
                  <c:v>84.7</c:v>
                </c:pt>
                <c:pt idx="12">
                  <c:v>85.8</c:v>
                </c:pt>
                <c:pt idx="13">
                  <c:v>85.4</c:v>
                </c:pt>
                <c:pt idx="14">
                  <c:v>86.2</c:v>
                </c:pt>
                <c:pt idx="15">
                  <c:v>85.7</c:v>
                </c:pt>
                <c:pt idx="16">
                  <c:v>85.7</c:v>
                </c:pt>
                <c:pt idx="17">
                  <c:v>85.7</c:v>
                </c:pt>
                <c:pt idx="18">
                  <c:v>84.8</c:v>
                </c:pt>
                <c:pt idx="19">
                  <c:v>84</c:v>
                </c:pt>
                <c:pt idx="20">
                  <c:v>84.3</c:v>
                </c:pt>
                <c:pt idx="21">
                  <c:v>69.400000000000006</c:v>
                </c:pt>
                <c:pt idx="22">
                  <c:v>76.2</c:v>
                </c:pt>
                <c:pt idx="23">
                  <c:v>83</c:v>
                </c:pt>
                <c:pt idx="24">
                  <c:v>85.7</c:v>
                </c:pt>
                <c:pt idx="25">
                  <c:v>85</c:v>
                </c:pt>
                <c:pt idx="26">
                  <c:v>88.1</c:v>
                </c:pt>
                <c:pt idx="27">
                  <c:v>76.5</c:v>
                </c:pt>
                <c:pt idx="28">
                  <c:v>83.3</c:v>
                </c:pt>
                <c:pt idx="29">
                  <c:v>81.599999999999994</c:v>
                </c:pt>
                <c:pt idx="30">
                  <c:v>83.2</c:v>
                </c:pt>
                <c:pt idx="31">
                  <c:v>80.5</c:v>
                </c:pt>
                <c:pt idx="32">
                  <c:v>80.900000000000006</c:v>
                </c:pt>
              </c:numCache>
            </c:numRef>
          </c:val>
          <c:smooth val="0"/>
          <c:extLst>
            <c:ext xmlns:c16="http://schemas.microsoft.com/office/drawing/2014/chart" uri="{C3380CC4-5D6E-409C-BE32-E72D297353CC}">
              <c16:uniqueId val="{00000002-4F76-4F26-AD04-22FACF94F0B4}"/>
            </c:ext>
          </c:extLst>
        </c:ser>
        <c:ser>
          <c:idx val="3"/>
          <c:order val="3"/>
          <c:tx>
            <c:strRef>
              <c:f>'výkonnost odvětví 2'!$A$39</c:f>
              <c:strCache>
                <c:ptCount val="1"/>
                <c:pt idx="0">
                  <c:v>Utilisation of capacities (motor vehicles ind.)</c:v>
                </c:pt>
              </c:strCache>
            </c:strRef>
          </c:tx>
          <c:spPr>
            <a:ln w="15875">
              <a:solidFill>
                <a:schemeClr val="accent6">
                  <a:lumMod val="75000"/>
                </a:schemeClr>
              </a:solidFill>
              <a:prstDash val="sysDash"/>
            </a:ln>
          </c:spPr>
          <c:marker>
            <c:symbol val="none"/>
          </c:marker>
          <c:cat>
            <c:multiLvlStrRef>
              <c:f>'výkonnost odvětví 2'!$R$34:$AX$35</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2'!$R$39:$AX$39</c:f>
              <c:numCache>
                <c:formatCode>##0.0</c:formatCode>
                <c:ptCount val="33"/>
                <c:pt idx="0">
                  <c:v>91.4</c:v>
                </c:pt>
                <c:pt idx="1">
                  <c:v>91.4</c:v>
                </c:pt>
                <c:pt idx="2">
                  <c:v>91.5</c:v>
                </c:pt>
                <c:pt idx="3">
                  <c:v>88.8</c:v>
                </c:pt>
                <c:pt idx="4">
                  <c:v>90.2</c:v>
                </c:pt>
                <c:pt idx="5">
                  <c:v>91.8</c:v>
                </c:pt>
                <c:pt idx="6">
                  <c:v>92.2</c:v>
                </c:pt>
                <c:pt idx="7">
                  <c:v>91.5</c:v>
                </c:pt>
                <c:pt idx="8">
                  <c:v>92.4</c:v>
                </c:pt>
                <c:pt idx="9">
                  <c:v>87.9</c:v>
                </c:pt>
                <c:pt idx="10">
                  <c:v>90.8</c:v>
                </c:pt>
                <c:pt idx="11">
                  <c:v>90.5</c:v>
                </c:pt>
                <c:pt idx="12">
                  <c:v>91.4</c:v>
                </c:pt>
                <c:pt idx="13">
                  <c:v>91.3</c:v>
                </c:pt>
                <c:pt idx="14">
                  <c:v>92.9</c:v>
                </c:pt>
                <c:pt idx="15">
                  <c:v>92.5</c:v>
                </c:pt>
                <c:pt idx="16">
                  <c:v>92.9</c:v>
                </c:pt>
                <c:pt idx="17">
                  <c:v>92.7</c:v>
                </c:pt>
                <c:pt idx="18">
                  <c:v>92.8</c:v>
                </c:pt>
                <c:pt idx="19">
                  <c:v>93</c:v>
                </c:pt>
                <c:pt idx="20">
                  <c:v>90.6</c:v>
                </c:pt>
                <c:pt idx="21">
                  <c:v>45</c:v>
                </c:pt>
                <c:pt idx="22">
                  <c:v>79.099999999999994</c:v>
                </c:pt>
                <c:pt idx="23">
                  <c:v>96.9</c:v>
                </c:pt>
                <c:pt idx="24">
                  <c:v>94.9</c:v>
                </c:pt>
                <c:pt idx="25">
                  <c:v>89.6</c:v>
                </c:pt>
                <c:pt idx="26">
                  <c:v>95.3</c:v>
                </c:pt>
                <c:pt idx="27">
                  <c:v>55.8</c:v>
                </c:pt>
                <c:pt idx="28">
                  <c:v>84.5</c:v>
                </c:pt>
                <c:pt idx="29">
                  <c:v>76.7</c:v>
                </c:pt>
                <c:pt idx="30">
                  <c:v>79</c:v>
                </c:pt>
                <c:pt idx="31">
                  <c:v>74.099999999999994</c:v>
                </c:pt>
                <c:pt idx="32">
                  <c:v>79.400000000000006</c:v>
                </c:pt>
              </c:numCache>
            </c:numRef>
          </c:val>
          <c:smooth val="0"/>
          <c:extLst>
            <c:ext xmlns:c16="http://schemas.microsoft.com/office/drawing/2014/chart" uri="{C3380CC4-5D6E-409C-BE32-E72D297353CC}">
              <c16:uniqueId val="{00000003-4F76-4F26-AD04-22FACF94F0B4}"/>
            </c:ext>
          </c:extLst>
        </c:ser>
        <c:ser>
          <c:idx val="4"/>
          <c:order val="4"/>
          <c:tx>
            <c:strRef>
              <c:f>'výkonnost odvětví 2'!$A$40</c:f>
              <c:strCache>
                <c:ptCount val="1"/>
                <c:pt idx="0">
                  <c:v>Growth barrier: inadequate demand</c:v>
                </c:pt>
              </c:strCache>
            </c:strRef>
          </c:tx>
          <c:spPr>
            <a:ln w="15875">
              <a:solidFill>
                <a:srgbClr val="00B050"/>
              </a:solidFill>
              <a:prstDash val="solid"/>
            </a:ln>
          </c:spPr>
          <c:marker>
            <c:symbol val="none"/>
          </c:marker>
          <c:cat>
            <c:multiLvlStrRef>
              <c:f>'výkonnost odvětví 2'!$R$34:$AX$35</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2'!$R$40:$AX$40</c:f>
              <c:numCache>
                <c:formatCode>#\ ##0.0</c:formatCode>
                <c:ptCount val="33"/>
                <c:pt idx="0">
                  <c:v>45.3</c:v>
                </c:pt>
                <c:pt idx="1">
                  <c:v>49.6</c:v>
                </c:pt>
                <c:pt idx="2">
                  <c:v>49.7</c:v>
                </c:pt>
                <c:pt idx="3">
                  <c:v>46.4</c:v>
                </c:pt>
                <c:pt idx="4">
                  <c:v>45.9</c:v>
                </c:pt>
                <c:pt idx="5">
                  <c:v>44.6</c:v>
                </c:pt>
                <c:pt idx="6">
                  <c:v>43.8</c:v>
                </c:pt>
                <c:pt idx="7">
                  <c:v>42.9</c:v>
                </c:pt>
                <c:pt idx="8">
                  <c:v>42.7</c:v>
                </c:pt>
                <c:pt idx="9">
                  <c:v>41</c:v>
                </c:pt>
                <c:pt idx="10">
                  <c:v>41.2</c:v>
                </c:pt>
                <c:pt idx="11">
                  <c:v>35.799999999999997</c:v>
                </c:pt>
                <c:pt idx="12">
                  <c:v>35.4</c:v>
                </c:pt>
                <c:pt idx="13">
                  <c:v>36.299999999999997</c:v>
                </c:pt>
                <c:pt idx="14">
                  <c:v>32.4</c:v>
                </c:pt>
                <c:pt idx="15">
                  <c:v>32.9</c:v>
                </c:pt>
                <c:pt idx="16">
                  <c:v>33.799999999999997</c:v>
                </c:pt>
                <c:pt idx="17">
                  <c:v>36.200000000000003</c:v>
                </c:pt>
                <c:pt idx="18">
                  <c:v>41</c:v>
                </c:pt>
                <c:pt idx="19">
                  <c:v>47.1</c:v>
                </c:pt>
                <c:pt idx="20">
                  <c:v>49.8</c:v>
                </c:pt>
                <c:pt idx="21">
                  <c:v>58.8</c:v>
                </c:pt>
                <c:pt idx="22">
                  <c:v>63</c:v>
                </c:pt>
                <c:pt idx="23">
                  <c:v>44.4</c:v>
                </c:pt>
                <c:pt idx="24">
                  <c:v>46.9</c:v>
                </c:pt>
                <c:pt idx="25">
                  <c:v>38.700000000000003</c:v>
                </c:pt>
                <c:pt idx="26">
                  <c:v>25.4</c:v>
                </c:pt>
                <c:pt idx="27">
                  <c:v>27.9</c:v>
                </c:pt>
                <c:pt idx="28">
                  <c:v>29.9</c:v>
                </c:pt>
                <c:pt idx="29">
                  <c:v>21.3</c:v>
                </c:pt>
                <c:pt idx="30">
                  <c:v>18.7</c:v>
                </c:pt>
                <c:pt idx="31">
                  <c:v>29.4</c:v>
                </c:pt>
                <c:pt idx="32">
                  <c:v>42.5</c:v>
                </c:pt>
              </c:numCache>
            </c:numRef>
          </c:val>
          <c:smooth val="0"/>
          <c:extLst>
            <c:ext xmlns:c16="http://schemas.microsoft.com/office/drawing/2014/chart" uri="{C3380CC4-5D6E-409C-BE32-E72D297353CC}">
              <c16:uniqueId val="{00000004-4F76-4F26-AD04-22FACF94F0B4}"/>
            </c:ext>
          </c:extLst>
        </c:ser>
        <c:ser>
          <c:idx val="5"/>
          <c:order val="5"/>
          <c:tx>
            <c:strRef>
              <c:f>'výkonnost odvětví 2'!$A$41</c:f>
              <c:strCache>
                <c:ptCount val="1"/>
                <c:pt idx="0">
                  <c:v>Growth barrier: lack of workers</c:v>
                </c:pt>
              </c:strCache>
            </c:strRef>
          </c:tx>
          <c:spPr>
            <a:ln w="15875">
              <a:solidFill>
                <a:schemeClr val="accent3">
                  <a:lumMod val="75000"/>
                </a:schemeClr>
              </a:solidFill>
              <a:prstDash val="sysDash"/>
            </a:ln>
          </c:spPr>
          <c:marker>
            <c:symbol val="none"/>
          </c:marker>
          <c:cat>
            <c:multiLvlStrRef>
              <c:f>'výkonnost odvětví 2'!$R$34:$AX$35</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2'!$R$41:$AX$41</c:f>
              <c:numCache>
                <c:formatCode>#\ ##0.0</c:formatCode>
                <c:ptCount val="33"/>
                <c:pt idx="0">
                  <c:v>6.1</c:v>
                </c:pt>
                <c:pt idx="1">
                  <c:v>6.9</c:v>
                </c:pt>
                <c:pt idx="2">
                  <c:v>8.6999999999999993</c:v>
                </c:pt>
                <c:pt idx="3">
                  <c:v>14</c:v>
                </c:pt>
                <c:pt idx="4">
                  <c:v>14.8</c:v>
                </c:pt>
                <c:pt idx="5">
                  <c:v>16.5</c:v>
                </c:pt>
                <c:pt idx="6">
                  <c:v>18.899999999999999</c:v>
                </c:pt>
                <c:pt idx="7">
                  <c:v>30.1</c:v>
                </c:pt>
                <c:pt idx="8">
                  <c:v>32.700000000000003</c:v>
                </c:pt>
                <c:pt idx="9">
                  <c:v>33.5</c:v>
                </c:pt>
                <c:pt idx="10">
                  <c:v>40.5</c:v>
                </c:pt>
                <c:pt idx="11">
                  <c:v>38.700000000000003</c:v>
                </c:pt>
                <c:pt idx="12">
                  <c:v>43.5</c:v>
                </c:pt>
                <c:pt idx="13">
                  <c:v>42.3</c:v>
                </c:pt>
                <c:pt idx="14">
                  <c:v>43.2</c:v>
                </c:pt>
                <c:pt idx="15">
                  <c:v>46.3</c:v>
                </c:pt>
                <c:pt idx="16">
                  <c:v>39</c:v>
                </c:pt>
                <c:pt idx="17">
                  <c:v>35.1</c:v>
                </c:pt>
                <c:pt idx="18">
                  <c:v>40.200000000000003</c:v>
                </c:pt>
                <c:pt idx="19">
                  <c:v>39.200000000000003</c:v>
                </c:pt>
                <c:pt idx="20">
                  <c:v>27.7</c:v>
                </c:pt>
                <c:pt idx="21">
                  <c:v>13.5</c:v>
                </c:pt>
                <c:pt idx="22">
                  <c:v>16.7</c:v>
                </c:pt>
                <c:pt idx="23">
                  <c:v>17.600000000000001</c:v>
                </c:pt>
                <c:pt idx="24">
                  <c:v>22</c:v>
                </c:pt>
                <c:pt idx="25">
                  <c:v>18.399999999999999</c:v>
                </c:pt>
                <c:pt idx="26">
                  <c:v>27.6</c:v>
                </c:pt>
                <c:pt idx="27">
                  <c:v>22.6</c:v>
                </c:pt>
                <c:pt idx="28">
                  <c:v>24.9</c:v>
                </c:pt>
                <c:pt idx="29">
                  <c:v>18.600000000000001</c:v>
                </c:pt>
                <c:pt idx="30">
                  <c:v>26.1</c:v>
                </c:pt>
                <c:pt idx="31">
                  <c:v>24.9</c:v>
                </c:pt>
                <c:pt idx="32">
                  <c:v>16.600000000000001</c:v>
                </c:pt>
              </c:numCache>
            </c:numRef>
          </c:val>
          <c:smooth val="0"/>
          <c:extLst>
            <c:ext xmlns:c16="http://schemas.microsoft.com/office/drawing/2014/chart" uri="{C3380CC4-5D6E-409C-BE32-E72D297353CC}">
              <c16:uniqueId val="{00000005-4F76-4F26-AD04-22FACF94F0B4}"/>
            </c:ext>
          </c:extLst>
        </c:ser>
        <c:ser>
          <c:idx val="6"/>
          <c:order val="6"/>
          <c:tx>
            <c:strRef>
              <c:f>'výkonnost odvětví 2'!$A$42</c:f>
              <c:strCache>
                <c:ptCount val="1"/>
                <c:pt idx="0">
                  <c:v>Gr. barrier: shortage of material/equipment</c:v>
                </c:pt>
              </c:strCache>
            </c:strRef>
          </c:tx>
          <c:spPr>
            <a:ln w="15875">
              <a:solidFill>
                <a:srgbClr val="1EB222"/>
              </a:solidFill>
              <a:prstDash val="dash"/>
            </a:ln>
          </c:spPr>
          <c:marker>
            <c:symbol val="none"/>
          </c:marker>
          <c:cat>
            <c:multiLvlStrRef>
              <c:f>'výkonnost odvětví 2'!$R$34:$AX$35</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2'!$R$42:$AX$42</c:f>
              <c:numCache>
                <c:formatCode>#\ ##0.0</c:formatCode>
                <c:ptCount val="33"/>
                <c:pt idx="0">
                  <c:v>5.9</c:v>
                </c:pt>
                <c:pt idx="1">
                  <c:v>11.3</c:v>
                </c:pt>
                <c:pt idx="2">
                  <c:v>10</c:v>
                </c:pt>
                <c:pt idx="3">
                  <c:v>9.9</c:v>
                </c:pt>
                <c:pt idx="4">
                  <c:v>8.9</c:v>
                </c:pt>
                <c:pt idx="5">
                  <c:v>7.7</c:v>
                </c:pt>
                <c:pt idx="6">
                  <c:v>8.9</c:v>
                </c:pt>
                <c:pt idx="7">
                  <c:v>8.5</c:v>
                </c:pt>
                <c:pt idx="8">
                  <c:v>8.8000000000000007</c:v>
                </c:pt>
                <c:pt idx="9">
                  <c:v>8.3000000000000007</c:v>
                </c:pt>
                <c:pt idx="10">
                  <c:v>10.9</c:v>
                </c:pt>
                <c:pt idx="11">
                  <c:v>22.7</c:v>
                </c:pt>
                <c:pt idx="12">
                  <c:v>11.9</c:v>
                </c:pt>
                <c:pt idx="13">
                  <c:v>11.7</c:v>
                </c:pt>
                <c:pt idx="14">
                  <c:v>13.9</c:v>
                </c:pt>
                <c:pt idx="15">
                  <c:v>23.5</c:v>
                </c:pt>
                <c:pt idx="16">
                  <c:v>26.4</c:v>
                </c:pt>
                <c:pt idx="17">
                  <c:v>24.7</c:v>
                </c:pt>
                <c:pt idx="18">
                  <c:v>22</c:v>
                </c:pt>
                <c:pt idx="19">
                  <c:v>10.5</c:v>
                </c:pt>
                <c:pt idx="20">
                  <c:v>17.899999999999999</c:v>
                </c:pt>
                <c:pt idx="21">
                  <c:v>10.199999999999999</c:v>
                </c:pt>
                <c:pt idx="22">
                  <c:v>6.7</c:v>
                </c:pt>
                <c:pt idx="23">
                  <c:v>10.9</c:v>
                </c:pt>
                <c:pt idx="24">
                  <c:v>23.1</c:v>
                </c:pt>
                <c:pt idx="25">
                  <c:v>32.1</c:v>
                </c:pt>
                <c:pt idx="26">
                  <c:v>45.9</c:v>
                </c:pt>
                <c:pt idx="27">
                  <c:v>41.2</c:v>
                </c:pt>
                <c:pt idx="28">
                  <c:v>39.299999999999997</c:v>
                </c:pt>
                <c:pt idx="29">
                  <c:v>47.8</c:v>
                </c:pt>
                <c:pt idx="30">
                  <c:v>53.4</c:v>
                </c:pt>
                <c:pt idx="31">
                  <c:v>46.4</c:v>
                </c:pt>
                <c:pt idx="32">
                  <c:v>37.4</c:v>
                </c:pt>
              </c:numCache>
            </c:numRef>
          </c:val>
          <c:smooth val="0"/>
          <c:extLst>
            <c:ext xmlns:c16="http://schemas.microsoft.com/office/drawing/2014/chart" uri="{C3380CC4-5D6E-409C-BE32-E72D297353CC}">
              <c16:uniqueId val="{00000006-4F76-4F26-AD04-22FACF94F0B4}"/>
            </c:ext>
          </c:extLst>
        </c:ser>
        <c:ser>
          <c:idx val="7"/>
          <c:order val="7"/>
          <c:tx>
            <c:strRef>
              <c:f>'výkonnost odvětví 2'!$A$43</c:f>
              <c:strCache>
                <c:ptCount val="1"/>
                <c:pt idx="0">
                  <c:v>Total confidence indicator in industry</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2'!$R$34:$AX$35</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2'!$R$43:$AX$43</c:f>
              <c:numCache>
                <c:formatCode>#\ ##0.0</c:formatCode>
                <c:ptCount val="33"/>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c:v>
                </c:pt>
                <c:pt idx="17">
                  <c:v>-2</c:v>
                </c:pt>
                <c:pt idx="18">
                  <c:v>-3</c:v>
                </c:pt>
                <c:pt idx="19">
                  <c:v>-6.7</c:v>
                </c:pt>
                <c:pt idx="20">
                  <c:v>-5</c:v>
                </c:pt>
                <c:pt idx="21">
                  <c:v>-25</c:v>
                </c:pt>
                <c:pt idx="22">
                  <c:v>-6.3</c:v>
                </c:pt>
                <c:pt idx="23">
                  <c:v>-10</c:v>
                </c:pt>
                <c:pt idx="24">
                  <c:v>-1.3</c:v>
                </c:pt>
                <c:pt idx="25">
                  <c:v>5.3</c:v>
                </c:pt>
                <c:pt idx="26">
                  <c:v>-1.3</c:v>
                </c:pt>
                <c:pt idx="27">
                  <c:v>-5.3</c:v>
                </c:pt>
                <c:pt idx="28">
                  <c:v>-0.3</c:v>
                </c:pt>
                <c:pt idx="29">
                  <c:v>8.3000000000000007</c:v>
                </c:pt>
                <c:pt idx="30">
                  <c:v>-1.7</c:v>
                </c:pt>
                <c:pt idx="31">
                  <c:v>-8.3000000000000007</c:v>
                </c:pt>
                <c:pt idx="32">
                  <c:v>-10.1</c:v>
                </c:pt>
              </c:numCache>
            </c:numRef>
          </c:val>
          <c:smooth val="0"/>
          <c:extLst>
            <c:ext xmlns:c16="http://schemas.microsoft.com/office/drawing/2014/chart" uri="{C3380CC4-5D6E-409C-BE32-E72D297353CC}">
              <c16:uniqueId val="{00000007-4F76-4F26-AD04-22FACF94F0B4}"/>
            </c:ext>
          </c:extLst>
        </c:ser>
        <c:dLbls>
          <c:showLegendKey val="0"/>
          <c:showVal val="0"/>
          <c:showCatName val="0"/>
          <c:showSerName val="0"/>
          <c:showPercent val="0"/>
          <c:showBubbleSize val="0"/>
        </c:dLbls>
        <c:marker val="1"/>
        <c:smooth val="0"/>
        <c:axId val="1239819375"/>
        <c:axId val="1239826863"/>
      </c:lineChart>
      <c:catAx>
        <c:axId val="112768128"/>
        <c:scaling>
          <c:orientation val="minMax"/>
        </c:scaling>
        <c:delete val="0"/>
        <c:axPos val="b"/>
        <c:numFmt formatCode="General" sourceLinked="1"/>
        <c:majorTickMark val="out"/>
        <c:minorTickMark val="none"/>
        <c:tickLblPos val="low"/>
        <c:crossAx val="112769664"/>
        <c:crosses val="autoZero"/>
        <c:auto val="1"/>
        <c:lblAlgn val="ctr"/>
        <c:lblOffset val="0"/>
        <c:noMultiLvlLbl val="0"/>
      </c:catAx>
      <c:valAx>
        <c:axId val="112769664"/>
        <c:scaling>
          <c:orientation val="minMax"/>
          <c:max val="90"/>
          <c:min val="-40"/>
        </c:scaling>
        <c:delete val="0"/>
        <c:axPos val="l"/>
        <c:majorGridlines>
          <c:spPr>
            <a:ln>
              <a:solidFill>
                <a:srgbClr val="BEBEBE"/>
              </a:solidFill>
            </a:ln>
          </c:spPr>
        </c:majorGridlines>
        <c:title>
          <c:tx>
            <c:rich>
              <a:bodyPr/>
              <a:lstStyle/>
              <a:p>
                <a:pPr>
                  <a:defRPr sz="700" b="0" i="1"/>
                </a:pPr>
                <a:r>
                  <a:rPr lang="cs-CZ" sz="700" b="0" i="1"/>
                  <a:t>Orders</a:t>
                </a:r>
              </a:p>
            </c:rich>
          </c:tx>
          <c:overlay val="0"/>
        </c:title>
        <c:numFmt formatCode="0" sourceLinked="0"/>
        <c:majorTickMark val="out"/>
        <c:minorTickMark val="none"/>
        <c:tickLblPos val="nextTo"/>
        <c:crossAx val="112768128"/>
        <c:crosses val="autoZero"/>
        <c:crossBetween val="between"/>
        <c:majorUnit val="10"/>
      </c:valAx>
      <c:valAx>
        <c:axId val="1239826863"/>
        <c:scaling>
          <c:orientation val="minMax"/>
          <c:max val="100"/>
          <c:min val="-3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i="1">
                    <a:effectLst/>
                  </a:rPr>
                  <a:t>Utilisation of production capacities, Growth barriers, Confidence ind.</a:t>
                </a:r>
              </a:p>
            </c:rich>
          </c:tx>
          <c:overlay val="0"/>
        </c:title>
        <c:numFmt formatCode="#,##0" sourceLinked="0"/>
        <c:majorTickMark val="out"/>
        <c:minorTickMark val="none"/>
        <c:tickLblPos val="nextTo"/>
        <c:crossAx val="1239819375"/>
        <c:crosses val="max"/>
        <c:crossBetween val="between"/>
        <c:majorUnit val="10"/>
      </c:valAx>
      <c:catAx>
        <c:axId val="1239819375"/>
        <c:scaling>
          <c:orientation val="minMax"/>
        </c:scaling>
        <c:delete val="1"/>
        <c:axPos val="b"/>
        <c:numFmt formatCode="General" sourceLinked="1"/>
        <c:majorTickMark val="out"/>
        <c:minorTickMark val="none"/>
        <c:tickLblPos val="nextTo"/>
        <c:crossAx val="1239826863"/>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1803655316668383E-3"/>
          <c:y val="0.85586448957034"/>
          <c:w val="0.98886688612282692"/>
          <c:h val="0.14063307954958187"/>
        </c:manualLayout>
      </c:layout>
      <c:overlay val="0"/>
      <c:spPr>
        <a:ln w="6350">
          <a:solidFill>
            <a:prstClr val="black">
              <a:lumMod val="95000"/>
              <a:lumOff val="5000"/>
            </a:prstClr>
          </a:solidFill>
        </a:ln>
      </c:spPr>
      <c:txPr>
        <a:bodyPr/>
        <a:lstStyle/>
        <a:p>
          <a:pPr>
            <a:defRPr sz="75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95346289980312E-2"/>
          <c:y val="1.5663550999370279E-2"/>
          <c:w val="0.85237839893753009"/>
          <c:h val="0.75413191483370345"/>
        </c:manualLayout>
      </c:layout>
      <c:barChart>
        <c:barDir val="col"/>
        <c:grouping val="stacked"/>
        <c:varyColors val="0"/>
        <c:ser>
          <c:idx val="1"/>
          <c:order val="1"/>
          <c:tx>
            <c:strRef>
              <c:f>'výkonnost odvětví 3'!$Y$10</c:f>
              <c:strCache>
                <c:ptCount val="1"/>
                <c:pt idx="0">
                  <c:v>Building construction (contribution)</c:v>
                </c:pt>
              </c:strCache>
            </c:strRef>
          </c:tx>
          <c:spPr>
            <a:solidFill>
              <a:srgbClr val="A6CDE9"/>
            </a:solidFill>
            <a:ln>
              <a:noFill/>
            </a:ln>
          </c:spPr>
          <c:invertIfNegative val="0"/>
          <c:cat>
            <c:multiLvlStrRef>
              <c:f>'výkonnost odvětví 3'!$V$31:$W$63</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3'!$Y$31:$Y$63</c:f>
              <c:numCache>
                <c:formatCode>0.0</c:formatCode>
                <c:ptCount val="33"/>
                <c:pt idx="0">
                  <c:v>6.1561626309009005</c:v>
                </c:pt>
                <c:pt idx="1">
                  <c:v>5.2198061741317501</c:v>
                </c:pt>
                <c:pt idx="2">
                  <c:v>0.81121749109615093</c:v>
                </c:pt>
                <c:pt idx="3">
                  <c:v>-1.7822785638123868</c:v>
                </c:pt>
                <c:pt idx="4">
                  <c:v>-4.9474983218352611</c:v>
                </c:pt>
                <c:pt idx="5">
                  <c:v>-5.3410137900175885</c:v>
                </c:pt>
                <c:pt idx="6">
                  <c:v>0.85472628808719586</c:v>
                </c:pt>
                <c:pt idx="7">
                  <c:v>4.025422239197713</c:v>
                </c:pt>
                <c:pt idx="8">
                  <c:v>2.017572625987365</c:v>
                </c:pt>
                <c:pt idx="9">
                  <c:v>10.474566164887001</c:v>
                </c:pt>
                <c:pt idx="10">
                  <c:v>3.5905235492018619</c:v>
                </c:pt>
                <c:pt idx="11">
                  <c:v>2.5447811488700256</c:v>
                </c:pt>
                <c:pt idx="12">
                  <c:v>13.855995105276007</c:v>
                </c:pt>
                <c:pt idx="13">
                  <c:v>6.2297897206962016</c:v>
                </c:pt>
                <c:pt idx="14">
                  <c:v>7.7185371709558872</c:v>
                </c:pt>
                <c:pt idx="15">
                  <c:v>2.6447791693670228</c:v>
                </c:pt>
                <c:pt idx="16">
                  <c:v>2.9154958090698799</c:v>
                </c:pt>
                <c:pt idx="17">
                  <c:v>2.5181773768726998</c:v>
                </c:pt>
                <c:pt idx="18">
                  <c:v>-0.93944398979144572</c:v>
                </c:pt>
                <c:pt idx="19">
                  <c:v>2.5303698836274928</c:v>
                </c:pt>
                <c:pt idx="20">
                  <c:v>-0.46960829875990695</c:v>
                </c:pt>
                <c:pt idx="21">
                  <c:v>-7.4218468389728374</c:v>
                </c:pt>
                <c:pt idx="22">
                  <c:v>-7.0962700250466746</c:v>
                </c:pt>
                <c:pt idx="23">
                  <c:v>-8.6039821749857008</c:v>
                </c:pt>
                <c:pt idx="24">
                  <c:v>-5.1060484442398479</c:v>
                </c:pt>
                <c:pt idx="25">
                  <c:v>3.0894144911689372</c:v>
                </c:pt>
                <c:pt idx="26">
                  <c:v>3.0581483596865806</c:v>
                </c:pt>
                <c:pt idx="27">
                  <c:v>5.9641153438618009</c:v>
                </c:pt>
                <c:pt idx="28">
                  <c:v>7.6985733618147538</c:v>
                </c:pt>
                <c:pt idx="29">
                  <c:v>3.7816260772697325</c:v>
                </c:pt>
                <c:pt idx="30">
                  <c:v>-0.85167488545055559</c:v>
                </c:pt>
                <c:pt idx="31">
                  <c:v>-1.0642938240116511</c:v>
                </c:pt>
              </c:numCache>
            </c:numRef>
          </c:val>
          <c:extLst>
            <c:ext xmlns:c16="http://schemas.microsoft.com/office/drawing/2014/chart" uri="{C3380CC4-5D6E-409C-BE32-E72D297353CC}">
              <c16:uniqueId val="{00000000-EA41-46F1-B57A-5887548BEA29}"/>
            </c:ext>
          </c:extLst>
        </c:ser>
        <c:ser>
          <c:idx val="2"/>
          <c:order val="2"/>
          <c:tx>
            <c:strRef>
              <c:f>'výkonnost odvětví 3'!$Z$10</c:f>
              <c:strCache>
                <c:ptCount val="1"/>
                <c:pt idx="0">
                  <c:v>Civil engineering works (contribution)</c:v>
                </c:pt>
              </c:strCache>
            </c:strRef>
          </c:tx>
          <c:spPr>
            <a:solidFill>
              <a:srgbClr val="E8AFB2"/>
            </a:solidFill>
            <a:ln>
              <a:noFill/>
            </a:ln>
          </c:spPr>
          <c:invertIfNegative val="0"/>
          <c:cat>
            <c:multiLvlStrRef>
              <c:f>'výkonnost odvětví 3'!$V$31:$W$63</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3'!$Z$31:$Z$63</c:f>
              <c:numCache>
                <c:formatCode>0.0</c:formatCode>
                <c:ptCount val="33"/>
                <c:pt idx="0">
                  <c:v>3.0695976370766132</c:v>
                </c:pt>
                <c:pt idx="1">
                  <c:v>6.8687640563901597</c:v>
                </c:pt>
                <c:pt idx="2">
                  <c:v>7.0024284830594601</c:v>
                </c:pt>
                <c:pt idx="3">
                  <c:v>2.7837014139812029</c:v>
                </c:pt>
                <c:pt idx="4">
                  <c:v>-1.1579843374442897</c:v>
                </c:pt>
                <c:pt idx="5">
                  <c:v>-5.3321915124459967</c:v>
                </c:pt>
                <c:pt idx="6">
                  <c:v>-6.6730867722657532</c:v>
                </c:pt>
                <c:pt idx="7">
                  <c:v>-5.6953151664187249</c:v>
                </c:pt>
                <c:pt idx="8">
                  <c:v>-3.3415683870294464</c:v>
                </c:pt>
                <c:pt idx="9">
                  <c:v>-0.92513468206673821</c:v>
                </c:pt>
                <c:pt idx="10">
                  <c:v>-1.3825682431716371</c:v>
                </c:pt>
                <c:pt idx="11">
                  <c:v>0.15379376908864856</c:v>
                </c:pt>
                <c:pt idx="12">
                  <c:v>1.8552559317982511</c:v>
                </c:pt>
                <c:pt idx="13">
                  <c:v>1.1686216071454023</c:v>
                </c:pt>
                <c:pt idx="14">
                  <c:v>4.7418799981741273</c:v>
                </c:pt>
                <c:pt idx="15">
                  <c:v>1.6348281993667242</c:v>
                </c:pt>
                <c:pt idx="16">
                  <c:v>0.73841178948747288</c:v>
                </c:pt>
                <c:pt idx="17">
                  <c:v>1.944279393058743</c:v>
                </c:pt>
                <c:pt idx="18">
                  <c:v>0.54106169015283734</c:v>
                </c:pt>
                <c:pt idx="19">
                  <c:v>0.95067687240436172</c:v>
                </c:pt>
                <c:pt idx="20">
                  <c:v>3.144723679902079</c:v>
                </c:pt>
                <c:pt idx="21">
                  <c:v>1.2065846288621407</c:v>
                </c:pt>
                <c:pt idx="22">
                  <c:v>-1.8014402167448849</c:v>
                </c:pt>
                <c:pt idx="23">
                  <c:v>0.40724127593117332</c:v>
                </c:pt>
                <c:pt idx="24">
                  <c:v>-3.7728807524338888E-2</c:v>
                </c:pt>
                <c:pt idx="25">
                  <c:v>0.87829300361278118</c:v>
                </c:pt>
                <c:pt idx="26">
                  <c:v>-0.16995879442567757</c:v>
                </c:pt>
                <c:pt idx="27">
                  <c:v>-0.94797535997122129</c:v>
                </c:pt>
                <c:pt idx="28">
                  <c:v>3.6282601585830583</c:v>
                </c:pt>
                <c:pt idx="29">
                  <c:v>0.20418944444674306</c:v>
                </c:pt>
                <c:pt idx="30">
                  <c:v>2.966030156895055E-2</c:v>
                </c:pt>
                <c:pt idx="31">
                  <c:v>0.93183034570182344</c:v>
                </c:pt>
              </c:numCache>
            </c:numRef>
          </c:val>
          <c:extLst>
            <c:ext xmlns:c16="http://schemas.microsoft.com/office/drawing/2014/chart" uri="{C3380CC4-5D6E-409C-BE32-E72D297353CC}">
              <c16:uniqueId val="{00000001-EA41-46F1-B57A-5887548BEA29}"/>
            </c:ext>
          </c:extLst>
        </c:ser>
        <c:dLbls>
          <c:showLegendKey val="0"/>
          <c:showVal val="0"/>
          <c:showCatName val="0"/>
          <c:showSerName val="0"/>
          <c:showPercent val="0"/>
          <c:showBubbleSize val="0"/>
        </c:dLbls>
        <c:gapWidth val="30"/>
        <c:overlap val="100"/>
        <c:axId val="112768128"/>
        <c:axId val="112769664"/>
      </c:barChart>
      <c:lineChart>
        <c:grouping val="standard"/>
        <c:varyColors val="0"/>
        <c:ser>
          <c:idx val="0"/>
          <c:order val="0"/>
          <c:tx>
            <c:strRef>
              <c:f>'výkonnost odvětví 3'!$X$10</c:f>
              <c:strCache>
                <c:ptCount val="1"/>
                <c:pt idx="0">
                  <c:v>Total construction output</c:v>
                </c:pt>
              </c:strCache>
            </c:strRef>
          </c:tx>
          <c:spPr>
            <a:ln>
              <a:noFill/>
            </a:ln>
          </c:spPr>
          <c:marker>
            <c:symbol val="diamond"/>
            <c:size val="5"/>
            <c:spPr>
              <a:solidFill>
                <a:schemeClr val="bg1"/>
              </a:solidFill>
              <a:ln>
                <a:solidFill>
                  <a:schemeClr val="tx1">
                    <a:lumMod val="95000"/>
                    <a:lumOff val="5000"/>
                  </a:schemeClr>
                </a:solidFill>
              </a:ln>
            </c:spPr>
          </c:marker>
          <c:cat>
            <c:multiLvlStrRef>
              <c:f>'výkonnost odvětví 3'!$V$31:$W$63</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3'!$X$31:$X$63</c:f>
              <c:numCache>
                <c:formatCode>0.0</c:formatCode>
                <c:ptCount val="33"/>
                <c:pt idx="0">
                  <c:v>9.2257602679775061</c:v>
                </c:pt>
                <c:pt idx="1">
                  <c:v>12.088570230521924</c:v>
                </c:pt>
                <c:pt idx="2">
                  <c:v>7.813645974155591</c:v>
                </c:pt>
                <c:pt idx="3">
                  <c:v>1.0014228501687938</c:v>
                </c:pt>
                <c:pt idx="4">
                  <c:v>-6.1054826592795308</c:v>
                </c:pt>
                <c:pt idx="5">
                  <c:v>-10.673205302463586</c:v>
                </c:pt>
                <c:pt idx="6">
                  <c:v>-5.818360484178541</c:v>
                </c:pt>
                <c:pt idx="7">
                  <c:v>-1.6698929272209995</c:v>
                </c:pt>
                <c:pt idx="8">
                  <c:v>-1.3239957610420987</c:v>
                </c:pt>
                <c:pt idx="9">
                  <c:v>9.5494314828202391</c:v>
                </c:pt>
                <c:pt idx="10">
                  <c:v>2.2079553060302146</c:v>
                </c:pt>
                <c:pt idx="11">
                  <c:v>2.6985749179586662</c:v>
                </c:pt>
                <c:pt idx="12">
                  <c:v>15.711251037074277</c:v>
                </c:pt>
                <c:pt idx="13">
                  <c:v>7.3984113278416004</c:v>
                </c:pt>
                <c:pt idx="14">
                  <c:v>12.460417169130025</c:v>
                </c:pt>
                <c:pt idx="15">
                  <c:v>4.2796073687337355</c:v>
                </c:pt>
                <c:pt idx="16">
                  <c:v>3.6539075985573675</c:v>
                </c:pt>
                <c:pt idx="17">
                  <c:v>4.4624567699314639</c:v>
                </c:pt>
                <c:pt idx="18">
                  <c:v>-0.39838229963861238</c:v>
                </c:pt>
                <c:pt idx="19">
                  <c:v>3.4810467560318727</c:v>
                </c:pt>
                <c:pt idx="20">
                  <c:v>2.6751153811421773</c:v>
                </c:pt>
                <c:pt idx="21">
                  <c:v>-6.2152622101107085</c:v>
                </c:pt>
                <c:pt idx="22">
                  <c:v>-8.8977102417915575</c:v>
                </c:pt>
                <c:pt idx="23">
                  <c:v>-8.1967408990545607</c:v>
                </c:pt>
                <c:pt idx="24">
                  <c:v>-5.143777251764206</c:v>
                </c:pt>
                <c:pt idx="25">
                  <c:v>3.9677074947817061</c:v>
                </c:pt>
                <c:pt idx="26">
                  <c:v>2.888189565260916</c:v>
                </c:pt>
                <c:pt idx="27">
                  <c:v>5.0161399838906107</c:v>
                </c:pt>
                <c:pt idx="28">
                  <c:v>11.326833520397798</c:v>
                </c:pt>
                <c:pt idx="29">
                  <c:v>3.9858155217164608</c:v>
                </c:pt>
                <c:pt idx="30">
                  <c:v>-0.82201458388159665</c:v>
                </c:pt>
                <c:pt idx="31">
                  <c:v>-0.13246347830984462</c:v>
                </c:pt>
              </c:numCache>
            </c:numRef>
          </c:val>
          <c:smooth val="0"/>
          <c:extLst>
            <c:ext xmlns:c16="http://schemas.microsoft.com/office/drawing/2014/chart" uri="{C3380CC4-5D6E-409C-BE32-E72D297353CC}">
              <c16:uniqueId val="{00000002-EA41-46F1-B57A-5887548BEA29}"/>
            </c:ext>
          </c:extLst>
        </c:ser>
        <c:ser>
          <c:idx val="3"/>
          <c:order val="3"/>
          <c:tx>
            <c:strRef>
              <c:f>'výkonnost odvětví 3'!$AA$10</c:f>
              <c:strCache>
                <c:ptCount val="1"/>
                <c:pt idx="0">
                  <c:v>New domestic construction orders</c:v>
                </c:pt>
              </c:strCache>
            </c:strRef>
          </c:tx>
          <c:spPr>
            <a:ln w="15875">
              <a:solidFill>
                <a:srgbClr val="984807"/>
              </a:solidFill>
            </a:ln>
          </c:spPr>
          <c:marker>
            <c:symbol val="none"/>
          </c:marker>
          <c:cat>
            <c:multiLvlStrRef>
              <c:f>'výkonnost odvětví 3'!$V$31:$W$63</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3'!$AA$31:$AA$63</c:f>
              <c:numCache>
                <c:formatCode>0.0</c:formatCode>
                <c:ptCount val="33"/>
                <c:pt idx="0">
                  <c:v>-3.1547956675580053</c:v>
                </c:pt>
                <c:pt idx="1">
                  <c:v>9.7504961091663205</c:v>
                </c:pt>
                <c:pt idx="2">
                  <c:v>-1.097606022761255</c:v>
                </c:pt>
                <c:pt idx="3">
                  <c:v>-2.3987783410040464</c:v>
                </c:pt>
                <c:pt idx="4">
                  <c:v>-6.6406358945753823</c:v>
                </c:pt>
                <c:pt idx="5">
                  <c:v>-0.49977652269311079</c:v>
                </c:pt>
                <c:pt idx="6">
                  <c:v>-7.0322087253454839</c:v>
                </c:pt>
                <c:pt idx="7">
                  <c:v>10.122126124559955</c:v>
                </c:pt>
                <c:pt idx="8">
                  <c:v>16.177217458847437</c:v>
                </c:pt>
                <c:pt idx="9">
                  <c:v>9.5350878984013008</c:v>
                </c:pt>
                <c:pt idx="10">
                  <c:v>-1.2817324431350698</c:v>
                </c:pt>
                <c:pt idx="11">
                  <c:v>15.620806693503823</c:v>
                </c:pt>
                <c:pt idx="12">
                  <c:v>30.10697387368856</c:v>
                </c:pt>
                <c:pt idx="13">
                  <c:v>32.836878110611963</c:v>
                </c:pt>
                <c:pt idx="14">
                  <c:v>5.2768249907951201</c:v>
                </c:pt>
                <c:pt idx="15">
                  <c:v>1.8944565811032277</c:v>
                </c:pt>
                <c:pt idx="16">
                  <c:v>14.157245632065781</c:v>
                </c:pt>
                <c:pt idx="17">
                  <c:v>-9.3849543241233135</c:v>
                </c:pt>
                <c:pt idx="18">
                  <c:v>17.407871000993993</c:v>
                </c:pt>
                <c:pt idx="19">
                  <c:v>5.8323004254463768</c:v>
                </c:pt>
                <c:pt idx="20">
                  <c:v>-12.441635069859245</c:v>
                </c:pt>
                <c:pt idx="21">
                  <c:v>7.497345722028669</c:v>
                </c:pt>
                <c:pt idx="22">
                  <c:v>2.0599736606932879</c:v>
                </c:pt>
                <c:pt idx="23">
                  <c:v>7.5507850088630164</c:v>
                </c:pt>
                <c:pt idx="24">
                  <c:v>28.856340981154403</c:v>
                </c:pt>
                <c:pt idx="25">
                  <c:v>22.047871359987184</c:v>
                </c:pt>
                <c:pt idx="26">
                  <c:v>10.015015612184257</c:v>
                </c:pt>
                <c:pt idx="27">
                  <c:v>1.0053213537781147</c:v>
                </c:pt>
                <c:pt idx="28">
                  <c:v>13.067478460417874</c:v>
                </c:pt>
                <c:pt idx="29">
                  <c:v>17.619163607261129</c:v>
                </c:pt>
                <c:pt idx="30">
                  <c:v>12.421954480552543</c:v>
                </c:pt>
                <c:pt idx="31">
                  <c:v>13.031852753748723</c:v>
                </c:pt>
              </c:numCache>
            </c:numRef>
          </c:val>
          <c:smooth val="0"/>
          <c:extLst>
            <c:ext xmlns:c16="http://schemas.microsoft.com/office/drawing/2014/chart" uri="{C3380CC4-5D6E-409C-BE32-E72D297353CC}">
              <c16:uniqueId val="{00000003-EA41-46F1-B57A-5887548BEA29}"/>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4"/>
          <c:order val="4"/>
          <c:tx>
            <c:strRef>
              <c:f>'výkonnost odvětví 3'!$AB$10</c:f>
              <c:strCache>
                <c:ptCount val="1"/>
                <c:pt idx="0">
                  <c:v>Barrier: inadequate demand </c:v>
                </c:pt>
              </c:strCache>
            </c:strRef>
          </c:tx>
          <c:spPr>
            <a:ln w="15875">
              <a:solidFill>
                <a:srgbClr val="92D050"/>
              </a:solidFill>
              <a:prstDash val="dash"/>
            </a:ln>
          </c:spPr>
          <c:marker>
            <c:symbol val="none"/>
          </c:marker>
          <c:cat>
            <c:multiLvlStrRef>
              <c:f>'výkonnost odvětví 3'!$V$31:$W$63</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3'!$AB$31:$AB$63</c:f>
              <c:numCache>
                <c:formatCode>#\ ##0.0</c:formatCode>
                <c:ptCount val="33"/>
                <c:pt idx="0">
                  <c:v>67.3</c:v>
                </c:pt>
                <c:pt idx="1">
                  <c:v>60.7</c:v>
                </c:pt>
                <c:pt idx="2">
                  <c:v>58.6</c:v>
                </c:pt>
                <c:pt idx="3">
                  <c:v>58.2</c:v>
                </c:pt>
                <c:pt idx="4">
                  <c:v>58.5</c:v>
                </c:pt>
                <c:pt idx="5">
                  <c:v>62.6</c:v>
                </c:pt>
                <c:pt idx="6">
                  <c:v>60.3</c:v>
                </c:pt>
                <c:pt idx="7">
                  <c:v>55.7</c:v>
                </c:pt>
                <c:pt idx="8">
                  <c:v>55.7</c:v>
                </c:pt>
                <c:pt idx="9">
                  <c:v>54.8</c:v>
                </c:pt>
                <c:pt idx="10">
                  <c:v>49.1</c:v>
                </c:pt>
                <c:pt idx="11">
                  <c:v>47.1</c:v>
                </c:pt>
                <c:pt idx="12">
                  <c:v>40.1</c:v>
                </c:pt>
                <c:pt idx="13">
                  <c:v>39.4</c:v>
                </c:pt>
                <c:pt idx="14">
                  <c:v>33</c:v>
                </c:pt>
                <c:pt idx="15">
                  <c:v>23.3</c:v>
                </c:pt>
                <c:pt idx="16">
                  <c:v>26.5</c:v>
                </c:pt>
                <c:pt idx="17">
                  <c:v>26.7</c:v>
                </c:pt>
                <c:pt idx="18">
                  <c:v>18.899999999999999</c:v>
                </c:pt>
                <c:pt idx="19">
                  <c:v>19.600000000000001</c:v>
                </c:pt>
                <c:pt idx="20">
                  <c:v>31.6</c:v>
                </c:pt>
                <c:pt idx="21">
                  <c:v>31.3</c:v>
                </c:pt>
                <c:pt idx="22">
                  <c:v>38.6</c:v>
                </c:pt>
                <c:pt idx="23" formatCode="General">
                  <c:v>39.200000000000003</c:v>
                </c:pt>
                <c:pt idx="24">
                  <c:v>30.8</c:v>
                </c:pt>
                <c:pt idx="25">
                  <c:v>35.9</c:v>
                </c:pt>
                <c:pt idx="26">
                  <c:v>23.2</c:v>
                </c:pt>
                <c:pt idx="27" formatCode="#\ ##0.##########">
                  <c:v>19.5</c:v>
                </c:pt>
                <c:pt idx="28" formatCode="#\ ##0.##########">
                  <c:v>21.3</c:v>
                </c:pt>
                <c:pt idx="29" formatCode="#\ ##0.##########">
                  <c:v>21.1</c:v>
                </c:pt>
                <c:pt idx="30" formatCode="#\ ##0.##########">
                  <c:v>19.3</c:v>
                </c:pt>
                <c:pt idx="31" formatCode="#\ ##0.##########">
                  <c:v>20.6</c:v>
                </c:pt>
                <c:pt idx="32" formatCode="#\ ##0.##########">
                  <c:v>31.9</c:v>
                </c:pt>
              </c:numCache>
            </c:numRef>
          </c:val>
          <c:smooth val="0"/>
          <c:extLst>
            <c:ext xmlns:c16="http://schemas.microsoft.com/office/drawing/2014/chart" uri="{C3380CC4-5D6E-409C-BE32-E72D297353CC}">
              <c16:uniqueId val="{00000004-EA41-46F1-B57A-5887548BEA29}"/>
            </c:ext>
          </c:extLst>
        </c:ser>
        <c:ser>
          <c:idx val="5"/>
          <c:order val="5"/>
          <c:tx>
            <c:strRef>
              <c:f>'výkonnost odvětví 3'!$AC$10</c:f>
              <c:strCache>
                <c:ptCount val="1"/>
                <c:pt idx="0">
                  <c:v>Growth barrier: lack of workers</c:v>
                </c:pt>
              </c:strCache>
            </c:strRef>
          </c:tx>
          <c:spPr>
            <a:ln w="15875">
              <a:solidFill>
                <a:srgbClr val="00B050"/>
              </a:solidFill>
              <a:prstDash val="solid"/>
            </a:ln>
          </c:spPr>
          <c:marker>
            <c:symbol val="none"/>
          </c:marker>
          <c:cat>
            <c:multiLvlStrRef>
              <c:f>'výkonnost odvětví 3'!$V$31:$W$63</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3'!$AC$31:$AC$63</c:f>
              <c:numCache>
                <c:formatCode>#\ ##0.0</c:formatCode>
                <c:ptCount val="33"/>
                <c:pt idx="0">
                  <c:v>8.3000000000000007</c:v>
                </c:pt>
                <c:pt idx="1">
                  <c:v>8.1</c:v>
                </c:pt>
                <c:pt idx="2">
                  <c:v>6.1</c:v>
                </c:pt>
                <c:pt idx="3">
                  <c:v>6</c:v>
                </c:pt>
                <c:pt idx="4">
                  <c:v>6.5</c:v>
                </c:pt>
                <c:pt idx="5">
                  <c:v>7.2</c:v>
                </c:pt>
                <c:pt idx="6">
                  <c:v>7</c:v>
                </c:pt>
                <c:pt idx="7">
                  <c:v>10.4</c:v>
                </c:pt>
                <c:pt idx="8">
                  <c:v>14</c:v>
                </c:pt>
                <c:pt idx="9">
                  <c:v>14.8</c:v>
                </c:pt>
                <c:pt idx="10">
                  <c:v>21.4</c:v>
                </c:pt>
                <c:pt idx="11">
                  <c:v>21.1</c:v>
                </c:pt>
                <c:pt idx="12">
                  <c:v>27.3</c:v>
                </c:pt>
                <c:pt idx="13">
                  <c:v>30.1</c:v>
                </c:pt>
                <c:pt idx="14">
                  <c:v>28.1</c:v>
                </c:pt>
                <c:pt idx="15">
                  <c:v>38.200000000000003</c:v>
                </c:pt>
                <c:pt idx="16">
                  <c:v>36.9</c:v>
                </c:pt>
                <c:pt idx="17">
                  <c:v>43.4</c:v>
                </c:pt>
                <c:pt idx="18">
                  <c:v>49.6</c:v>
                </c:pt>
                <c:pt idx="19">
                  <c:v>46.2</c:v>
                </c:pt>
                <c:pt idx="20">
                  <c:v>52.5</c:v>
                </c:pt>
                <c:pt idx="21">
                  <c:v>46</c:v>
                </c:pt>
                <c:pt idx="22">
                  <c:v>35.299999999999997</c:v>
                </c:pt>
                <c:pt idx="23" formatCode="0.0">
                  <c:v>31.9</c:v>
                </c:pt>
                <c:pt idx="24">
                  <c:v>48.6</c:v>
                </c:pt>
                <c:pt idx="25">
                  <c:v>31.6</c:v>
                </c:pt>
                <c:pt idx="26">
                  <c:v>40.700000000000003</c:v>
                </c:pt>
                <c:pt idx="27">
                  <c:v>42</c:v>
                </c:pt>
                <c:pt idx="28">
                  <c:v>58</c:v>
                </c:pt>
                <c:pt idx="29" formatCode="#\ ##0.##########">
                  <c:v>44.4</c:v>
                </c:pt>
                <c:pt idx="30">
                  <c:v>39</c:v>
                </c:pt>
                <c:pt idx="31" formatCode="#\ ##0.##########">
                  <c:v>46.8</c:v>
                </c:pt>
                <c:pt idx="32" formatCode="#\ ##0.##########">
                  <c:v>40.1</c:v>
                </c:pt>
              </c:numCache>
            </c:numRef>
          </c:val>
          <c:smooth val="0"/>
          <c:extLst>
            <c:ext xmlns:c16="http://schemas.microsoft.com/office/drawing/2014/chart" uri="{C3380CC4-5D6E-409C-BE32-E72D297353CC}">
              <c16:uniqueId val="{00000005-EA41-46F1-B57A-5887548BEA29}"/>
            </c:ext>
          </c:extLst>
        </c:ser>
        <c:ser>
          <c:idx val="6"/>
          <c:order val="6"/>
          <c:tx>
            <c:strRef>
              <c:f>'výkonnost odvětví 3'!$AD$10</c:f>
              <c:strCache>
                <c:ptCount val="1"/>
                <c:pt idx="0">
                  <c:v>Barrier: shortage of material/equipment</c:v>
                </c:pt>
              </c:strCache>
            </c:strRef>
          </c:tx>
          <c:spPr>
            <a:ln w="15875">
              <a:solidFill>
                <a:srgbClr val="00B050"/>
              </a:solidFill>
              <a:prstDash val="sysDash"/>
            </a:ln>
          </c:spPr>
          <c:marker>
            <c:symbol val="none"/>
          </c:marker>
          <c:cat>
            <c:multiLvlStrRef>
              <c:f>'výkonnost odvětví 3'!$V$31:$W$63</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3'!$AD$31:$AD$63</c:f>
              <c:numCache>
                <c:formatCode>#\ ##0.0</c:formatCode>
                <c:ptCount val="33"/>
                <c:pt idx="0">
                  <c:v>0.1</c:v>
                </c:pt>
                <c:pt idx="1">
                  <c:v>0.4</c:v>
                </c:pt>
                <c:pt idx="2">
                  <c:v>4</c:v>
                </c:pt>
                <c:pt idx="3">
                  <c:v>0.5</c:v>
                </c:pt>
                <c:pt idx="4">
                  <c:v>0.4</c:v>
                </c:pt>
                <c:pt idx="5">
                  <c:v>0.5</c:v>
                </c:pt>
                <c:pt idx="6">
                  <c:v>0.5</c:v>
                </c:pt>
                <c:pt idx="7">
                  <c:v>1.5</c:v>
                </c:pt>
                <c:pt idx="8">
                  <c:v>0.3</c:v>
                </c:pt>
                <c:pt idx="9">
                  <c:v>0.3</c:v>
                </c:pt>
                <c:pt idx="10">
                  <c:v>3.3</c:v>
                </c:pt>
                <c:pt idx="11">
                  <c:v>4.2</c:v>
                </c:pt>
                <c:pt idx="12">
                  <c:v>5.5</c:v>
                </c:pt>
                <c:pt idx="13">
                  <c:v>1.2</c:v>
                </c:pt>
                <c:pt idx="14">
                  <c:v>6.8</c:v>
                </c:pt>
                <c:pt idx="15">
                  <c:v>3.5</c:v>
                </c:pt>
                <c:pt idx="16">
                  <c:v>4.3</c:v>
                </c:pt>
                <c:pt idx="17">
                  <c:v>5.7</c:v>
                </c:pt>
                <c:pt idx="18">
                  <c:v>5.3</c:v>
                </c:pt>
                <c:pt idx="19">
                  <c:v>4</c:v>
                </c:pt>
                <c:pt idx="20">
                  <c:v>1.9</c:v>
                </c:pt>
                <c:pt idx="21">
                  <c:v>3.4</c:v>
                </c:pt>
                <c:pt idx="22">
                  <c:v>1.3</c:v>
                </c:pt>
                <c:pt idx="23">
                  <c:v>0.8</c:v>
                </c:pt>
                <c:pt idx="24">
                  <c:v>1.3</c:v>
                </c:pt>
                <c:pt idx="25">
                  <c:v>4.3</c:v>
                </c:pt>
                <c:pt idx="26">
                  <c:v>16.3</c:v>
                </c:pt>
                <c:pt idx="27" formatCode="#\ ##0.##########">
                  <c:v>22.8</c:v>
                </c:pt>
                <c:pt idx="28" formatCode="#\ ##0.##########">
                  <c:v>24.7</c:v>
                </c:pt>
                <c:pt idx="29" formatCode="#\ ##0.##########">
                  <c:v>41.3</c:v>
                </c:pt>
                <c:pt idx="30" formatCode="#\ ##0.##########">
                  <c:v>38.6</c:v>
                </c:pt>
                <c:pt idx="31" formatCode="#\ ##0.##########">
                  <c:v>23.4</c:v>
                </c:pt>
                <c:pt idx="32" formatCode="#\ ##0.##########">
                  <c:v>19.5</c:v>
                </c:pt>
              </c:numCache>
            </c:numRef>
          </c:val>
          <c:smooth val="0"/>
          <c:extLst>
            <c:ext xmlns:c16="http://schemas.microsoft.com/office/drawing/2014/chart" uri="{C3380CC4-5D6E-409C-BE32-E72D297353CC}">
              <c16:uniqueId val="{00000006-EA41-46F1-B57A-5887548BEA29}"/>
            </c:ext>
          </c:extLst>
        </c:ser>
        <c:ser>
          <c:idx val="7"/>
          <c:order val="7"/>
          <c:tx>
            <c:strRef>
              <c:f>'výkonnost odvětví 3'!$AE$10</c:f>
              <c:strCache>
                <c:ptCount val="1"/>
                <c:pt idx="0">
                  <c:v>Confidence indicator in construction </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3'!$V$31:$W$63</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3'!$AE$31:$AE$63</c:f>
              <c:numCache>
                <c:formatCode>0.0</c:formatCode>
                <c:ptCount val="33"/>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pt idx="24">
                  <c:v>-6</c:v>
                </c:pt>
                <c:pt idx="25">
                  <c:v>-5.5</c:v>
                </c:pt>
                <c:pt idx="26">
                  <c:v>-4.5</c:v>
                </c:pt>
                <c:pt idx="27">
                  <c:v>-6.5</c:v>
                </c:pt>
                <c:pt idx="28">
                  <c:v>6.5</c:v>
                </c:pt>
                <c:pt idx="29">
                  <c:v>-2</c:v>
                </c:pt>
                <c:pt idx="30">
                  <c:v>-9</c:v>
                </c:pt>
                <c:pt idx="31">
                  <c:v>-4.5</c:v>
                </c:pt>
                <c:pt idx="32">
                  <c:v>-11.5</c:v>
                </c:pt>
              </c:numCache>
            </c:numRef>
          </c:val>
          <c:smooth val="0"/>
          <c:extLst>
            <c:ext xmlns:c16="http://schemas.microsoft.com/office/drawing/2014/chart" uri="{C3380CC4-5D6E-409C-BE32-E72D297353CC}">
              <c16:uniqueId val="{00000007-EA41-46F1-B57A-5887548BEA29}"/>
            </c:ext>
          </c:extLst>
        </c:ser>
        <c:dLbls>
          <c:showLegendKey val="0"/>
          <c:showVal val="0"/>
          <c:showCatName val="0"/>
          <c:showSerName val="0"/>
          <c:showPercent val="0"/>
          <c:showBubbleSize val="0"/>
        </c:dLbls>
        <c:marker val="1"/>
        <c:smooth val="0"/>
        <c:axId val="1118074639"/>
        <c:axId val="1118080463"/>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80"/>
          <c:min val="-20"/>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Orders, Contribution to change of construction output</a:t>
                </a:r>
              </a:p>
            </c:rich>
          </c:tx>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10"/>
      </c:valAx>
      <c:valAx>
        <c:axId val="1118080463"/>
        <c:scaling>
          <c:orientation val="minMax"/>
          <c:max val="100"/>
          <c:min val="-100"/>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Confidence indicator, Growth barriers</a:t>
                </a:r>
              </a:p>
            </c:rich>
          </c:tx>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118074639"/>
        <c:crosses val="max"/>
        <c:crossBetween val="between"/>
        <c:majorUnit val="20"/>
      </c:valAx>
      <c:catAx>
        <c:axId val="1118074639"/>
        <c:scaling>
          <c:orientation val="minMax"/>
        </c:scaling>
        <c:delete val="1"/>
        <c:axPos val="b"/>
        <c:numFmt formatCode="General" sourceLinked="1"/>
        <c:majorTickMark val="out"/>
        <c:minorTickMark val="none"/>
        <c:tickLblPos val="nextTo"/>
        <c:crossAx val="1118080463"/>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1.8499319708759499E-2"/>
          <c:y val="0.85936703322638608"/>
          <c:w val="0.96925714241885397"/>
          <c:h val="0.13362821778942557"/>
        </c:manualLayout>
      </c:layout>
      <c:overlay val="0"/>
      <c:spPr>
        <a:ln w="6350">
          <a:solidFill>
            <a:prstClr val="black">
              <a:lumMod val="95000"/>
              <a:lumOff val="5000"/>
            </a:prstClr>
          </a:solidFill>
        </a:ln>
      </c:spPr>
      <c:txPr>
        <a:bodyPr/>
        <a:lstStyle/>
        <a:p>
          <a:pPr>
            <a:defRPr sz="75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602532940696551E-2"/>
          <c:y val="1.5803328678987455E-2"/>
          <c:w val="0.83685581284761734"/>
          <c:h val="0.69902590308489432"/>
        </c:manualLayout>
      </c:layout>
      <c:barChart>
        <c:barDir val="col"/>
        <c:grouping val="stacked"/>
        <c:varyColors val="0"/>
        <c:ser>
          <c:idx val="0"/>
          <c:order val="1"/>
          <c:tx>
            <c:strRef>
              <c:f>'Služby-příspěvkyk růstu-4'!$D$33</c:f>
              <c:strCache>
                <c:ptCount val="1"/>
                <c:pt idx="0">
                  <c:v>Transporting and storage</c:v>
                </c:pt>
              </c:strCache>
            </c:strRef>
          </c:tx>
          <c:spPr>
            <a:solidFill>
              <a:srgbClr val="92D050"/>
            </a:solidFill>
            <a:ln>
              <a:noFill/>
            </a:ln>
          </c:spPr>
          <c:invertIfNegative val="0"/>
          <c:cat>
            <c:multiLvlStrRef>
              <c:f>'Služby-příspěvkyk růstu-4'!$A$46:$B$78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růstu-4'!$D$46:$D$78</c:f>
              <c:numCache>
                <c:formatCode>0.0</c:formatCode>
                <c:ptCount val="33"/>
                <c:pt idx="0">
                  <c:v>0.17627373165999941</c:v>
                </c:pt>
                <c:pt idx="1">
                  <c:v>-4.1398260783598456E-2</c:v>
                </c:pt>
                <c:pt idx="2">
                  <c:v>0.20127676583260182</c:v>
                </c:pt>
                <c:pt idx="3">
                  <c:v>4.2331882175001848E-2</c:v>
                </c:pt>
                <c:pt idx="4">
                  <c:v>0.2604828945619988</c:v>
                </c:pt>
                <c:pt idx="5">
                  <c:v>0.2004471947790982</c:v>
                </c:pt>
                <c:pt idx="6">
                  <c:v>0.14004615678000035</c:v>
                </c:pt>
                <c:pt idx="7">
                  <c:v>0.860592831148001</c:v>
                </c:pt>
                <c:pt idx="8">
                  <c:v>1.6559965627289983</c:v>
                </c:pt>
                <c:pt idx="9">
                  <c:v>1.093454887462999</c:v>
                </c:pt>
                <c:pt idx="10">
                  <c:v>1.1374484601479997</c:v>
                </c:pt>
                <c:pt idx="11">
                  <c:v>0.60470809717899932</c:v>
                </c:pt>
                <c:pt idx="12">
                  <c:v>1.7518533558900011</c:v>
                </c:pt>
                <c:pt idx="13">
                  <c:v>1.9191714775479998</c:v>
                </c:pt>
                <c:pt idx="14">
                  <c:v>1.4689069805629986</c:v>
                </c:pt>
                <c:pt idx="15">
                  <c:v>0.49822211685500045</c:v>
                </c:pt>
                <c:pt idx="16">
                  <c:v>0.75210969494300106</c:v>
                </c:pt>
                <c:pt idx="17">
                  <c:v>-7.8943058121998602E-2</c:v>
                </c:pt>
                <c:pt idx="18">
                  <c:v>-0.67615596099700137</c:v>
                </c:pt>
                <c:pt idx="19">
                  <c:v>-0.53883087511919869</c:v>
                </c:pt>
                <c:pt idx="20">
                  <c:v>-1.7873099078691994</c:v>
                </c:pt>
                <c:pt idx="21">
                  <c:v>-6.8790162520431002</c:v>
                </c:pt>
                <c:pt idx="22">
                  <c:v>-4.2156758486250006</c:v>
                </c:pt>
                <c:pt idx="23">
                  <c:v>-1.7596921701599992</c:v>
                </c:pt>
                <c:pt idx="24">
                  <c:v>-0.15017138784059969</c:v>
                </c:pt>
                <c:pt idx="25">
                  <c:v>6.9506599035744001</c:v>
                </c:pt>
                <c:pt idx="26">
                  <c:v>4.0996709945155994</c:v>
                </c:pt>
                <c:pt idx="27">
                  <c:v>4.5444705336066278</c:v>
                </c:pt>
                <c:pt idx="28">
                  <c:v>4.6409021990874137</c:v>
                </c:pt>
                <c:pt idx="29">
                  <c:v>4.7982665196474699</c:v>
                </c:pt>
                <c:pt idx="30">
                  <c:v>3.7712235020789047</c:v>
                </c:pt>
                <c:pt idx="31">
                  <c:v>-0.10353535826759958</c:v>
                </c:pt>
              </c:numCache>
            </c:numRef>
          </c:val>
          <c:extLst>
            <c:ext xmlns:c16="http://schemas.microsoft.com/office/drawing/2014/chart" uri="{C3380CC4-5D6E-409C-BE32-E72D297353CC}">
              <c16:uniqueId val="{00000000-DAB9-4966-890C-B78D79A04B75}"/>
            </c:ext>
          </c:extLst>
        </c:ser>
        <c:ser>
          <c:idx val="1"/>
          <c:order val="2"/>
          <c:tx>
            <c:strRef>
              <c:f>'Služby-příspěvkyk růstu-4'!$E$33</c:f>
              <c:strCache>
                <c:ptCount val="1"/>
                <c:pt idx="0">
                  <c:v>Accommodation, food service activities</c:v>
                </c:pt>
              </c:strCache>
            </c:strRef>
          </c:tx>
          <c:spPr>
            <a:solidFill>
              <a:srgbClr val="00B0F0"/>
            </a:solidFill>
            <a:ln>
              <a:noFill/>
            </a:ln>
          </c:spPr>
          <c:invertIfNegative val="0"/>
          <c:cat>
            <c:multiLvlStrRef>
              <c:f>'Služby-příspěvkyk růstu-4'!$A$46:$B$78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růstu-4'!$E$46:$E$78</c:f>
              <c:numCache>
                <c:formatCode>0.0</c:formatCode>
                <c:ptCount val="33"/>
                <c:pt idx="0">
                  <c:v>0.23064326026020021</c:v>
                </c:pt>
                <c:pt idx="1">
                  <c:v>0.65490030172000013</c:v>
                </c:pt>
                <c:pt idx="2">
                  <c:v>0.65615704203699965</c:v>
                </c:pt>
                <c:pt idx="3">
                  <c:v>0.40198126828160025</c:v>
                </c:pt>
                <c:pt idx="4">
                  <c:v>0.47264498177679992</c:v>
                </c:pt>
                <c:pt idx="5">
                  <c:v>0.16809598308499973</c:v>
                </c:pt>
                <c:pt idx="6">
                  <c:v>0.56785028038259988</c:v>
                </c:pt>
                <c:pt idx="7">
                  <c:v>0.60026021753880032</c:v>
                </c:pt>
                <c:pt idx="8">
                  <c:v>0.9071617575674995</c:v>
                </c:pt>
                <c:pt idx="9">
                  <c:v>1.2351843183736004</c:v>
                </c:pt>
                <c:pt idx="10">
                  <c:v>0.55372633890920031</c:v>
                </c:pt>
                <c:pt idx="11">
                  <c:v>0.45414701226059961</c:v>
                </c:pt>
                <c:pt idx="12">
                  <c:v>0.20562277238639989</c:v>
                </c:pt>
                <c:pt idx="13">
                  <c:v>4.6481198053399883E-2</c:v>
                </c:pt>
                <c:pt idx="14">
                  <c:v>5.8790755202600166E-2</c:v>
                </c:pt>
                <c:pt idx="15">
                  <c:v>-3.8611122396599744E-2</c:v>
                </c:pt>
                <c:pt idx="16">
                  <c:v>0.19877668230760023</c:v>
                </c:pt>
                <c:pt idx="17">
                  <c:v>0.19106550885020049</c:v>
                </c:pt>
                <c:pt idx="18">
                  <c:v>-2.1031638824599897E-2</c:v>
                </c:pt>
                <c:pt idx="19">
                  <c:v>-1.8881872245599823E-2</c:v>
                </c:pt>
                <c:pt idx="20">
                  <c:v>-1.157864857912162</c:v>
                </c:pt>
                <c:pt idx="21">
                  <c:v>-4.9674966649835008</c:v>
                </c:pt>
                <c:pt idx="22">
                  <c:v>-1.9520417393251031</c:v>
                </c:pt>
                <c:pt idx="23">
                  <c:v>-4.5017067627894241</c:v>
                </c:pt>
                <c:pt idx="24">
                  <c:v>-3.6933845036437498</c:v>
                </c:pt>
                <c:pt idx="25">
                  <c:v>1.372408212714985</c:v>
                </c:pt>
                <c:pt idx="26">
                  <c:v>0.63617916285749976</c:v>
                </c:pt>
                <c:pt idx="27">
                  <c:v>2.8391165022808131</c:v>
                </c:pt>
                <c:pt idx="28">
                  <c:v>2.9560910977845003</c:v>
                </c:pt>
                <c:pt idx="29">
                  <c:v>2.6813527792266059</c:v>
                </c:pt>
                <c:pt idx="30">
                  <c:v>-0.42127815127457585</c:v>
                </c:pt>
                <c:pt idx="31">
                  <c:v>0.60069715770429977</c:v>
                </c:pt>
              </c:numCache>
            </c:numRef>
          </c:val>
          <c:extLst>
            <c:ext xmlns:c16="http://schemas.microsoft.com/office/drawing/2014/chart" uri="{C3380CC4-5D6E-409C-BE32-E72D297353CC}">
              <c16:uniqueId val="{00000001-DAB9-4966-890C-B78D79A04B75}"/>
            </c:ext>
          </c:extLst>
        </c:ser>
        <c:ser>
          <c:idx val="2"/>
          <c:order val="3"/>
          <c:tx>
            <c:strRef>
              <c:f>'Služby-příspěvkyk růstu-4'!$F$33</c:f>
              <c:strCache>
                <c:ptCount val="1"/>
                <c:pt idx="0">
                  <c:v>Information and communication</c:v>
                </c:pt>
              </c:strCache>
            </c:strRef>
          </c:tx>
          <c:spPr>
            <a:solidFill>
              <a:srgbClr val="E6E100"/>
            </a:solidFill>
            <a:ln>
              <a:noFill/>
            </a:ln>
          </c:spPr>
          <c:invertIfNegative val="0"/>
          <c:cat>
            <c:multiLvlStrRef>
              <c:f>'Služby-příspěvkyk růstu-4'!$A$46:$B$78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růstu-4'!$F$46:$F$78</c:f>
              <c:numCache>
                <c:formatCode>0.0</c:formatCode>
                <c:ptCount val="33"/>
                <c:pt idx="0">
                  <c:v>1.4083798915137009</c:v>
                </c:pt>
                <c:pt idx="1">
                  <c:v>0.82540650715499964</c:v>
                </c:pt>
                <c:pt idx="2">
                  <c:v>0.80424272675400077</c:v>
                </c:pt>
                <c:pt idx="3">
                  <c:v>1.3174140502479994</c:v>
                </c:pt>
                <c:pt idx="4">
                  <c:v>0.35985664064800121</c:v>
                </c:pt>
                <c:pt idx="5">
                  <c:v>0.1575138368199987</c:v>
                </c:pt>
                <c:pt idx="6">
                  <c:v>0.32598498922399954</c:v>
                </c:pt>
                <c:pt idx="7">
                  <c:v>0.17761340848900062</c:v>
                </c:pt>
                <c:pt idx="8">
                  <c:v>0.76438636704000096</c:v>
                </c:pt>
                <c:pt idx="9">
                  <c:v>0.98207704425299935</c:v>
                </c:pt>
                <c:pt idx="10">
                  <c:v>0.7709388166100013</c:v>
                </c:pt>
                <c:pt idx="11">
                  <c:v>0.58294315828299903</c:v>
                </c:pt>
                <c:pt idx="12">
                  <c:v>1.4398200028309998</c:v>
                </c:pt>
                <c:pt idx="13">
                  <c:v>0.76531943813199921</c:v>
                </c:pt>
                <c:pt idx="14">
                  <c:v>1.415831001736001</c:v>
                </c:pt>
                <c:pt idx="15">
                  <c:v>0.98684323348800107</c:v>
                </c:pt>
                <c:pt idx="16">
                  <c:v>1.2348474246799988</c:v>
                </c:pt>
                <c:pt idx="17">
                  <c:v>1.1603884990619995</c:v>
                </c:pt>
                <c:pt idx="18">
                  <c:v>0.91591834325400012</c:v>
                </c:pt>
                <c:pt idx="19">
                  <c:v>1.1621880049516005</c:v>
                </c:pt>
                <c:pt idx="20">
                  <c:v>0.8191341781949999</c:v>
                </c:pt>
                <c:pt idx="21">
                  <c:v>1.3223529237600361E-2</c:v>
                </c:pt>
                <c:pt idx="22">
                  <c:v>-0.20840783961799986</c:v>
                </c:pt>
                <c:pt idx="23">
                  <c:v>-0.54142483054800161</c:v>
                </c:pt>
                <c:pt idx="24">
                  <c:v>0.71316924858200104</c:v>
                </c:pt>
                <c:pt idx="25">
                  <c:v>1.548640695590165</c:v>
                </c:pt>
                <c:pt idx="26">
                  <c:v>1.4405780988855996</c:v>
                </c:pt>
                <c:pt idx="27">
                  <c:v>1.9065499671602735</c:v>
                </c:pt>
                <c:pt idx="28">
                  <c:v>1.4244171805708006</c:v>
                </c:pt>
                <c:pt idx="29">
                  <c:v>0.86601556785599998</c:v>
                </c:pt>
                <c:pt idx="30">
                  <c:v>0.69557852668386944</c:v>
                </c:pt>
                <c:pt idx="31">
                  <c:v>0.23404973529411632</c:v>
                </c:pt>
              </c:numCache>
            </c:numRef>
          </c:val>
          <c:extLst>
            <c:ext xmlns:c16="http://schemas.microsoft.com/office/drawing/2014/chart" uri="{C3380CC4-5D6E-409C-BE32-E72D297353CC}">
              <c16:uniqueId val="{00000002-DAB9-4966-890C-B78D79A04B75}"/>
            </c:ext>
          </c:extLst>
        </c:ser>
        <c:ser>
          <c:idx val="4"/>
          <c:order val="4"/>
          <c:tx>
            <c:strRef>
              <c:f>'Služby-příspěvkyk růstu-4'!$G$33</c:f>
              <c:strCache>
                <c:ptCount val="1"/>
                <c:pt idx="0">
                  <c:v>Real estate activities</c:v>
                </c:pt>
              </c:strCache>
            </c:strRef>
          </c:tx>
          <c:spPr>
            <a:solidFill>
              <a:schemeClr val="accent5">
                <a:lumMod val="60000"/>
                <a:lumOff val="40000"/>
              </a:schemeClr>
            </a:solidFill>
            <a:ln>
              <a:noFill/>
              <a:prstDash val="sysDash"/>
            </a:ln>
          </c:spPr>
          <c:invertIfNegative val="0"/>
          <c:cat>
            <c:multiLvlStrRef>
              <c:f>'Služby-příspěvkyk růstu-4'!$A$46:$B$78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růstu-4'!$G$46:$G$78</c:f>
              <c:numCache>
                <c:formatCode>0.0</c:formatCode>
                <c:ptCount val="33"/>
                <c:pt idx="0">
                  <c:v>4.7588818498199993E-2</c:v>
                </c:pt>
                <c:pt idx="1">
                  <c:v>-7.3007550905993803E-3</c:v>
                </c:pt>
                <c:pt idx="2">
                  <c:v>0.12810762983039936</c:v>
                </c:pt>
                <c:pt idx="3">
                  <c:v>2.4617916117599462E-2</c:v>
                </c:pt>
                <c:pt idx="4">
                  <c:v>0.25752090895739993</c:v>
                </c:pt>
                <c:pt idx="5">
                  <c:v>-4.2228184845005496E-3</c:v>
                </c:pt>
                <c:pt idx="6">
                  <c:v>0.1499318310138007</c:v>
                </c:pt>
                <c:pt idx="7">
                  <c:v>-6.6530028186599532E-2</c:v>
                </c:pt>
                <c:pt idx="8">
                  <c:v>0.20977398058900024</c:v>
                </c:pt>
                <c:pt idx="9">
                  <c:v>0.44953617213779962</c:v>
                </c:pt>
                <c:pt idx="10">
                  <c:v>-2.2338348474500478E-2</c:v>
                </c:pt>
                <c:pt idx="11">
                  <c:v>0.13984723093739981</c:v>
                </c:pt>
                <c:pt idx="12">
                  <c:v>2.6966101253399585E-2</c:v>
                </c:pt>
                <c:pt idx="13">
                  <c:v>-0.24884766500039976</c:v>
                </c:pt>
                <c:pt idx="14">
                  <c:v>-0.12645184379759991</c:v>
                </c:pt>
                <c:pt idx="15">
                  <c:v>-0.22378801642200052</c:v>
                </c:pt>
                <c:pt idx="16">
                  <c:v>0.14753986907940025</c:v>
                </c:pt>
                <c:pt idx="17">
                  <c:v>-7.379708629200365E-3</c:v>
                </c:pt>
                <c:pt idx="18">
                  <c:v>-0.23287434101939938</c:v>
                </c:pt>
                <c:pt idx="19">
                  <c:v>-0.10147037326200034</c:v>
                </c:pt>
                <c:pt idx="20">
                  <c:v>0.42431890762080055</c:v>
                </c:pt>
                <c:pt idx="21">
                  <c:v>-0.29919163957060046</c:v>
                </c:pt>
                <c:pt idx="22">
                  <c:v>-0.26426338474666694</c:v>
                </c:pt>
                <c:pt idx="23">
                  <c:v>-0.23118426949069976</c:v>
                </c:pt>
                <c:pt idx="24">
                  <c:v>-0.2008543847649007</c:v>
                </c:pt>
                <c:pt idx="25">
                  <c:v>0.43434705815385044</c:v>
                </c:pt>
                <c:pt idx="26">
                  <c:v>2.9423998310004152E-3</c:v>
                </c:pt>
                <c:pt idx="27">
                  <c:v>0.23837123738399993</c:v>
                </c:pt>
                <c:pt idx="28">
                  <c:v>0.9322155451648001</c:v>
                </c:pt>
                <c:pt idx="29">
                  <c:v>0.47129681106399973</c:v>
                </c:pt>
                <c:pt idx="30">
                  <c:v>0.24123096528157922</c:v>
                </c:pt>
                <c:pt idx="31">
                  <c:v>0.36200260791666611</c:v>
                </c:pt>
              </c:numCache>
            </c:numRef>
          </c:val>
          <c:extLst>
            <c:ext xmlns:c16="http://schemas.microsoft.com/office/drawing/2014/chart" uri="{C3380CC4-5D6E-409C-BE32-E72D297353CC}">
              <c16:uniqueId val="{00000003-DAB9-4966-890C-B78D79A04B75}"/>
            </c:ext>
          </c:extLst>
        </c:ser>
        <c:ser>
          <c:idx val="5"/>
          <c:order val="5"/>
          <c:tx>
            <c:strRef>
              <c:f>'Služby-příspěvkyk růstu-4'!$H$33</c:f>
              <c:strCache>
                <c:ptCount val="1"/>
                <c:pt idx="0">
                  <c:v>Professional, scientific &amp; technic. Activities</c:v>
                </c:pt>
              </c:strCache>
            </c:strRef>
          </c:tx>
          <c:spPr>
            <a:solidFill>
              <a:schemeClr val="accent6">
                <a:lumMod val="60000"/>
                <a:lumOff val="40000"/>
              </a:schemeClr>
            </a:solidFill>
            <a:ln>
              <a:noFill/>
            </a:ln>
          </c:spPr>
          <c:invertIfNegative val="0"/>
          <c:cat>
            <c:multiLvlStrRef>
              <c:f>'Služby-příspěvkyk růstu-4'!$A$46:$B$78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růstu-4'!$H$46:$H$78</c:f>
              <c:numCache>
                <c:formatCode>0.0</c:formatCode>
                <c:ptCount val="33"/>
                <c:pt idx="0">
                  <c:v>1.0468505532869989</c:v>
                </c:pt>
                <c:pt idx="1">
                  <c:v>0.72007462619999962</c:v>
                </c:pt>
                <c:pt idx="2">
                  <c:v>1.0906393004400001</c:v>
                </c:pt>
                <c:pt idx="3">
                  <c:v>-4.2990021238901367E-2</c:v>
                </c:pt>
                <c:pt idx="4">
                  <c:v>-0.43098075353700094</c:v>
                </c:pt>
                <c:pt idx="5">
                  <c:v>-1.3389465804999987</c:v>
                </c:pt>
                <c:pt idx="6">
                  <c:v>3.0728374200130306E-4</c:v>
                </c:pt>
                <c:pt idx="7">
                  <c:v>-0.3121071665494991</c:v>
                </c:pt>
                <c:pt idx="8">
                  <c:v>0.95807798756000018</c:v>
                </c:pt>
                <c:pt idx="9">
                  <c:v>0.59447839488779997</c:v>
                </c:pt>
                <c:pt idx="10">
                  <c:v>0.30863690562089996</c:v>
                </c:pt>
                <c:pt idx="11">
                  <c:v>0.42814590144940085</c:v>
                </c:pt>
                <c:pt idx="12">
                  <c:v>1.0521629274264988</c:v>
                </c:pt>
                <c:pt idx="13">
                  <c:v>0.5501113250554992</c:v>
                </c:pt>
                <c:pt idx="14">
                  <c:v>0.3596254694963989</c:v>
                </c:pt>
                <c:pt idx="15">
                  <c:v>-0.26680052765060136</c:v>
                </c:pt>
                <c:pt idx="16">
                  <c:v>0.70988848618690059</c:v>
                </c:pt>
                <c:pt idx="17">
                  <c:v>0.59156625867140045</c:v>
                </c:pt>
                <c:pt idx="18">
                  <c:v>-0.77754044718210014</c:v>
                </c:pt>
                <c:pt idx="19">
                  <c:v>-0.56889162351999967</c:v>
                </c:pt>
                <c:pt idx="20">
                  <c:v>-0.8629875625277994</c:v>
                </c:pt>
                <c:pt idx="21">
                  <c:v>-3.1826786933129991</c:v>
                </c:pt>
                <c:pt idx="22">
                  <c:v>-1.495126859429508</c:v>
                </c:pt>
                <c:pt idx="23">
                  <c:v>-1.5495215129057995</c:v>
                </c:pt>
                <c:pt idx="24">
                  <c:v>-1.5897570854689647</c:v>
                </c:pt>
                <c:pt idx="25">
                  <c:v>2.7177633580318017</c:v>
                </c:pt>
                <c:pt idx="26">
                  <c:v>1.7630975025485993</c:v>
                </c:pt>
                <c:pt idx="27">
                  <c:v>2.0930310136979364</c:v>
                </c:pt>
                <c:pt idx="28">
                  <c:v>2.2712332019111994</c:v>
                </c:pt>
                <c:pt idx="29">
                  <c:v>1.2345356208000011</c:v>
                </c:pt>
                <c:pt idx="30">
                  <c:v>1.0042919833478261</c:v>
                </c:pt>
                <c:pt idx="31">
                  <c:v>3.0320654721429769E-2</c:v>
                </c:pt>
              </c:numCache>
            </c:numRef>
          </c:val>
          <c:extLst>
            <c:ext xmlns:c16="http://schemas.microsoft.com/office/drawing/2014/chart" uri="{C3380CC4-5D6E-409C-BE32-E72D297353CC}">
              <c16:uniqueId val="{00000004-DAB9-4966-890C-B78D79A04B75}"/>
            </c:ext>
          </c:extLst>
        </c:ser>
        <c:ser>
          <c:idx val="6"/>
          <c:order val="6"/>
          <c:tx>
            <c:strRef>
              <c:f>'Služby-příspěvkyk růstu-4'!$I$33</c:f>
              <c:strCache>
                <c:ptCount val="1"/>
                <c:pt idx="0">
                  <c:v>Administrative &amp; support service activities</c:v>
                </c:pt>
              </c:strCache>
            </c:strRef>
          </c:tx>
          <c:spPr>
            <a:solidFill>
              <a:schemeClr val="accent1">
                <a:lumMod val="20000"/>
                <a:lumOff val="80000"/>
              </a:schemeClr>
            </a:solidFill>
            <a:ln>
              <a:noFill/>
            </a:ln>
          </c:spPr>
          <c:invertIfNegative val="0"/>
          <c:cat>
            <c:multiLvlStrRef>
              <c:f>'Služby-příspěvkyk růstu-4'!$A$46:$B$78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růstu-4'!$I$46:$I$78</c:f>
              <c:numCache>
                <c:formatCode>0.0</c:formatCode>
                <c:ptCount val="33"/>
                <c:pt idx="0">
                  <c:v>0.51550370389650024</c:v>
                </c:pt>
                <c:pt idx="1">
                  <c:v>0.62101310773750029</c:v>
                </c:pt>
                <c:pt idx="2">
                  <c:v>0.43506961802500044</c:v>
                </c:pt>
                <c:pt idx="3">
                  <c:v>0.50168865387909933</c:v>
                </c:pt>
                <c:pt idx="4">
                  <c:v>0.4550707532813994</c:v>
                </c:pt>
                <c:pt idx="5">
                  <c:v>0.16398578688570073</c:v>
                </c:pt>
                <c:pt idx="6">
                  <c:v>0.26977885261849965</c:v>
                </c:pt>
                <c:pt idx="7">
                  <c:v>0.51378188366290034</c:v>
                </c:pt>
                <c:pt idx="8">
                  <c:v>1.3201331730339996</c:v>
                </c:pt>
                <c:pt idx="9">
                  <c:v>1.0879288678141008</c:v>
                </c:pt>
                <c:pt idx="10">
                  <c:v>0.6413410787324999</c:v>
                </c:pt>
                <c:pt idx="11">
                  <c:v>0.30531118010650066</c:v>
                </c:pt>
                <c:pt idx="12">
                  <c:v>0.53332072309840028</c:v>
                </c:pt>
                <c:pt idx="13">
                  <c:v>0.3784029238782004</c:v>
                </c:pt>
                <c:pt idx="14">
                  <c:v>0.43569101400389965</c:v>
                </c:pt>
                <c:pt idx="15">
                  <c:v>-1.3079338160200678E-2</c:v>
                </c:pt>
                <c:pt idx="16">
                  <c:v>0.47288540072630031</c:v>
                </c:pt>
                <c:pt idx="17">
                  <c:v>0.12968213694649977</c:v>
                </c:pt>
                <c:pt idx="18">
                  <c:v>-0.12322397481159968</c:v>
                </c:pt>
                <c:pt idx="19">
                  <c:v>-0.21537552647130032</c:v>
                </c:pt>
                <c:pt idx="20">
                  <c:v>-1.1051686942920007</c:v>
                </c:pt>
                <c:pt idx="21">
                  <c:v>-4.3129281059486004</c:v>
                </c:pt>
                <c:pt idx="22">
                  <c:v>-4.446067523157895</c:v>
                </c:pt>
                <c:pt idx="23">
                  <c:v>-2.3716048373778</c:v>
                </c:pt>
                <c:pt idx="24">
                  <c:v>-1.4732703403764005</c:v>
                </c:pt>
                <c:pt idx="25">
                  <c:v>1.7697809683939403</c:v>
                </c:pt>
                <c:pt idx="26">
                  <c:v>1.8505450464600004</c:v>
                </c:pt>
                <c:pt idx="27">
                  <c:v>1.0498709638992363</c:v>
                </c:pt>
                <c:pt idx="28">
                  <c:v>1.8426107071999995</c:v>
                </c:pt>
                <c:pt idx="29">
                  <c:v>2.1450414216000002</c:v>
                </c:pt>
                <c:pt idx="30">
                  <c:v>1.8856484780316995</c:v>
                </c:pt>
                <c:pt idx="31">
                  <c:v>0.46921732515000014</c:v>
                </c:pt>
              </c:numCache>
            </c:numRef>
          </c:val>
          <c:extLst>
            <c:ext xmlns:c16="http://schemas.microsoft.com/office/drawing/2014/chart" uri="{C3380CC4-5D6E-409C-BE32-E72D297353CC}">
              <c16:uniqueId val="{00000005-DAB9-4966-890C-B78D79A04B75}"/>
            </c:ext>
          </c:extLst>
        </c:ser>
        <c:dLbls>
          <c:showLegendKey val="0"/>
          <c:showVal val="0"/>
          <c:showCatName val="0"/>
          <c:showSerName val="0"/>
          <c:showPercent val="0"/>
          <c:showBubbleSize val="0"/>
        </c:dLbls>
        <c:gapWidth val="20"/>
        <c:overlap val="100"/>
        <c:axId val="156100864"/>
        <c:axId val="156573696"/>
      </c:barChart>
      <c:lineChart>
        <c:grouping val="standard"/>
        <c:varyColors val="0"/>
        <c:ser>
          <c:idx val="3"/>
          <c:order val="0"/>
          <c:tx>
            <c:strRef>
              <c:f>'Služby-příspěvkyk růstu-4'!$C$33</c:f>
              <c:strCache>
                <c:ptCount val="1"/>
                <c:pt idx="0">
                  <c:v>Total services sales</c:v>
                </c:pt>
              </c:strCache>
            </c:strRef>
          </c:tx>
          <c:spPr>
            <a:ln>
              <a:noFill/>
            </a:ln>
          </c:spPr>
          <c:marker>
            <c:symbol val="dot"/>
            <c:size val="7"/>
            <c:spPr>
              <a:solidFill>
                <a:schemeClr val="tx1">
                  <a:lumMod val="95000"/>
                  <a:lumOff val="5000"/>
                </a:schemeClr>
              </a:solidFill>
              <a:ln>
                <a:noFill/>
              </a:ln>
            </c:spPr>
          </c:marker>
          <c:cat>
            <c:multiLvlStrRef>
              <c:f>'Služby-příspěvkyk růstu-4'!$A$46:$B$78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růstu-4'!$C$46:$C$78</c:f>
              <c:numCache>
                <c:formatCode>0.0</c:formatCode>
                <c:ptCount val="33"/>
                <c:pt idx="0">
                  <c:v>3.3387856580999937</c:v>
                </c:pt>
                <c:pt idx="1">
                  <c:v>2.7067375338999966</c:v>
                </c:pt>
                <c:pt idx="2">
                  <c:v>3.2734904207</c:v>
                </c:pt>
                <c:pt idx="3">
                  <c:v>2.2083913160000037</c:v>
                </c:pt>
                <c:pt idx="4">
                  <c:v>1.3295921479000015</c:v>
                </c:pt>
                <c:pt idx="5">
                  <c:v>-0.87633228709999855</c:v>
                </c:pt>
                <c:pt idx="6">
                  <c:v>1.4335470749000052</c:v>
                </c:pt>
                <c:pt idx="7">
                  <c:v>1.6242102724999938</c:v>
                </c:pt>
                <c:pt idx="8">
                  <c:v>5.6462151451000011</c:v>
                </c:pt>
                <c:pt idx="9">
                  <c:v>5.4476828922000067</c:v>
                </c:pt>
                <c:pt idx="10">
                  <c:v>3.4016118395999939</c:v>
                </c:pt>
                <c:pt idx="11">
                  <c:v>2.5063195031000021</c:v>
                </c:pt>
                <c:pt idx="12">
                  <c:v>5.071288603499994</c:v>
                </c:pt>
                <c:pt idx="13">
                  <c:v>3.4823349595999957</c:v>
                </c:pt>
                <c:pt idx="14">
                  <c:v>3.6926675579999966</c:v>
                </c:pt>
                <c:pt idx="15">
                  <c:v>1.0671514554999959</c:v>
                </c:pt>
                <c:pt idx="16">
                  <c:v>3.5777212416000026</c:v>
                </c:pt>
                <c:pt idx="17">
                  <c:v>1.9765133558999963</c:v>
                </c:pt>
                <c:pt idx="18">
                  <c:v>-0.81695782319999921</c:v>
                </c:pt>
                <c:pt idx="19">
                  <c:v>-0.15568719549999344</c:v>
                </c:pt>
                <c:pt idx="20">
                  <c:v>-3.6980250129000041</c:v>
                </c:pt>
                <c:pt idx="21">
                  <c:v>-19.645345248799998</c:v>
                </c:pt>
                <c:pt idx="22">
                  <c:v>-12.600965308100001</c:v>
                </c:pt>
                <c:pt idx="23">
                  <c:v>-10.912584080000002</c:v>
                </c:pt>
                <c:pt idx="24">
                  <c:v>-6.3942684535126144</c:v>
                </c:pt>
                <c:pt idx="25">
                  <c:v>14.793600196459142</c:v>
                </c:pt>
                <c:pt idx="26">
                  <c:v>9.7930132050982976</c:v>
                </c:pt>
                <c:pt idx="27">
                  <c:v>12.671410218028887</c:v>
                </c:pt>
                <c:pt idx="28">
                  <c:v>14.067469931718712</c:v>
                </c:pt>
                <c:pt idx="29">
                  <c:v>12.196508720194077</c:v>
                </c:pt>
                <c:pt idx="30">
                  <c:v>7.1766953041493018</c:v>
                </c:pt>
                <c:pt idx="31">
                  <c:v>1.5927521225189127</c:v>
                </c:pt>
              </c:numCache>
            </c:numRef>
          </c:val>
          <c:smooth val="0"/>
          <c:extLst>
            <c:ext xmlns:c16="http://schemas.microsoft.com/office/drawing/2014/chart" uri="{C3380CC4-5D6E-409C-BE32-E72D297353CC}">
              <c16:uniqueId val="{00000006-DAB9-4966-890C-B78D79A04B75}"/>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růstu-4'!$J$33</c:f>
              <c:strCache>
                <c:ptCount val="1"/>
                <c:pt idx="0">
                  <c:v>Confidence indicator in services</c:v>
                </c:pt>
              </c:strCache>
            </c:strRef>
          </c:tx>
          <c:spPr>
            <a:ln w="3175">
              <a:solidFill>
                <a:schemeClr val="bg1">
                  <a:lumMod val="50000"/>
                </a:schemeClr>
              </a:solidFill>
              <a:prstDash val="sysDash"/>
            </a:ln>
          </c:spPr>
          <c:marker>
            <c:symbol val="diamond"/>
            <c:size val="5"/>
            <c:spPr>
              <a:solidFill>
                <a:srgbClr val="FFFF00"/>
              </a:solidFill>
              <a:ln w="6350">
                <a:solidFill>
                  <a:schemeClr val="tx1">
                    <a:lumMod val="85000"/>
                    <a:lumOff val="15000"/>
                  </a:schemeClr>
                </a:solidFill>
              </a:ln>
            </c:spPr>
          </c:marker>
          <c:cat>
            <c:multiLvlStrRef>
              <c:f>'Služby-příspěvkyk růstu-4'!$A$46:$B$78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růstu-4'!$J$46:$J$78</c:f>
              <c:numCache>
                <c:formatCode>0.0</c:formatCode>
                <c:ptCount val="33"/>
                <c:pt idx="0">
                  <c:v>29.7</c:v>
                </c:pt>
                <c:pt idx="1">
                  <c:v>28.7</c:v>
                </c:pt>
                <c:pt idx="2">
                  <c:v>31.3</c:v>
                </c:pt>
                <c:pt idx="3">
                  <c:v>32.700000000000003</c:v>
                </c:pt>
                <c:pt idx="4">
                  <c:v>32.299999999999997</c:v>
                </c:pt>
                <c:pt idx="5">
                  <c:v>33</c:v>
                </c:pt>
                <c:pt idx="6">
                  <c:v>33</c:v>
                </c:pt>
                <c:pt idx="7">
                  <c:v>37.700000000000003</c:v>
                </c:pt>
                <c:pt idx="8">
                  <c:v>35.299999999999997</c:v>
                </c:pt>
                <c:pt idx="9">
                  <c:v>37.700000000000003</c:v>
                </c:pt>
                <c:pt idx="10">
                  <c:v>37.299999999999997</c:v>
                </c:pt>
                <c:pt idx="11">
                  <c:v>35.700000000000003</c:v>
                </c:pt>
                <c:pt idx="12">
                  <c:v>38.299999999999997</c:v>
                </c:pt>
                <c:pt idx="13">
                  <c:v>37</c:v>
                </c:pt>
                <c:pt idx="14">
                  <c:v>38.299999999999997</c:v>
                </c:pt>
                <c:pt idx="15">
                  <c:v>40.700000000000003</c:v>
                </c:pt>
                <c:pt idx="16">
                  <c:v>39.299999999999997</c:v>
                </c:pt>
                <c:pt idx="17">
                  <c:v>33.700000000000003</c:v>
                </c:pt>
                <c:pt idx="18">
                  <c:v>35</c:v>
                </c:pt>
                <c:pt idx="19">
                  <c:v>32.700000000000003</c:v>
                </c:pt>
                <c:pt idx="20">
                  <c:v>29</c:v>
                </c:pt>
                <c:pt idx="21">
                  <c:v>-13.3</c:v>
                </c:pt>
                <c:pt idx="22">
                  <c:v>1</c:v>
                </c:pt>
                <c:pt idx="23">
                  <c:v>-5</c:v>
                </c:pt>
                <c:pt idx="24">
                  <c:v>8</c:v>
                </c:pt>
                <c:pt idx="25">
                  <c:v>22.3</c:v>
                </c:pt>
                <c:pt idx="26">
                  <c:v>24.3</c:v>
                </c:pt>
                <c:pt idx="27">
                  <c:v>27</c:v>
                </c:pt>
                <c:pt idx="28">
                  <c:v>31</c:v>
                </c:pt>
                <c:pt idx="29">
                  <c:v>40</c:v>
                </c:pt>
                <c:pt idx="30">
                  <c:v>27.7</c:v>
                </c:pt>
                <c:pt idx="31">
                  <c:v>21.3</c:v>
                </c:pt>
                <c:pt idx="32">
                  <c:v>24</c:v>
                </c:pt>
              </c:numCache>
            </c:numRef>
          </c:val>
          <c:smooth val="0"/>
          <c:extLst>
            <c:ext xmlns:c16="http://schemas.microsoft.com/office/drawing/2014/chart" uri="{C3380CC4-5D6E-409C-BE32-E72D297353CC}">
              <c16:uniqueId val="{00000007-DAB9-4966-890C-B78D79A04B75}"/>
            </c:ext>
          </c:extLst>
        </c:ser>
        <c:ser>
          <c:idx val="8"/>
          <c:order val="8"/>
          <c:tx>
            <c:strRef>
              <c:f>'Služby-příspěvkyk růstu-4'!$K$33</c:f>
              <c:strCache>
                <c:ptCount val="1"/>
                <c:pt idx="0">
                  <c:v>Growth barrier: inadequate demand</c:v>
                </c:pt>
              </c:strCache>
            </c:strRef>
          </c:tx>
          <c:spPr>
            <a:ln w="15875">
              <a:solidFill>
                <a:srgbClr val="C35D09"/>
              </a:solidFill>
              <a:prstDash val="sysDash"/>
            </a:ln>
          </c:spPr>
          <c:marker>
            <c:symbol val="none"/>
          </c:marker>
          <c:cat>
            <c:multiLvlStrRef>
              <c:f>'Služby-příspěvkyk růstu-4'!$A$46:$B$78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růstu-4'!$K$46:$K$78</c:f>
              <c:numCache>
                <c:formatCode>#\ ##0.0</c:formatCode>
                <c:ptCount val="33"/>
                <c:pt idx="0">
                  <c:v>26</c:v>
                </c:pt>
                <c:pt idx="1">
                  <c:v>29.3</c:v>
                </c:pt>
                <c:pt idx="2">
                  <c:v>26.1</c:v>
                </c:pt>
                <c:pt idx="3">
                  <c:v>24.7</c:v>
                </c:pt>
                <c:pt idx="4">
                  <c:v>23.3</c:v>
                </c:pt>
                <c:pt idx="5">
                  <c:v>25.1</c:v>
                </c:pt>
                <c:pt idx="6">
                  <c:v>20.2</c:v>
                </c:pt>
                <c:pt idx="7">
                  <c:v>24.4</c:v>
                </c:pt>
                <c:pt idx="8">
                  <c:v>25.8</c:v>
                </c:pt>
                <c:pt idx="9">
                  <c:v>20.5</c:v>
                </c:pt>
                <c:pt idx="10">
                  <c:v>18.399999999999999</c:v>
                </c:pt>
                <c:pt idx="11">
                  <c:v>21.6</c:v>
                </c:pt>
                <c:pt idx="12">
                  <c:v>16.899999999999999</c:v>
                </c:pt>
                <c:pt idx="13">
                  <c:v>19.399999999999999</c:v>
                </c:pt>
                <c:pt idx="14">
                  <c:v>17.899999999999999</c:v>
                </c:pt>
                <c:pt idx="15">
                  <c:v>20.7</c:v>
                </c:pt>
                <c:pt idx="16">
                  <c:v>20.6</c:v>
                </c:pt>
                <c:pt idx="17">
                  <c:v>16.899999999999999</c:v>
                </c:pt>
                <c:pt idx="18">
                  <c:v>20.5</c:v>
                </c:pt>
                <c:pt idx="19">
                  <c:v>14.4</c:v>
                </c:pt>
                <c:pt idx="20">
                  <c:v>21.3</c:v>
                </c:pt>
                <c:pt idx="21">
                  <c:v>30.2</c:v>
                </c:pt>
                <c:pt idx="22">
                  <c:v>30.4</c:v>
                </c:pt>
                <c:pt idx="23">
                  <c:v>39.200000000000003</c:v>
                </c:pt>
                <c:pt idx="24">
                  <c:v>34.799999999999997</c:v>
                </c:pt>
                <c:pt idx="25">
                  <c:v>36.799999999999997</c:v>
                </c:pt>
                <c:pt idx="26">
                  <c:v>28.9</c:v>
                </c:pt>
                <c:pt idx="27">
                  <c:v>26.3</c:v>
                </c:pt>
                <c:pt idx="28">
                  <c:v>31.6</c:v>
                </c:pt>
                <c:pt idx="29">
                  <c:v>15</c:v>
                </c:pt>
                <c:pt idx="30">
                  <c:v>30.2</c:v>
                </c:pt>
                <c:pt idx="31">
                  <c:v>17.600000000000001</c:v>
                </c:pt>
                <c:pt idx="32">
                  <c:v>25.4</c:v>
                </c:pt>
              </c:numCache>
            </c:numRef>
          </c:val>
          <c:smooth val="0"/>
          <c:extLst>
            <c:ext xmlns:c16="http://schemas.microsoft.com/office/drawing/2014/chart" uri="{C3380CC4-5D6E-409C-BE32-E72D297353CC}">
              <c16:uniqueId val="{00000008-DAB9-4966-890C-B78D79A04B75}"/>
            </c:ext>
          </c:extLst>
        </c:ser>
        <c:ser>
          <c:idx val="9"/>
          <c:order val="9"/>
          <c:tx>
            <c:strRef>
              <c:f>'Služby-příspěvkyk růstu-4'!$L$33</c:f>
              <c:strCache>
                <c:ptCount val="1"/>
                <c:pt idx="0">
                  <c:v>Growth barrier: lack of workers</c:v>
                </c:pt>
              </c:strCache>
            </c:strRef>
          </c:tx>
          <c:spPr>
            <a:ln w="15875">
              <a:solidFill>
                <a:srgbClr val="CA945E"/>
              </a:solidFill>
              <a:prstDash val="lgDash"/>
            </a:ln>
          </c:spPr>
          <c:marker>
            <c:symbol val="none"/>
          </c:marker>
          <c:cat>
            <c:multiLvlStrRef>
              <c:f>'Služby-příspěvkyk růstu-4'!$A$46:$B$78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růstu-4'!$L$46:$L$78</c:f>
              <c:numCache>
                <c:formatCode>#\ ##0.0</c:formatCode>
                <c:ptCount val="33"/>
                <c:pt idx="0">
                  <c:v>1.3</c:v>
                </c:pt>
                <c:pt idx="1">
                  <c:v>6</c:v>
                </c:pt>
                <c:pt idx="2">
                  <c:v>7.2</c:v>
                </c:pt>
                <c:pt idx="3">
                  <c:v>5.6</c:v>
                </c:pt>
                <c:pt idx="4">
                  <c:v>7.5</c:v>
                </c:pt>
                <c:pt idx="5">
                  <c:v>4.5</c:v>
                </c:pt>
                <c:pt idx="6">
                  <c:v>7.9</c:v>
                </c:pt>
                <c:pt idx="7">
                  <c:v>9.5</c:v>
                </c:pt>
                <c:pt idx="8">
                  <c:v>9.4</c:v>
                </c:pt>
                <c:pt idx="9">
                  <c:v>9.6999999999999993</c:v>
                </c:pt>
                <c:pt idx="10">
                  <c:v>9.8000000000000007</c:v>
                </c:pt>
                <c:pt idx="11">
                  <c:v>12.8</c:v>
                </c:pt>
                <c:pt idx="12">
                  <c:v>13.9</c:v>
                </c:pt>
                <c:pt idx="13">
                  <c:v>16.3</c:v>
                </c:pt>
                <c:pt idx="14">
                  <c:v>17.5</c:v>
                </c:pt>
                <c:pt idx="15">
                  <c:v>18.899999999999999</c:v>
                </c:pt>
                <c:pt idx="16">
                  <c:v>19.3</c:v>
                </c:pt>
                <c:pt idx="17">
                  <c:v>15</c:v>
                </c:pt>
                <c:pt idx="18">
                  <c:v>21.5</c:v>
                </c:pt>
                <c:pt idx="19">
                  <c:v>19.8</c:v>
                </c:pt>
                <c:pt idx="20">
                  <c:v>19.5</c:v>
                </c:pt>
                <c:pt idx="21">
                  <c:v>10</c:v>
                </c:pt>
                <c:pt idx="22">
                  <c:v>10</c:v>
                </c:pt>
                <c:pt idx="23">
                  <c:v>12.6</c:v>
                </c:pt>
                <c:pt idx="24">
                  <c:v>12.7</c:v>
                </c:pt>
                <c:pt idx="25">
                  <c:v>8.5</c:v>
                </c:pt>
                <c:pt idx="26">
                  <c:v>17.399999999999999</c:v>
                </c:pt>
                <c:pt idx="27">
                  <c:v>20.6</c:v>
                </c:pt>
                <c:pt idx="28">
                  <c:v>20.2</c:v>
                </c:pt>
                <c:pt idx="29">
                  <c:v>10.9</c:v>
                </c:pt>
                <c:pt idx="30">
                  <c:v>17.899999999999999</c:v>
                </c:pt>
                <c:pt idx="31">
                  <c:v>6.6</c:v>
                </c:pt>
                <c:pt idx="32">
                  <c:v>9.3000000000000007</c:v>
                </c:pt>
              </c:numCache>
            </c:numRef>
          </c:val>
          <c:smooth val="0"/>
          <c:extLst>
            <c:ext xmlns:c16="http://schemas.microsoft.com/office/drawing/2014/chart" uri="{C3380CC4-5D6E-409C-BE32-E72D297353CC}">
              <c16:uniqueId val="{00000009-DAB9-4966-890C-B78D79A04B75}"/>
            </c:ext>
          </c:extLst>
        </c:ser>
        <c:ser>
          <c:idx val="10"/>
          <c:order val="10"/>
          <c:tx>
            <c:strRef>
              <c:f>'Služby-příspěvkyk růstu-4'!$M$33</c:f>
              <c:strCache>
                <c:ptCount val="1"/>
                <c:pt idx="0">
                  <c:v>Total sales (basis 2015=100, constant prices)</c:v>
                </c:pt>
              </c:strCache>
            </c:strRef>
          </c:tx>
          <c:spPr>
            <a:ln w="15875">
              <a:solidFill>
                <a:schemeClr val="tx1"/>
              </a:solidFill>
            </a:ln>
          </c:spPr>
          <c:marker>
            <c:symbol val="none"/>
          </c:marker>
          <c:cat>
            <c:multiLvlStrRef>
              <c:f>'Služby-příspěvkyk růstu-4'!$A$46:$B$78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růstu-4'!$M$46:$M$78</c:f>
              <c:numCache>
                <c:formatCode>0.0</c:formatCode>
                <c:ptCount val="33"/>
                <c:pt idx="0">
                  <c:v>98.9058694</c:v>
                </c:pt>
                <c:pt idx="1">
                  <c:v>99.939744966700005</c:v>
                </c:pt>
                <c:pt idx="2">
                  <c:v>100.46069412999999</c:v>
                </c:pt>
                <c:pt idx="3">
                  <c:v>100.69369150670001</c:v>
                </c:pt>
                <c:pt idx="4">
                  <c:v>99.506269489999994</c:v>
                </c:pt>
                <c:pt idx="5">
                  <c:v>99.882932769999996</c:v>
                </c:pt>
                <c:pt idx="6">
                  <c:v>101.6454132667</c:v>
                </c:pt>
                <c:pt idx="7">
                  <c:v>103.1425757933</c:v>
                </c:pt>
                <c:pt idx="8">
                  <c:v>103.7536856167</c:v>
                </c:pt>
                <c:pt idx="9">
                  <c:v>105.1986778867</c:v>
                </c:pt>
                <c:pt idx="10">
                  <c:v>105.3356622867</c:v>
                </c:pt>
                <c:pt idx="11">
                  <c:v>106.72097377670001</c:v>
                </c:pt>
                <c:pt idx="12">
                  <c:v>107.9153511367</c:v>
                </c:pt>
                <c:pt idx="13">
                  <c:v>108.70616911330001</c:v>
                </c:pt>
                <c:pt idx="14">
                  <c:v>109.3727816967</c:v>
                </c:pt>
                <c:pt idx="15">
                  <c:v>108.8880568167</c:v>
                </c:pt>
                <c:pt idx="16">
                  <c:v>110.44627128330001</c:v>
                </c:pt>
                <c:pt idx="17">
                  <c:v>110.87756216</c:v>
                </c:pt>
                <c:pt idx="18">
                  <c:v>109.1647310367</c:v>
                </c:pt>
                <c:pt idx="19">
                  <c:v>108.93584104999999</c:v>
                </c:pt>
                <c:pt idx="20">
                  <c:v>105.3679302367</c:v>
                </c:pt>
                <c:pt idx="21">
                  <c:v>90.203880830000003</c:v>
                </c:pt>
                <c:pt idx="22">
                  <c:v>97.528267896700001</c:v>
                </c:pt>
                <c:pt idx="23">
                  <c:v>95.952761640000006</c:v>
                </c:pt>
                <c:pt idx="24">
                  <c:v>97.5220549533</c:v>
                </c:pt>
                <c:pt idx="25">
                  <c:v>102.23534626670001</c:v>
                </c:pt>
                <c:pt idx="26">
                  <c:v>106.43087342</c:v>
                </c:pt>
                <c:pt idx="27">
                  <c:v>109.4018164733</c:v>
                </c:pt>
                <c:pt idx="28">
                  <c:v>111.6927019733</c:v>
                </c:pt>
                <c:pt idx="29">
                  <c:v>113.62394018329999</c:v>
                </c:pt>
                <c:pt idx="30">
                  <c:v>113.26823950000001</c:v>
                </c:pt>
                <c:pt idx="31">
                  <c:v>112.2029968233</c:v>
                </c:pt>
              </c:numCache>
            </c:numRef>
          </c:val>
          <c:smooth val="0"/>
          <c:extLst>
            <c:ext xmlns:c16="http://schemas.microsoft.com/office/drawing/2014/chart" uri="{C3380CC4-5D6E-409C-BE32-E72D297353CC}">
              <c16:uniqueId val="{0000000A-DAB9-4966-890C-B78D79A04B75}"/>
            </c:ext>
          </c:extLst>
        </c:ser>
        <c:ser>
          <c:idx val="11"/>
          <c:order val="11"/>
          <c:tx>
            <c:strRef>
              <c:f>'Služby-příspěvkyk růstu-4'!$N$33</c:f>
              <c:strCache>
                <c:ptCount val="1"/>
                <c:pt idx="0">
                  <c:v>Total sales (basis 2015=100, current prices)</c:v>
                </c:pt>
              </c:strCache>
            </c:strRef>
          </c:tx>
          <c:spPr>
            <a:ln w="15875">
              <a:solidFill>
                <a:schemeClr val="bg2">
                  <a:lumMod val="25000"/>
                </a:schemeClr>
              </a:solidFill>
              <a:prstDash val="sysDash"/>
            </a:ln>
          </c:spPr>
          <c:marker>
            <c:symbol val="none"/>
          </c:marker>
          <c:cat>
            <c:multiLvlStrRef>
              <c:f>'Služby-příspěvkyk růstu-4'!$A$46:$B$78</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růstu-4'!$N$46:$N$78</c:f>
              <c:numCache>
                <c:formatCode>0.0</c:formatCode>
                <c:ptCount val="33"/>
                <c:pt idx="0">
                  <c:v>98.878809526699996</c:v>
                </c:pt>
                <c:pt idx="1">
                  <c:v>99.932801119999993</c:v>
                </c:pt>
                <c:pt idx="2">
                  <c:v>100.47612456</c:v>
                </c:pt>
                <c:pt idx="3">
                  <c:v>100.71226479000001</c:v>
                </c:pt>
                <c:pt idx="4">
                  <c:v>99.601623459999999</c:v>
                </c:pt>
                <c:pt idx="5">
                  <c:v>100.2234790433</c:v>
                </c:pt>
                <c:pt idx="6">
                  <c:v>102.13593758</c:v>
                </c:pt>
                <c:pt idx="7">
                  <c:v>103.9538192433</c:v>
                </c:pt>
                <c:pt idx="8">
                  <c:v>105.2833983</c:v>
                </c:pt>
                <c:pt idx="9">
                  <c:v>107.13280340670001</c:v>
                </c:pt>
                <c:pt idx="10">
                  <c:v>107.78245525</c:v>
                </c:pt>
                <c:pt idx="11">
                  <c:v>109.74135017</c:v>
                </c:pt>
                <c:pt idx="12">
                  <c:v>111.4458726133</c:v>
                </c:pt>
                <c:pt idx="13">
                  <c:v>112.9675431333</c:v>
                </c:pt>
                <c:pt idx="14">
                  <c:v>114.3275498367</c:v>
                </c:pt>
                <c:pt idx="15">
                  <c:v>114.6762978367</c:v>
                </c:pt>
                <c:pt idx="16">
                  <c:v>116.72200621330001</c:v>
                </c:pt>
                <c:pt idx="17">
                  <c:v>118.4237964933</c:v>
                </c:pt>
                <c:pt idx="18">
                  <c:v>117.19000776670001</c:v>
                </c:pt>
                <c:pt idx="19">
                  <c:v>117.1905607767</c:v>
                </c:pt>
                <c:pt idx="20">
                  <c:v>113.2309142367</c:v>
                </c:pt>
                <c:pt idx="21">
                  <c:v>96.647774276700005</c:v>
                </c:pt>
                <c:pt idx="22">
                  <c:v>105.48850793</c:v>
                </c:pt>
                <c:pt idx="23">
                  <c:v>103.67207354999999</c:v>
                </c:pt>
                <c:pt idx="24">
                  <c:v>105.5127988667</c:v>
                </c:pt>
                <c:pt idx="25">
                  <c:v>111.35872838</c:v>
                </c:pt>
                <c:pt idx="26">
                  <c:v>117.05419338670001</c:v>
                </c:pt>
                <c:pt idx="27">
                  <c:v>121.5067141167</c:v>
                </c:pt>
                <c:pt idx="28">
                  <c:v>126.89412667000001</c:v>
                </c:pt>
                <c:pt idx="29">
                  <c:v>131.74343791000001</c:v>
                </c:pt>
                <c:pt idx="30">
                  <c:v>134.23996964</c:v>
                </c:pt>
                <c:pt idx="31">
                  <c:v>135.51628179670001</c:v>
                </c:pt>
              </c:numCache>
            </c:numRef>
          </c:val>
          <c:smooth val="0"/>
          <c:extLst>
            <c:ext xmlns:c16="http://schemas.microsoft.com/office/drawing/2014/chart" uri="{C3380CC4-5D6E-409C-BE32-E72D297353CC}">
              <c16:uniqueId val="{0000000B-DAB9-4966-890C-B78D79A04B75}"/>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25"/>
          <c:min val="-30"/>
        </c:scaling>
        <c:delete val="0"/>
        <c:axPos val="l"/>
        <c:majorGridlines>
          <c:spPr>
            <a:ln w="6350">
              <a:solidFill>
                <a:schemeClr val="bg1">
                  <a:lumMod val="75000"/>
                </a:schemeClr>
              </a:solidFill>
            </a:ln>
          </c:spPr>
        </c:majorGridlines>
        <c:title>
          <c:tx>
            <c:rich>
              <a:bodyPr/>
              <a:lstStyle/>
              <a:p>
                <a:pPr>
                  <a:defRPr sz="700" b="0" i="1"/>
                </a:pPr>
                <a:r>
                  <a:rPr lang="cs-CZ" sz="700" b="0" i="1"/>
                  <a:t>Contribution to the change of sales in services</a:t>
                </a:r>
              </a:p>
            </c:rich>
          </c:tx>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5"/>
      </c:valAx>
      <c:valAx>
        <c:axId val="156575232"/>
        <c:scaling>
          <c:orientation val="minMax"/>
          <c:max val="140"/>
          <c:min val="-2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cs-CZ" sz="700" b="0" i="1"/>
                  <a:t>Total sales (basis 2015=100), Confidence balance, Growth barriers</a:t>
                </a:r>
              </a:p>
            </c:rich>
          </c:tx>
          <c:layout>
            <c:manualLayout>
              <c:xMode val="edge"/>
              <c:yMode val="edge"/>
              <c:x val="0.9705997154062983"/>
              <c:y val="1.8415267943787516E-2"/>
            </c:manualLayout>
          </c:layout>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1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solidFill>
        </a:ln>
      </c:spPr>
    </c:plotArea>
    <c:legend>
      <c:legendPos val="r"/>
      <c:layout>
        <c:manualLayout>
          <c:xMode val="edge"/>
          <c:yMode val="edge"/>
          <c:x val="2.7894149438737266E-3"/>
          <c:y val="0.80683901693256121"/>
          <c:w val="0.99229354112783008"/>
          <c:h val="0.18952404020147029"/>
        </c:manualLayout>
      </c:layout>
      <c:overlay val="0"/>
      <c:spPr>
        <a:ln w="6350">
          <a:solidFill>
            <a:schemeClr val="tx1"/>
          </a:solidFill>
        </a:ln>
      </c:spPr>
      <c:txPr>
        <a:bodyPr/>
        <a:lstStyle/>
        <a:p>
          <a:pPr>
            <a:defRPr sz="72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21841398004213E-2"/>
          <c:y val="1.5803328678987455E-2"/>
          <c:w val="0.85082101335719373"/>
          <c:h val="0.74167997750452275"/>
        </c:manualLayout>
      </c:layout>
      <c:barChart>
        <c:barDir val="col"/>
        <c:grouping val="stacked"/>
        <c:varyColors val="0"/>
        <c:ser>
          <c:idx val="0"/>
          <c:order val="1"/>
          <c:tx>
            <c:strRef>
              <c:f>'výkonnost odvětví 5a'!$E$66</c:f>
              <c:strCache>
                <c:ptCount val="1"/>
                <c:pt idx="0">
                  <c:v>Retail sale: food+beverages+tobacco (contr.)</c:v>
                </c:pt>
              </c:strCache>
            </c:strRef>
          </c:tx>
          <c:spPr>
            <a:solidFill>
              <a:srgbClr val="92D050"/>
            </a:solidFill>
            <a:ln w="15875">
              <a:noFill/>
            </a:ln>
          </c:spPr>
          <c:invertIfNegative val="0"/>
          <c:cat>
            <c:multiLvlStrRef>
              <c:f>'výkonnost odvětví 5a'!$B$67:$C$99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5a'!$E$67:$E$99</c:f>
              <c:numCache>
                <c:formatCode>#\ ##0.0</c:formatCode>
                <c:ptCount val="33"/>
                <c:pt idx="0">
                  <c:v>1.7954327905527792</c:v>
                </c:pt>
                <c:pt idx="1">
                  <c:v>1.1808546019719848</c:v>
                </c:pt>
                <c:pt idx="2">
                  <c:v>1.8980626361950699</c:v>
                </c:pt>
                <c:pt idx="3">
                  <c:v>1.4512639246986698</c:v>
                </c:pt>
                <c:pt idx="4">
                  <c:v>1.7579883859404466</c:v>
                </c:pt>
                <c:pt idx="5">
                  <c:v>1.4597731408051364</c:v>
                </c:pt>
                <c:pt idx="6">
                  <c:v>0.98265625342777962</c:v>
                </c:pt>
                <c:pt idx="7">
                  <c:v>-8.3656474326988126E-2</c:v>
                </c:pt>
                <c:pt idx="8">
                  <c:v>0.72062441913635855</c:v>
                </c:pt>
                <c:pt idx="9">
                  <c:v>1.3316246689651579</c:v>
                </c:pt>
                <c:pt idx="10">
                  <c:v>1.1433353439469673</c:v>
                </c:pt>
                <c:pt idx="11">
                  <c:v>0.89977373461403121</c:v>
                </c:pt>
                <c:pt idx="12">
                  <c:v>1.5115509798562692</c:v>
                </c:pt>
                <c:pt idx="13">
                  <c:v>0.54228532610479807</c:v>
                </c:pt>
                <c:pt idx="14">
                  <c:v>0.9848486498674448</c:v>
                </c:pt>
                <c:pt idx="15">
                  <c:v>0.4620082520491276</c:v>
                </c:pt>
                <c:pt idx="16">
                  <c:v>0.67301078642127354</c:v>
                </c:pt>
                <c:pt idx="17">
                  <c:v>1.197574945306275</c:v>
                </c:pt>
                <c:pt idx="18">
                  <c:v>0.63652202044636175</c:v>
                </c:pt>
                <c:pt idx="19">
                  <c:v>0.62331153305833609</c:v>
                </c:pt>
                <c:pt idx="20">
                  <c:v>0.96372431228354527</c:v>
                </c:pt>
                <c:pt idx="21">
                  <c:v>-1.1892501751301237</c:v>
                </c:pt>
                <c:pt idx="22">
                  <c:v>-0.41434297088657085</c:v>
                </c:pt>
                <c:pt idx="23">
                  <c:v>0.2523159215096436</c:v>
                </c:pt>
                <c:pt idx="24">
                  <c:v>-0.45560759819109747</c:v>
                </c:pt>
                <c:pt idx="25">
                  <c:v>0.43675419622644712</c:v>
                </c:pt>
                <c:pt idx="26">
                  <c:v>-0.30064320672318345</c:v>
                </c:pt>
                <c:pt idx="27">
                  <c:v>-0.18775849051188609</c:v>
                </c:pt>
                <c:pt idx="28">
                  <c:v>-0.51549456327988796</c:v>
                </c:pt>
                <c:pt idx="29">
                  <c:v>-1.4600466044669602</c:v>
                </c:pt>
                <c:pt idx="30">
                  <c:v>-2.0321719074398343</c:v>
                </c:pt>
                <c:pt idx="31">
                  <c:v>-3.0175568399977601</c:v>
                </c:pt>
              </c:numCache>
            </c:numRef>
          </c:val>
          <c:extLst>
            <c:ext xmlns:c16="http://schemas.microsoft.com/office/drawing/2014/chart" uri="{C3380CC4-5D6E-409C-BE32-E72D297353CC}">
              <c16:uniqueId val="{00000000-56D8-46A5-AEEA-517C766C22D0}"/>
            </c:ext>
          </c:extLst>
        </c:ser>
        <c:ser>
          <c:idx val="1"/>
          <c:order val="2"/>
          <c:tx>
            <c:strRef>
              <c:f>'výkonnost odvětví 5a'!$F$66</c:f>
              <c:strCache>
                <c:ptCount val="1"/>
                <c:pt idx="0">
                  <c:v>Retail sale of non-food goods (contribution)</c:v>
                </c:pt>
              </c:strCache>
            </c:strRef>
          </c:tx>
          <c:spPr>
            <a:solidFill>
              <a:schemeClr val="accent1">
                <a:lumMod val="40000"/>
                <a:lumOff val="60000"/>
              </a:schemeClr>
            </a:solidFill>
            <a:ln w="15875">
              <a:noFill/>
            </a:ln>
          </c:spPr>
          <c:invertIfNegative val="0"/>
          <c:cat>
            <c:multiLvlStrRef>
              <c:f>'výkonnost odvětví 5a'!$B$67:$C$99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5a'!$F$67:$F$99</c:f>
              <c:numCache>
                <c:formatCode>#\ ##0.0</c:formatCode>
                <c:ptCount val="33"/>
                <c:pt idx="0">
                  <c:v>3.5348176440085202</c:v>
                </c:pt>
                <c:pt idx="1">
                  <c:v>4.0403927957890904</c:v>
                </c:pt>
                <c:pt idx="2">
                  <c:v>2.8491583908636735</c:v>
                </c:pt>
                <c:pt idx="3">
                  <c:v>3.7649034189564579</c:v>
                </c:pt>
                <c:pt idx="4">
                  <c:v>2.9159862756005075</c:v>
                </c:pt>
                <c:pt idx="5">
                  <c:v>2.6692840179601967</c:v>
                </c:pt>
                <c:pt idx="6">
                  <c:v>3.351758458558816</c:v>
                </c:pt>
                <c:pt idx="7">
                  <c:v>3.6403131961317063</c:v>
                </c:pt>
                <c:pt idx="8">
                  <c:v>4.2755993300345949</c:v>
                </c:pt>
                <c:pt idx="9">
                  <c:v>4.6181656067499972</c:v>
                </c:pt>
                <c:pt idx="10">
                  <c:v>4.1974804776960797</c:v>
                </c:pt>
                <c:pt idx="11">
                  <c:v>4.8260964478037458</c:v>
                </c:pt>
                <c:pt idx="12">
                  <c:v>4.1871547212750038</c:v>
                </c:pt>
                <c:pt idx="13">
                  <c:v>3.5059801620938762</c:v>
                </c:pt>
                <c:pt idx="14">
                  <c:v>2.8195561267975422</c:v>
                </c:pt>
                <c:pt idx="15">
                  <c:v>3.9521324238297022</c:v>
                </c:pt>
                <c:pt idx="16">
                  <c:v>4.4423302425101463</c:v>
                </c:pt>
                <c:pt idx="17">
                  <c:v>3.3722130230140674</c:v>
                </c:pt>
                <c:pt idx="18">
                  <c:v>3.7144530757170515</c:v>
                </c:pt>
                <c:pt idx="19">
                  <c:v>3.4471029244431421</c:v>
                </c:pt>
                <c:pt idx="20">
                  <c:v>4.0056202134999976E-2</c:v>
                </c:pt>
                <c:pt idx="21">
                  <c:v>0.37119655070725915</c:v>
                </c:pt>
                <c:pt idx="22">
                  <c:v>1.7563841743771158</c:v>
                </c:pt>
                <c:pt idx="23">
                  <c:v>-1.0635995175948736</c:v>
                </c:pt>
                <c:pt idx="24">
                  <c:v>1.0565069627889698</c:v>
                </c:pt>
                <c:pt idx="25">
                  <c:v>5.7180806581158485</c:v>
                </c:pt>
                <c:pt idx="26">
                  <c:v>3.8086850458419526</c:v>
                </c:pt>
                <c:pt idx="27">
                  <c:v>5.2451695472478281</c:v>
                </c:pt>
                <c:pt idx="28">
                  <c:v>5.4605957230962723</c:v>
                </c:pt>
                <c:pt idx="29">
                  <c:v>-1.0836129740522915</c:v>
                </c:pt>
                <c:pt idx="30">
                  <c:v>-3.8357602115722784</c:v>
                </c:pt>
                <c:pt idx="31">
                  <c:v>-5.431950974709336</c:v>
                </c:pt>
              </c:numCache>
            </c:numRef>
          </c:val>
          <c:extLst>
            <c:ext xmlns:c16="http://schemas.microsoft.com/office/drawing/2014/chart" uri="{C3380CC4-5D6E-409C-BE32-E72D297353CC}">
              <c16:uniqueId val="{00000001-56D8-46A5-AEEA-517C766C22D0}"/>
            </c:ext>
          </c:extLst>
        </c:ser>
        <c:ser>
          <c:idx val="4"/>
          <c:order val="3"/>
          <c:tx>
            <c:strRef>
              <c:f>'výkonnost odvětví 5a'!$G$66</c:f>
              <c:strCache>
                <c:ptCount val="1"/>
                <c:pt idx="0">
                  <c:v>Retail sale of fuels (contribution)</c:v>
                </c:pt>
              </c:strCache>
            </c:strRef>
          </c:tx>
          <c:spPr>
            <a:solidFill>
              <a:schemeClr val="accent6">
                <a:lumMod val="40000"/>
                <a:lumOff val="60000"/>
              </a:schemeClr>
            </a:solidFill>
            <a:ln w="15875">
              <a:noFill/>
            </a:ln>
          </c:spPr>
          <c:invertIfNegative val="0"/>
          <c:cat>
            <c:multiLvlStrRef>
              <c:f>'výkonnost odvětví 5a'!$B$67:$C$99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5a'!$G$67:$G$99</c:f>
              <c:numCache>
                <c:formatCode>#\ ##0.0</c:formatCode>
                <c:ptCount val="33"/>
                <c:pt idx="0">
                  <c:v>0.75373799686577747</c:v>
                </c:pt>
                <c:pt idx="1">
                  <c:v>0.58821059894444772</c:v>
                </c:pt>
                <c:pt idx="2">
                  <c:v>0.79387895299348521</c:v>
                </c:pt>
                <c:pt idx="3">
                  <c:v>0.93965372963044991</c:v>
                </c:pt>
                <c:pt idx="4">
                  <c:v>0.67343888771248017</c:v>
                </c:pt>
                <c:pt idx="5">
                  <c:v>0.7046260190280581</c:v>
                </c:pt>
                <c:pt idx="6">
                  <c:v>0.62808372581017557</c:v>
                </c:pt>
                <c:pt idx="7">
                  <c:v>0.62560948668929184</c:v>
                </c:pt>
                <c:pt idx="8">
                  <c:v>0.53739987511050791</c:v>
                </c:pt>
                <c:pt idx="9">
                  <c:v>0.77313131276884206</c:v>
                </c:pt>
                <c:pt idx="10">
                  <c:v>0.84835732550660725</c:v>
                </c:pt>
                <c:pt idx="11">
                  <c:v>0.68455496519870973</c:v>
                </c:pt>
                <c:pt idx="12">
                  <c:v>0.67556451520783956</c:v>
                </c:pt>
                <c:pt idx="13">
                  <c:v>0.59080209268699757</c:v>
                </c:pt>
                <c:pt idx="14">
                  <c:v>0.37399638976140798</c:v>
                </c:pt>
                <c:pt idx="15">
                  <c:v>0.42680859486818856</c:v>
                </c:pt>
                <c:pt idx="16">
                  <c:v>0.55628133832534898</c:v>
                </c:pt>
                <c:pt idx="17">
                  <c:v>0.2629025576100007</c:v>
                </c:pt>
                <c:pt idx="18">
                  <c:v>0.19439517076933396</c:v>
                </c:pt>
                <c:pt idx="19">
                  <c:v>5.585559339908714E-2</c:v>
                </c:pt>
                <c:pt idx="20">
                  <c:v>-0.76759105911378023</c:v>
                </c:pt>
                <c:pt idx="21">
                  <c:v>-2.0525636652551786</c:v>
                </c:pt>
                <c:pt idx="22">
                  <c:v>-4.8190565938666122E-2</c:v>
                </c:pt>
                <c:pt idx="23">
                  <c:v>-1.2030433782358603</c:v>
                </c:pt>
                <c:pt idx="24">
                  <c:v>-0.80249013033675154</c:v>
                </c:pt>
                <c:pt idx="25">
                  <c:v>1.0345884225732003</c:v>
                </c:pt>
                <c:pt idx="26">
                  <c:v>0.39020781556166589</c:v>
                </c:pt>
                <c:pt idx="27">
                  <c:v>0.99376502890666796</c:v>
                </c:pt>
                <c:pt idx="28">
                  <c:v>1.4238597783800477</c:v>
                </c:pt>
                <c:pt idx="29">
                  <c:v>-0.42444319481434362</c:v>
                </c:pt>
                <c:pt idx="30">
                  <c:v>-1.2177131082280754</c:v>
                </c:pt>
                <c:pt idx="31">
                  <c:v>-0.20736183716370787</c:v>
                </c:pt>
              </c:numCache>
            </c:numRef>
          </c:val>
          <c:extLst>
            <c:ext xmlns:c16="http://schemas.microsoft.com/office/drawing/2014/chart" uri="{C3380CC4-5D6E-409C-BE32-E72D297353CC}">
              <c16:uniqueId val="{00000002-56D8-46A5-AEEA-517C766C22D0}"/>
            </c:ext>
          </c:extLst>
        </c:ser>
        <c:dLbls>
          <c:showLegendKey val="0"/>
          <c:showVal val="0"/>
          <c:showCatName val="0"/>
          <c:showSerName val="0"/>
          <c:showPercent val="0"/>
          <c:showBubbleSize val="0"/>
        </c:dLbls>
        <c:gapWidth val="31"/>
        <c:overlap val="100"/>
        <c:axId val="156100864"/>
        <c:axId val="156573696"/>
      </c:barChart>
      <c:lineChart>
        <c:grouping val="standard"/>
        <c:varyColors val="0"/>
        <c:ser>
          <c:idx val="3"/>
          <c:order val="0"/>
          <c:tx>
            <c:strRef>
              <c:f>'výkonnost odvětví 5a'!$D$66</c:f>
              <c:strCache>
                <c:ptCount val="1"/>
                <c:pt idx="0">
                  <c:v>Total retail sales (y-o-y growth)</c:v>
                </c:pt>
              </c:strCache>
            </c:strRef>
          </c:tx>
          <c:spPr>
            <a:ln>
              <a:noFill/>
            </a:ln>
          </c:spPr>
          <c:marker>
            <c:symbol val="dash"/>
            <c:size val="7"/>
            <c:spPr>
              <a:solidFill>
                <a:schemeClr val="tx1">
                  <a:lumMod val="85000"/>
                  <a:lumOff val="15000"/>
                </a:schemeClr>
              </a:solidFill>
              <a:ln w="6350">
                <a:noFill/>
              </a:ln>
            </c:spPr>
          </c:marker>
          <c:cat>
            <c:multiLvlStrRef>
              <c:f>'výkonnost odvětví 5a'!$B$67:$C$99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5a'!$D$67:$D$99</c:f>
              <c:numCache>
                <c:formatCode>#\ ##0.0</c:formatCode>
                <c:ptCount val="33"/>
                <c:pt idx="0">
                  <c:v>5.9629437730999939</c:v>
                </c:pt>
                <c:pt idx="1">
                  <c:v>5.5942049784000005</c:v>
                </c:pt>
                <c:pt idx="2">
                  <c:v>5.5012484798999992</c:v>
                </c:pt>
                <c:pt idx="3">
                  <c:v>6.0276233044999969</c:v>
                </c:pt>
                <c:pt idx="4">
                  <c:v>5.2867215003000041</c:v>
                </c:pt>
                <c:pt idx="5">
                  <c:v>4.7635779651999997</c:v>
                </c:pt>
                <c:pt idx="6">
                  <c:v>4.7795776032999981</c:v>
                </c:pt>
                <c:pt idx="7">
                  <c:v>3.8964899322999997</c:v>
                </c:pt>
                <c:pt idx="8">
                  <c:v>5.2310555753000045</c:v>
                </c:pt>
                <c:pt idx="9">
                  <c:v>6.4725508764000068</c:v>
                </c:pt>
                <c:pt idx="10">
                  <c:v>5.9734111239999947</c:v>
                </c:pt>
                <c:pt idx="11">
                  <c:v>6.1682850682000065</c:v>
                </c:pt>
                <c:pt idx="12">
                  <c:v>6.3413097881000056</c:v>
                </c:pt>
                <c:pt idx="13">
                  <c:v>4.6706928929999947</c:v>
                </c:pt>
                <c:pt idx="14">
                  <c:v>4.2011641704000056</c:v>
                </c:pt>
                <c:pt idx="15">
                  <c:v>4.8161828603000032</c:v>
                </c:pt>
                <c:pt idx="16">
                  <c:v>5.6537188418</c:v>
                </c:pt>
                <c:pt idx="17">
                  <c:v>4.8265636037999968</c:v>
                </c:pt>
                <c:pt idx="18">
                  <c:v>4.5452014836999979</c:v>
                </c:pt>
                <c:pt idx="19">
                  <c:v>4.1996486233999946</c:v>
                </c:pt>
                <c:pt idx="20">
                  <c:v>6.049173830000143E-2</c:v>
                </c:pt>
                <c:pt idx="21">
                  <c:v>-2.8962995720000038</c:v>
                </c:pt>
                <c:pt idx="22">
                  <c:v>1.3291675252000061</c:v>
                </c:pt>
                <c:pt idx="23">
                  <c:v>-2.0263752827000019</c:v>
                </c:pt>
                <c:pt idx="24">
                  <c:v>-0.18412703469999769</c:v>
                </c:pt>
                <c:pt idx="25">
                  <c:v>7.2801836782000038</c:v>
                </c:pt>
                <c:pt idx="26">
                  <c:v>3.9051822130000033</c:v>
                </c:pt>
                <c:pt idx="27">
                  <c:v>6.1725521780000037</c:v>
                </c:pt>
                <c:pt idx="28">
                  <c:v>6.5221106165000009</c:v>
                </c:pt>
                <c:pt idx="29">
                  <c:v>-2.9649241885999942</c:v>
                </c:pt>
                <c:pt idx="30">
                  <c:v>-7.4721003682000031</c:v>
                </c:pt>
                <c:pt idx="31">
                  <c:v>-9.1632942708999963</c:v>
                </c:pt>
              </c:numCache>
            </c:numRef>
          </c:val>
          <c:smooth val="0"/>
          <c:extLst>
            <c:ext xmlns:c16="http://schemas.microsoft.com/office/drawing/2014/chart" uri="{C3380CC4-5D6E-409C-BE32-E72D297353CC}">
              <c16:uniqueId val="{00000003-56D8-46A5-AEEA-517C766C22D0}"/>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5"/>
          <c:order val="4"/>
          <c:tx>
            <c:strRef>
              <c:f>'výkonnost odvětví 5a'!$H$66</c:f>
              <c:strCache>
                <c:ptCount val="1"/>
                <c:pt idx="0">
                  <c:v>Total retail, without motor vehicl. (2015=100)</c:v>
                </c:pt>
              </c:strCache>
            </c:strRef>
          </c:tx>
          <c:spPr>
            <a:ln w="15875">
              <a:solidFill>
                <a:schemeClr val="tx1">
                  <a:lumMod val="95000"/>
                  <a:lumOff val="5000"/>
                </a:schemeClr>
              </a:solidFill>
              <a:prstDash val="solid"/>
            </a:ln>
          </c:spPr>
          <c:marker>
            <c:symbol val="none"/>
          </c:marker>
          <c:cat>
            <c:multiLvlStrRef>
              <c:f>'výkonnost odvětví 5a'!$B$67:$C$99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5a'!$H$67:$H$99</c:f>
              <c:numCache>
                <c:formatCode>#\ ##0.0</c:formatCode>
                <c:ptCount val="33"/>
                <c:pt idx="0">
                  <c:v>98.182102983299998</c:v>
                </c:pt>
                <c:pt idx="1">
                  <c:v>99.137603143299998</c:v>
                </c:pt>
                <c:pt idx="2">
                  <c:v>100.17900292</c:v>
                </c:pt>
                <c:pt idx="3">
                  <c:v>102.5012909667</c:v>
                </c:pt>
                <c:pt idx="4">
                  <c:v>103.1357140333</c:v>
                </c:pt>
                <c:pt idx="5">
                  <c:v>103.9351803667</c:v>
                </c:pt>
                <c:pt idx="6">
                  <c:v>105.1890714</c:v>
                </c:pt>
                <c:pt idx="7">
                  <c:v>106.6400906667</c:v>
                </c:pt>
                <c:pt idx="8">
                  <c:v>108.2930209</c:v>
                </c:pt>
                <c:pt idx="9">
                  <c:v>110.5603038667</c:v>
                </c:pt>
                <c:pt idx="10">
                  <c:v>111.7185620333</c:v>
                </c:pt>
                <c:pt idx="11">
                  <c:v>113.10479650000001</c:v>
                </c:pt>
                <c:pt idx="12">
                  <c:v>114.79604070000001</c:v>
                </c:pt>
                <c:pt idx="13">
                  <c:v>115.93791803329999</c:v>
                </c:pt>
                <c:pt idx="14">
                  <c:v>116.7740435</c:v>
                </c:pt>
                <c:pt idx="15">
                  <c:v>118.4401407667</c:v>
                </c:pt>
                <c:pt idx="16">
                  <c:v>120.8630658333</c:v>
                </c:pt>
                <c:pt idx="17">
                  <c:v>121.79026133000001</c:v>
                </c:pt>
                <c:pt idx="18">
                  <c:v>122.36688694670001</c:v>
                </c:pt>
                <c:pt idx="19">
                  <c:v>123.29103059329999</c:v>
                </c:pt>
                <c:pt idx="20">
                  <c:v>120.69862361</c:v>
                </c:pt>
                <c:pt idx="21">
                  <c:v>118.79257757000001</c:v>
                </c:pt>
                <c:pt idx="22">
                  <c:v>124.45742695</c:v>
                </c:pt>
                <c:pt idx="23">
                  <c:v>120.35418919999999</c:v>
                </c:pt>
                <c:pt idx="24">
                  <c:v>118.8138527567</c:v>
                </c:pt>
                <c:pt idx="25">
                  <c:v>127.69453672669999</c:v>
                </c:pt>
                <c:pt idx="26">
                  <c:v>130.12631178000001</c:v>
                </c:pt>
                <c:pt idx="27">
                  <c:v>128.46986089329999</c:v>
                </c:pt>
                <c:pt idx="28">
                  <c:v>126.8560939633</c:v>
                </c:pt>
                <c:pt idx="29">
                  <c:v>123.27142680670001</c:v>
                </c:pt>
                <c:pt idx="30">
                  <c:v>120.5904676733</c:v>
                </c:pt>
                <c:pt idx="31">
                  <c:v>118.1122249333</c:v>
                </c:pt>
              </c:numCache>
            </c:numRef>
          </c:val>
          <c:smooth val="0"/>
          <c:extLst>
            <c:ext xmlns:c16="http://schemas.microsoft.com/office/drawing/2014/chart" uri="{C3380CC4-5D6E-409C-BE32-E72D297353CC}">
              <c16:uniqueId val="{00000004-56D8-46A5-AEEA-517C766C22D0}"/>
            </c:ext>
          </c:extLst>
        </c:ser>
        <c:ser>
          <c:idx val="2"/>
          <c:order val="5"/>
          <c:tx>
            <c:strRef>
              <c:f>'výkonnost odvětví 5a'!$I$66</c:f>
              <c:strCache>
                <c:ptCount val="1"/>
                <c:pt idx="0">
                  <c:v>Retail sale of fuels (2015=100)</c:v>
                </c:pt>
              </c:strCache>
            </c:strRef>
          </c:tx>
          <c:spPr>
            <a:ln w="15875">
              <a:solidFill>
                <a:schemeClr val="bg2">
                  <a:lumMod val="50000"/>
                </a:schemeClr>
              </a:solidFill>
              <a:prstDash val="sysDash"/>
            </a:ln>
          </c:spPr>
          <c:marker>
            <c:symbol val="none"/>
          </c:marker>
          <c:cat>
            <c:multiLvlStrRef>
              <c:f>'výkonnost odvětví 5a'!$B$67:$C$99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5a'!$I$67:$I$99</c:f>
              <c:numCache>
                <c:formatCode>#\ ##0.0</c:formatCode>
                <c:ptCount val="33"/>
                <c:pt idx="0">
                  <c:v>99.513139306699998</c:v>
                </c:pt>
                <c:pt idx="1">
                  <c:v>98.324028400000003</c:v>
                </c:pt>
                <c:pt idx="2">
                  <c:v>99.345746030000001</c:v>
                </c:pt>
                <c:pt idx="3">
                  <c:v>102.8170862667</c:v>
                </c:pt>
                <c:pt idx="4">
                  <c:v>104.4080196</c:v>
                </c:pt>
                <c:pt idx="5">
                  <c:v>103.7612565667</c:v>
                </c:pt>
                <c:pt idx="6">
                  <c:v>103.8894186</c:v>
                </c:pt>
                <c:pt idx="7">
                  <c:v>108.06889986669999</c:v>
                </c:pt>
                <c:pt idx="8">
                  <c:v>108.9125654667</c:v>
                </c:pt>
                <c:pt idx="9">
                  <c:v>110.0281492667</c:v>
                </c:pt>
                <c:pt idx="10">
                  <c:v>110.2481697333</c:v>
                </c:pt>
                <c:pt idx="11">
                  <c:v>114.9077460667</c:v>
                </c:pt>
                <c:pt idx="12">
                  <c:v>115.15612109999999</c:v>
                </c:pt>
                <c:pt idx="13">
                  <c:v>115.32029416669999</c:v>
                </c:pt>
                <c:pt idx="14">
                  <c:v>113.3013183333</c:v>
                </c:pt>
                <c:pt idx="15">
                  <c:v>118.5502795</c:v>
                </c:pt>
                <c:pt idx="16">
                  <c:v>120.6878189267</c:v>
                </c:pt>
                <c:pt idx="17">
                  <c:v>117.99417203</c:v>
                </c:pt>
                <c:pt idx="18">
                  <c:v>114.4818178733</c:v>
                </c:pt>
                <c:pt idx="19">
                  <c:v>119.4088204933</c:v>
                </c:pt>
                <c:pt idx="20">
                  <c:v>113.0155670067</c:v>
                </c:pt>
                <c:pt idx="21">
                  <c:v>97.645228860000003</c:v>
                </c:pt>
                <c:pt idx="22">
                  <c:v>113.35676879330001</c:v>
                </c:pt>
                <c:pt idx="23">
                  <c:v>105.9359390533</c:v>
                </c:pt>
                <c:pt idx="24">
                  <c:v>104.1611650867</c:v>
                </c:pt>
                <c:pt idx="25">
                  <c:v>110.80961229</c:v>
                </c:pt>
                <c:pt idx="26">
                  <c:v>117.50596787000001</c:v>
                </c:pt>
                <c:pt idx="27">
                  <c:v>114.3253423733</c:v>
                </c:pt>
                <c:pt idx="28">
                  <c:v>115.9798556667</c:v>
                </c:pt>
                <c:pt idx="29">
                  <c:v>106.7775414633</c:v>
                </c:pt>
                <c:pt idx="30">
                  <c:v>106.4759888833</c:v>
                </c:pt>
                <c:pt idx="31">
                  <c:v>112.12877881999999</c:v>
                </c:pt>
              </c:numCache>
            </c:numRef>
          </c:val>
          <c:smooth val="0"/>
          <c:extLst>
            <c:ext xmlns:c16="http://schemas.microsoft.com/office/drawing/2014/chart" uri="{C3380CC4-5D6E-409C-BE32-E72D297353CC}">
              <c16:uniqueId val="{00000005-56D8-46A5-AEEA-517C766C22D0}"/>
            </c:ext>
          </c:extLst>
        </c:ser>
        <c:ser>
          <c:idx val="6"/>
          <c:order val="6"/>
          <c:tx>
            <c:strRef>
              <c:f>'výkonnost odvětví 5a'!$J$66</c:f>
              <c:strCache>
                <c:ptCount val="1"/>
                <c:pt idx="0">
                  <c:v>Sale and repair of motor vehicles (2015=100)</c:v>
                </c:pt>
              </c:strCache>
            </c:strRef>
          </c:tx>
          <c:spPr>
            <a:ln w="15875">
              <a:solidFill>
                <a:srgbClr val="984807"/>
              </a:solidFill>
              <a:prstDash val="solid"/>
            </a:ln>
          </c:spPr>
          <c:marker>
            <c:symbol val="none"/>
          </c:marker>
          <c:cat>
            <c:multiLvlStrRef>
              <c:f>'výkonnost odvětví 5a'!$B$67:$C$99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5a'!$J$67:$J$99</c:f>
              <c:numCache>
                <c:formatCode>#\ ##0.0</c:formatCode>
                <c:ptCount val="33"/>
                <c:pt idx="0">
                  <c:v>95.697367796699993</c:v>
                </c:pt>
                <c:pt idx="1">
                  <c:v>98.531720309999997</c:v>
                </c:pt>
                <c:pt idx="2">
                  <c:v>101.3260702667</c:v>
                </c:pt>
                <c:pt idx="3">
                  <c:v>104.4448416333</c:v>
                </c:pt>
                <c:pt idx="4">
                  <c:v>105.1626406667</c:v>
                </c:pt>
                <c:pt idx="5">
                  <c:v>106.8068112</c:v>
                </c:pt>
                <c:pt idx="6">
                  <c:v>108.91789203330001</c:v>
                </c:pt>
                <c:pt idx="7">
                  <c:v>109.8263580333</c:v>
                </c:pt>
                <c:pt idx="8">
                  <c:v>111.08373136669999</c:v>
                </c:pt>
                <c:pt idx="9">
                  <c:v>111.3580627667</c:v>
                </c:pt>
                <c:pt idx="10">
                  <c:v>109.57350293330001</c:v>
                </c:pt>
                <c:pt idx="11">
                  <c:v>112.0391699333</c:v>
                </c:pt>
                <c:pt idx="12">
                  <c:v>110.5959055333</c:v>
                </c:pt>
                <c:pt idx="13">
                  <c:v>109.9283487667</c:v>
                </c:pt>
                <c:pt idx="14">
                  <c:v>108.9107659</c:v>
                </c:pt>
                <c:pt idx="15">
                  <c:v>106.41696349999999</c:v>
                </c:pt>
                <c:pt idx="16">
                  <c:v>109.54775435329999</c:v>
                </c:pt>
                <c:pt idx="17">
                  <c:v>110.8073262667</c:v>
                </c:pt>
                <c:pt idx="18">
                  <c:v>109.5778583733</c:v>
                </c:pt>
                <c:pt idx="19">
                  <c:v>110.06150255670001</c:v>
                </c:pt>
                <c:pt idx="20">
                  <c:v>96.457729993300006</c:v>
                </c:pt>
                <c:pt idx="21">
                  <c:v>77.460500006700002</c:v>
                </c:pt>
                <c:pt idx="22">
                  <c:v>100.4926849</c:v>
                </c:pt>
                <c:pt idx="23">
                  <c:v>102.1841167867</c:v>
                </c:pt>
                <c:pt idx="24">
                  <c:v>102.6393273067</c:v>
                </c:pt>
                <c:pt idx="25">
                  <c:v>105.1354329</c:v>
                </c:pt>
                <c:pt idx="26">
                  <c:v>99.462158689999995</c:v>
                </c:pt>
                <c:pt idx="27">
                  <c:v>97.778743680000005</c:v>
                </c:pt>
                <c:pt idx="28">
                  <c:v>98.273929570000007</c:v>
                </c:pt>
                <c:pt idx="29">
                  <c:v>96.855290976700005</c:v>
                </c:pt>
                <c:pt idx="30">
                  <c:v>96.170951396700005</c:v>
                </c:pt>
                <c:pt idx="31">
                  <c:v>96.947600030000004</c:v>
                </c:pt>
              </c:numCache>
            </c:numRef>
          </c:val>
          <c:smooth val="0"/>
          <c:extLst>
            <c:ext xmlns:c16="http://schemas.microsoft.com/office/drawing/2014/chart" uri="{C3380CC4-5D6E-409C-BE32-E72D297353CC}">
              <c16:uniqueId val="{00000006-56D8-46A5-AEEA-517C766C22D0}"/>
            </c:ext>
          </c:extLst>
        </c:ser>
        <c:ser>
          <c:idx val="7"/>
          <c:order val="7"/>
          <c:tx>
            <c:strRef>
              <c:f>'výkonnost odvětví 5a'!$K$66</c:f>
              <c:strCache>
                <c:ptCount val="1"/>
              </c:strCache>
            </c:strRef>
          </c:tx>
          <c:spPr>
            <a:ln w="3175">
              <a:noFill/>
              <a:prstDash val="sysDash"/>
            </a:ln>
          </c:spPr>
          <c:marker>
            <c:symbol val="none"/>
          </c:marker>
          <c:cat>
            <c:multiLvlStrRef>
              <c:f>'výkonnost odvětví 5a'!$B$67:$C$99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5a'!$K$67:$K$99</c:f>
              <c:numCache>
                <c:formatCode>General</c:formatCode>
                <c:ptCount val="33"/>
              </c:numCache>
            </c:numRef>
          </c:val>
          <c:smooth val="0"/>
          <c:extLst>
            <c:ext xmlns:c16="http://schemas.microsoft.com/office/drawing/2014/chart" uri="{C3380CC4-5D6E-409C-BE32-E72D297353CC}">
              <c16:uniqueId val="{00000007-56D8-46A5-AEEA-517C766C22D0}"/>
            </c:ext>
          </c:extLst>
        </c:ser>
        <c:ser>
          <c:idx val="8"/>
          <c:order val="8"/>
          <c:tx>
            <c:strRef>
              <c:f>'výkonnost odvětví 5a'!$L$66</c:f>
              <c:strCache>
                <c:ptCount val="1"/>
                <c:pt idx="0">
                  <c:v>Consumer confidence indicator</c:v>
                </c:pt>
              </c:strCache>
            </c:strRef>
          </c:tx>
          <c:spPr>
            <a:ln w="12700">
              <a:solidFill>
                <a:schemeClr val="bg1">
                  <a:lumMod val="50000"/>
                </a:schemeClr>
              </a:solidFill>
              <a:prstDash val="sysDot"/>
            </a:ln>
          </c:spPr>
          <c:marker>
            <c:symbol val="circle"/>
            <c:size val="5"/>
            <c:spPr>
              <a:solidFill>
                <a:srgbClr val="FFFF00"/>
              </a:solidFill>
              <a:ln>
                <a:solidFill>
                  <a:schemeClr val="bg1">
                    <a:lumMod val="50000"/>
                  </a:schemeClr>
                </a:solidFill>
              </a:ln>
            </c:spPr>
          </c:marker>
          <c:cat>
            <c:multiLvlStrRef>
              <c:f>'výkonnost odvětví 5a'!$B$67:$C$99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5a'!$L$67:$L$99</c:f>
              <c:numCache>
                <c:formatCode>0.0</c:formatCode>
                <c:ptCount val="33"/>
                <c:pt idx="0">
                  <c:v>-1.75</c:v>
                </c:pt>
                <c:pt idx="1">
                  <c:v>0.25</c:v>
                </c:pt>
                <c:pt idx="2">
                  <c:v>-3.75</c:v>
                </c:pt>
                <c:pt idx="3">
                  <c:v>-0.25</c:v>
                </c:pt>
                <c:pt idx="4">
                  <c:v>-1.5</c:v>
                </c:pt>
                <c:pt idx="5">
                  <c:v>0</c:v>
                </c:pt>
                <c:pt idx="6">
                  <c:v>-2.25</c:v>
                </c:pt>
                <c:pt idx="7">
                  <c:v>0.75</c:v>
                </c:pt>
                <c:pt idx="8">
                  <c:v>1.25</c:v>
                </c:pt>
                <c:pt idx="9">
                  <c:v>-0.5</c:v>
                </c:pt>
                <c:pt idx="10">
                  <c:v>0.5</c:v>
                </c:pt>
                <c:pt idx="11">
                  <c:v>5</c:v>
                </c:pt>
                <c:pt idx="12">
                  <c:v>3.75</c:v>
                </c:pt>
                <c:pt idx="13">
                  <c:v>6</c:v>
                </c:pt>
                <c:pt idx="14">
                  <c:v>4</c:v>
                </c:pt>
                <c:pt idx="15">
                  <c:v>1</c:v>
                </c:pt>
                <c:pt idx="16">
                  <c:v>3.25</c:v>
                </c:pt>
                <c:pt idx="17">
                  <c:v>0</c:v>
                </c:pt>
                <c:pt idx="18">
                  <c:v>2.25</c:v>
                </c:pt>
                <c:pt idx="19">
                  <c:v>-0.5</c:v>
                </c:pt>
                <c:pt idx="20">
                  <c:v>-1.75</c:v>
                </c:pt>
                <c:pt idx="21">
                  <c:v>-9.25</c:v>
                </c:pt>
                <c:pt idx="22">
                  <c:v>-8.75</c:v>
                </c:pt>
                <c:pt idx="23">
                  <c:v>-18.5</c:v>
                </c:pt>
                <c:pt idx="24">
                  <c:v>-16.25</c:v>
                </c:pt>
                <c:pt idx="25">
                  <c:v>-6.75</c:v>
                </c:pt>
                <c:pt idx="26">
                  <c:v>-4.5</c:v>
                </c:pt>
                <c:pt idx="27">
                  <c:v>-17</c:v>
                </c:pt>
                <c:pt idx="28">
                  <c:v>-16.5</c:v>
                </c:pt>
                <c:pt idx="29">
                  <c:v>-31</c:v>
                </c:pt>
                <c:pt idx="30">
                  <c:v>-29.8</c:v>
                </c:pt>
                <c:pt idx="31">
                  <c:v>-30.8</c:v>
                </c:pt>
                <c:pt idx="32">
                  <c:v>-21</c:v>
                </c:pt>
              </c:numCache>
            </c:numRef>
          </c:val>
          <c:smooth val="0"/>
          <c:extLst>
            <c:ext xmlns:c16="http://schemas.microsoft.com/office/drawing/2014/chart" uri="{C3380CC4-5D6E-409C-BE32-E72D297353CC}">
              <c16:uniqueId val="{00000008-56D8-46A5-AEEA-517C766C22D0}"/>
            </c:ext>
          </c:extLst>
        </c:ser>
        <c:ser>
          <c:idx val="9"/>
          <c:order val="9"/>
          <c:tx>
            <c:strRef>
              <c:f>'výkonnost odvětví 5a'!$M$66</c:f>
              <c:strCache>
                <c:ptCount val="1"/>
                <c:pt idx="0">
                  <c:v>Consumer indicator in trade</c:v>
                </c:pt>
              </c:strCache>
            </c:strRef>
          </c:tx>
          <c:spPr>
            <a:ln w="6350">
              <a:solidFill>
                <a:schemeClr val="bg1">
                  <a:lumMod val="50000"/>
                </a:schemeClr>
              </a:solidFill>
              <a:prstDash val="sysDash"/>
            </a:ln>
          </c:spPr>
          <c:marker>
            <c:symbol val="triangle"/>
            <c:size val="5"/>
            <c:spPr>
              <a:solidFill>
                <a:schemeClr val="accent6">
                  <a:lumMod val="40000"/>
                  <a:lumOff val="60000"/>
                </a:schemeClr>
              </a:solidFill>
              <a:ln>
                <a:solidFill>
                  <a:schemeClr val="bg1">
                    <a:lumMod val="50000"/>
                  </a:schemeClr>
                </a:solidFill>
              </a:ln>
            </c:spPr>
          </c:marker>
          <c:cat>
            <c:multiLvlStrRef>
              <c:f>'výkonnost odvětví 5a'!$B$67:$C$99</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5a'!$M$67:$M$99</c:f>
              <c:numCache>
                <c:formatCode>0.0</c:formatCode>
                <c:ptCount val="33"/>
                <c:pt idx="0">
                  <c:v>20</c:v>
                </c:pt>
                <c:pt idx="1">
                  <c:v>20.7</c:v>
                </c:pt>
                <c:pt idx="2">
                  <c:v>17.600000000000001</c:v>
                </c:pt>
                <c:pt idx="3">
                  <c:v>19.7</c:v>
                </c:pt>
                <c:pt idx="4">
                  <c:v>22.7</c:v>
                </c:pt>
                <c:pt idx="5">
                  <c:v>17.7</c:v>
                </c:pt>
                <c:pt idx="6">
                  <c:v>17.7</c:v>
                </c:pt>
                <c:pt idx="7">
                  <c:v>21</c:v>
                </c:pt>
                <c:pt idx="8">
                  <c:v>24.3</c:v>
                </c:pt>
                <c:pt idx="9">
                  <c:v>17.3</c:v>
                </c:pt>
                <c:pt idx="10">
                  <c:v>22.7</c:v>
                </c:pt>
                <c:pt idx="11">
                  <c:v>21.7</c:v>
                </c:pt>
                <c:pt idx="12">
                  <c:v>23.3</c:v>
                </c:pt>
                <c:pt idx="13">
                  <c:v>17.3</c:v>
                </c:pt>
                <c:pt idx="14">
                  <c:v>15.6</c:v>
                </c:pt>
                <c:pt idx="15">
                  <c:v>15</c:v>
                </c:pt>
                <c:pt idx="16">
                  <c:v>12.7</c:v>
                </c:pt>
                <c:pt idx="17">
                  <c:v>12.3</c:v>
                </c:pt>
                <c:pt idx="18">
                  <c:v>14.7</c:v>
                </c:pt>
                <c:pt idx="19">
                  <c:v>14.7</c:v>
                </c:pt>
                <c:pt idx="20">
                  <c:v>18.7</c:v>
                </c:pt>
                <c:pt idx="21">
                  <c:v>-1</c:v>
                </c:pt>
                <c:pt idx="22">
                  <c:v>12</c:v>
                </c:pt>
                <c:pt idx="23">
                  <c:v>7</c:v>
                </c:pt>
                <c:pt idx="24">
                  <c:v>1.3</c:v>
                </c:pt>
                <c:pt idx="25">
                  <c:v>15</c:v>
                </c:pt>
                <c:pt idx="26">
                  <c:v>18.3</c:v>
                </c:pt>
                <c:pt idx="27">
                  <c:v>21.3</c:v>
                </c:pt>
                <c:pt idx="28">
                  <c:v>19.7</c:v>
                </c:pt>
                <c:pt idx="29">
                  <c:v>19.600000000000001</c:v>
                </c:pt>
                <c:pt idx="30">
                  <c:v>10.3</c:v>
                </c:pt>
                <c:pt idx="31">
                  <c:v>14.7</c:v>
                </c:pt>
                <c:pt idx="32">
                  <c:v>9.3000000000000007</c:v>
                </c:pt>
              </c:numCache>
            </c:numRef>
          </c:val>
          <c:smooth val="0"/>
          <c:extLst>
            <c:ext xmlns:c16="http://schemas.microsoft.com/office/drawing/2014/chart" uri="{C3380CC4-5D6E-409C-BE32-E72D297353CC}">
              <c16:uniqueId val="{00000009-56D8-46A5-AEEA-517C766C22D0}"/>
            </c:ext>
          </c:extLst>
        </c:ser>
        <c:dLbls>
          <c:showLegendKey val="0"/>
          <c:showVal val="0"/>
          <c:showCatName val="0"/>
          <c:showSerName val="0"/>
          <c:showPercent val="0"/>
          <c:showBubbleSize val="0"/>
        </c:dLbls>
        <c:marker val="1"/>
        <c:smooth val="0"/>
        <c:axId val="1875570767"/>
        <c:axId val="1875563695"/>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2"/>
          <c:min val="-10"/>
        </c:scaling>
        <c:delete val="0"/>
        <c:axPos val="l"/>
        <c:majorGridlines>
          <c:spPr>
            <a:ln w="6350">
              <a:solidFill>
                <a:schemeClr val="bg1">
                  <a:lumMod val="75000"/>
                </a:schemeClr>
              </a:solidFill>
            </a:ln>
          </c:spPr>
        </c:majorGridlines>
        <c:title>
          <c:tx>
            <c:rich>
              <a:bodyPr/>
              <a:lstStyle/>
              <a:p>
                <a:pPr>
                  <a:defRPr sz="750" b="0" i="1"/>
                </a:pPr>
                <a:r>
                  <a:rPr lang="cs-CZ" sz="750" b="0" i="1"/>
                  <a:t>Sales (contribution to the change)</a:t>
                </a:r>
              </a:p>
            </c:rich>
          </c:tx>
          <c:layout>
            <c:manualLayout>
              <c:xMode val="edge"/>
              <c:yMode val="edge"/>
              <c:x val="2.6087065478328942E-3"/>
              <c:y val="0.18186950815930616"/>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2"/>
      </c:valAx>
      <c:valAx>
        <c:axId val="1875563695"/>
        <c:scaling>
          <c:orientation val="minMax"/>
          <c:max val="140"/>
          <c:min val="-40"/>
        </c:scaling>
        <c:delete val="0"/>
        <c:axPos val="r"/>
        <c:title>
          <c:tx>
            <c:rich>
              <a:bodyPr/>
              <a:lstStyle/>
              <a:p>
                <a:pPr>
                  <a:defRPr sz="750" b="0" i="1"/>
                </a:pPr>
                <a:r>
                  <a:rPr lang="cs-CZ" sz="750" b="0" i="1">
                    <a:latin typeface="Arial" panose="020B0604020202020204" pitchFamily="34" charset="0"/>
                    <a:cs typeface="Arial" panose="020B0604020202020204" pitchFamily="34" charset="0"/>
                  </a:rPr>
                  <a:t>Sales (year 2015=100), Consumer and trade confidence</a:t>
                </a:r>
              </a:p>
            </c:rich>
          </c:tx>
          <c:overlay val="0"/>
        </c:title>
        <c:numFmt formatCode="#,##0" sourceLinked="0"/>
        <c:majorTickMark val="out"/>
        <c:minorTickMark val="none"/>
        <c:tickLblPos val="nextTo"/>
        <c:txPr>
          <a:bodyPr/>
          <a:lstStyle/>
          <a:p>
            <a:pPr>
              <a:defRPr sz="800"/>
            </a:pPr>
            <a:endParaRPr lang="cs-CZ"/>
          </a:p>
        </c:txPr>
        <c:crossAx val="1875570767"/>
        <c:crosses val="max"/>
        <c:crossBetween val="between"/>
        <c:majorUnit val="10"/>
      </c:valAx>
      <c:catAx>
        <c:axId val="1875570767"/>
        <c:scaling>
          <c:orientation val="minMax"/>
        </c:scaling>
        <c:delete val="1"/>
        <c:axPos val="b"/>
        <c:numFmt formatCode="General" sourceLinked="1"/>
        <c:majorTickMark val="out"/>
        <c:minorTickMark val="none"/>
        <c:tickLblPos val="nextTo"/>
        <c:crossAx val="1875563695"/>
        <c:crosses val="autoZero"/>
        <c:auto val="1"/>
        <c:lblAlgn val="ctr"/>
        <c:lblOffset val="100"/>
        <c:noMultiLvlLbl val="0"/>
      </c:catAx>
      <c:spPr>
        <a:ln>
          <a:solidFill>
            <a:schemeClr val="tx1"/>
          </a:solidFill>
        </a:ln>
      </c:spPr>
    </c:plotArea>
    <c:legend>
      <c:legendPos val="r"/>
      <c:layout>
        <c:manualLayout>
          <c:xMode val="edge"/>
          <c:yMode val="edge"/>
          <c:x val="5.2942471613248209E-3"/>
          <c:y val="0.84063369354794437"/>
          <c:w val="0.98954490392648287"/>
          <c:h val="0.15565653623547093"/>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1BBA9E39CFCF469C5C18733081B222" ma:contentTypeVersion="2" ma:contentTypeDescription="Vytvoří nový dokument" ma:contentTypeScope="" ma:versionID="eb01c1c0223ab0a1c9372071ddfa2e5f">
  <xsd:schema xmlns:xsd="http://www.w3.org/2001/XMLSchema" xmlns:xs="http://www.w3.org/2001/XMLSchema" xmlns:p="http://schemas.microsoft.com/office/2006/metadata/properties" xmlns:ns2="eabc42bd-08fe-4a27-9645-04f6ad96d74a" targetNamespace="http://schemas.microsoft.com/office/2006/metadata/properties" ma:root="true" ma:fieldsID="3d4f44d82d427914eb8ec1afbd279452" ns2:_="">
    <xsd:import namespace="eabc42bd-08fe-4a27-9645-04f6ad96d7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c42bd-08fe-4a27-9645-04f6ad96d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2.xml><?xml version="1.0" encoding="utf-8"?>
<ds:datastoreItem xmlns:ds="http://schemas.openxmlformats.org/officeDocument/2006/customXml" ds:itemID="{0770C5A8-E1D4-45B9-A6FC-B1B245DAB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c42bd-08fe-4a27-9645-04f6ad96d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38702-393C-4E0B-95FC-6397490058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4932FB-3B0E-493B-94B6-5B00B1C84CDB}">
  <ds:schemaRefs>
    <ds:schemaRef ds:uri="http://schemas.openxmlformats.org/officeDocument/2006/bibliography"/>
  </ds:schemaRefs>
</ds:datastoreItem>
</file>

<file path=customXml/itemProps5.xml><?xml version="1.0" encoding="utf-8"?>
<ds:datastoreItem xmlns:ds="http://schemas.openxmlformats.org/officeDocument/2006/customXml" ds:itemID="{15B63B3C-E855-42D8-BDDB-5EB01D49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Template>
  <TotalTime>11</TotalTime>
  <Pages>11</Pages>
  <Words>5309</Words>
  <Characters>31326</Characters>
  <Application>Microsoft Office Word</Application>
  <DocSecurity>0</DocSecurity>
  <Lines>261</Lines>
  <Paragraphs>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Karolína Zábojníková</cp:lastModifiedBy>
  <cp:revision>4</cp:revision>
  <cp:lastPrinted>2019-04-08T10:52:00Z</cp:lastPrinted>
  <dcterms:created xsi:type="dcterms:W3CDTF">2023-04-20T07:09:00Z</dcterms:created>
  <dcterms:modified xsi:type="dcterms:W3CDTF">2023-04-20T07:22:00Z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0x010100331BBA9E39CFCF469C5C18733081B222</vt:lpwstr>
  </property>
  <property fmtid="{D5CDD505-2E9C-101B-9397-08002B2CF9AE}" pid="3" name="MSIP_Label_29db9e61-aac5-4f6e-805d-ceb8cb9983a1_Enabled">
    <vt:lpwstr>true</vt:lpwstr>
  </property>
  <property fmtid="{D5CDD505-2E9C-101B-9397-08002B2CF9AE}" pid="4" name="MSIP_Label_29db9e61-aac5-4f6e-805d-ceb8cb9983a1_SetDate">
    <vt:lpwstr>2023-03-27T13:04:49Z</vt:lpwstr>
  </property>
  <property fmtid="{D5CDD505-2E9C-101B-9397-08002B2CF9AE}" pid="5" name="MSIP_Label_29db9e61-aac5-4f6e-805d-ceb8cb9983a1_Method">
    <vt:lpwstr>Standard</vt:lpwstr>
  </property>
  <property fmtid="{D5CDD505-2E9C-101B-9397-08002B2CF9AE}" pid="6" name="MSIP_Label_29db9e61-aac5-4f6e-805d-ceb8cb9983a1_Name">
    <vt:lpwstr>UniCredit - Internal Use Only - no visual markings</vt:lpwstr>
  </property>
  <property fmtid="{D5CDD505-2E9C-101B-9397-08002B2CF9AE}" pid="7" name="MSIP_Label_29db9e61-aac5-4f6e-805d-ceb8cb9983a1_SiteId">
    <vt:lpwstr>2cc49ce9-66a1-41ac-a96b-bdc54247696a</vt:lpwstr>
  </property>
  <property fmtid="{D5CDD505-2E9C-101B-9397-08002B2CF9AE}" pid="8" name="MSIP_Label_29db9e61-aac5-4f6e-805d-ceb8cb9983a1_ActionId">
    <vt:lpwstr>de2450ee-4915-4da0-b25a-4e858a474ced</vt:lpwstr>
  </property>
  <property fmtid="{D5CDD505-2E9C-101B-9397-08002B2CF9AE}" pid="9" name="MSIP_Label_29db9e61-aac5-4f6e-805d-ceb8cb9983a1_ContentBits">
    <vt:lpwstr>0</vt:lpwstr>
  </property>
</Properties>
</file>