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098" w:rsidRDefault="008D6098" w:rsidP="008D6098">
      <w:pPr>
        <w:pStyle w:val="Nadpis1"/>
      </w:pPr>
      <w:bookmarkStart w:id="0" w:name="_Toc468110181"/>
      <w:r>
        <w:t>6. Mezinárodní srovnání</w:t>
      </w:r>
      <w:bookmarkStart w:id="1" w:name="_GoBack"/>
      <w:bookmarkEnd w:id="0"/>
      <w:bookmarkEnd w:id="1"/>
    </w:p>
    <w:p w:rsidR="008D6098" w:rsidRDefault="008D6098" w:rsidP="008D6098">
      <w:pPr>
        <w:pStyle w:val="Nadpis2"/>
      </w:pPr>
      <w:bookmarkStart w:id="2" w:name="_Toc468110182"/>
      <w:r>
        <w:t>6.1 Úhrnná plodnost</w:t>
      </w:r>
      <w:bookmarkEnd w:id="2"/>
    </w:p>
    <w:p w:rsidR="008D6098" w:rsidRDefault="008D6098" w:rsidP="008D6098">
      <w:pPr>
        <w:rPr>
          <w:rFonts w:cs="Arial"/>
          <w:szCs w:val="20"/>
        </w:rPr>
      </w:pPr>
      <w:r w:rsidRPr="00A513FA">
        <w:rPr>
          <w:rFonts w:cs="Arial"/>
          <w:szCs w:val="20"/>
        </w:rPr>
        <w:t>Mezinárodní</w:t>
      </w:r>
      <w:r>
        <w:rPr>
          <w:rFonts w:cs="Arial"/>
          <w:szCs w:val="20"/>
        </w:rPr>
        <w:t xml:space="preserve"> srovnání ukazatelů plodnosti je zaměřeno na evropské země a pokrývá období let 2005 až 2014 (pro rok 2015 nebyla data v době vydání této publikace dostupná). V Evropské unii (EU-28) se úroveň úhrnné plodnosti zvýšila z 1,51 dítěte v roce 2005 na hodnoty 1,61–1,62 v letech 2008 až 2010, poté následoval pokles na 1,55 v roce 2013 a mírný růst na 1,58 dítěte v roce 2014. </w:t>
      </w:r>
    </w:p>
    <w:p w:rsidR="008D6098" w:rsidRPr="00A513FA" w:rsidRDefault="008D6098" w:rsidP="008D6098">
      <w:pPr>
        <w:rPr>
          <w:rFonts w:cs="Arial"/>
          <w:szCs w:val="20"/>
        </w:rPr>
      </w:pPr>
      <w:r>
        <w:rPr>
          <w:rFonts w:cs="Arial"/>
          <w:szCs w:val="20"/>
        </w:rPr>
        <w:t xml:space="preserve">Jedny z nejnižších hodnot úhrnné plodnosti byly na začátku i na konci sledovaného období zaznamenány ve státech makroregionu jižní Evropy. Například úhrnná plodnost v roce 2014 dosahovala úrovně 1,23 dítěte v Portugalsku (vůbec nejnižší hodnota ze zemí EU-28), 1,30 v Řecku, 1,32 ve Španělsku a 1,37 v Itálii. Státy východní Evropy dosahovaly okolo roku 2005 podobné úrovně úhrnné plodnosti jako státy jižní Evropy, ale během dalších deseti let se zde intenzita plodnosti mírně zvýšila. Například v Polsku z 1,24 dětí na jednu ženu v roce 2005 na 1,32 dětí o deset let později, na Slovensku z 1,27 dětí na 1,37 ve stejném období a v Rumunsku z 1,40 dětí na 1,52. Analogicky se Česká republika posunula z výrazně podprůměrných hodnot v roce 2005 (1,29 dítěte) na mírně podprůměrné v roce 2015 (1,53 dítěte).      </w:t>
      </w:r>
    </w:p>
    <w:p w:rsidR="008D6098" w:rsidRDefault="008D6098" w:rsidP="008D6098">
      <w:pPr>
        <w:spacing w:after="60"/>
        <w:rPr>
          <w:rFonts w:cs="Arial"/>
          <w:b/>
          <w:szCs w:val="20"/>
        </w:rPr>
      </w:pPr>
      <w:r>
        <w:rPr>
          <w:rFonts w:cs="Arial"/>
          <w:b/>
          <w:szCs w:val="20"/>
        </w:rPr>
        <w:t>Tab. 17</w:t>
      </w:r>
      <w:r w:rsidRPr="003C4ED5">
        <w:rPr>
          <w:rFonts w:cs="Arial"/>
          <w:b/>
          <w:szCs w:val="20"/>
        </w:rPr>
        <w:t xml:space="preserve"> Úhrnná plodnost v evropských zemích v letech 2005–2014</w:t>
      </w:r>
    </w:p>
    <w:tbl>
      <w:tblPr>
        <w:tblW w:w="9639" w:type="dxa"/>
        <w:tblCellMar>
          <w:left w:w="70" w:type="dxa"/>
          <w:right w:w="70" w:type="dxa"/>
        </w:tblCellMar>
        <w:tblLook w:val="04A0" w:firstRow="1" w:lastRow="0" w:firstColumn="1" w:lastColumn="0" w:noHBand="0" w:noVBand="1"/>
      </w:tblPr>
      <w:tblGrid>
        <w:gridCol w:w="1426"/>
        <w:gridCol w:w="822"/>
        <w:gridCol w:w="822"/>
        <w:gridCol w:w="822"/>
        <w:gridCol w:w="821"/>
        <w:gridCol w:w="821"/>
        <w:gridCol w:w="821"/>
        <w:gridCol w:w="821"/>
        <w:gridCol w:w="821"/>
        <w:gridCol w:w="821"/>
        <w:gridCol w:w="821"/>
      </w:tblGrid>
      <w:tr w:rsidR="008D6098" w:rsidRPr="003C4ED5" w:rsidTr="00305387">
        <w:trPr>
          <w:trHeight w:val="240"/>
        </w:trPr>
        <w:tc>
          <w:tcPr>
            <w:tcW w:w="1180" w:type="dxa"/>
            <w:tcBorders>
              <w:top w:val="single" w:sz="4" w:space="0" w:color="auto"/>
              <w:left w:val="nil"/>
              <w:bottom w:val="single" w:sz="4" w:space="0" w:color="auto"/>
              <w:right w:val="single" w:sz="4" w:space="0" w:color="auto"/>
            </w:tcBorders>
            <w:shd w:val="clear" w:color="000000" w:fill="F5DADD"/>
            <w:noWrap/>
            <w:vAlign w:val="bottom"/>
            <w:hideMark/>
          </w:tcPr>
          <w:p w:rsidR="008D6098" w:rsidRPr="003C4ED5" w:rsidRDefault="008D6098" w:rsidP="00305387">
            <w:pPr>
              <w:spacing w:after="0" w:line="240" w:lineRule="auto"/>
              <w:rPr>
                <w:rFonts w:cs="Arial"/>
                <w:b/>
                <w:bCs/>
                <w:sz w:val="16"/>
                <w:szCs w:val="16"/>
              </w:rPr>
            </w:pPr>
            <w:r w:rsidRPr="003C4ED5">
              <w:rPr>
                <w:rFonts w:cs="Arial"/>
                <w:b/>
                <w:bCs/>
                <w:sz w:val="16"/>
                <w:szCs w:val="16"/>
              </w:rPr>
              <w:t>Země</w:t>
            </w:r>
          </w:p>
        </w:tc>
        <w:tc>
          <w:tcPr>
            <w:tcW w:w="680" w:type="dxa"/>
            <w:tcBorders>
              <w:top w:val="single" w:sz="4" w:space="0" w:color="auto"/>
              <w:left w:val="nil"/>
              <w:bottom w:val="single" w:sz="4" w:space="0" w:color="auto"/>
              <w:right w:val="single" w:sz="4" w:space="0" w:color="auto"/>
            </w:tcBorders>
            <w:shd w:val="clear" w:color="000000" w:fill="F5DADD"/>
            <w:noWrap/>
            <w:vAlign w:val="bottom"/>
            <w:hideMark/>
          </w:tcPr>
          <w:p w:rsidR="008D6098" w:rsidRPr="003C4ED5" w:rsidRDefault="008D6098" w:rsidP="00305387">
            <w:pPr>
              <w:spacing w:after="0" w:line="240" w:lineRule="auto"/>
              <w:jc w:val="center"/>
              <w:rPr>
                <w:rFonts w:cs="Arial"/>
                <w:b/>
                <w:bCs/>
                <w:sz w:val="16"/>
                <w:szCs w:val="16"/>
              </w:rPr>
            </w:pPr>
            <w:r w:rsidRPr="003C4ED5">
              <w:rPr>
                <w:rFonts w:cs="Arial"/>
                <w:b/>
                <w:bCs/>
                <w:sz w:val="16"/>
                <w:szCs w:val="16"/>
              </w:rPr>
              <w:t>2005</w:t>
            </w:r>
          </w:p>
        </w:tc>
        <w:tc>
          <w:tcPr>
            <w:tcW w:w="680" w:type="dxa"/>
            <w:tcBorders>
              <w:top w:val="single" w:sz="4" w:space="0" w:color="auto"/>
              <w:left w:val="nil"/>
              <w:bottom w:val="single" w:sz="4" w:space="0" w:color="auto"/>
              <w:right w:val="single" w:sz="4" w:space="0" w:color="auto"/>
            </w:tcBorders>
            <w:shd w:val="clear" w:color="000000" w:fill="F5DADD"/>
            <w:noWrap/>
            <w:vAlign w:val="bottom"/>
            <w:hideMark/>
          </w:tcPr>
          <w:p w:rsidR="008D6098" w:rsidRPr="003C4ED5" w:rsidRDefault="008D6098" w:rsidP="00305387">
            <w:pPr>
              <w:spacing w:after="0" w:line="240" w:lineRule="auto"/>
              <w:jc w:val="center"/>
              <w:rPr>
                <w:rFonts w:cs="Arial"/>
                <w:b/>
                <w:bCs/>
                <w:sz w:val="16"/>
                <w:szCs w:val="16"/>
              </w:rPr>
            </w:pPr>
            <w:r w:rsidRPr="003C4ED5">
              <w:rPr>
                <w:rFonts w:cs="Arial"/>
                <w:b/>
                <w:bCs/>
                <w:sz w:val="16"/>
                <w:szCs w:val="16"/>
              </w:rPr>
              <w:t>2006</w:t>
            </w:r>
          </w:p>
        </w:tc>
        <w:tc>
          <w:tcPr>
            <w:tcW w:w="680" w:type="dxa"/>
            <w:tcBorders>
              <w:top w:val="single" w:sz="4" w:space="0" w:color="auto"/>
              <w:left w:val="nil"/>
              <w:bottom w:val="single" w:sz="4" w:space="0" w:color="auto"/>
              <w:right w:val="single" w:sz="4" w:space="0" w:color="auto"/>
            </w:tcBorders>
            <w:shd w:val="clear" w:color="000000" w:fill="F5DADD"/>
            <w:noWrap/>
            <w:vAlign w:val="bottom"/>
            <w:hideMark/>
          </w:tcPr>
          <w:p w:rsidR="008D6098" w:rsidRPr="003C4ED5" w:rsidRDefault="008D6098" w:rsidP="00305387">
            <w:pPr>
              <w:spacing w:after="0" w:line="240" w:lineRule="auto"/>
              <w:jc w:val="center"/>
              <w:rPr>
                <w:rFonts w:cs="Arial"/>
                <w:b/>
                <w:bCs/>
                <w:sz w:val="16"/>
                <w:szCs w:val="16"/>
              </w:rPr>
            </w:pPr>
            <w:r w:rsidRPr="003C4ED5">
              <w:rPr>
                <w:rFonts w:cs="Arial"/>
                <w:b/>
                <w:bCs/>
                <w:sz w:val="16"/>
                <w:szCs w:val="16"/>
              </w:rPr>
              <w:t>2007</w:t>
            </w:r>
          </w:p>
        </w:tc>
        <w:tc>
          <w:tcPr>
            <w:tcW w:w="680" w:type="dxa"/>
            <w:tcBorders>
              <w:top w:val="single" w:sz="4" w:space="0" w:color="auto"/>
              <w:left w:val="nil"/>
              <w:bottom w:val="single" w:sz="4" w:space="0" w:color="auto"/>
              <w:right w:val="single" w:sz="4" w:space="0" w:color="auto"/>
            </w:tcBorders>
            <w:shd w:val="clear" w:color="000000" w:fill="F5DADD"/>
            <w:noWrap/>
            <w:vAlign w:val="bottom"/>
            <w:hideMark/>
          </w:tcPr>
          <w:p w:rsidR="008D6098" w:rsidRPr="003C4ED5" w:rsidRDefault="008D6098" w:rsidP="00305387">
            <w:pPr>
              <w:spacing w:after="0" w:line="240" w:lineRule="auto"/>
              <w:jc w:val="center"/>
              <w:rPr>
                <w:rFonts w:cs="Arial"/>
                <w:b/>
                <w:bCs/>
                <w:sz w:val="16"/>
                <w:szCs w:val="16"/>
              </w:rPr>
            </w:pPr>
            <w:r w:rsidRPr="003C4ED5">
              <w:rPr>
                <w:rFonts w:cs="Arial"/>
                <w:b/>
                <w:bCs/>
                <w:sz w:val="16"/>
                <w:szCs w:val="16"/>
              </w:rPr>
              <w:t>2008</w:t>
            </w:r>
          </w:p>
        </w:tc>
        <w:tc>
          <w:tcPr>
            <w:tcW w:w="680" w:type="dxa"/>
            <w:tcBorders>
              <w:top w:val="single" w:sz="4" w:space="0" w:color="auto"/>
              <w:left w:val="nil"/>
              <w:bottom w:val="single" w:sz="4" w:space="0" w:color="auto"/>
              <w:right w:val="single" w:sz="4" w:space="0" w:color="auto"/>
            </w:tcBorders>
            <w:shd w:val="clear" w:color="000000" w:fill="F5DADD"/>
            <w:noWrap/>
            <w:vAlign w:val="bottom"/>
            <w:hideMark/>
          </w:tcPr>
          <w:p w:rsidR="008D6098" w:rsidRPr="003C4ED5" w:rsidRDefault="008D6098" w:rsidP="00305387">
            <w:pPr>
              <w:spacing w:after="0" w:line="240" w:lineRule="auto"/>
              <w:jc w:val="center"/>
              <w:rPr>
                <w:rFonts w:cs="Arial"/>
                <w:b/>
                <w:bCs/>
                <w:sz w:val="16"/>
                <w:szCs w:val="16"/>
              </w:rPr>
            </w:pPr>
            <w:r w:rsidRPr="003C4ED5">
              <w:rPr>
                <w:rFonts w:cs="Arial"/>
                <w:b/>
                <w:bCs/>
                <w:sz w:val="16"/>
                <w:szCs w:val="16"/>
              </w:rPr>
              <w:t>2009</w:t>
            </w:r>
          </w:p>
        </w:tc>
        <w:tc>
          <w:tcPr>
            <w:tcW w:w="680" w:type="dxa"/>
            <w:tcBorders>
              <w:top w:val="single" w:sz="4" w:space="0" w:color="auto"/>
              <w:left w:val="nil"/>
              <w:bottom w:val="single" w:sz="4" w:space="0" w:color="auto"/>
              <w:right w:val="single" w:sz="4" w:space="0" w:color="auto"/>
            </w:tcBorders>
            <w:shd w:val="clear" w:color="000000" w:fill="F5DADD"/>
            <w:noWrap/>
            <w:vAlign w:val="bottom"/>
            <w:hideMark/>
          </w:tcPr>
          <w:p w:rsidR="008D6098" w:rsidRPr="003C4ED5" w:rsidRDefault="008D6098" w:rsidP="00305387">
            <w:pPr>
              <w:spacing w:after="0" w:line="240" w:lineRule="auto"/>
              <w:jc w:val="center"/>
              <w:rPr>
                <w:rFonts w:cs="Arial"/>
                <w:b/>
                <w:bCs/>
                <w:sz w:val="16"/>
                <w:szCs w:val="16"/>
              </w:rPr>
            </w:pPr>
            <w:r w:rsidRPr="003C4ED5">
              <w:rPr>
                <w:rFonts w:cs="Arial"/>
                <w:b/>
                <w:bCs/>
                <w:sz w:val="16"/>
                <w:szCs w:val="16"/>
              </w:rPr>
              <w:t>2010</w:t>
            </w:r>
          </w:p>
        </w:tc>
        <w:tc>
          <w:tcPr>
            <w:tcW w:w="680" w:type="dxa"/>
            <w:tcBorders>
              <w:top w:val="single" w:sz="4" w:space="0" w:color="auto"/>
              <w:left w:val="nil"/>
              <w:bottom w:val="single" w:sz="4" w:space="0" w:color="auto"/>
              <w:right w:val="single" w:sz="4" w:space="0" w:color="auto"/>
            </w:tcBorders>
            <w:shd w:val="clear" w:color="000000" w:fill="F5DADD"/>
            <w:noWrap/>
            <w:vAlign w:val="bottom"/>
            <w:hideMark/>
          </w:tcPr>
          <w:p w:rsidR="008D6098" w:rsidRPr="003C4ED5" w:rsidRDefault="008D6098" w:rsidP="00305387">
            <w:pPr>
              <w:spacing w:after="0" w:line="240" w:lineRule="auto"/>
              <w:jc w:val="center"/>
              <w:rPr>
                <w:rFonts w:cs="Arial"/>
                <w:b/>
                <w:bCs/>
                <w:sz w:val="16"/>
                <w:szCs w:val="16"/>
              </w:rPr>
            </w:pPr>
            <w:r w:rsidRPr="003C4ED5">
              <w:rPr>
                <w:rFonts w:cs="Arial"/>
                <w:b/>
                <w:bCs/>
                <w:sz w:val="16"/>
                <w:szCs w:val="16"/>
              </w:rPr>
              <w:t>2011</w:t>
            </w:r>
          </w:p>
        </w:tc>
        <w:tc>
          <w:tcPr>
            <w:tcW w:w="680" w:type="dxa"/>
            <w:tcBorders>
              <w:top w:val="single" w:sz="4" w:space="0" w:color="auto"/>
              <w:left w:val="nil"/>
              <w:bottom w:val="single" w:sz="4" w:space="0" w:color="auto"/>
              <w:right w:val="single" w:sz="4" w:space="0" w:color="auto"/>
            </w:tcBorders>
            <w:shd w:val="clear" w:color="000000" w:fill="F5DADD"/>
            <w:noWrap/>
            <w:vAlign w:val="bottom"/>
            <w:hideMark/>
          </w:tcPr>
          <w:p w:rsidR="008D6098" w:rsidRPr="003C4ED5" w:rsidRDefault="008D6098" w:rsidP="00305387">
            <w:pPr>
              <w:spacing w:after="0" w:line="240" w:lineRule="auto"/>
              <w:jc w:val="center"/>
              <w:rPr>
                <w:rFonts w:cs="Arial"/>
                <w:b/>
                <w:bCs/>
                <w:sz w:val="16"/>
                <w:szCs w:val="16"/>
              </w:rPr>
            </w:pPr>
            <w:r w:rsidRPr="003C4ED5">
              <w:rPr>
                <w:rFonts w:cs="Arial"/>
                <w:b/>
                <w:bCs/>
                <w:sz w:val="16"/>
                <w:szCs w:val="16"/>
              </w:rPr>
              <w:t>2012</w:t>
            </w:r>
          </w:p>
        </w:tc>
        <w:tc>
          <w:tcPr>
            <w:tcW w:w="680" w:type="dxa"/>
            <w:tcBorders>
              <w:top w:val="single" w:sz="4" w:space="0" w:color="auto"/>
              <w:left w:val="nil"/>
              <w:bottom w:val="single" w:sz="4" w:space="0" w:color="auto"/>
              <w:right w:val="nil"/>
            </w:tcBorders>
            <w:shd w:val="clear" w:color="000000" w:fill="F5DADD"/>
            <w:noWrap/>
            <w:vAlign w:val="bottom"/>
            <w:hideMark/>
          </w:tcPr>
          <w:p w:rsidR="008D6098" w:rsidRPr="003C4ED5" w:rsidRDefault="008D6098" w:rsidP="00305387">
            <w:pPr>
              <w:spacing w:after="0" w:line="240" w:lineRule="auto"/>
              <w:jc w:val="center"/>
              <w:rPr>
                <w:rFonts w:cs="Arial"/>
                <w:b/>
                <w:bCs/>
                <w:sz w:val="16"/>
                <w:szCs w:val="16"/>
              </w:rPr>
            </w:pPr>
            <w:r w:rsidRPr="003C4ED5">
              <w:rPr>
                <w:rFonts w:cs="Arial"/>
                <w:b/>
                <w:bCs/>
                <w:sz w:val="16"/>
                <w:szCs w:val="16"/>
              </w:rPr>
              <w:t>2013</w:t>
            </w:r>
          </w:p>
        </w:tc>
        <w:tc>
          <w:tcPr>
            <w:tcW w:w="680" w:type="dxa"/>
            <w:tcBorders>
              <w:top w:val="single" w:sz="4" w:space="0" w:color="auto"/>
              <w:left w:val="single" w:sz="4" w:space="0" w:color="auto"/>
              <w:bottom w:val="single" w:sz="4" w:space="0" w:color="auto"/>
              <w:right w:val="nil"/>
            </w:tcBorders>
            <w:shd w:val="clear" w:color="000000" w:fill="F5DADD"/>
            <w:noWrap/>
            <w:vAlign w:val="bottom"/>
            <w:hideMark/>
          </w:tcPr>
          <w:p w:rsidR="008D6098" w:rsidRPr="003C4ED5" w:rsidRDefault="008D6098" w:rsidP="00305387">
            <w:pPr>
              <w:spacing w:after="0" w:line="240" w:lineRule="auto"/>
              <w:jc w:val="center"/>
              <w:rPr>
                <w:rFonts w:cs="Arial"/>
                <w:b/>
                <w:bCs/>
                <w:sz w:val="16"/>
                <w:szCs w:val="16"/>
              </w:rPr>
            </w:pPr>
            <w:r w:rsidRPr="003C4ED5">
              <w:rPr>
                <w:rFonts w:cs="Arial"/>
                <w:b/>
                <w:bCs/>
                <w:sz w:val="16"/>
                <w:szCs w:val="16"/>
              </w:rPr>
              <w:t>2014</w:t>
            </w:r>
          </w:p>
        </w:tc>
      </w:tr>
      <w:tr w:rsidR="008D6098" w:rsidRPr="003C4ED5" w:rsidTr="00305387">
        <w:trPr>
          <w:trHeight w:val="240"/>
        </w:trPr>
        <w:tc>
          <w:tcPr>
            <w:tcW w:w="11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rPr>
                <w:rFonts w:cs="Arial"/>
                <w:sz w:val="16"/>
                <w:szCs w:val="16"/>
              </w:rPr>
            </w:pPr>
            <w:r w:rsidRPr="003C4ED5">
              <w:rPr>
                <w:rFonts w:cs="Arial"/>
                <w:sz w:val="16"/>
                <w:szCs w:val="16"/>
              </w:rPr>
              <w:t>EU-28</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1,51</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1,54</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1,56</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1,61</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1,61</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1,62</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1,59</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1,59</w:t>
            </w:r>
          </w:p>
        </w:tc>
        <w:tc>
          <w:tcPr>
            <w:tcW w:w="680" w:type="dxa"/>
            <w:tcBorders>
              <w:top w:val="nil"/>
              <w:left w:val="nil"/>
              <w:bottom w:val="nil"/>
              <w:right w:val="nil"/>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1,55</w:t>
            </w:r>
          </w:p>
        </w:tc>
        <w:tc>
          <w:tcPr>
            <w:tcW w:w="680" w:type="dxa"/>
            <w:tcBorders>
              <w:top w:val="nil"/>
              <w:left w:val="single" w:sz="4" w:space="0" w:color="auto"/>
              <w:bottom w:val="nil"/>
              <w:right w:val="nil"/>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1,58</w:t>
            </w:r>
          </w:p>
        </w:tc>
      </w:tr>
      <w:tr w:rsidR="008D6098" w:rsidRPr="003C4ED5" w:rsidTr="00305387">
        <w:trPr>
          <w:trHeight w:val="240"/>
        </w:trPr>
        <w:tc>
          <w:tcPr>
            <w:tcW w:w="11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rPr>
                <w:rFonts w:cs="Arial"/>
                <w:sz w:val="16"/>
                <w:szCs w:val="16"/>
              </w:rPr>
            </w:pPr>
            <w:r w:rsidRPr="003C4ED5">
              <w:rPr>
                <w:rFonts w:cs="Arial"/>
                <w:sz w:val="16"/>
                <w:szCs w:val="16"/>
              </w:rPr>
              <w:t>Azerbajdžán</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1,97</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1,97</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1,90</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1,82</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1,92</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2,00</w:t>
            </w:r>
          </w:p>
        </w:tc>
        <w:tc>
          <w:tcPr>
            <w:tcW w:w="680" w:type="dxa"/>
            <w:tcBorders>
              <w:top w:val="nil"/>
              <w:left w:val="nil"/>
              <w:bottom w:val="nil"/>
              <w:right w:val="nil"/>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1,98</w:t>
            </w:r>
          </w:p>
        </w:tc>
        <w:tc>
          <w:tcPr>
            <w:tcW w:w="680" w:type="dxa"/>
            <w:tcBorders>
              <w:top w:val="nil"/>
              <w:left w:val="single" w:sz="4" w:space="0" w:color="auto"/>
              <w:bottom w:val="nil"/>
              <w:right w:val="nil"/>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1,97</w:t>
            </w:r>
          </w:p>
        </w:tc>
      </w:tr>
      <w:tr w:rsidR="008D6098" w:rsidRPr="003C4ED5" w:rsidTr="00305387">
        <w:trPr>
          <w:trHeight w:val="240"/>
        </w:trPr>
        <w:tc>
          <w:tcPr>
            <w:tcW w:w="11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rPr>
                <w:rFonts w:cs="Arial"/>
                <w:sz w:val="16"/>
                <w:szCs w:val="16"/>
              </w:rPr>
            </w:pPr>
            <w:r w:rsidRPr="003C4ED5">
              <w:rPr>
                <w:rFonts w:cs="Arial"/>
                <w:sz w:val="16"/>
                <w:szCs w:val="16"/>
              </w:rPr>
              <w:t>Belgie</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1,76</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1,80</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1,82</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1,85</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1,84</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1,86</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1,81</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1,79</w:t>
            </w:r>
          </w:p>
        </w:tc>
        <w:tc>
          <w:tcPr>
            <w:tcW w:w="680" w:type="dxa"/>
            <w:tcBorders>
              <w:top w:val="nil"/>
              <w:left w:val="nil"/>
              <w:bottom w:val="nil"/>
              <w:right w:val="nil"/>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1,75</w:t>
            </w:r>
          </w:p>
        </w:tc>
        <w:tc>
          <w:tcPr>
            <w:tcW w:w="680" w:type="dxa"/>
            <w:tcBorders>
              <w:top w:val="nil"/>
              <w:left w:val="single" w:sz="4" w:space="0" w:color="auto"/>
              <w:bottom w:val="nil"/>
              <w:right w:val="nil"/>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1,74</w:t>
            </w:r>
          </w:p>
        </w:tc>
      </w:tr>
      <w:tr w:rsidR="008D6098" w:rsidRPr="003C4ED5" w:rsidTr="00305387">
        <w:trPr>
          <w:trHeight w:val="240"/>
        </w:trPr>
        <w:tc>
          <w:tcPr>
            <w:tcW w:w="11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rPr>
                <w:rFonts w:cs="Arial"/>
                <w:sz w:val="16"/>
                <w:szCs w:val="16"/>
              </w:rPr>
            </w:pPr>
            <w:r w:rsidRPr="003C4ED5">
              <w:rPr>
                <w:rFonts w:cs="Arial"/>
                <w:sz w:val="16"/>
                <w:szCs w:val="16"/>
              </w:rPr>
              <w:t>Bělorusko</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1,29</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1,37</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1,42</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1,51</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1,62</w:t>
            </w:r>
          </w:p>
        </w:tc>
        <w:tc>
          <w:tcPr>
            <w:tcW w:w="680" w:type="dxa"/>
            <w:tcBorders>
              <w:top w:val="nil"/>
              <w:left w:val="nil"/>
              <w:bottom w:val="nil"/>
              <w:right w:val="nil"/>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1,67</w:t>
            </w:r>
          </w:p>
        </w:tc>
        <w:tc>
          <w:tcPr>
            <w:tcW w:w="680" w:type="dxa"/>
            <w:tcBorders>
              <w:top w:val="nil"/>
              <w:left w:val="single" w:sz="4" w:space="0" w:color="auto"/>
              <w:bottom w:val="nil"/>
              <w:right w:val="nil"/>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1,70</w:t>
            </w:r>
          </w:p>
        </w:tc>
      </w:tr>
      <w:tr w:rsidR="008D6098" w:rsidRPr="003C4ED5" w:rsidTr="00305387">
        <w:trPr>
          <w:trHeight w:val="240"/>
        </w:trPr>
        <w:tc>
          <w:tcPr>
            <w:tcW w:w="11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rPr>
                <w:rFonts w:cs="Arial"/>
                <w:sz w:val="16"/>
                <w:szCs w:val="16"/>
              </w:rPr>
            </w:pPr>
            <w:r w:rsidRPr="003C4ED5">
              <w:rPr>
                <w:rFonts w:cs="Arial"/>
                <w:sz w:val="16"/>
                <w:szCs w:val="16"/>
              </w:rPr>
              <w:t>Bulharsko</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1,37</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1,44</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1,49</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1,56</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1,66</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1,57</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1,51</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1,50</w:t>
            </w:r>
          </w:p>
        </w:tc>
        <w:tc>
          <w:tcPr>
            <w:tcW w:w="680" w:type="dxa"/>
            <w:tcBorders>
              <w:top w:val="nil"/>
              <w:left w:val="nil"/>
              <w:bottom w:val="nil"/>
              <w:right w:val="nil"/>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1,48</w:t>
            </w:r>
          </w:p>
        </w:tc>
        <w:tc>
          <w:tcPr>
            <w:tcW w:w="680" w:type="dxa"/>
            <w:tcBorders>
              <w:top w:val="nil"/>
              <w:left w:val="single" w:sz="4" w:space="0" w:color="auto"/>
              <w:bottom w:val="nil"/>
              <w:right w:val="nil"/>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1,53</w:t>
            </w:r>
          </w:p>
        </w:tc>
      </w:tr>
      <w:tr w:rsidR="008D6098" w:rsidRPr="003C4ED5" w:rsidTr="00305387">
        <w:trPr>
          <w:trHeight w:val="240"/>
        </w:trPr>
        <w:tc>
          <w:tcPr>
            <w:tcW w:w="11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rPr>
                <w:rFonts w:cs="Arial"/>
                <w:sz w:val="16"/>
                <w:szCs w:val="16"/>
              </w:rPr>
            </w:pPr>
            <w:r w:rsidRPr="003C4ED5">
              <w:rPr>
                <w:rFonts w:cs="Arial"/>
                <w:sz w:val="16"/>
                <w:szCs w:val="16"/>
              </w:rPr>
              <w:t>Česko</w:t>
            </w:r>
            <w:r>
              <w:rPr>
                <w:rFonts w:cs="Arial"/>
                <w:sz w:val="16"/>
                <w:szCs w:val="16"/>
              </w:rPr>
              <w:t>*</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1,29</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1,34</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1,45</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1,51</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1,51</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1,51</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1,43</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1,45</w:t>
            </w:r>
          </w:p>
        </w:tc>
        <w:tc>
          <w:tcPr>
            <w:tcW w:w="680" w:type="dxa"/>
            <w:tcBorders>
              <w:top w:val="nil"/>
              <w:left w:val="nil"/>
              <w:bottom w:val="nil"/>
              <w:right w:val="nil"/>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1,46</w:t>
            </w:r>
          </w:p>
        </w:tc>
        <w:tc>
          <w:tcPr>
            <w:tcW w:w="680" w:type="dxa"/>
            <w:tcBorders>
              <w:top w:val="nil"/>
              <w:left w:val="single" w:sz="4" w:space="0" w:color="auto"/>
              <w:bottom w:val="nil"/>
              <w:right w:val="nil"/>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1,53</w:t>
            </w:r>
          </w:p>
        </w:tc>
      </w:tr>
      <w:tr w:rsidR="008D6098" w:rsidRPr="003C4ED5" w:rsidTr="00305387">
        <w:trPr>
          <w:trHeight w:val="240"/>
        </w:trPr>
        <w:tc>
          <w:tcPr>
            <w:tcW w:w="11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rPr>
                <w:rFonts w:cs="Arial"/>
                <w:sz w:val="16"/>
                <w:szCs w:val="16"/>
              </w:rPr>
            </w:pPr>
            <w:r w:rsidRPr="003C4ED5">
              <w:rPr>
                <w:rFonts w:cs="Arial"/>
                <w:sz w:val="16"/>
                <w:szCs w:val="16"/>
              </w:rPr>
              <w:t>Dánsko</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1,80</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1,85</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1,84</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1,89</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1,84</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1,87</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1,75</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1,73</w:t>
            </w:r>
          </w:p>
        </w:tc>
        <w:tc>
          <w:tcPr>
            <w:tcW w:w="680" w:type="dxa"/>
            <w:tcBorders>
              <w:top w:val="nil"/>
              <w:left w:val="nil"/>
              <w:bottom w:val="nil"/>
              <w:right w:val="nil"/>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1,67</w:t>
            </w:r>
          </w:p>
        </w:tc>
        <w:tc>
          <w:tcPr>
            <w:tcW w:w="680" w:type="dxa"/>
            <w:tcBorders>
              <w:top w:val="nil"/>
              <w:left w:val="single" w:sz="4" w:space="0" w:color="auto"/>
              <w:bottom w:val="nil"/>
              <w:right w:val="nil"/>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1,69</w:t>
            </w:r>
          </w:p>
        </w:tc>
      </w:tr>
      <w:tr w:rsidR="008D6098" w:rsidRPr="003C4ED5" w:rsidTr="00305387">
        <w:trPr>
          <w:trHeight w:val="240"/>
        </w:trPr>
        <w:tc>
          <w:tcPr>
            <w:tcW w:w="11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rPr>
                <w:rFonts w:cs="Arial"/>
                <w:sz w:val="16"/>
                <w:szCs w:val="16"/>
              </w:rPr>
            </w:pPr>
            <w:r w:rsidRPr="003C4ED5">
              <w:rPr>
                <w:rFonts w:cs="Arial"/>
                <w:sz w:val="16"/>
                <w:szCs w:val="16"/>
              </w:rPr>
              <w:t>Estonsko</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1,52</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1,58</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1,69</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1,72</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1,70</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1,72</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1,61</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1,56</w:t>
            </w:r>
          </w:p>
        </w:tc>
        <w:tc>
          <w:tcPr>
            <w:tcW w:w="680" w:type="dxa"/>
            <w:tcBorders>
              <w:top w:val="nil"/>
              <w:left w:val="nil"/>
              <w:bottom w:val="nil"/>
              <w:right w:val="nil"/>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1,52</w:t>
            </w:r>
          </w:p>
        </w:tc>
        <w:tc>
          <w:tcPr>
            <w:tcW w:w="680" w:type="dxa"/>
            <w:tcBorders>
              <w:top w:val="nil"/>
              <w:left w:val="single" w:sz="4" w:space="0" w:color="auto"/>
              <w:bottom w:val="nil"/>
              <w:right w:val="nil"/>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1,54</w:t>
            </w:r>
          </w:p>
        </w:tc>
      </w:tr>
      <w:tr w:rsidR="008D6098" w:rsidRPr="003C4ED5" w:rsidTr="00305387">
        <w:trPr>
          <w:trHeight w:val="240"/>
        </w:trPr>
        <w:tc>
          <w:tcPr>
            <w:tcW w:w="11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rPr>
                <w:rFonts w:cs="Arial"/>
                <w:sz w:val="16"/>
                <w:szCs w:val="16"/>
              </w:rPr>
            </w:pPr>
            <w:r w:rsidRPr="003C4ED5">
              <w:rPr>
                <w:rFonts w:cs="Arial"/>
                <w:sz w:val="16"/>
                <w:szCs w:val="16"/>
              </w:rPr>
              <w:t>Finsko</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1,80</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1,84</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1,83</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1,85</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1,86</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1,87</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1,83</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1,80</w:t>
            </w:r>
          </w:p>
        </w:tc>
        <w:tc>
          <w:tcPr>
            <w:tcW w:w="680" w:type="dxa"/>
            <w:tcBorders>
              <w:top w:val="nil"/>
              <w:left w:val="nil"/>
              <w:bottom w:val="nil"/>
              <w:right w:val="nil"/>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1,75</w:t>
            </w:r>
          </w:p>
        </w:tc>
        <w:tc>
          <w:tcPr>
            <w:tcW w:w="680" w:type="dxa"/>
            <w:tcBorders>
              <w:top w:val="nil"/>
              <w:left w:val="single" w:sz="4" w:space="0" w:color="auto"/>
              <w:bottom w:val="nil"/>
              <w:right w:val="nil"/>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1,71</w:t>
            </w:r>
          </w:p>
        </w:tc>
      </w:tr>
      <w:tr w:rsidR="008D6098" w:rsidRPr="003C4ED5" w:rsidTr="00305387">
        <w:trPr>
          <w:trHeight w:val="240"/>
        </w:trPr>
        <w:tc>
          <w:tcPr>
            <w:tcW w:w="11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rPr>
                <w:rFonts w:cs="Arial"/>
                <w:sz w:val="16"/>
                <w:szCs w:val="16"/>
              </w:rPr>
            </w:pPr>
            <w:r w:rsidRPr="003C4ED5">
              <w:rPr>
                <w:rFonts w:cs="Arial"/>
                <w:sz w:val="16"/>
                <w:szCs w:val="16"/>
              </w:rPr>
              <w:t>Francie</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1,94</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2,00</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1,98</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2,01</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2,00</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2,03</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2,01</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2,01</w:t>
            </w:r>
          </w:p>
        </w:tc>
        <w:tc>
          <w:tcPr>
            <w:tcW w:w="680" w:type="dxa"/>
            <w:tcBorders>
              <w:top w:val="nil"/>
              <w:left w:val="nil"/>
              <w:bottom w:val="nil"/>
              <w:right w:val="nil"/>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1,99</w:t>
            </w:r>
          </w:p>
        </w:tc>
        <w:tc>
          <w:tcPr>
            <w:tcW w:w="680" w:type="dxa"/>
            <w:tcBorders>
              <w:top w:val="nil"/>
              <w:left w:val="single" w:sz="4" w:space="0" w:color="auto"/>
              <w:bottom w:val="nil"/>
              <w:right w:val="nil"/>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2,01</w:t>
            </w:r>
          </w:p>
        </w:tc>
      </w:tr>
      <w:tr w:rsidR="008D6098" w:rsidRPr="003C4ED5" w:rsidTr="00305387">
        <w:trPr>
          <w:trHeight w:val="240"/>
        </w:trPr>
        <w:tc>
          <w:tcPr>
            <w:tcW w:w="11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rPr>
                <w:rFonts w:cs="Arial"/>
                <w:sz w:val="16"/>
                <w:szCs w:val="16"/>
              </w:rPr>
            </w:pPr>
            <w:r w:rsidRPr="003C4ED5">
              <w:rPr>
                <w:rFonts w:cs="Arial"/>
                <w:sz w:val="16"/>
                <w:szCs w:val="16"/>
              </w:rPr>
              <w:t>Gruzie</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1,41</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1,45</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1,66</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1,85</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1,81</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w:t>
            </w:r>
          </w:p>
        </w:tc>
        <w:tc>
          <w:tcPr>
            <w:tcW w:w="680" w:type="dxa"/>
            <w:tcBorders>
              <w:top w:val="nil"/>
              <w:left w:val="nil"/>
              <w:bottom w:val="nil"/>
              <w:right w:val="nil"/>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w:t>
            </w:r>
          </w:p>
        </w:tc>
        <w:tc>
          <w:tcPr>
            <w:tcW w:w="680" w:type="dxa"/>
            <w:tcBorders>
              <w:top w:val="nil"/>
              <w:left w:val="single" w:sz="4" w:space="0" w:color="auto"/>
              <w:bottom w:val="nil"/>
              <w:right w:val="nil"/>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1,97</w:t>
            </w:r>
          </w:p>
        </w:tc>
      </w:tr>
      <w:tr w:rsidR="008D6098" w:rsidRPr="003C4ED5" w:rsidTr="00305387">
        <w:trPr>
          <w:trHeight w:val="240"/>
        </w:trPr>
        <w:tc>
          <w:tcPr>
            <w:tcW w:w="11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rPr>
                <w:rFonts w:cs="Arial"/>
                <w:sz w:val="16"/>
                <w:szCs w:val="16"/>
              </w:rPr>
            </w:pPr>
            <w:r w:rsidRPr="003C4ED5">
              <w:rPr>
                <w:rFonts w:cs="Arial"/>
                <w:sz w:val="16"/>
                <w:szCs w:val="16"/>
              </w:rPr>
              <w:t>Chorvatsko</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1,50</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1,47</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1,48</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1,55</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1,58</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1,55</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1,48</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1,51</w:t>
            </w:r>
          </w:p>
        </w:tc>
        <w:tc>
          <w:tcPr>
            <w:tcW w:w="680" w:type="dxa"/>
            <w:tcBorders>
              <w:top w:val="nil"/>
              <w:left w:val="nil"/>
              <w:bottom w:val="nil"/>
              <w:right w:val="nil"/>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1,46</w:t>
            </w:r>
          </w:p>
        </w:tc>
        <w:tc>
          <w:tcPr>
            <w:tcW w:w="680" w:type="dxa"/>
            <w:tcBorders>
              <w:top w:val="nil"/>
              <w:left w:val="single" w:sz="4" w:space="0" w:color="auto"/>
              <w:bottom w:val="nil"/>
              <w:right w:val="nil"/>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1,46</w:t>
            </w:r>
          </w:p>
        </w:tc>
      </w:tr>
      <w:tr w:rsidR="008D6098" w:rsidRPr="003C4ED5" w:rsidTr="00305387">
        <w:trPr>
          <w:trHeight w:val="240"/>
        </w:trPr>
        <w:tc>
          <w:tcPr>
            <w:tcW w:w="11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rPr>
                <w:rFonts w:cs="Arial"/>
                <w:sz w:val="16"/>
                <w:szCs w:val="16"/>
              </w:rPr>
            </w:pPr>
            <w:r w:rsidRPr="003C4ED5">
              <w:rPr>
                <w:rFonts w:cs="Arial"/>
                <w:sz w:val="16"/>
                <w:szCs w:val="16"/>
              </w:rPr>
              <w:t>Irsko</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1,86</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1,91</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2,01</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2,06</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2,06</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2,05</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2,03</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2,01</w:t>
            </w:r>
          </w:p>
        </w:tc>
        <w:tc>
          <w:tcPr>
            <w:tcW w:w="680" w:type="dxa"/>
            <w:tcBorders>
              <w:top w:val="nil"/>
              <w:left w:val="nil"/>
              <w:bottom w:val="nil"/>
              <w:right w:val="nil"/>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1,96</w:t>
            </w:r>
          </w:p>
        </w:tc>
        <w:tc>
          <w:tcPr>
            <w:tcW w:w="680" w:type="dxa"/>
            <w:tcBorders>
              <w:top w:val="nil"/>
              <w:left w:val="single" w:sz="4" w:space="0" w:color="auto"/>
              <w:bottom w:val="nil"/>
              <w:right w:val="nil"/>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1,94</w:t>
            </w:r>
          </w:p>
        </w:tc>
      </w:tr>
      <w:tr w:rsidR="008D6098" w:rsidRPr="003C4ED5" w:rsidTr="00305387">
        <w:trPr>
          <w:trHeight w:val="240"/>
        </w:trPr>
        <w:tc>
          <w:tcPr>
            <w:tcW w:w="11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rPr>
                <w:rFonts w:cs="Arial"/>
                <w:sz w:val="16"/>
                <w:szCs w:val="16"/>
              </w:rPr>
            </w:pPr>
            <w:r w:rsidRPr="003C4ED5">
              <w:rPr>
                <w:rFonts w:cs="Arial"/>
                <w:sz w:val="16"/>
                <w:szCs w:val="16"/>
              </w:rPr>
              <w:t>Island</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2,05</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2,08</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2,09</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2,15</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2,23</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2,20</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2,02</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2,04</w:t>
            </w:r>
          </w:p>
        </w:tc>
        <w:tc>
          <w:tcPr>
            <w:tcW w:w="680" w:type="dxa"/>
            <w:tcBorders>
              <w:top w:val="nil"/>
              <w:left w:val="nil"/>
              <w:bottom w:val="nil"/>
              <w:right w:val="nil"/>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1,93</w:t>
            </w:r>
          </w:p>
        </w:tc>
        <w:tc>
          <w:tcPr>
            <w:tcW w:w="680" w:type="dxa"/>
            <w:tcBorders>
              <w:top w:val="nil"/>
              <w:left w:val="single" w:sz="4" w:space="0" w:color="auto"/>
              <w:bottom w:val="nil"/>
              <w:right w:val="nil"/>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1,93</w:t>
            </w:r>
          </w:p>
        </w:tc>
      </w:tr>
      <w:tr w:rsidR="008D6098" w:rsidRPr="003C4ED5" w:rsidTr="00305387">
        <w:trPr>
          <w:trHeight w:val="240"/>
        </w:trPr>
        <w:tc>
          <w:tcPr>
            <w:tcW w:w="11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rPr>
                <w:rFonts w:cs="Arial"/>
                <w:sz w:val="16"/>
                <w:szCs w:val="16"/>
              </w:rPr>
            </w:pPr>
            <w:r w:rsidRPr="003C4ED5">
              <w:rPr>
                <w:rFonts w:cs="Arial"/>
                <w:sz w:val="16"/>
                <w:szCs w:val="16"/>
              </w:rPr>
              <w:t>Itálie</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1,34</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1,37</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1,40</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1,45</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1,45</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1,46</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1,44</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1,43</w:t>
            </w:r>
          </w:p>
        </w:tc>
        <w:tc>
          <w:tcPr>
            <w:tcW w:w="680" w:type="dxa"/>
            <w:tcBorders>
              <w:top w:val="nil"/>
              <w:left w:val="nil"/>
              <w:bottom w:val="nil"/>
              <w:right w:val="nil"/>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1,39</w:t>
            </w:r>
          </w:p>
        </w:tc>
        <w:tc>
          <w:tcPr>
            <w:tcW w:w="680" w:type="dxa"/>
            <w:tcBorders>
              <w:top w:val="nil"/>
              <w:left w:val="single" w:sz="4" w:space="0" w:color="auto"/>
              <w:bottom w:val="nil"/>
              <w:right w:val="nil"/>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1,37</w:t>
            </w:r>
          </w:p>
        </w:tc>
      </w:tr>
      <w:tr w:rsidR="008D6098" w:rsidRPr="003C4ED5" w:rsidTr="00305387">
        <w:trPr>
          <w:trHeight w:val="240"/>
        </w:trPr>
        <w:tc>
          <w:tcPr>
            <w:tcW w:w="11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rPr>
                <w:rFonts w:cs="Arial"/>
                <w:sz w:val="16"/>
                <w:szCs w:val="16"/>
              </w:rPr>
            </w:pPr>
            <w:r w:rsidRPr="003C4ED5">
              <w:rPr>
                <w:rFonts w:cs="Arial"/>
                <w:sz w:val="16"/>
                <w:szCs w:val="16"/>
              </w:rPr>
              <w:t>Kypr</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1,48</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1,52</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1,44</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1,48</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1,47</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1,44</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1,35</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1,39</w:t>
            </w:r>
          </w:p>
        </w:tc>
        <w:tc>
          <w:tcPr>
            <w:tcW w:w="680" w:type="dxa"/>
            <w:tcBorders>
              <w:top w:val="nil"/>
              <w:left w:val="nil"/>
              <w:bottom w:val="nil"/>
              <w:right w:val="nil"/>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1,30</w:t>
            </w:r>
          </w:p>
        </w:tc>
        <w:tc>
          <w:tcPr>
            <w:tcW w:w="680" w:type="dxa"/>
            <w:tcBorders>
              <w:top w:val="nil"/>
              <w:left w:val="single" w:sz="4" w:space="0" w:color="auto"/>
              <w:bottom w:val="nil"/>
              <w:right w:val="nil"/>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1,31</w:t>
            </w:r>
          </w:p>
        </w:tc>
      </w:tr>
      <w:tr w:rsidR="008D6098" w:rsidRPr="003C4ED5" w:rsidTr="00305387">
        <w:trPr>
          <w:trHeight w:val="240"/>
        </w:trPr>
        <w:tc>
          <w:tcPr>
            <w:tcW w:w="11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rPr>
                <w:rFonts w:cs="Arial"/>
                <w:sz w:val="16"/>
                <w:szCs w:val="16"/>
              </w:rPr>
            </w:pPr>
            <w:r w:rsidRPr="003C4ED5">
              <w:rPr>
                <w:rFonts w:cs="Arial"/>
                <w:sz w:val="16"/>
                <w:szCs w:val="16"/>
              </w:rPr>
              <w:t>Litva</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1,29</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1,33</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1,36</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1,45</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1,50</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1,50</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1,55</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1,60</w:t>
            </w:r>
          </w:p>
        </w:tc>
        <w:tc>
          <w:tcPr>
            <w:tcW w:w="680" w:type="dxa"/>
            <w:tcBorders>
              <w:top w:val="nil"/>
              <w:left w:val="nil"/>
              <w:bottom w:val="nil"/>
              <w:right w:val="nil"/>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1,59</w:t>
            </w:r>
          </w:p>
        </w:tc>
        <w:tc>
          <w:tcPr>
            <w:tcW w:w="680" w:type="dxa"/>
            <w:tcBorders>
              <w:top w:val="nil"/>
              <w:left w:val="single" w:sz="4" w:space="0" w:color="auto"/>
              <w:bottom w:val="nil"/>
              <w:right w:val="nil"/>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1,63</w:t>
            </w:r>
          </w:p>
        </w:tc>
      </w:tr>
      <w:tr w:rsidR="008D6098" w:rsidRPr="003C4ED5" w:rsidTr="00305387">
        <w:trPr>
          <w:trHeight w:val="240"/>
        </w:trPr>
        <w:tc>
          <w:tcPr>
            <w:tcW w:w="11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rPr>
                <w:rFonts w:cs="Arial"/>
                <w:sz w:val="16"/>
                <w:szCs w:val="16"/>
              </w:rPr>
            </w:pPr>
            <w:r w:rsidRPr="003C4ED5">
              <w:rPr>
                <w:rFonts w:cs="Arial"/>
                <w:sz w:val="16"/>
                <w:szCs w:val="16"/>
              </w:rPr>
              <w:t>Lotyšsko</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1,39</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1,46</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1,54</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1,58</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1,46</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1,36</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1,33</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1,44</w:t>
            </w:r>
          </w:p>
        </w:tc>
        <w:tc>
          <w:tcPr>
            <w:tcW w:w="680" w:type="dxa"/>
            <w:tcBorders>
              <w:top w:val="nil"/>
              <w:left w:val="nil"/>
              <w:bottom w:val="nil"/>
              <w:right w:val="nil"/>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1,52</w:t>
            </w:r>
          </w:p>
        </w:tc>
        <w:tc>
          <w:tcPr>
            <w:tcW w:w="680" w:type="dxa"/>
            <w:tcBorders>
              <w:top w:val="nil"/>
              <w:left w:val="single" w:sz="4" w:space="0" w:color="auto"/>
              <w:bottom w:val="nil"/>
              <w:right w:val="nil"/>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1,65</w:t>
            </w:r>
          </w:p>
        </w:tc>
      </w:tr>
      <w:tr w:rsidR="008D6098" w:rsidRPr="003C4ED5" w:rsidTr="00305387">
        <w:trPr>
          <w:trHeight w:val="240"/>
        </w:trPr>
        <w:tc>
          <w:tcPr>
            <w:tcW w:w="11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rPr>
                <w:rFonts w:cs="Arial"/>
                <w:sz w:val="16"/>
                <w:szCs w:val="16"/>
              </w:rPr>
            </w:pPr>
            <w:r w:rsidRPr="003C4ED5">
              <w:rPr>
                <w:rFonts w:cs="Arial"/>
                <w:sz w:val="16"/>
                <w:szCs w:val="16"/>
              </w:rPr>
              <w:t>Maďarsko</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1,31</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1,34</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1,32</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1,35</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1,32</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1,25</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1,23</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1,34</w:t>
            </w:r>
          </w:p>
        </w:tc>
        <w:tc>
          <w:tcPr>
            <w:tcW w:w="680" w:type="dxa"/>
            <w:tcBorders>
              <w:top w:val="nil"/>
              <w:left w:val="nil"/>
              <w:bottom w:val="nil"/>
              <w:right w:val="nil"/>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1,35</w:t>
            </w:r>
          </w:p>
        </w:tc>
        <w:tc>
          <w:tcPr>
            <w:tcW w:w="680" w:type="dxa"/>
            <w:tcBorders>
              <w:top w:val="nil"/>
              <w:left w:val="single" w:sz="4" w:space="0" w:color="auto"/>
              <w:bottom w:val="nil"/>
              <w:right w:val="nil"/>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1,44</w:t>
            </w:r>
          </w:p>
        </w:tc>
      </w:tr>
      <w:tr w:rsidR="008D6098" w:rsidRPr="003C4ED5" w:rsidTr="00305387">
        <w:trPr>
          <w:trHeight w:val="240"/>
        </w:trPr>
        <w:tc>
          <w:tcPr>
            <w:tcW w:w="11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rPr>
                <w:rFonts w:cs="Arial"/>
                <w:sz w:val="16"/>
                <w:szCs w:val="16"/>
              </w:rPr>
            </w:pPr>
            <w:r w:rsidRPr="003C4ED5">
              <w:rPr>
                <w:rFonts w:cs="Arial"/>
                <w:sz w:val="16"/>
                <w:szCs w:val="16"/>
              </w:rPr>
              <w:t>Moldavsko</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1,22</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1,25</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1,27</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1,31</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1,30</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1,27</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1,28</w:t>
            </w:r>
          </w:p>
        </w:tc>
        <w:tc>
          <w:tcPr>
            <w:tcW w:w="680" w:type="dxa"/>
            <w:tcBorders>
              <w:top w:val="nil"/>
              <w:left w:val="nil"/>
              <w:bottom w:val="nil"/>
              <w:right w:val="nil"/>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w:t>
            </w:r>
          </w:p>
        </w:tc>
        <w:tc>
          <w:tcPr>
            <w:tcW w:w="680" w:type="dxa"/>
            <w:tcBorders>
              <w:top w:val="nil"/>
              <w:left w:val="single" w:sz="4" w:space="0" w:color="auto"/>
              <w:bottom w:val="nil"/>
              <w:right w:val="nil"/>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w:t>
            </w:r>
          </w:p>
        </w:tc>
      </w:tr>
      <w:tr w:rsidR="008D6098" w:rsidRPr="003C4ED5" w:rsidTr="00305387">
        <w:trPr>
          <w:trHeight w:val="240"/>
        </w:trPr>
        <w:tc>
          <w:tcPr>
            <w:tcW w:w="11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rPr>
                <w:rFonts w:cs="Arial"/>
                <w:sz w:val="16"/>
                <w:szCs w:val="16"/>
              </w:rPr>
            </w:pPr>
            <w:r w:rsidRPr="003C4ED5">
              <w:rPr>
                <w:rFonts w:cs="Arial"/>
                <w:sz w:val="16"/>
                <w:szCs w:val="16"/>
              </w:rPr>
              <w:t>Německo</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1,34</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1,33</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1,37</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1,38</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1,36</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1,39</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1,39</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1,41</w:t>
            </w:r>
          </w:p>
        </w:tc>
        <w:tc>
          <w:tcPr>
            <w:tcW w:w="680" w:type="dxa"/>
            <w:tcBorders>
              <w:top w:val="nil"/>
              <w:left w:val="nil"/>
              <w:bottom w:val="nil"/>
              <w:right w:val="nil"/>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1,41</w:t>
            </w:r>
          </w:p>
        </w:tc>
        <w:tc>
          <w:tcPr>
            <w:tcW w:w="680" w:type="dxa"/>
            <w:tcBorders>
              <w:top w:val="nil"/>
              <w:left w:val="single" w:sz="4" w:space="0" w:color="auto"/>
              <w:bottom w:val="nil"/>
              <w:right w:val="nil"/>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1,47</w:t>
            </w:r>
          </w:p>
        </w:tc>
      </w:tr>
      <w:tr w:rsidR="008D6098" w:rsidRPr="003C4ED5" w:rsidTr="00305387">
        <w:trPr>
          <w:trHeight w:val="240"/>
        </w:trPr>
        <w:tc>
          <w:tcPr>
            <w:tcW w:w="11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rPr>
                <w:rFonts w:cs="Arial"/>
                <w:sz w:val="16"/>
                <w:szCs w:val="16"/>
              </w:rPr>
            </w:pPr>
            <w:r w:rsidRPr="003C4ED5">
              <w:rPr>
                <w:rFonts w:cs="Arial"/>
                <w:sz w:val="16"/>
                <w:szCs w:val="16"/>
              </w:rPr>
              <w:t>Nizozemsko</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1,71</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1,72</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1,72</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1,77</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1,79</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1,79</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1,76</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1,72</w:t>
            </w:r>
          </w:p>
        </w:tc>
        <w:tc>
          <w:tcPr>
            <w:tcW w:w="680" w:type="dxa"/>
            <w:tcBorders>
              <w:top w:val="nil"/>
              <w:left w:val="nil"/>
              <w:bottom w:val="nil"/>
              <w:right w:val="nil"/>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1,68</w:t>
            </w:r>
          </w:p>
        </w:tc>
        <w:tc>
          <w:tcPr>
            <w:tcW w:w="680" w:type="dxa"/>
            <w:tcBorders>
              <w:top w:val="nil"/>
              <w:left w:val="single" w:sz="4" w:space="0" w:color="auto"/>
              <w:bottom w:val="nil"/>
              <w:right w:val="nil"/>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1,71</w:t>
            </w:r>
          </w:p>
        </w:tc>
      </w:tr>
      <w:tr w:rsidR="008D6098" w:rsidRPr="003C4ED5" w:rsidTr="00305387">
        <w:trPr>
          <w:trHeight w:val="240"/>
        </w:trPr>
        <w:tc>
          <w:tcPr>
            <w:tcW w:w="11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rPr>
                <w:rFonts w:cs="Arial"/>
                <w:sz w:val="16"/>
                <w:szCs w:val="16"/>
              </w:rPr>
            </w:pPr>
            <w:r w:rsidRPr="003C4ED5">
              <w:rPr>
                <w:rFonts w:cs="Arial"/>
                <w:sz w:val="16"/>
                <w:szCs w:val="16"/>
              </w:rPr>
              <w:t>Norsko</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1,84</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1,90</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1,90</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1,96</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1,98</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1,95</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1,88</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1,85</w:t>
            </w:r>
          </w:p>
        </w:tc>
        <w:tc>
          <w:tcPr>
            <w:tcW w:w="680" w:type="dxa"/>
            <w:tcBorders>
              <w:top w:val="nil"/>
              <w:left w:val="nil"/>
              <w:bottom w:val="nil"/>
              <w:right w:val="nil"/>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1,78</w:t>
            </w:r>
          </w:p>
        </w:tc>
        <w:tc>
          <w:tcPr>
            <w:tcW w:w="680" w:type="dxa"/>
            <w:tcBorders>
              <w:top w:val="nil"/>
              <w:left w:val="single" w:sz="4" w:space="0" w:color="auto"/>
              <w:bottom w:val="nil"/>
              <w:right w:val="nil"/>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1,75</w:t>
            </w:r>
          </w:p>
        </w:tc>
      </w:tr>
      <w:tr w:rsidR="008D6098" w:rsidRPr="003C4ED5" w:rsidTr="00305387">
        <w:trPr>
          <w:trHeight w:val="240"/>
        </w:trPr>
        <w:tc>
          <w:tcPr>
            <w:tcW w:w="11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rPr>
                <w:rFonts w:cs="Arial"/>
                <w:sz w:val="16"/>
                <w:szCs w:val="16"/>
              </w:rPr>
            </w:pPr>
            <w:r w:rsidRPr="003C4ED5">
              <w:rPr>
                <w:rFonts w:cs="Arial"/>
                <w:sz w:val="16"/>
                <w:szCs w:val="16"/>
              </w:rPr>
              <w:t>Polsko</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1,24</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1,27</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1,31</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1,39</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1,40</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1,41</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1,33</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1,33</w:t>
            </w:r>
          </w:p>
        </w:tc>
        <w:tc>
          <w:tcPr>
            <w:tcW w:w="680" w:type="dxa"/>
            <w:tcBorders>
              <w:top w:val="nil"/>
              <w:left w:val="nil"/>
              <w:bottom w:val="nil"/>
              <w:right w:val="nil"/>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1,29</w:t>
            </w:r>
          </w:p>
        </w:tc>
        <w:tc>
          <w:tcPr>
            <w:tcW w:w="680" w:type="dxa"/>
            <w:tcBorders>
              <w:top w:val="nil"/>
              <w:left w:val="single" w:sz="4" w:space="0" w:color="auto"/>
              <w:bottom w:val="nil"/>
              <w:right w:val="nil"/>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1,32</w:t>
            </w:r>
          </w:p>
        </w:tc>
      </w:tr>
      <w:tr w:rsidR="008D6098" w:rsidRPr="003C4ED5" w:rsidTr="00305387">
        <w:trPr>
          <w:trHeight w:val="240"/>
        </w:trPr>
        <w:tc>
          <w:tcPr>
            <w:tcW w:w="11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rPr>
                <w:rFonts w:cs="Arial"/>
                <w:sz w:val="16"/>
                <w:szCs w:val="16"/>
              </w:rPr>
            </w:pPr>
            <w:r w:rsidRPr="003C4ED5">
              <w:rPr>
                <w:rFonts w:cs="Arial"/>
                <w:sz w:val="16"/>
                <w:szCs w:val="16"/>
              </w:rPr>
              <w:t>Portugalsko</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1,41</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1,37</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1,35</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1,39</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1,34</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1,39</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1,35</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1,28</w:t>
            </w:r>
          </w:p>
        </w:tc>
        <w:tc>
          <w:tcPr>
            <w:tcW w:w="680" w:type="dxa"/>
            <w:tcBorders>
              <w:top w:val="nil"/>
              <w:left w:val="nil"/>
              <w:bottom w:val="nil"/>
              <w:right w:val="nil"/>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1,21</w:t>
            </w:r>
          </w:p>
        </w:tc>
        <w:tc>
          <w:tcPr>
            <w:tcW w:w="680" w:type="dxa"/>
            <w:tcBorders>
              <w:top w:val="nil"/>
              <w:left w:val="single" w:sz="4" w:space="0" w:color="auto"/>
              <w:bottom w:val="nil"/>
              <w:right w:val="nil"/>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1,23</w:t>
            </w:r>
          </w:p>
        </w:tc>
      </w:tr>
      <w:tr w:rsidR="008D6098" w:rsidRPr="003C4ED5" w:rsidTr="00305387">
        <w:trPr>
          <w:trHeight w:val="240"/>
        </w:trPr>
        <w:tc>
          <w:tcPr>
            <w:tcW w:w="11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rPr>
                <w:rFonts w:cs="Arial"/>
                <w:sz w:val="16"/>
                <w:szCs w:val="16"/>
              </w:rPr>
            </w:pPr>
            <w:r w:rsidRPr="003C4ED5">
              <w:rPr>
                <w:rFonts w:cs="Arial"/>
                <w:sz w:val="16"/>
                <w:szCs w:val="16"/>
              </w:rPr>
              <w:t>Rakousko</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1,41</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1,41</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1,38</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1,42</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1,39</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1,44</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1,43</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1,44</w:t>
            </w:r>
          </w:p>
        </w:tc>
        <w:tc>
          <w:tcPr>
            <w:tcW w:w="680" w:type="dxa"/>
            <w:tcBorders>
              <w:top w:val="nil"/>
              <w:left w:val="nil"/>
              <w:bottom w:val="nil"/>
              <w:right w:val="nil"/>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1,44</w:t>
            </w:r>
          </w:p>
        </w:tc>
        <w:tc>
          <w:tcPr>
            <w:tcW w:w="680" w:type="dxa"/>
            <w:tcBorders>
              <w:top w:val="nil"/>
              <w:left w:val="single" w:sz="4" w:space="0" w:color="auto"/>
              <w:bottom w:val="nil"/>
              <w:right w:val="nil"/>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1,47</w:t>
            </w:r>
          </w:p>
        </w:tc>
      </w:tr>
      <w:tr w:rsidR="008D6098" w:rsidRPr="003C4ED5" w:rsidTr="00305387">
        <w:trPr>
          <w:trHeight w:val="240"/>
        </w:trPr>
        <w:tc>
          <w:tcPr>
            <w:tcW w:w="11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rPr>
                <w:rFonts w:cs="Arial"/>
                <w:sz w:val="16"/>
                <w:szCs w:val="16"/>
              </w:rPr>
            </w:pPr>
            <w:r w:rsidRPr="003C4ED5">
              <w:rPr>
                <w:rFonts w:cs="Arial"/>
                <w:sz w:val="16"/>
                <w:szCs w:val="16"/>
              </w:rPr>
              <w:t>Rumunsko</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1,40</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1,42</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1,45</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1,60</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1,66</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1,59</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1,47</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1,52</w:t>
            </w:r>
          </w:p>
        </w:tc>
        <w:tc>
          <w:tcPr>
            <w:tcW w:w="680" w:type="dxa"/>
            <w:tcBorders>
              <w:top w:val="nil"/>
              <w:left w:val="nil"/>
              <w:bottom w:val="nil"/>
              <w:right w:val="nil"/>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1,41</w:t>
            </w:r>
          </w:p>
        </w:tc>
        <w:tc>
          <w:tcPr>
            <w:tcW w:w="680" w:type="dxa"/>
            <w:tcBorders>
              <w:top w:val="nil"/>
              <w:left w:val="single" w:sz="4" w:space="0" w:color="auto"/>
              <w:bottom w:val="nil"/>
              <w:right w:val="nil"/>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1,52</w:t>
            </w:r>
          </w:p>
        </w:tc>
      </w:tr>
      <w:tr w:rsidR="008D6098" w:rsidRPr="003C4ED5" w:rsidTr="00305387">
        <w:trPr>
          <w:trHeight w:val="240"/>
        </w:trPr>
        <w:tc>
          <w:tcPr>
            <w:tcW w:w="11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rPr>
                <w:rFonts w:cs="Arial"/>
                <w:sz w:val="16"/>
                <w:szCs w:val="16"/>
              </w:rPr>
            </w:pPr>
            <w:r w:rsidRPr="003C4ED5">
              <w:rPr>
                <w:rFonts w:cs="Arial"/>
                <w:sz w:val="16"/>
                <w:szCs w:val="16"/>
              </w:rPr>
              <w:t>Rusko</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1,30</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1,41</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1,49</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1,54</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1,57</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w:t>
            </w:r>
          </w:p>
        </w:tc>
        <w:tc>
          <w:tcPr>
            <w:tcW w:w="680" w:type="dxa"/>
            <w:tcBorders>
              <w:top w:val="nil"/>
              <w:left w:val="nil"/>
              <w:bottom w:val="nil"/>
              <w:right w:val="nil"/>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w:t>
            </w:r>
          </w:p>
        </w:tc>
        <w:tc>
          <w:tcPr>
            <w:tcW w:w="680" w:type="dxa"/>
            <w:tcBorders>
              <w:top w:val="nil"/>
              <w:left w:val="single" w:sz="4" w:space="0" w:color="auto"/>
              <w:bottom w:val="nil"/>
              <w:right w:val="nil"/>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w:t>
            </w:r>
          </w:p>
        </w:tc>
      </w:tr>
      <w:tr w:rsidR="008D6098" w:rsidRPr="003C4ED5" w:rsidTr="00305387">
        <w:trPr>
          <w:trHeight w:val="240"/>
        </w:trPr>
        <w:tc>
          <w:tcPr>
            <w:tcW w:w="11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rPr>
                <w:rFonts w:cs="Arial"/>
                <w:sz w:val="16"/>
                <w:szCs w:val="16"/>
              </w:rPr>
            </w:pPr>
            <w:r w:rsidRPr="003C4ED5">
              <w:rPr>
                <w:rFonts w:cs="Arial"/>
                <w:sz w:val="16"/>
                <w:szCs w:val="16"/>
              </w:rPr>
              <w:t>Řecko</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1,34</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1,40</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1,41</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1,50</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1,50</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1,48</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1,40</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1,34</w:t>
            </w:r>
          </w:p>
        </w:tc>
        <w:tc>
          <w:tcPr>
            <w:tcW w:w="680" w:type="dxa"/>
            <w:tcBorders>
              <w:top w:val="nil"/>
              <w:left w:val="nil"/>
              <w:bottom w:val="nil"/>
              <w:right w:val="nil"/>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1,29</w:t>
            </w:r>
          </w:p>
        </w:tc>
        <w:tc>
          <w:tcPr>
            <w:tcW w:w="680" w:type="dxa"/>
            <w:tcBorders>
              <w:top w:val="nil"/>
              <w:left w:val="single" w:sz="4" w:space="0" w:color="auto"/>
              <w:bottom w:val="nil"/>
              <w:right w:val="nil"/>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1,30</w:t>
            </w:r>
          </w:p>
        </w:tc>
      </w:tr>
      <w:tr w:rsidR="008D6098" w:rsidRPr="003C4ED5" w:rsidTr="00305387">
        <w:trPr>
          <w:trHeight w:val="240"/>
        </w:trPr>
        <w:tc>
          <w:tcPr>
            <w:tcW w:w="11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rPr>
                <w:rFonts w:cs="Arial"/>
                <w:sz w:val="16"/>
                <w:szCs w:val="16"/>
              </w:rPr>
            </w:pPr>
            <w:r w:rsidRPr="003C4ED5">
              <w:rPr>
                <w:rFonts w:cs="Arial"/>
                <w:sz w:val="16"/>
                <w:szCs w:val="16"/>
              </w:rPr>
              <w:t>Slovensko</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1,27</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1,25</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1,27</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1,34</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1,44</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1,43</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1,45</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1,34</w:t>
            </w:r>
          </w:p>
        </w:tc>
        <w:tc>
          <w:tcPr>
            <w:tcW w:w="680" w:type="dxa"/>
            <w:tcBorders>
              <w:top w:val="nil"/>
              <w:left w:val="nil"/>
              <w:bottom w:val="nil"/>
              <w:right w:val="nil"/>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1,34</w:t>
            </w:r>
          </w:p>
        </w:tc>
        <w:tc>
          <w:tcPr>
            <w:tcW w:w="680" w:type="dxa"/>
            <w:tcBorders>
              <w:top w:val="nil"/>
              <w:left w:val="single" w:sz="4" w:space="0" w:color="auto"/>
              <w:bottom w:val="nil"/>
              <w:right w:val="nil"/>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1,37</w:t>
            </w:r>
          </w:p>
        </w:tc>
      </w:tr>
      <w:tr w:rsidR="008D6098" w:rsidRPr="003C4ED5" w:rsidTr="00305387">
        <w:trPr>
          <w:trHeight w:val="240"/>
        </w:trPr>
        <w:tc>
          <w:tcPr>
            <w:tcW w:w="11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rPr>
                <w:rFonts w:cs="Arial"/>
                <w:sz w:val="16"/>
                <w:szCs w:val="16"/>
              </w:rPr>
            </w:pPr>
            <w:r w:rsidRPr="003C4ED5">
              <w:rPr>
                <w:rFonts w:cs="Arial"/>
                <w:sz w:val="16"/>
                <w:szCs w:val="16"/>
              </w:rPr>
              <w:t>Slovinsko</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1,26</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1,31</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1,38</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1,53</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1,53</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1,57</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1,56</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1,58</w:t>
            </w:r>
          </w:p>
        </w:tc>
        <w:tc>
          <w:tcPr>
            <w:tcW w:w="680" w:type="dxa"/>
            <w:tcBorders>
              <w:top w:val="nil"/>
              <w:left w:val="nil"/>
              <w:bottom w:val="nil"/>
              <w:right w:val="nil"/>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1,55</w:t>
            </w:r>
          </w:p>
        </w:tc>
        <w:tc>
          <w:tcPr>
            <w:tcW w:w="680" w:type="dxa"/>
            <w:tcBorders>
              <w:top w:val="nil"/>
              <w:left w:val="single" w:sz="4" w:space="0" w:color="auto"/>
              <w:bottom w:val="nil"/>
              <w:right w:val="nil"/>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1,58</w:t>
            </w:r>
          </w:p>
        </w:tc>
      </w:tr>
      <w:tr w:rsidR="008D6098" w:rsidRPr="003C4ED5" w:rsidTr="00305387">
        <w:trPr>
          <w:trHeight w:val="240"/>
        </w:trPr>
        <w:tc>
          <w:tcPr>
            <w:tcW w:w="11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rPr>
                <w:rFonts w:cs="Arial"/>
                <w:sz w:val="16"/>
                <w:szCs w:val="16"/>
              </w:rPr>
            </w:pPr>
            <w:r w:rsidRPr="003C4ED5">
              <w:rPr>
                <w:rFonts w:cs="Arial"/>
                <w:sz w:val="16"/>
                <w:szCs w:val="16"/>
              </w:rPr>
              <w:t>Španělsko</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1,33</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1,36</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1,38</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1,45</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1,38</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1,37</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1,34</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1,32</w:t>
            </w:r>
          </w:p>
        </w:tc>
        <w:tc>
          <w:tcPr>
            <w:tcW w:w="680" w:type="dxa"/>
            <w:tcBorders>
              <w:top w:val="nil"/>
              <w:left w:val="nil"/>
              <w:bottom w:val="nil"/>
              <w:right w:val="nil"/>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1,27</w:t>
            </w:r>
          </w:p>
        </w:tc>
        <w:tc>
          <w:tcPr>
            <w:tcW w:w="680" w:type="dxa"/>
            <w:tcBorders>
              <w:top w:val="nil"/>
              <w:left w:val="single" w:sz="4" w:space="0" w:color="auto"/>
              <w:bottom w:val="nil"/>
              <w:right w:val="nil"/>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1,32</w:t>
            </w:r>
          </w:p>
        </w:tc>
      </w:tr>
      <w:tr w:rsidR="008D6098" w:rsidRPr="003C4ED5" w:rsidTr="00305387">
        <w:trPr>
          <w:trHeight w:val="240"/>
        </w:trPr>
        <w:tc>
          <w:tcPr>
            <w:tcW w:w="11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rPr>
                <w:rFonts w:cs="Arial"/>
                <w:sz w:val="16"/>
                <w:szCs w:val="16"/>
              </w:rPr>
            </w:pPr>
            <w:r w:rsidRPr="003C4ED5">
              <w:rPr>
                <w:rFonts w:cs="Arial"/>
                <w:sz w:val="16"/>
                <w:szCs w:val="16"/>
              </w:rPr>
              <w:t>Švédsko</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1,77</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1,85</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1,88</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1,91</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1,94</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1,98</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1,90</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1,91</w:t>
            </w:r>
          </w:p>
        </w:tc>
        <w:tc>
          <w:tcPr>
            <w:tcW w:w="680" w:type="dxa"/>
            <w:tcBorders>
              <w:top w:val="nil"/>
              <w:left w:val="nil"/>
              <w:bottom w:val="nil"/>
              <w:right w:val="nil"/>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1,89</w:t>
            </w:r>
          </w:p>
        </w:tc>
        <w:tc>
          <w:tcPr>
            <w:tcW w:w="680" w:type="dxa"/>
            <w:tcBorders>
              <w:top w:val="nil"/>
              <w:left w:val="single" w:sz="4" w:space="0" w:color="auto"/>
              <w:bottom w:val="nil"/>
              <w:right w:val="nil"/>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1,88</w:t>
            </w:r>
          </w:p>
        </w:tc>
      </w:tr>
      <w:tr w:rsidR="008D6098" w:rsidRPr="003C4ED5" w:rsidTr="00305387">
        <w:trPr>
          <w:trHeight w:val="240"/>
        </w:trPr>
        <w:tc>
          <w:tcPr>
            <w:tcW w:w="11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rPr>
                <w:rFonts w:cs="Arial"/>
                <w:sz w:val="16"/>
                <w:szCs w:val="16"/>
              </w:rPr>
            </w:pPr>
            <w:r w:rsidRPr="003C4ED5">
              <w:rPr>
                <w:rFonts w:cs="Arial"/>
                <w:sz w:val="16"/>
                <w:szCs w:val="16"/>
              </w:rPr>
              <w:t>Švýcarsko</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1,42</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1,44</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1,46</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1,48</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1,50</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1,52</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1,52</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1,52</w:t>
            </w:r>
          </w:p>
        </w:tc>
        <w:tc>
          <w:tcPr>
            <w:tcW w:w="680" w:type="dxa"/>
            <w:tcBorders>
              <w:top w:val="nil"/>
              <w:left w:val="nil"/>
              <w:bottom w:val="nil"/>
              <w:right w:val="nil"/>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1,52</w:t>
            </w:r>
          </w:p>
        </w:tc>
        <w:tc>
          <w:tcPr>
            <w:tcW w:w="680" w:type="dxa"/>
            <w:tcBorders>
              <w:top w:val="nil"/>
              <w:left w:val="single" w:sz="4" w:space="0" w:color="auto"/>
              <w:bottom w:val="nil"/>
              <w:right w:val="nil"/>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1,54</w:t>
            </w:r>
          </w:p>
        </w:tc>
      </w:tr>
      <w:tr w:rsidR="008D6098" w:rsidRPr="003C4ED5" w:rsidTr="00305387">
        <w:trPr>
          <w:trHeight w:val="240"/>
        </w:trPr>
        <w:tc>
          <w:tcPr>
            <w:tcW w:w="11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rPr>
                <w:rFonts w:cs="Arial"/>
                <w:sz w:val="16"/>
                <w:szCs w:val="16"/>
              </w:rPr>
            </w:pPr>
            <w:r w:rsidRPr="003C4ED5">
              <w:rPr>
                <w:rFonts w:cs="Arial"/>
                <w:sz w:val="16"/>
                <w:szCs w:val="16"/>
              </w:rPr>
              <w:t>Ukrajina</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1,30</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1,33</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1,45</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1,43</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1,46</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1,53</w:t>
            </w:r>
          </w:p>
        </w:tc>
        <w:tc>
          <w:tcPr>
            <w:tcW w:w="680" w:type="dxa"/>
            <w:tcBorders>
              <w:top w:val="nil"/>
              <w:left w:val="nil"/>
              <w:bottom w:val="nil"/>
              <w:right w:val="nil"/>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w:t>
            </w:r>
          </w:p>
        </w:tc>
        <w:tc>
          <w:tcPr>
            <w:tcW w:w="680" w:type="dxa"/>
            <w:tcBorders>
              <w:top w:val="nil"/>
              <w:left w:val="single" w:sz="4" w:space="0" w:color="auto"/>
              <w:bottom w:val="nil"/>
              <w:right w:val="nil"/>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1,46</w:t>
            </w:r>
          </w:p>
        </w:tc>
      </w:tr>
      <w:tr w:rsidR="008D6098" w:rsidRPr="003C4ED5" w:rsidTr="00305387">
        <w:trPr>
          <w:trHeight w:val="240"/>
        </w:trPr>
        <w:tc>
          <w:tcPr>
            <w:tcW w:w="11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rPr>
                <w:rFonts w:cs="Arial"/>
                <w:sz w:val="16"/>
                <w:szCs w:val="16"/>
              </w:rPr>
            </w:pPr>
            <w:r w:rsidRPr="003C4ED5">
              <w:rPr>
                <w:rFonts w:cs="Arial"/>
                <w:sz w:val="16"/>
                <w:szCs w:val="16"/>
              </w:rPr>
              <w:t>Velká Británie</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1,76</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1,82</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1,86</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1,91</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1,89</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1,92</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1,91</w:t>
            </w:r>
          </w:p>
        </w:tc>
        <w:tc>
          <w:tcPr>
            <w:tcW w:w="680" w:type="dxa"/>
            <w:tcBorders>
              <w:top w:val="nil"/>
              <w:left w:val="nil"/>
              <w:bottom w:val="nil"/>
              <w:right w:val="single" w:sz="4" w:space="0" w:color="auto"/>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1,92</w:t>
            </w:r>
          </w:p>
        </w:tc>
        <w:tc>
          <w:tcPr>
            <w:tcW w:w="680" w:type="dxa"/>
            <w:tcBorders>
              <w:top w:val="nil"/>
              <w:left w:val="nil"/>
              <w:bottom w:val="nil"/>
              <w:right w:val="nil"/>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1,83</w:t>
            </w:r>
          </w:p>
        </w:tc>
        <w:tc>
          <w:tcPr>
            <w:tcW w:w="680" w:type="dxa"/>
            <w:tcBorders>
              <w:top w:val="nil"/>
              <w:left w:val="single" w:sz="4" w:space="0" w:color="auto"/>
              <w:bottom w:val="nil"/>
              <w:right w:val="nil"/>
            </w:tcBorders>
            <w:shd w:val="clear" w:color="000000" w:fill="FFFFFF"/>
            <w:noWrap/>
            <w:vAlign w:val="bottom"/>
            <w:hideMark/>
          </w:tcPr>
          <w:p w:rsidR="008D6098" w:rsidRPr="003C4ED5" w:rsidRDefault="008D6098" w:rsidP="00305387">
            <w:pPr>
              <w:spacing w:after="0" w:line="240" w:lineRule="auto"/>
              <w:jc w:val="center"/>
              <w:rPr>
                <w:rFonts w:cs="Arial"/>
                <w:sz w:val="16"/>
                <w:szCs w:val="16"/>
              </w:rPr>
            </w:pPr>
            <w:r w:rsidRPr="003C4ED5">
              <w:rPr>
                <w:rFonts w:cs="Arial"/>
                <w:sz w:val="16"/>
                <w:szCs w:val="16"/>
              </w:rPr>
              <w:t>1,81</w:t>
            </w:r>
          </w:p>
        </w:tc>
      </w:tr>
    </w:tbl>
    <w:p w:rsidR="008D6098" w:rsidRPr="00A513FA" w:rsidRDefault="008D6098" w:rsidP="008D6098">
      <w:pPr>
        <w:spacing w:before="60" w:after="60"/>
        <w:rPr>
          <w:rFonts w:cs="Arial"/>
          <w:i/>
          <w:sz w:val="16"/>
          <w:szCs w:val="16"/>
        </w:rPr>
      </w:pPr>
      <w:r w:rsidRPr="00A513FA">
        <w:rPr>
          <w:rFonts w:cs="Arial"/>
          <w:i/>
          <w:sz w:val="16"/>
          <w:szCs w:val="16"/>
        </w:rPr>
        <w:t>Zdroj dat: Eurostat database</w:t>
      </w:r>
      <w:r>
        <w:rPr>
          <w:rFonts w:cs="Arial"/>
          <w:i/>
          <w:sz w:val="16"/>
          <w:szCs w:val="16"/>
        </w:rPr>
        <w:t>; * Hodnoty za ČR se liší od hodnot ČSÚ, protože Eurostat používá pro výpočet jiné stavy obyvatelstva.</w:t>
      </w:r>
    </w:p>
    <w:p w:rsidR="008D6098" w:rsidRDefault="008D6098" w:rsidP="008D6098">
      <w:pPr>
        <w:rPr>
          <w:rFonts w:cs="Arial"/>
          <w:szCs w:val="20"/>
        </w:rPr>
      </w:pPr>
      <w:r>
        <w:rPr>
          <w:rFonts w:cs="Arial"/>
          <w:szCs w:val="20"/>
        </w:rPr>
        <w:lastRenderedPageBreak/>
        <w:t xml:space="preserve">Slabě podprůměrné hodnoty úhrnné plodnosti měly ve sledovaném období i státy střední Evropy – Německo, Rakousko a Švýcarsko. Oproti tomu nadprůměrné intenzity plodnosti byly pozorovány ve státech západní a severní Evropy. Vůbec nejvyšší úroveň plodnosti v poslední dekádě (2,0-2,2 dítěte) byla na Islandu (v letech 2005–2010, 2012), v Irsku (2011) a ve Francii (2013 a 2014). Výrazně nadprůměrné hodnoty úhrnné plodnosti byly v Dánsku, Finsku, Norsku a Švédsku a ze západní Evropy v Belgii, Nizozemsku a Velké Británii.    </w:t>
      </w:r>
    </w:p>
    <w:p w:rsidR="008D6098" w:rsidRDefault="008D6098" w:rsidP="008D6098">
      <w:pPr>
        <w:pStyle w:val="Nadpis2"/>
      </w:pPr>
      <w:bookmarkStart w:id="3" w:name="_Toc468110183"/>
      <w:r>
        <w:t>6.2 Průměrný věk matky při narození dítěte</w:t>
      </w:r>
      <w:bookmarkEnd w:id="3"/>
    </w:p>
    <w:p w:rsidR="008D6098" w:rsidRDefault="008D6098" w:rsidP="008D6098">
      <w:pPr>
        <w:rPr>
          <w:rFonts w:cs="Arial"/>
          <w:szCs w:val="20"/>
        </w:rPr>
      </w:pPr>
      <w:r>
        <w:rPr>
          <w:rFonts w:cs="Arial"/>
          <w:szCs w:val="20"/>
        </w:rPr>
        <w:t xml:space="preserve">Hodnota průměrného věku matky při narození dítěte za celou EU-28 se postupně mezi lety 2005 a 2014 zvýšila z 29,5 let na 30,4 let. Nejmladší byly každoročně matky ve státech východní Evropy, byť se zde průměrný věk zvýšil ze všech regionů nejvíce. Například v Bulharsku, kde bychom nalezly nejnižší hodnoty ze zemí EU-28, z 25,9 v roce 2005 na 27,3 let o devět let později. Na Slovensku došlo ve stejném období k nárůstu z 27,7 na 28,8 let, v Polsku z 28,2 na 29,1 let a ve Slovinsku (nejvyšší hodnoty průměrného věku v rámci východní Evropy) z 29,4 na 30,2 let. Podstatně se zvýšil i průměrný věk matky při narození dítěte v České republice z 28,6 na 29,9 let (oboje nižší hodnoty v evropském kontextu) mezi roky 2005 a 2014.     </w:t>
      </w:r>
    </w:p>
    <w:p w:rsidR="008D6098" w:rsidRPr="00705631" w:rsidRDefault="008D6098" w:rsidP="008D6098">
      <w:pPr>
        <w:spacing w:after="60"/>
        <w:rPr>
          <w:rFonts w:cs="Arial"/>
          <w:b/>
          <w:szCs w:val="20"/>
        </w:rPr>
      </w:pPr>
      <w:r>
        <w:rPr>
          <w:rFonts w:cs="Arial"/>
          <w:b/>
          <w:szCs w:val="20"/>
        </w:rPr>
        <w:t>Tab. 18</w:t>
      </w:r>
      <w:r w:rsidRPr="00705631">
        <w:rPr>
          <w:rFonts w:cs="Arial"/>
          <w:b/>
          <w:szCs w:val="20"/>
        </w:rPr>
        <w:t xml:space="preserve"> Průměrný věk </w:t>
      </w:r>
      <w:r>
        <w:rPr>
          <w:rFonts w:cs="Arial"/>
          <w:b/>
          <w:szCs w:val="20"/>
        </w:rPr>
        <w:t xml:space="preserve">matek </w:t>
      </w:r>
      <w:r w:rsidRPr="00705631">
        <w:rPr>
          <w:rFonts w:cs="Arial"/>
          <w:b/>
          <w:szCs w:val="20"/>
        </w:rPr>
        <w:t xml:space="preserve">při narození </w:t>
      </w:r>
      <w:r>
        <w:rPr>
          <w:rFonts w:cs="Arial"/>
          <w:b/>
          <w:szCs w:val="20"/>
        </w:rPr>
        <w:t>dítěte v evropských zemích</w:t>
      </w:r>
      <w:r w:rsidRPr="00705631">
        <w:rPr>
          <w:rFonts w:cs="Arial"/>
          <w:b/>
          <w:szCs w:val="20"/>
        </w:rPr>
        <w:t xml:space="preserve"> v letech 2005–2014</w:t>
      </w:r>
    </w:p>
    <w:tbl>
      <w:tblPr>
        <w:tblW w:w="9639" w:type="dxa"/>
        <w:tblCellMar>
          <w:left w:w="70" w:type="dxa"/>
          <w:right w:w="70" w:type="dxa"/>
        </w:tblCellMar>
        <w:tblLook w:val="04A0" w:firstRow="1" w:lastRow="0" w:firstColumn="1" w:lastColumn="0" w:noHBand="0" w:noVBand="1"/>
      </w:tblPr>
      <w:tblGrid>
        <w:gridCol w:w="1426"/>
        <w:gridCol w:w="822"/>
        <w:gridCol w:w="822"/>
        <w:gridCol w:w="822"/>
        <w:gridCol w:w="821"/>
        <w:gridCol w:w="821"/>
        <w:gridCol w:w="821"/>
        <w:gridCol w:w="821"/>
        <w:gridCol w:w="821"/>
        <w:gridCol w:w="821"/>
        <w:gridCol w:w="821"/>
      </w:tblGrid>
      <w:tr w:rsidR="008D6098" w:rsidRPr="00074CFC" w:rsidTr="00305387">
        <w:trPr>
          <w:trHeight w:val="240"/>
        </w:trPr>
        <w:tc>
          <w:tcPr>
            <w:tcW w:w="1426" w:type="dxa"/>
            <w:tcBorders>
              <w:top w:val="single" w:sz="4" w:space="0" w:color="auto"/>
              <w:left w:val="nil"/>
              <w:bottom w:val="single" w:sz="4" w:space="0" w:color="auto"/>
              <w:right w:val="single" w:sz="4" w:space="0" w:color="auto"/>
            </w:tcBorders>
            <w:shd w:val="clear" w:color="000000" w:fill="F5DADD"/>
            <w:noWrap/>
            <w:vAlign w:val="bottom"/>
            <w:hideMark/>
          </w:tcPr>
          <w:p w:rsidR="008D6098" w:rsidRPr="00074CFC" w:rsidRDefault="008D6098" w:rsidP="00305387">
            <w:pPr>
              <w:spacing w:after="0" w:line="240" w:lineRule="auto"/>
              <w:rPr>
                <w:rFonts w:cs="Arial"/>
                <w:b/>
                <w:bCs/>
                <w:sz w:val="16"/>
                <w:szCs w:val="16"/>
              </w:rPr>
            </w:pPr>
            <w:r w:rsidRPr="00074CFC">
              <w:rPr>
                <w:rFonts w:cs="Arial"/>
                <w:b/>
                <w:bCs/>
                <w:sz w:val="16"/>
                <w:szCs w:val="16"/>
              </w:rPr>
              <w:t>Země</w:t>
            </w:r>
          </w:p>
        </w:tc>
        <w:tc>
          <w:tcPr>
            <w:tcW w:w="822" w:type="dxa"/>
            <w:tcBorders>
              <w:top w:val="single" w:sz="4" w:space="0" w:color="auto"/>
              <w:left w:val="nil"/>
              <w:bottom w:val="single" w:sz="4" w:space="0" w:color="auto"/>
              <w:right w:val="single" w:sz="4" w:space="0" w:color="auto"/>
            </w:tcBorders>
            <w:shd w:val="clear" w:color="000000" w:fill="F5DADD"/>
            <w:noWrap/>
            <w:vAlign w:val="bottom"/>
            <w:hideMark/>
          </w:tcPr>
          <w:p w:rsidR="008D6098" w:rsidRPr="00074CFC" w:rsidRDefault="008D6098" w:rsidP="00305387">
            <w:pPr>
              <w:spacing w:after="0" w:line="240" w:lineRule="auto"/>
              <w:jc w:val="center"/>
              <w:rPr>
                <w:rFonts w:cs="Arial"/>
                <w:b/>
                <w:bCs/>
                <w:sz w:val="16"/>
                <w:szCs w:val="16"/>
              </w:rPr>
            </w:pPr>
            <w:r w:rsidRPr="00074CFC">
              <w:rPr>
                <w:rFonts w:cs="Arial"/>
                <w:b/>
                <w:bCs/>
                <w:sz w:val="16"/>
                <w:szCs w:val="16"/>
              </w:rPr>
              <w:t>2005</w:t>
            </w:r>
          </w:p>
        </w:tc>
        <w:tc>
          <w:tcPr>
            <w:tcW w:w="822" w:type="dxa"/>
            <w:tcBorders>
              <w:top w:val="single" w:sz="4" w:space="0" w:color="auto"/>
              <w:left w:val="nil"/>
              <w:bottom w:val="single" w:sz="4" w:space="0" w:color="auto"/>
              <w:right w:val="single" w:sz="4" w:space="0" w:color="auto"/>
            </w:tcBorders>
            <w:shd w:val="clear" w:color="000000" w:fill="F5DADD"/>
            <w:noWrap/>
            <w:vAlign w:val="bottom"/>
            <w:hideMark/>
          </w:tcPr>
          <w:p w:rsidR="008D6098" w:rsidRPr="00074CFC" w:rsidRDefault="008D6098" w:rsidP="00305387">
            <w:pPr>
              <w:spacing w:after="0" w:line="240" w:lineRule="auto"/>
              <w:jc w:val="center"/>
              <w:rPr>
                <w:rFonts w:cs="Arial"/>
                <w:b/>
                <w:bCs/>
                <w:sz w:val="16"/>
                <w:szCs w:val="16"/>
              </w:rPr>
            </w:pPr>
            <w:r w:rsidRPr="00074CFC">
              <w:rPr>
                <w:rFonts w:cs="Arial"/>
                <w:b/>
                <w:bCs/>
                <w:sz w:val="16"/>
                <w:szCs w:val="16"/>
              </w:rPr>
              <w:t>2006</w:t>
            </w:r>
          </w:p>
        </w:tc>
        <w:tc>
          <w:tcPr>
            <w:tcW w:w="822" w:type="dxa"/>
            <w:tcBorders>
              <w:top w:val="single" w:sz="4" w:space="0" w:color="auto"/>
              <w:left w:val="nil"/>
              <w:bottom w:val="single" w:sz="4" w:space="0" w:color="auto"/>
              <w:right w:val="single" w:sz="4" w:space="0" w:color="auto"/>
            </w:tcBorders>
            <w:shd w:val="clear" w:color="000000" w:fill="F5DADD"/>
            <w:noWrap/>
            <w:vAlign w:val="bottom"/>
            <w:hideMark/>
          </w:tcPr>
          <w:p w:rsidR="008D6098" w:rsidRPr="00074CFC" w:rsidRDefault="008D6098" w:rsidP="00305387">
            <w:pPr>
              <w:spacing w:after="0" w:line="240" w:lineRule="auto"/>
              <w:jc w:val="center"/>
              <w:rPr>
                <w:rFonts w:cs="Arial"/>
                <w:b/>
                <w:bCs/>
                <w:sz w:val="16"/>
                <w:szCs w:val="16"/>
              </w:rPr>
            </w:pPr>
            <w:r w:rsidRPr="00074CFC">
              <w:rPr>
                <w:rFonts w:cs="Arial"/>
                <w:b/>
                <w:bCs/>
                <w:sz w:val="16"/>
                <w:szCs w:val="16"/>
              </w:rPr>
              <w:t>2007</w:t>
            </w:r>
          </w:p>
        </w:tc>
        <w:tc>
          <w:tcPr>
            <w:tcW w:w="821" w:type="dxa"/>
            <w:tcBorders>
              <w:top w:val="single" w:sz="4" w:space="0" w:color="auto"/>
              <w:left w:val="nil"/>
              <w:bottom w:val="single" w:sz="4" w:space="0" w:color="auto"/>
              <w:right w:val="single" w:sz="4" w:space="0" w:color="auto"/>
            </w:tcBorders>
            <w:shd w:val="clear" w:color="000000" w:fill="F5DADD"/>
            <w:noWrap/>
            <w:vAlign w:val="bottom"/>
            <w:hideMark/>
          </w:tcPr>
          <w:p w:rsidR="008D6098" w:rsidRPr="00074CFC" w:rsidRDefault="008D6098" w:rsidP="00305387">
            <w:pPr>
              <w:spacing w:after="0" w:line="240" w:lineRule="auto"/>
              <w:jc w:val="center"/>
              <w:rPr>
                <w:rFonts w:cs="Arial"/>
                <w:b/>
                <w:bCs/>
                <w:sz w:val="16"/>
                <w:szCs w:val="16"/>
              </w:rPr>
            </w:pPr>
            <w:r w:rsidRPr="00074CFC">
              <w:rPr>
                <w:rFonts w:cs="Arial"/>
                <w:b/>
                <w:bCs/>
                <w:sz w:val="16"/>
                <w:szCs w:val="16"/>
              </w:rPr>
              <w:t>2008</w:t>
            </w:r>
          </w:p>
        </w:tc>
        <w:tc>
          <w:tcPr>
            <w:tcW w:w="821" w:type="dxa"/>
            <w:tcBorders>
              <w:top w:val="single" w:sz="4" w:space="0" w:color="auto"/>
              <w:left w:val="nil"/>
              <w:bottom w:val="single" w:sz="4" w:space="0" w:color="auto"/>
              <w:right w:val="single" w:sz="4" w:space="0" w:color="auto"/>
            </w:tcBorders>
            <w:shd w:val="clear" w:color="000000" w:fill="F5DADD"/>
            <w:noWrap/>
            <w:vAlign w:val="bottom"/>
            <w:hideMark/>
          </w:tcPr>
          <w:p w:rsidR="008D6098" w:rsidRPr="00074CFC" w:rsidRDefault="008D6098" w:rsidP="00305387">
            <w:pPr>
              <w:spacing w:after="0" w:line="240" w:lineRule="auto"/>
              <w:jc w:val="center"/>
              <w:rPr>
                <w:rFonts w:cs="Arial"/>
                <w:b/>
                <w:bCs/>
                <w:sz w:val="16"/>
                <w:szCs w:val="16"/>
              </w:rPr>
            </w:pPr>
            <w:r w:rsidRPr="00074CFC">
              <w:rPr>
                <w:rFonts w:cs="Arial"/>
                <w:b/>
                <w:bCs/>
                <w:sz w:val="16"/>
                <w:szCs w:val="16"/>
              </w:rPr>
              <w:t>2009</w:t>
            </w:r>
          </w:p>
        </w:tc>
        <w:tc>
          <w:tcPr>
            <w:tcW w:w="821" w:type="dxa"/>
            <w:tcBorders>
              <w:top w:val="single" w:sz="4" w:space="0" w:color="auto"/>
              <w:left w:val="nil"/>
              <w:bottom w:val="single" w:sz="4" w:space="0" w:color="auto"/>
              <w:right w:val="single" w:sz="4" w:space="0" w:color="auto"/>
            </w:tcBorders>
            <w:shd w:val="clear" w:color="000000" w:fill="F5DADD"/>
            <w:noWrap/>
            <w:vAlign w:val="bottom"/>
            <w:hideMark/>
          </w:tcPr>
          <w:p w:rsidR="008D6098" w:rsidRPr="00074CFC" w:rsidRDefault="008D6098" w:rsidP="00305387">
            <w:pPr>
              <w:spacing w:after="0" w:line="240" w:lineRule="auto"/>
              <w:jc w:val="center"/>
              <w:rPr>
                <w:rFonts w:cs="Arial"/>
                <w:b/>
                <w:bCs/>
                <w:sz w:val="16"/>
                <w:szCs w:val="16"/>
              </w:rPr>
            </w:pPr>
            <w:r w:rsidRPr="00074CFC">
              <w:rPr>
                <w:rFonts w:cs="Arial"/>
                <w:b/>
                <w:bCs/>
                <w:sz w:val="16"/>
                <w:szCs w:val="16"/>
              </w:rPr>
              <w:t>2010</w:t>
            </w:r>
          </w:p>
        </w:tc>
        <w:tc>
          <w:tcPr>
            <w:tcW w:w="821" w:type="dxa"/>
            <w:tcBorders>
              <w:top w:val="single" w:sz="4" w:space="0" w:color="auto"/>
              <w:left w:val="nil"/>
              <w:bottom w:val="single" w:sz="4" w:space="0" w:color="auto"/>
              <w:right w:val="single" w:sz="4" w:space="0" w:color="auto"/>
            </w:tcBorders>
            <w:shd w:val="clear" w:color="000000" w:fill="F5DADD"/>
            <w:noWrap/>
            <w:vAlign w:val="bottom"/>
            <w:hideMark/>
          </w:tcPr>
          <w:p w:rsidR="008D6098" w:rsidRPr="00074CFC" w:rsidRDefault="008D6098" w:rsidP="00305387">
            <w:pPr>
              <w:spacing w:after="0" w:line="240" w:lineRule="auto"/>
              <w:jc w:val="center"/>
              <w:rPr>
                <w:rFonts w:cs="Arial"/>
                <w:b/>
                <w:bCs/>
                <w:sz w:val="16"/>
                <w:szCs w:val="16"/>
              </w:rPr>
            </w:pPr>
            <w:r w:rsidRPr="00074CFC">
              <w:rPr>
                <w:rFonts w:cs="Arial"/>
                <w:b/>
                <w:bCs/>
                <w:sz w:val="16"/>
                <w:szCs w:val="16"/>
              </w:rPr>
              <w:t>2011</w:t>
            </w:r>
          </w:p>
        </w:tc>
        <w:tc>
          <w:tcPr>
            <w:tcW w:w="821" w:type="dxa"/>
            <w:tcBorders>
              <w:top w:val="single" w:sz="4" w:space="0" w:color="auto"/>
              <w:left w:val="nil"/>
              <w:bottom w:val="single" w:sz="4" w:space="0" w:color="auto"/>
              <w:right w:val="single" w:sz="4" w:space="0" w:color="auto"/>
            </w:tcBorders>
            <w:shd w:val="clear" w:color="000000" w:fill="F5DADD"/>
            <w:noWrap/>
            <w:vAlign w:val="bottom"/>
            <w:hideMark/>
          </w:tcPr>
          <w:p w:rsidR="008D6098" w:rsidRPr="00074CFC" w:rsidRDefault="008D6098" w:rsidP="00305387">
            <w:pPr>
              <w:spacing w:after="0" w:line="240" w:lineRule="auto"/>
              <w:jc w:val="center"/>
              <w:rPr>
                <w:rFonts w:cs="Arial"/>
                <w:b/>
                <w:bCs/>
                <w:sz w:val="16"/>
                <w:szCs w:val="16"/>
              </w:rPr>
            </w:pPr>
            <w:r w:rsidRPr="00074CFC">
              <w:rPr>
                <w:rFonts w:cs="Arial"/>
                <w:b/>
                <w:bCs/>
                <w:sz w:val="16"/>
                <w:szCs w:val="16"/>
              </w:rPr>
              <w:t>2012</w:t>
            </w:r>
          </w:p>
        </w:tc>
        <w:tc>
          <w:tcPr>
            <w:tcW w:w="821" w:type="dxa"/>
            <w:tcBorders>
              <w:top w:val="single" w:sz="4" w:space="0" w:color="auto"/>
              <w:left w:val="nil"/>
              <w:bottom w:val="single" w:sz="4" w:space="0" w:color="auto"/>
              <w:right w:val="nil"/>
            </w:tcBorders>
            <w:shd w:val="clear" w:color="000000" w:fill="F5DADD"/>
            <w:noWrap/>
            <w:vAlign w:val="bottom"/>
            <w:hideMark/>
          </w:tcPr>
          <w:p w:rsidR="008D6098" w:rsidRPr="00074CFC" w:rsidRDefault="008D6098" w:rsidP="00305387">
            <w:pPr>
              <w:spacing w:after="0" w:line="240" w:lineRule="auto"/>
              <w:jc w:val="center"/>
              <w:rPr>
                <w:rFonts w:cs="Arial"/>
                <w:b/>
                <w:bCs/>
                <w:sz w:val="16"/>
                <w:szCs w:val="16"/>
              </w:rPr>
            </w:pPr>
            <w:r w:rsidRPr="00074CFC">
              <w:rPr>
                <w:rFonts w:cs="Arial"/>
                <w:b/>
                <w:bCs/>
                <w:sz w:val="16"/>
                <w:szCs w:val="16"/>
              </w:rPr>
              <w:t>2013</w:t>
            </w:r>
          </w:p>
        </w:tc>
        <w:tc>
          <w:tcPr>
            <w:tcW w:w="821" w:type="dxa"/>
            <w:tcBorders>
              <w:top w:val="single" w:sz="4" w:space="0" w:color="auto"/>
              <w:left w:val="single" w:sz="4" w:space="0" w:color="auto"/>
              <w:bottom w:val="single" w:sz="4" w:space="0" w:color="auto"/>
              <w:right w:val="nil"/>
            </w:tcBorders>
            <w:shd w:val="clear" w:color="000000" w:fill="F5DADD"/>
            <w:noWrap/>
            <w:vAlign w:val="bottom"/>
            <w:hideMark/>
          </w:tcPr>
          <w:p w:rsidR="008D6098" w:rsidRPr="00074CFC" w:rsidRDefault="008D6098" w:rsidP="00305387">
            <w:pPr>
              <w:spacing w:after="0" w:line="240" w:lineRule="auto"/>
              <w:jc w:val="center"/>
              <w:rPr>
                <w:rFonts w:cs="Arial"/>
                <w:b/>
                <w:bCs/>
                <w:sz w:val="16"/>
                <w:szCs w:val="16"/>
              </w:rPr>
            </w:pPr>
            <w:r w:rsidRPr="00074CFC">
              <w:rPr>
                <w:rFonts w:cs="Arial"/>
                <w:b/>
                <w:bCs/>
                <w:sz w:val="16"/>
                <w:szCs w:val="16"/>
              </w:rPr>
              <w:t>2014</w:t>
            </w:r>
          </w:p>
        </w:tc>
      </w:tr>
      <w:tr w:rsidR="008D6098" w:rsidRPr="00074CFC" w:rsidTr="00305387">
        <w:trPr>
          <w:trHeight w:val="240"/>
        </w:trPr>
        <w:tc>
          <w:tcPr>
            <w:tcW w:w="1426"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rPr>
                <w:rFonts w:cs="Arial"/>
                <w:sz w:val="16"/>
                <w:szCs w:val="16"/>
              </w:rPr>
            </w:pPr>
            <w:r w:rsidRPr="00074CFC">
              <w:rPr>
                <w:rFonts w:cs="Arial"/>
                <w:sz w:val="16"/>
                <w:szCs w:val="16"/>
              </w:rPr>
              <w:t>EU-28</w:t>
            </w:r>
          </w:p>
        </w:tc>
        <w:tc>
          <w:tcPr>
            <w:tcW w:w="822"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29,5</w:t>
            </w:r>
          </w:p>
        </w:tc>
        <w:tc>
          <w:tcPr>
            <w:tcW w:w="822"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29,6</w:t>
            </w:r>
          </w:p>
        </w:tc>
        <w:tc>
          <w:tcPr>
            <w:tcW w:w="822"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29,7</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29,7</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29,8</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29,9</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30,1</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30,1</w:t>
            </w:r>
          </w:p>
        </w:tc>
        <w:tc>
          <w:tcPr>
            <w:tcW w:w="821" w:type="dxa"/>
            <w:tcBorders>
              <w:top w:val="nil"/>
              <w:left w:val="nil"/>
              <w:bottom w:val="nil"/>
              <w:right w:val="nil"/>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30,3</w:t>
            </w:r>
          </w:p>
        </w:tc>
        <w:tc>
          <w:tcPr>
            <w:tcW w:w="821" w:type="dxa"/>
            <w:tcBorders>
              <w:top w:val="nil"/>
              <w:left w:val="single" w:sz="4" w:space="0" w:color="auto"/>
              <w:bottom w:val="nil"/>
              <w:right w:val="nil"/>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30,4</w:t>
            </w:r>
          </w:p>
        </w:tc>
      </w:tr>
      <w:tr w:rsidR="008D6098" w:rsidRPr="00074CFC" w:rsidTr="00305387">
        <w:trPr>
          <w:trHeight w:val="240"/>
        </w:trPr>
        <w:tc>
          <w:tcPr>
            <w:tcW w:w="1426"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rPr>
                <w:rFonts w:cs="Arial"/>
                <w:sz w:val="16"/>
                <w:szCs w:val="16"/>
              </w:rPr>
            </w:pPr>
            <w:r w:rsidRPr="00074CFC">
              <w:rPr>
                <w:rFonts w:cs="Arial"/>
                <w:sz w:val="16"/>
                <w:szCs w:val="16"/>
              </w:rPr>
              <w:t>Azerbajdžán</w:t>
            </w:r>
          </w:p>
        </w:tc>
        <w:tc>
          <w:tcPr>
            <w:tcW w:w="822"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w:t>
            </w:r>
          </w:p>
        </w:tc>
        <w:tc>
          <w:tcPr>
            <w:tcW w:w="822"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26,1</w:t>
            </w:r>
          </w:p>
        </w:tc>
        <w:tc>
          <w:tcPr>
            <w:tcW w:w="822"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26,0</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26,1</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26,1</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25,9</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25,8</w:t>
            </w:r>
          </w:p>
        </w:tc>
        <w:tc>
          <w:tcPr>
            <w:tcW w:w="821" w:type="dxa"/>
            <w:tcBorders>
              <w:top w:val="nil"/>
              <w:left w:val="nil"/>
              <w:bottom w:val="nil"/>
              <w:right w:val="nil"/>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25,8</w:t>
            </w:r>
          </w:p>
        </w:tc>
        <w:tc>
          <w:tcPr>
            <w:tcW w:w="821" w:type="dxa"/>
            <w:tcBorders>
              <w:top w:val="nil"/>
              <w:left w:val="single" w:sz="4" w:space="0" w:color="auto"/>
              <w:bottom w:val="nil"/>
              <w:right w:val="nil"/>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25,6</w:t>
            </w:r>
          </w:p>
        </w:tc>
      </w:tr>
      <w:tr w:rsidR="008D6098" w:rsidRPr="00074CFC" w:rsidTr="00305387">
        <w:trPr>
          <w:trHeight w:val="240"/>
        </w:trPr>
        <w:tc>
          <w:tcPr>
            <w:tcW w:w="1426"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rPr>
                <w:rFonts w:cs="Arial"/>
                <w:sz w:val="16"/>
                <w:szCs w:val="16"/>
              </w:rPr>
            </w:pPr>
            <w:r w:rsidRPr="00074CFC">
              <w:rPr>
                <w:rFonts w:cs="Arial"/>
                <w:sz w:val="16"/>
                <w:szCs w:val="16"/>
              </w:rPr>
              <w:t>Belgie</w:t>
            </w:r>
          </w:p>
        </w:tc>
        <w:tc>
          <w:tcPr>
            <w:tcW w:w="822"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29,3</w:t>
            </w:r>
          </w:p>
        </w:tc>
        <w:tc>
          <w:tcPr>
            <w:tcW w:w="822"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29,4</w:t>
            </w:r>
          </w:p>
        </w:tc>
        <w:tc>
          <w:tcPr>
            <w:tcW w:w="822"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29,5</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29,6</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29,6</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29,8</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29,9</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30,0</w:t>
            </w:r>
          </w:p>
        </w:tc>
        <w:tc>
          <w:tcPr>
            <w:tcW w:w="821" w:type="dxa"/>
            <w:tcBorders>
              <w:top w:val="nil"/>
              <w:left w:val="nil"/>
              <w:bottom w:val="nil"/>
              <w:right w:val="nil"/>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30,2</w:t>
            </w:r>
          </w:p>
        </w:tc>
        <w:tc>
          <w:tcPr>
            <w:tcW w:w="821" w:type="dxa"/>
            <w:tcBorders>
              <w:top w:val="nil"/>
              <w:left w:val="single" w:sz="4" w:space="0" w:color="auto"/>
              <w:bottom w:val="nil"/>
              <w:right w:val="nil"/>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30,3</w:t>
            </w:r>
          </w:p>
        </w:tc>
      </w:tr>
      <w:tr w:rsidR="008D6098" w:rsidRPr="00074CFC" w:rsidTr="00305387">
        <w:trPr>
          <w:trHeight w:val="240"/>
        </w:trPr>
        <w:tc>
          <w:tcPr>
            <w:tcW w:w="1426"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rPr>
                <w:rFonts w:cs="Arial"/>
                <w:sz w:val="16"/>
                <w:szCs w:val="16"/>
              </w:rPr>
            </w:pPr>
            <w:r w:rsidRPr="00074CFC">
              <w:rPr>
                <w:rFonts w:cs="Arial"/>
                <w:sz w:val="16"/>
                <w:szCs w:val="16"/>
              </w:rPr>
              <w:t>Bělorusko</w:t>
            </w:r>
          </w:p>
        </w:tc>
        <w:tc>
          <w:tcPr>
            <w:tcW w:w="822"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w:t>
            </w:r>
          </w:p>
        </w:tc>
        <w:tc>
          <w:tcPr>
            <w:tcW w:w="822"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26,6</w:t>
            </w:r>
          </w:p>
        </w:tc>
        <w:tc>
          <w:tcPr>
            <w:tcW w:w="822"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26,9</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27,0</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27,5</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27,5</w:t>
            </w:r>
          </w:p>
        </w:tc>
        <w:tc>
          <w:tcPr>
            <w:tcW w:w="821" w:type="dxa"/>
            <w:tcBorders>
              <w:top w:val="nil"/>
              <w:left w:val="nil"/>
              <w:bottom w:val="nil"/>
              <w:right w:val="nil"/>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27,8</w:t>
            </w:r>
          </w:p>
        </w:tc>
        <w:tc>
          <w:tcPr>
            <w:tcW w:w="821" w:type="dxa"/>
            <w:tcBorders>
              <w:top w:val="nil"/>
              <w:left w:val="single" w:sz="4" w:space="0" w:color="auto"/>
              <w:bottom w:val="nil"/>
              <w:right w:val="nil"/>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28,0</w:t>
            </w:r>
          </w:p>
        </w:tc>
      </w:tr>
      <w:tr w:rsidR="008D6098" w:rsidRPr="00074CFC" w:rsidTr="00305387">
        <w:trPr>
          <w:trHeight w:val="240"/>
        </w:trPr>
        <w:tc>
          <w:tcPr>
            <w:tcW w:w="1426"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rPr>
                <w:rFonts w:cs="Arial"/>
                <w:sz w:val="16"/>
                <w:szCs w:val="16"/>
              </w:rPr>
            </w:pPr>
            <w:r w:rsidRPr="00074CFC">
              <w:rPr>
                <w:rFonts w:cs="Arial"/>
                <w:sz w:val="16"/>
                <w:szCs w:val="16"/>
              </w:rPr>
              <w:t>Bulharsko</w:t>
            </w:r>
          </w:p>
        </w:tc>
        <w:tc>
          <w:tcPr>
            <w:tcW w:w="822"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25,9</w:t>
            </w:r>
          </w:p>
        </w:tc>
        <w:tc>
          <w:tcPr>
            <w:tcW w:w="822"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26,1</w:t>
            </w:r>
          </w:p>
        </w:tc>
        <w:tc>
          <w:tcPr>
            <w:tcW w:w="822"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26,4</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26,5</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26,7</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27,0</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27,1</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27,1</w:t>
            </w:r>
          </w:p>
        </w:tc>
        <w:tc>
          <w:tcPr>
            <w:tcW w:w="821" w:type="dxa"/>
            <w:tcBorders>
              <w:top w:val="nil"/>
              <w:left w:val="nil"/>
              <w:bottom w:val="nil"/>
              <w:right w:val="nil"/>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27,1</w:t>
            </w:r>
          </w:p>
        </w:tc>
        <w:tc>
          <w:tcPr>
            <w:tcW w:w="821" w:type="dxa"/>
            <w:tcBorders>
              <w:top w:val="nil"/>
              <w:left w:val="single" w:sz="4" w:space="0" w:color="auto"/>
              <w:bottom w:val="nil"/>
              <w:right w:val="nil"/>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27,3</w:t>
            </w:r>
          </w:p>
        </w:tc>
      </w:tr>
      <w:tr w:rsidR="008D6098" w:rsidRPr="00074CFC" w:rsidTr="00305387">
        <w:trPr>
          <w:trHeight w:val="240"/>
        </w:trPr>
        <w:tc>
          <w:tcPr>
            <w:tcW w:w="1426"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rPr>
                <w:rFonts w:cs="Arial"/>
                <w:sz w:val="16"/>
                <w:szCs w:val="16"/>
              </w:rPr>
            </w:pPr>
            <w:r w:rsidRPr="00074CFC">
              <w:rPr>
                <w:rFonts w:cs="Arial"/>
                <w:sz w:val="16"/>
                <w:szCs w:val="16"/>
              </w:rPr>
              <w:t>Česko</w:t>
            </w:r>
            <w:r>
              <w:rPr>
                <w:rFonts w:cs="Arial"/>
                <w:sz w:val="16"/>
                <w:szCs w:val="16"/>
              </w:rPr>
              <w:t>*</w:t>
            </w:r>
          </w:p>
        </w:tc>
        <w:tc>
          <w:tcPr>
            <w:tcW w:w="822"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28,6</w:t>
            </w:r>
          </w:p>
        </w:tc>
        <w:tc>
          <w:tcPr>
            <w:tcW w:w="822"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28,9</w:t>
            </w:r>
          </w:p>
        </w:tc>
        <w:tc>
          <w:tcPr>
            <w:tcW w:w="822"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29,1</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29,3</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29,4</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29,6</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29,7</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29,8</w:t>
            </w:r>
          </w:p>
        </w:tc>
        <w:tc>
          <w:tcPr>
            <w:tcW w:w="821" w:type="dxa"/>
            <w:tcBorders>
              <w:top w:val="nil"/>
              <w:left w:val="nil"/>
              <w:bottom w:val="nil"/>
              <w:right w:val="nil"/>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29,9</w:t>
            </w:r>
          </w:p>
        </w:tc>
        <w:tc>
          <w:tcPr>
            <w:tcW w:w="821" w:type="dxa"/>
            <w:tcBorders>
              <w:top w:val="nil"/>
              <w:left w:val="single" w:sz="4" w:space="0" w:color="auto"/>
              <w:bottom w:val="nil"/>
              <w:right w:val="nil"/>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29,9</w:t>
            </w:r>
          </w:p>
        </w:tc>
      </w:tr>
      <w:tr w:rsidR="008D6098" w:rsidRPr="00074CFC" w:rsidTr="00305387">
        <w:trPr>
          <w:trHeight w:val="240"/>
        </w:trPr>
        <w:tc>
          <w:tcPr>
            <w:tcW w:w="1426"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rPr>
                <w:rFonts w:cs="Arial"/>
                <w:sz w:val="16"/>
                <w:szCs w:val="16"/>
              </w:rPr>
            </w:pPr>
            <w:r w:rsidRPr="00074CFC">
              <w:rPr>
                <w:rFonts w:cs="Arial"/>
                <w:sz w:val="16"/>
                <w:szCs w:val="16"/>
              </w:rPr>
              <w:t>Dánsko</w:t>
            </w:r>
          </w:p>
        </w:tc>
        <w:tc>
          <w:tcPr>
            <w:tcW w:w="822"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30,2</w:t>
            </w:r>
          </w:p>
        </w:tc>
        <w:tc>
          <w:tcPr>
            <w:tcW w:w="822"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30,3</w:t>
            </w:r>
          </w:p>
        </w:tc>
        <w:tc>
          <w:tcPr>
            <w:tcW w:w="822"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30,4</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30,4</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30,5</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30,6</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30,7</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30,7</w:t>
            </w:r>
          </w:p>
        </w:tc>
        <w:tc>
          <w:tcPr>
            <w:tcW w:w="821" w:type="dxa"/>
            <w:tcBorders>
              <w:top w:val="nil"/>
              <w:left w:val="nil"/>
              <w:bottom w:val="nil"/>
              <w:right w:val="nil"/>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30,8</w:t>
            </w:r>
          </w:p>
        </w:tc>
        <w:tc>
          <w:tcPr>
            <w:tcW w:w="821" w:type="dxa"/>
            <w:tcBorders>
              <w:top w:val="nil"/>
              <w:left w:val="single" w:sz="4" w:space="0" w:color="auto"/>
              <w:bottom w:val="nil"/>
              <w:right w:val="nil"/>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30,9</w:t>
            </w:r>
          </w:p>
        </w:tc>
      </w:tr>
      <w:tr w:rsidR="008D6098" w:rsidRPr="00074CFC" w:rsidTr="00305387">
        <w:trPr>
          <w:trHeight w:val="240"/>
        </w:trPr>
        <w:tc>
          <w:tcPr>
            <w:tcW w:w="1426"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rPr>
                <w:rFonts w:cs="Arial"/>
                <w:sz w:val="16"/>
                <w:szCs w:val="16"/>
              </w:rPr>
            </w:pPr>
            <w:r w:rsidRPr="00074CFC">
              <w:rPr>
                <w:rFonts w:cs="Arial"/>
                <w:sz w:val="16"/>
                <w:szCs w:val="16"/>
              </w:rPr>
              <w:t>Estonsko</w:t>
            </w:r>
          </w:p>
        </w:tc>
        <w:tc>
          <w:tcPr>
            <w:tcW w:w="822"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28,1</w:t>
            </w:r>
          </w:p>
        </w:tc>
        <w:tc>
          <w:tcPr>
            <w:tcW w:w="822"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28,2</w:t>
            </w:r>
          </w:p>
        </w:tc>
        <w:tc>
          <w:tcPr>
            <w:tcW w:w="822"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28,4</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28,7</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28,9</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29,2</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29,5</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29,6</w:t>
            </w:r>
          </w:p>
        </w:tc>
        <w:tc>
          <w:tcPr>
            <w:tcW w:w="821" w:type="dxa"/>
            <w:tcBorders>
              <w:top w:val="nil"/>
              <w:left w:val="nil"/>
              <w:bottom w:val="nil"/>
              <w:right w:val="nil"/>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29,5</w:t>
            </w:r>
          </w:p>
        </w:tc>
        <w:tc>
          <w:tcPr>
            <w:tcW w:w="821" w:type="dxa"/>
            <w:tcBorders>
              <w:top w:val="nil"/>
              <w:left w:val="single" w:sz="4" w:space="0" w:color="auto"/>
              <w:bottom w:val="nil"/>
              <w:right w:val="nil"/>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29,6</w:t>
            </w:r>
          </w:p>
        </w:tc>
      </w:tr>
      <w:tr w:rsidR="008D6098" w:rsidRPr="00074CFC" w:rsidTr="00305387">
        <w:trPr>
          <w:trHeight w:val="240"/>
        </w:trPr>
        <w:tc>
          <w:tcPr>
            <w:tcW w:w="1426"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rPr>
                <w:rFonts w:cs="Arial"/>
                <w:sz w:val="16"/>
                <w:szCs w:val="16"/>
              </w:rPr>
            </w:pPr>
            <w:r w:rsidRPr="00074CFC">
              <w:rPr>
                <w:rFonts w:cs="Arial"/>
                <w:sz w:val="16"/>
                <w:szCs w:val="16"/>
              </w:rPr>
              <w:t>Finsko</w:t>
            </w:r>
          </w:p>
        </w:tc>
        <w:tc>
          <w:tcPr>
            <w:tcW w:w="822"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29,9</w:t>
            </w:r>
          </w:p>
        </w:tc>
        <w:tc>
          <w:tcPr>
            <w:tcW w:w="822"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30,0</w:t>
            </w:r>
          </w:p>
        </w:tc>
        <w:tc>
          <w:tcPr>
            <w:tcW w:w="822"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30,0</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30,1</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30,1</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30,2</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30,3</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30,4</w:t>
            </w:r>
          </w:p>
        </w:tc>
        <w:tc>
          <w:tcPr>
            <w:tcW w:w="821" w:type="dxa"/>
            <w:tcBorders>
              <w:top w:val="nil"/>
              <w:left w:val="nil"/>
              <w:bottom w:val="nil"/>
              <w:right w:val="nil"/>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30,5</w:t>
            </w:r>
          </w:p>
        </w:tc>
        <w:tc>
          <w:tcPr>
            <w:tcW w:w="821" w:type="dxa"/>
            <w:tcBorders>
              <w:top w:val="nil"/>
              <w:left w:val="single" w:sz="4" w:space="0" w:color="auto"/>
              <w:bottom w:val="nil"/>
              <w:right w:val="nil"/>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30,5</w:t>
            </w:r>
          </w:p>
        </w:tc>
      </w:tr>
      <w:tr w:rsidR="008D6098" w:rsidRPr="00074CFC" w:rsidTr="00305387">
        <w:trPr>
          <w:trHeight w:val="240"/>
        </w:trPr>
        <w:tc>
          <w:tcPr>
            <w:tcW w:w="1426"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rPr>
                <w:rFonts w:cs="Arial"/>
                <w:sz w:val="16"/>
                <w:szCs w:val="16"/>
              </w:rPr>
            </w:pPr>
            <w:r w:rsidRPr="00074CFC">
              <w:rPr>
                <w:rFonts w:cs="Arial"/>
                <w:sz w:val="16"/>
                <w:szCs w:val="16"/>
              </w:rPr>
              <w:t>Francie</w:t>
            </w:r>
          </w:p>
        </w:tc>
        <w:tc>
          <w:tcPr>
            <w:tcW w:w="822"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29,7</w:t>
            </w:r>
          </w:p>
        </w:tc>
        <w:tc>
          <w:tcPr>
            <w:tcW w:w="822"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29,7</w:t>
            </w:r>
          </w:p>
        </w:tc>
        <w:tc>
          <w:tcPr>
            <w:tcW w:w="822"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29,8</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29,8</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29,9</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30,0</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30,0</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30,1</w:t>
            </w:r>
          </w:p>
        </w:tc>
        <w:tc>
          <w:tcPr>
            <w:tcW w:w="821" w:type="dxa"/>
            <w:tcBorders>
              <w:top w:val="nil"/>
              <w:left w:val="nil"/>
              <w:bottom w:val="nil"/>
              <w:right w:val="nil"/>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30,2</w:t>
            </w:r>
          </w:p>
        </w:tc>
        <w:tc>
          <w:tcPr>
            <w:tcW w:w="821" w:type="dxa"/>
            <w:tcBorders>
              <w:top w:val="nil"/>
              <w:left w:val="single" w:sz="4" w:space="0" w:color="auto"/>
              <w:bottom w:val="nil"/>
              <w:right w:val="nil"/>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30,3</w:t>
            </w:r>
          </w:p>
        </w:tc>
      </w:tr>
      <w:tr w:rsidR="008D6098" w:rsidRPr="00074CFC" w:rsidTr="00305387">
        <w:trPr>
          <w:trHeight w:val="240"/>
        </w:trPr>
        <w:tc>
          <w:tcPr>
            <w:tcW w:w="1426"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rPr>
                <w:rFonts w:cs="Arial"/>
                <w:sz w:val="16"/>
                <w:szCs w:val="16"/>
              </w:rPr>
            </w:pPr>
            <w:r w:rsidRPr="00074CFC">
              <w:rPr>
                <w:rFonts w:cs="Arial"/>
                <w:sz w:val="16"/>
                <w:szCs w:val="16"/>
              </w:rPr>
              <w:t>Gruzie</w:t>
            </w:r>
          </w:p>
        </w:tc>
        <w:tc>
          <w:tcPr>
            <w:tcW w:w="822"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w:t>
            </w:r>
          </w:p>
        </w:tc>
        <w:tc>
          <w:tcPr>
            <w:tcW w:w="822"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26,1</w:t>
            </w:r>
          </w:p>
        </w:tc>
        <w:tc>
          <w:tcPr>
            <w:tcW w:w="822"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26,2</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26,2</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26,2</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26,4</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w:t>
            </w:r>
          </w:p>
        </w:tc>
        <w:tc>
          <w:tcPr>
            <w:tcW w:w="821" w:type="dxa"/>
            <w:tcBorders>
              <w:top w:val="nil"/>
              <w:left w:val="nil"/>
              <w:bottom w:val="nil"/>
              <w:right w:val="nil"/>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w:t>
            </w:r>
          </w:p>
        </w:tc>
        <w:tc>
          <w:tcPr>
            <w:tcW w:w="821" w:type="dxa"/>
            <w:tcBorders>
              <w:top w:val="nil"/>
              <w:left w:val="single" w:sz="4" w:space="0" w:color="auto"/>
              <w:bottom w:val="nil"/>
              <w:right w:val="nil"/>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27,0</w:t>
            </w:r>
          </w:p>
        </w:tc>
      </w:tr>
      <w:tr w:rsidR="008D6098" w:rsidRPr="00074CFC" w:rsidTr="00305387">
        <w:trPr>
          <w:trHeight w:val="240"/>
        </w:trPr>
        <w:tc>
          <w:tcPr>
            <w:tcW w:w="1426"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rPr>
                <w:rFonts w:cs="Arial"/>
                <w:sz w:val="16"/>
                <w:szCs w:val="16"/>
              </w:rPr>
            </w:pPr>
            <w:r w:rsidRPr="00074CFC">
              <w:rPr>
                <w:rFonts w:cs="Arial"/>
                <w:sz w:val="16"/>
                <w:szCs w:val="16"/>
              </w:rPr>
              <w:t>Chorvatsko</w:t>
            </w:r>
          </w:p>
        </w:tc>
        <w:tc>
          <w:tcPr>
            <w:tcW w:w="822"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28,3</w:t>
            </w:r>
          </w:p>
        </w:tc>
        <w:tc>
          <w:tcPr>
            <w:tcW w:w="822"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28,5</w:t>
            </w:r>
          </w:p>
        </w:tc>
        <w:tc>
          <w:tcPr>
            <w:tcW w:w="822"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28,6</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28,7</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28,9</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29,2</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29,3</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29,4</w:t>
            </w:r>
          </w:p>
        </w:tc>
        <w:tc>
          <w:tcPr>
            <w:tcW w:w="821" w:type="dxa"/>
            <w:tcBorders>
              <w:top w:val="nil"/>
              <w:left w:val="nil"/>
              <w:bottom w:val="nil"/>
              <w:right w:val="nil"/>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29,6</w:t>
            </w:r>
          </w:p>
        </w:tc>
        <w:tc>
          <w:tcPr>
            <w:tcW w:w="821" w:type="dxa"/>
            <w:tcBorders>
              <w:top w:val="nil"/>
              <w:left w:val="single" w:sz="4" w:space="0" w:color="auto"/>
              <w:bottom w:val="nil"/>
              <w:right w:val="nil"/>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29,8</w:t>
            </w:r>
          </w:p>
        </w:tc>
      </w:tr>
      <w:tr w:rsidR="008D6098" w:rsidRPr="00074CFC" w:rsidTr="00305387">
        <w:trPr>
          <w:trHeight w:val="240"/>
        </w:trPr>
        <w:tc>
          <w:tcPr>
            <w:tcW w:w="1426"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rPr>
                <w:rFonts w:cs="Arial"/>
                <w:sz w:val="16"/>
                <w:szCs w:val="16"/>
              </w:rPr>
            </w:pPr>
            <w:r w:rsidRPr="00074CFC">
              <w:rPr>
                <w:rFonts w:cs="Arial"/>
                <w:sz w:val="16"/>
                <w:szCs w:val="16"/>
              </w:rPr>
              <w:t>Irsko</w:t>
            </w:r>
          </w:p>
        </w:tc>
        <w:tc>
          <w:tcPr>
            <w:tcW w:w="822"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31,2</w:t>
            </w:r>
          </w:p>
        </w:tc>
        <w:tc>
          <w:tcPr>
            <w:tcW w:w="822"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31,2</w:t>
            </w:r>
          </w:p>
        </w:tc>
        <w:tc>
          <w:tcPr>
            <w:tcW w:w="822"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31,3</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31,3</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31,4</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31,4</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31,5</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31,5</w:t>
            </w:r>
          </w:p>
        </w:tc>
        <w:tc>
          <w:tcPr>
            <w:tcW w:w="821" w:type="dxa"/>
            <w:tcBorders>
              <w:top w:val="nil"/>
              <w:left w:val="nil"/>
              <w:bottom w:val="nil"/>
              <w:right w:val="nil"/>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31,6</w:t>
            </w:r>
          </w:p>
        </w:tc>
        <w:tc>
          <w:tcPr>
            <w:tcW w:w="821" w:type="dxa"/>
            <w:tcBorders>
              <w:top w:val="nil"/>
              <w:left w:val="single" w:sz="4" w:space="0" w:color="auto"/>
              <w:bottom w:val="nil"/>
              <w:right w:val="nil"/>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31,6</w:t>
            </w:r>
          </w:p>
        </w:tc>
      </w:tr>
      <w:tr w:rsidR="008D6098" w:rsidRPr="00074CFC" w:rsidTr="00305387">
        <w:trPr>
          <w:trHeight w:val="240"/>
        </w:trPr>
        <w:tc>
          <w:tcPr>
            <w:tcW w:w="1426"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rPr>
                <w:rFonts w:cs="Arial"/>
                <w:sz w:val="16"/>
                <w:szCs w:val="16"/>
              </w:rPr>
            </w:pPr>
            <w:r w:rsidRPr="00074CFC">
              <w:rPr>
                <w:rFonts w:cs="Arial"/>
                <w:sz w:val="16"/>
                <w:szCs w:val="16"/>
              </w:rPr>
              <w:t>Island</w:t>
            </w:r>
          </w:p>
        </w:tc>
        <w:tc>
          <w:tcPr>
            <w:tcW w:w="822"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29,4</w:t>
            </w:r>
          </w:p>
        </w:tc>
        <w:tc>
          <w:tcPr>
            <w:tcW w:w="822"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29,5</w:t>
            </w:r>
          </w:p>
        </w:tc>
        <w:tc>
          <w:tcPr>
            <w:tcW w:w="822"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29,6</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29,8</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29,9</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30,0</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30,1</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30,1</w:t>
            </w:r>
          </w:p>
        </w:tc>
        <w:tc>
          <w:tcPr>
            <w:tcW w:w="821" w:type="dxa"/>
            <w:tcBorders>
              <w:top w:val="nil"/>
              <w:left w:val="nil"/>
              <w:bottom w:val="nil"/>
              <w:right w:val="nil"/>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30,4</w:t>
            </w:r>
          </w:p>
        </w:tc>
        <w:tc>
          <w:tcPr>
            <w:tcW w:w="821" w:type="dxa"/>
            <w:tcBorders>
              <w:top w:val="nil"/>
              <w:left w:val="single" w:sz="4" w:space="0" w:color="auto"/>
              <w:bottom w:val="nil"/>
              <w:right w:val="nil"/>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30,2</w:t>
            </w:r>
          </w:p>
        </w:tc>
      </w:tr>
      <w:tr w:rsidR="008D6098" w:rsidRPr="00074CFC" w:rsidTr="00305387">
        <w:trPr>
          <w:trHeight w:val="240"/>
        </w:trPr>
        <w:tc>
          <w:tcPr>
            <w:tcW w:w="1426"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rPr>
                <w:rFonts w:cs="Arial"/>
                <w:sz w:val="16"/>
                <w:szCs w:val="16"/>
              </w:rPr>
            </w:pPr>
            <w:r w:rsidRPr="00074CFC">
              <w:rPr>
                <w:rFonts w:cs="Arial"/>
                <w:sz w:val="16"/>
                <w:szCs w:val="16"/>
              </w:rPr>
              <w:t>Itálie</w:t>
            </w:r>
          </w:p>
        </w:tc>
        <w:tc>
          <w:tcPr>
            <w:tcW w:w="822"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30,9</w:t>
            </w:r>
          </w:p>
        </w:tc>
        <w:tc>
          <w:tcPr>
            <w:tcW w:w="822"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31,0</w:t>
            </w:r>
          </w:p>
        </w:tc>
        <w:tc>
          <w:tcPr>
            <w:tcW w:w="822"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31,0</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31,1</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31,2</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31,3</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31,4</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31,4</w:t>
            </w:r>
          </w:p>
        </w:tc>
        <w:tc>
          <w:tcPr>
            <w:tcW w:w="821" w:type="dxa"/>
            <w:tcBorders>
              <w:top w:val="nil"/>
              <w:left w:val="nil"/>
              <w:bottom w:val="nil"/>
              <w:right w:val="nil"/>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31,5</w:t>
            </w:r>
          </w:p>
        </w:tc>
        <w:tc>
          <w:tcPr>
            <w:tcW w:w="821" w:type="dxa"/>
            <w:tcBorders>
              <w:top w:val="nil"/>
              <w:left w:val="single" w:sz="4" w:space="0" w:color="auto"/>
              <w:bottom w:val="nil"/>
              <w:right w:val="nil"/>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31,5</w:t>
            </w:r>
          </w:p>
        </w:tc>
      </w:tr>
      <w:tr w:rsidR="008D6098" w:rsidRPr="00074CFC" w:rsidTr="00305387">
        <w:trPr>
          <w:trHeight w:val="240"/>
        </w:trPr>
        <w:tc>
          <w:tcPr>
            <w:tcW w:w="1426"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rPr>
                <w:rFonts w:cs="Arial"/>
                <w:sz w:val="16"/>
                <w:szCs w:val="16"/>
              </w:rPr>
            </w:pPr>
            <w:r w:rsidRPr="00074CFC">
              <w:rPr>
                <w:rFonts w:cs="Arial"/>
                <w:sz w:val="16"/>
                <w:szCs w:val="16"/>
              </w:rPr>
              <w:t>Kypr</w:t>
            </w:r>
          </w:p>
        </w:tc>
        <w:tc>
          <w:tcPr>
            <w:tcW w:w="822"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29,5</w:t>
            </w:r>
          </w:p>
        </w:tc>
        <w:tc>
          <w:tcPr>
            <w:tcW w:w="822"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29,8</w:t>
            </w:r>
          </w:p>
        </w:tc>
        <w:tc>
          <w:tcPr>
            <w:tcW w:w="822"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30,0</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30,1</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30,3</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30,4</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30,5</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30,6</w:t>
            </w:r>
          </w:p>
        </w:tc>
        <w:tc>
          <w:tcPr>
            <w:tcW w:w="821" w:type="dxa"/>
            <w:tcBorders>
              <w:top w:val="nil"/>
              <w:left w:val="nil"/>
              <w:bottom w:val="nil"/>
              <w:right w:val="nil"/>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30,9</w:t>
            </w:r>
          </w:p>
        </w:tc>
        <w:tc>
          <w:tcPr>
            <w:tcW w:w="821" w:type="dxa"/>
            <w:tcBorders>
              <w:top w:val="nil"/>
              <w:left w:val="single" w:sz="4" w:space="0" w:color="auto"/>
              <w:bottom w:val="nil"/>
              <w:right w:val="nil"/>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31,0</w:t>
            </w:r>
          </w:p>
        </w:tc>
      </w:tr>
      <w:tr w:rsidR="008D6098" w:rsidRPr="00074CFC" w:rsidTr="00305387">
        <w:trPr>
          <w:trHeight w:val="240"/>
        </w:trPr>
        <w:tc>
          <w:tcPr>
            <w:tcW w:w="1426"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rPr>
                <w:rFonts w:cs="Arial"/>
                <w:sz w:val="16"/>
                <w:szCs w:val="16"/>
              </w:rPr>
            </w:pPr>
            <w:r w:rsidRPr="00074CFC">
              <w:rPr>
                <w:rFonts w:cs="Arial"/>
                <w:sz w:val="16"/>
                <w:szCs w:val="16"/>
              </w:rPr>
              <w:t>Litva</w:t>
            </w:r>
          </w:p>
        </w:tc>
        <w:tc>
          <w:tcPr>
            <w:tcW w:w="822"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27,5</w:t>
            </w:r>
          </w:p>
        </w:tc>
        <w:tc>
          <w:tcPr>
            <w:tcW w:w="822"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27,6</w:t>
            </w:r>
          </w:p>
        </w:tc>
        <w:tc>
          <w:tcPr>
            <w:tcW w:w="822"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27,8</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28,1</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28,5</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28,9</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28,9</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29,0</w:t>
            </w:r>
          </w:p>
        </w:tc>
        <w:tc>
          <w:tcPr>
            <w:tcW w:w="821" w:type="dxa"/>
            <w:tcBorders>
              <w:top w:val="nil"/>
              <w:left w:val="nil"/>
              <w:bottom w:val="nil"/>
              <w:right w:val="nil"/>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29,2</w:t>
            </w:r>
          </w:p>
        </w:tc>
        <w:tc>
          <w:tcPr>
            <w:tcW w:w="821" w:type="dxa"/>
            <w:tcBorders>
              <w:top w:val="nil"/>
              <w:left w:val="single" w:sz="4" w:space="0" w:color="auto"/>
              <w:bottom w:val="nil"/>
              <w:right w:val="nil"/>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29,4</w:t>
            </w:r>
          </w:p>
        </w:tc>
      </w:tr>
      <w:tr w:rsidR="008D6098" w:rsidRPr="00074CFC" w:rsidTr="00305387">
        <w:trPr>
          <w:trHeight w:val="240"/>
        </w:trPr>
        <w:tc>
          <w:tcPr>
            <w:tcW w:w="1426"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rPr>
                <w:rFonts w:cs="Arial"/>
                <w:sz w:val="16"/>
                <w:szCs w:val="16"/>
              </w:rPr>
            </w:pPr>
            <w:r w:rsidRPr="00074CFC">
              <w:rPr>
                <w:rFonts w:cs="Arial"/>
                <w:sz w:val="16"/>
                <w:szCs w:val="16"/>
              </w:rPr>
              <w:t>Lotyšsko</w:t>
            </w:r>
          </w:p>
        </w:tc>
        <w:tc>
          <w:tcPr>
            <w:tcW w:w="822"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27,7</w:t>
            </w:r>
          </w:p>
        </w:tc>
        <w:tc>
          <w:tcPr>
            <w:tcW w:w="822"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27,8</w:t>
            </w:r>
          </w:p>
        </w:tc>
        <w:tc>
          <w:tcPr>
            <w:tcW w:w="822"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27,9</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28,1</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28,4</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28,6</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28,7</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28,8</w:t>
            </w:r>
          </w:p>
        </w:tc>
        <w:tc>
          <w:tcPr>
            <w:tcW w:w="821" w:type="dxa"/>
            <w:tcBorders>
              <w:top w:val="nil"/>
              <w:left w:val="nil"/>
              <w:bottom w:val="nil"/>
              <w:right w:val="nil"/>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29,0</w:t>
            </w:r>
          </w:p>
        </w:tc>
        <w:tc>
          <w:tcPr>
            <w:tcW w:w="821" w:type="dxa"/>
            <w:tcBorders>
              <w:top w:val="nil"/>
              <w:left w:val="single" w:sz="4" w:space="0" w:color="auto"/>
              <w:bottom w:val="nil"/>
              <w:right w:val="nil"/>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29,2</w:t>
            </w:r>
          </w:p>
        </w:tc>
      </w:tr>
      <w:tr w:rsidR="008D6098" w:rsidRPr="00074CFC" w:rsidTr="00305387">
        <w:trPr>
          <w:trHeight w:val="240"/>
        </w:trPr>
        <w:tc>
          <w:tcPr>
            <w:tcW w:w="1426"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rPr>
                <w:rFonts w:cs="Arial"/>
                <w:sz w:val="16"/>
                <w:szCs w:val="16"/>
              </w:rPr>
            </w:pPr>
            <w:r w:rsidRPr="00074CFC">
              <w:rPr>
                <w:rFonts w:cs="Arial"/>
                <w:sz w:val="16"/>
                <w:szCs w:val="16"/>
              </w:rPr>
              <w:t>Maďarsko</w:t>
            </w:r>
          </w:p>
        </w:tc>
        <w:tc>
          <w:tcPr>
            <w:tcW w:w="822"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28,4</w:t>
            </w:r>
          </w:p>
        </w:tc>
        <w:tc>
          <w:tcPr>
            <w:tcW w:w="822"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28,7</w:t>
            </w:r>
          </w:p>
        </w:tc>
        <w:tc>
          <w:tcPr>
            <w:tcW w:w="822"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28,8</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28,9</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29,1</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29,3</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29,4</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29,4</w:t>
            </w:r>
          </w:p>
        </w:tc>
        <w:tc>
          <w:tcPr>
            <w:tcW w:w="821" w:type="dxa"/>
            <w:tcBorders>
              <w:top w:val="nil"/>
              <w:left w:val="nil"/>
              <w:bottom w:val="nil"/>
              <w:right w:val="nil"/>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29,5</w:t>
            </w:r>
          </w:p>
        </w:tc>
        <w:tc>
          <w:tcPr>
            <w:tcW w:w="821" w:type="dxa"/>
            <w:tcBorders>
              <w:top w:val="nil"/>
              <w:left w:val="single" w:sz="4" w:space="0" w:color="auto"/>
              <w:bottom w:val="nil"/>
              <w:right w:val="nil"/>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29,5</w:t>
            </w:r>
          </w:p>
        </w:tc>
      </w:tr>
      <w:tr w:rsidR="008D6098" w:rsidRPr="00074CFC" w:rsidTr="00305387">
        <w:trPr>
          <w:trHeight w:val="240"/>
        </w:trPr>
        <w:tc>
          <w:tcPr>
            <w:tcW w:w="1426"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rPr>
                <w:rFonts w:cs="Arial"/>
                <w:sz w:val="16"/>
                <w:szCs w:val="16"/>
              </w:rPr>
            </w:pPr>
            <w:r w:rsidRPr="00074CFC">
              <w:rPr>
                <w:rFonts w:cs="Arial"/>
                <w:sz w:val="16"/>
                <w:szCs w:val="16"/>
              </w:rPr>
              <w:t>Moldavsko</w:t>
            </w:r>
          </w:p>
        </w:tc>
        <w:tc>
          <w:tcPr>
            <w:tcW w:w="822"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w:t>
            </w:r>
          </w:p>
        </w:tc>
        <w:tc>
          <w:tcPr>
            <w:tcW w:w="822"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26,3</w:t>
            </w:r>
          </w:p>
        </w:tc>
        <w:tc>
          <w:tcPr>
            <w:tcW w:w="822"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26,4</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26,6</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26,7</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26,7</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26,8</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26,9</w:t>
            </w:r>
          </w:p>
        </w:tc>
        <w:tc>
          <w:tcPr>
            <w:tcW w:w="821" w:type="dxa"/>
            <w:tcBorders>
              <w:top w:val="nil"/>
              <w:left w:val="nil"/>
              <w:bottom w:val="nil"/>
              <w:right w:val="nil"/>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w:t>
            </w:r>
          </w:p>
        </w:tc>
        <w:tc>
          <w:tcPr>
            <w:tcW w:w="821" w:type="dxa"/>
            <w:tcBorders>
              <w:top w:val="nil"/>
              <w:left w:val="single" w:sz="4" w:space="0" w:color="auto"/>
              <w:bottom w:val="nil"/>
              <w:right w:val="nil"/>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w:t>
            </w:r>
          </w:p>
        </w:tc>
      </w:tr>
      <w:tr w:rsidR="008D6098" w:rsidRPr="00074CFC" w:rsidTr="00305387">
        <w:trPr>
          <w:trHeight w:val="240"/>
        </w:trPr>
        <w:tc>
          <w:tcPr>
            <w:tcW w:w="1426"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rPr>
                <w:rFonts w:cs="Arial"/>
                <w:sz w:val="16"/>
                <w:szCs w:val="16"/>
              </w:rPr>
            </w:pPr>
            <w:r w:rsidRPr="00074CFC">
              <w:rPr>
                <w:rFonts w:cs="Arial"/>
                <w:sz w:val="16"/>
                <w:szCs w:val="16"/>
              </w:rPr>
              <w:t>Německo</w:t>
            </w:r>
          </w:p>
        </w:tc>
        <w:tc>
          <w:tcPr>
            <w:tcW w:w="822"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29,5</w:t>
            </w:r>
          </w:p>
        </w:tc>
        <w:tc>
          <w:tcPr>
            <w:tcW w:w="822"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29,7</w:t>
            </w:r>
          </w:p>
        </w:tc>
        <w:tc>
          <w:tcPr>
            <w:tcW w:w="822"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29,9</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30,1</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30,2</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30,4</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30,5</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30,6</w:t>
            </w:r>
          </w:p>
        </w:tc>
        <w:tc>
          <w:tcPr>
            <w:tcW w:w="821" w:type="dxa"/>
            <w:tcBorders>
              <w:top w:val="nil"/>
              <w:left w:val="nil"/>
              <w:bottom w:val="nil"/>
              <w:right w:val="nil"/>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30,8</w:t>
            </w:r>
          </w:p>
        </w:tc>
        <w:tc>
          <w:tcPr>
            <w:tcW w:w="821" w:type="dxa"/>
            <w:tcBorders>
              <w:top w:val="nil"/>
              <w:left w:val="single" w:sz="4" w:space="0" w:color="auto"/>
              <w:bottom w:val="nil"/>
              <w:right w:val="nil"/>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30,9</w:t>
            </w:r>
          </w:p>
        </w:tc>
      </w:tr>
      <w:tr w:rsidR="008D6098" w:rsidRPr="00074CFC" w:rsidTr="00305387">
        <w:trPr>
          <w:trHeight w:val="240"/>
        </w:trPr>
        <w:tc>
          <w:tcPr>
            <w:tcW w:w="1426"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rPr>
                <w:rFonts w:cs="Arial"/>
                <w:sz w:val="16"/>
                <w:szCs w:val="16"/>
              </w:rPr>
            </w:pPr>
            <w:r w:rsidRPr="00074CFC">
              <w:rPr>
                <w:rFonts w:cs="Arial"/>
                <w:sz w:val="16"/>
                <w:szCs w:val="16"/>
              </w:rPr>
              <w:t>Nizozemsko</w:t>
            </w:r>
          </w:p>
        </w:tc>
        <w:tc>
          <w:tcPr>
            <w:tcW w:w="822"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30,6</w:t>
            </w:r>
          </w:p>
        </w:tc>
        <w:tc>
          <w:tcPr>
            <w:tcW w:w="822"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30,6</w:t>
            </w:r>
          </w:p>
        </w:tc>
        <w:tc>
          <w:tcPr>
            <w:tcW w:w="822"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30,6</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30,7</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30,7</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30,8</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30,9</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30,9</w:t>
            </w:r>
          </w:p>
        </w:tc>
        <w:tc>
          <w:tcPr>
            <w:tcW w:w="821" w:type="dxa"/>
            <w:tcBorders>
              <w:top w:val="nil"/>
              <w:left w:val="nil"/>
              <w:bottom w:val="nil"/>
              <w:right w:val="nil"/>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31,0</w:t>
            </w:r>
          </w:p>
        </w:tc>
        <w:tc>
          <w:tcPr>
            <w:tcW w:w="821" w:type="dxa"/>
            <w:tcBorders>
              <w:top w:val="nil"/>
              <w:left w:val="single" w:sz="4" w:space="0" w:color="auto"/>
              <w:bottom w:val="nil"/>
              <w:right w:val="nil"/>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31,1</w:t>
            </w:r>
          </w:p>
        </w:tc>
      </w:tr>
      <w:tr w:rsidR="008D6098" w:rsidRPr="00074CFC" w:rsidTr="00305387">
        <w:trPr>
          <w:trHeight w:val="240"/>
        </w:trPr>
        <w:tc>
          <w:tcPr>
            <w:tcW w:w="1426"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rPr>
                <w:rFonts w:cs="Arial"/>
                <w:sz w:val="16"/>
                <w:szCs w:val="16"/>
              </w:rPr>
            </w:pPr>
            <w:r w:rsidRPr="00074CFC">
              <w:rPr>
                <w:rFonts w:cs="Arial"/>
                <w:sz w:val="16"/>
                <w:szCs w:val="16"/>
              </w:rPr>
              <w:t>Norsko</w:t>
            </w:r>
          </w:p>
        </w:tc>
        <w:tc>
          <w:tcPr>
            <w:tcW w:w="822"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29,8</w:t>
            </w:r>
          </w:p>
        </w:tc>
        <w:tc>
          <w:tcPr>
            <w:tcW w:w="822"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29,8</w:t>
            </w:r>
          </w:p>
        </w:tc>
        <w:tc>
          <w:tcPr>
            <w:tcW w:w="822"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29,9</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29,9</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30,0</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30,1</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30,3</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30,3</w:t>
            </w:r>
          </w:p>
        </w:tc>
        <w:tc>
          <w:tcPr>
            <w:tcW w:w="821" w:type="dxa"/>
            <w:tcBorders>
              <w:top w:val="nil"/>
              <w:left w:val="nil"/>
              <w:bottom w:val="nil"/>
              <w:right w:val="nil"/>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30,5</w:t>
            </w:r>
          </w:p>
        </w:tc>
        <w:tc>
          <w:tcPr>
            <w:tcW w:w="821" w:type="dxa"/>
            <w:tcBorders>
              <w:top w:val="nil"/>
              <w:left w:val="single" w:sz="4" w:space="0" w:color="auto"/>
              <w:bottom w:val="nil"/>
              <w:right w:val="nil"/>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30,6</w:t>
            </w:r>
          </w:p>
        </w:tc>
      </w:tr>
      <w:tr w:rsidR="008D6098" w:rsidRPr="00074CFC" w:rsidTr="00305387">
        <w:trPr>
          <w:trHeight w:val="240"/>
        </w:trPr>
        <w:tc>
          <w:tcPr>
            <w:tcW w:w="1426"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rPr>
                <w:rFonts w:cs="Arial"/>
                <w:sz w:val="16"/>
                <w:szCs w:val="16"/>
              </w:rPr>
            </w:pPr>
            <w:r w:rsidRPr="00074CFC">
              <w:rPr>
                <w:rFonts w:cs="Arial"/>
                <w:sz w:val="16"/>
                <w:szCs w:val="16"/>
              </w:rPr>
              <w:t>Polsko</w:t>
            </w:r>
          </w:p>
        </w:tc>
        <w:tc>
          <w:tcPr>
            <w:tcW w:w="822"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28,2</w:t>
            </w:r>
          </w:p>
        </w:tc>
        <w:tc>
          <w:tcPr>
            <w:tcW w:w="822"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28,3</w:t>
            </w:r>
          </w:p>
        </w:tc>
        <w:tc>
          <w:tcPr>
            <w:tcW w:w="822"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28,4</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28,5</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28,6</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28,8</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28,9</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28,9</w:t>
            </w:r>
          </w:p>
        </w:tc>
        <w:tc>
          <w:tcPr>
            <w:tcW w:w="821" w:type="dxa"/>
            <w:tcBorders>
              <w:top w:val="nil"/>
              <w:left w:val="nil"/>
              <w:bottom w:val="nil"/>
              <w:right w:val="nil"/>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29,0</w:t>
            </w:r>
          </w:p>
        </w:tc>
        <w:tc>
          <w:tcPr>
            <w:tcW w:w="821" w:type="dxa"/>
            <w:tcBorders>
              <w:top w:val="nil"/>
              <w:left w:val="single" w:sz="4" w:space="0" w:color="auto"/>
              <w:bottom w:val="nil"/>
              <w:right w:val="nil"/>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29,1</w:t>
            </w:r>
          </w:p>
        </w:tc>
      </w:tr>
      <w:tr w:rsidR="008D6098" w:rsidRPr="00074CFC" w:rsidTr="00305387">
        <w:trPr>
          <w:trHeight w:val="240"/>
        </w:trPr>
        <w:tc>
          <w:tcPr>
            <w:tcW w:w="1426"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rPr>
                <w:rFonts w:cs="Arial"/>
                <w:sz w:val="16"/>
                <w:szCs w:val="16"/>
              </w:rPr>
            </w:pPr>
            <w:r w:rsidRPr="00074CFC">
              <w:rPr>
                <w:rFonts w:cs="Arial"/>
                <w:sz w:val="16"/>
                <w:szCs w:val="16"/>
              </w:rPr>
              <w:t>Portugalsko</w:t>
            </w:r>
          </w:p>
        </w:tc>
        <w:tc>
          <w:tcPr>
            <w:tcW w:w="822"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29,3</w:t>
            </w:r>
          </w:p>
        </w:tc>
        <w:tc>
          <w:tcPr>
            <w:tcW w:w="822"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29,4</w:t>
            </w:r>
          </w:p>
        </w:tc>
        <w:tc>
          <w:tcPr>
            <w:tcW w:w="822"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29,4</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29,6</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29,7</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29,8</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30,1</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30,2</w:t>
            </w:r>
          </w:p>
        </w:tc>
        <w:tc>
          <w:tcPr>
            <w:tcW w:w="821" w:type="dxa"/>
            <w:tcBorders>
              <w:top w:val="nil"/>
              <w:left w:val="nil"/>
              <w:bottom w:val="nil"/>
              <w:right w:val="nil"/>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30,4</w:t>
            </w:r>
          </w:p>
        </w:tc>
        <w:tc>
          <w:tcPr>
            <w:tcW w:w="821" w:type="dxa"/>
            <w:tcBorders>
              <w:top w:val="nil"/>
              <w:left w:val="single" w:sz="4" w:space="0" w:color="auto"/>
              <w:bottom w:val="nil"/>
              <w:right w:val="nil"/>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30,7</w:t>
            </w:r>
          </w:p>
        </w:tc>
      </w:tr>
      <w:tr w:rsidR="008D6098" w:rsidRPr="00074CFC" w:rsidTr="00305387">
        <w:trPr>
          <w:trHeight w:val="240"/>
        </w:trPr>
        <w:tc>
          <w:tcPr>
            <w:tcW w:w="1426"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rPr>
                <w:rFonts w:cs="Arial"/>
                <w:sz w:val="16"/>
                <w:szCs w:val="16"/>
              </w:rPr>
            </w:pPr>
            <w:r w:rsidRPr="00074CFC">
              <w:rPr>
                <w:rFonts w:cs="Arial"/>
                <w:sz w:val="16"/>
                <w:szCs w:val="16"/>
              </w:rPr>
              <w:t>Rakousko</w:t>
            </w:r>
          </w:p>
        </w:tc>
        <w:tc>
          <w:tcPr>
            <w:tcW w:w="822"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29,0</w:t>
            </w:r>
          </w:p>
        </w:tc>
        <w:tc>
          <w:tcPr>
            <w:tcW w:w="822"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29,2</w:t>
            </w:r>
          </w:p>
        </w:tc>
        <w:tc>
          <w:tcPr>
            <w:tcW w:w="822"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29,4</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29,5</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29,7</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29,8</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30,0</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30,2</w:t>
            </w:r>
          </w:p>
        </w:tc>
        <w:tc>
          <w:tcPr>
            <w:tcW w:w="821" w:type="dxa"/>
            <w:tcBorders>
              <w:top w:val="nil"/>
              <w:left w:val="nil"/>
              <w:bottom w:val="nil"/>
              <w:right w:val="nil"/>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30,3</w:t>
            </w:r>
          </w:p>
        </w:tc>
        <w:tc>
          <w:tcPr>
            <w:tcW w:w="821" w:type="dxa"/>
            <w:tcBorders>
              <w:top w:val="nil"/>
              <w:left w:val="single" w:sz="4" w:space="0" w:color="auto"/>
              <w:bottom w:val="nil"/>
              <w:right w:val="nil"/>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30,4</w:t>
            </w:r>
          </w:p>
        </w:tc>
      </w:tr>
      <w:tr w:rsidR="008D6098" w:rsidRPr="00074CFC" w:rsidTr="00305387">
        <w:trPr>
          <w:trHeight w:val="240"/>
        </w:trPr>
        <w:tc>
          <w:tcPr>
            <w:tcW w:w="1426"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rPr>
                <w:rFonts w:cs="Arial"/>
                <w:sz w:val="16"/>
                <w:szCs w:val="16"/>
              </w:rPr>
            </w:pPr>
            <w:r w:rsidRPr="00074CFC">
              <w:rPr>
                <w:rFonts w:cs="Arial"/>
                <w:sz w:val="16"/>
                <w:szCs w:val="16"/>
              </w:rPr>
              <w:t>Rumunsko</w:t>
            </w:r>
          </w:p>
        </w:tc>
        <w:tc>
          <w:tcPr>
            <w:tcW w:w="822"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26,7</w:t>
            </w:r>
          </w:p>
        </w:tc>
        <w:tc>
          <w:tcPr>
            <w:tcW w:w="822"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26,8</w:t>
            </w:r>
          </w:p>
        </w:tc>
        <w:tc>
          <w:tcPr>
            <w:tcW w:w="822"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26,8</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26,7</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26,8</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27,0</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27,1</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27,2</w:t>
            </w:r>
          </w:p>
        </w:tc>
        <w:tc>
          <w:tcPr>
            <w:tcW w:w="821" w:type="dxa"/>
            <w:tcBorders>
              <w:top w:val="nil"/>
              <w:left w:val="nil"/>
              <w:bottom w:val="nil"/>
              <w:right w:val="nil"/>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27,5</w:t>
            </w:r>
          </w:p>
        </w:tc>
        <w:tc>
          <w:tcPr>
            <w:tcW w:w="821" w:type="dxa"/>
            <w:tcBorders>
              <w:top w:val="nil"/>
              <w:left w:val="single" w:sz="4" w:space="0" w:color="auto"/>
              <w:bottom w:val="nil"/>
              <w:right w:val="nil"/>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27,5</w:t>
            </w:r>
          </w:p>
        </w:tc>
      </w:tr>
      <w:tr w:rsidR="008D6098" w:rsidRPr="00074CFC" w:rsidTr="00305387">
        <w:trPr>
          <w:trHeight w:val="240"/>
        </w:trPr>
        <w:tc>
          <w:tcPr>
            <w:tcW w:w="1426"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rPr>
                <w:rFonts w:cs="Arial"/>
                <w:sz w:val="16"/>
                <w:szCs w:val="16"/>
              </w:rPr>
            </w:pPr>
            <w:r w:rsidRPr="00074CFC">
              <w:rPr>
                <w:rFonts w:cs="Arial"/>
                <w:sz w:val="16"/>
                <w:szCs w:val="16"/>
              </w:rPr>
              <w:t>Rusko</w:t>
            </w:r>
          </w:p>
        </w:tc>
        <w:tc>
          <w:tcPr>
            <w:tcW w:w="822"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w:t>
            </w:r>
          </w:p>
        </w:tc>
        <w:tc>
          <w:tcPr>
            <w:tcW w:w="822"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26,6</w:t>
            </w:r>
          </w:p>
        </w:tc>
        <w:tc>
          <w:tcPr>
            <w:tcW w:w="822"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27,0</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27,2</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27,4</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27,7</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w:t>
            </w:r>
          </w:p>
        </w:tc>
        <w:tc>
          <w:tcPr>
            <w:tcW w:w="821" w:type="dxa"/>
            <w:tcBorders>
              <w:top w:val="nil"/>
              <w:left w:val="nil"/>
              <w:bottom w:val="nil"/>
              <w:right w:val="nil"/>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w:t>
            </w:r>
          </w:p>
        </w:tc>
        <w:tc>
          <w:tcPr>
            <w:tcW w:w="821" w:type="dxa"/>
            <w:tcBorders>
              <w:top w:val="nil"/>
              <w:left w:val="single" w:sz="4" w:space="0" w:color="auto"/>
              <w:bottom w:val="nil"/>
              <w:right w:val="nil"/>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w:t>
            </w:r>
          </w:p>
        </w:tc>
      </w:tr>
      <w:tr w:rsidR="008D6098" w:rsidRPr="00074CFC" w:rsidTr="00305387">
        <w:trPr>
          <w:trHeight w:val="240"/>
        </w:trPr>
        <w:tc>
          <w:tcPr>
            <w:tcW w:w="1426"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rPr>
                <w:rFonts w:cs="Arial"/>
                <w:sz w:val="16"/>
                <w:szCs w:val="16"/>
              </w:rPr>
            </w:pPr>
            <w:r w:rsidRPr="00074CFC">
              <w:rPr>
                <w:rFonts w:cs="Arial"/>
                <w:sz w:val="16"/>
                <w:szCs w:val="16"/>
              </w:rPr>
              <w:t>Řecko</w:t>
            </w:r>
          </w:p>
        </w:tc>
        <w:tc>
          <w:tcPr>
            <w:tcW w:w="822"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29,9</w:t>
            </w:r>
          </w:p>
        </w:tc>
        <w:tc>
          <w:tcPr>
            <w:tcW w:w="822"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30,0</w:t>
            </w:r>
          </w:p>
        </w:tc>
        <w:tc>
          <w:tcPr>
            <w:tcW w:w="822"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30,1</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30,2</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30,4</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30,4</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30,5</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30,7</w:t>
            </w:r>
          </w:p>
        </w:tc>
        <w:tc>
          <w:tcPr>
            <w:tcW w:w="821" w:type="dxa"/>
            <w:tcBorders>
              <w:top w:val="nil"/>
              <w:left w:val="nil"/>
              <w:bottom w:val="nil"/>
              <w:right w:val="nil"/>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30,9</w:t>
            </w:r>
          </w:p>
        </w:tc>
        <w:tc>
          <w:tcPr>
            <w:tcW w:w="821" w:type="dxa"/>
            <w:tcBorders>
              <w:top w:val="nil"/>
              <w:left w:val="single" w:sz="4" w:space="0" w:color="auto"/>
              <w:bottom w:val="nil"/>
              <w:right w:val="nil"/>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31,1</w:t>
            </w:r>
          </w:p>
        </w:tc>
      </w:tr>
      <w:tr w:rsidR="008D6098" w:rsidRPr="00074CFC" w:rsidTr="00305387">
        <w:trPr>
          <w:trHeight w:val="240"/>
        </w:trPr>
        <w:tc>
          <w:tcPr>
            <w:tcW w:w="1426"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rPr>
                <w:rFonts w:cs="Arial"/>
                <w:sz w:val="16"/>
                <w:szCs w:val="16"/>
              </w:rPr>
            </w:pPr>
            <w:r w:rsidRPr="00074CFC">
              <w:rPr>
                <w:rFonts w:cs="Arial"/>
                <w:sz w:val="16"/>
                <w:szCs w:val="16"/>
              </w:rPr>
              <w:t>Slovensko</w:t>
            </w:r>
          </w:p>
        </w:tc>
        <w:tc>
          <w:tcPr>
            <w:tcW w:w="822"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27,7</w:t>
            </w:r>
          </w:p>
        </w:tc>
        <w:tc>
          <w:tcPr>
            <w:tcW w:w="822"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27,9</w:t>
            </w:r>
          </w:p>
        </w:tc>
        <w:tc>
          <w:tcPr>
            <w:tcW w:w="822"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28,1</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28,3</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28,5</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28,6</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28,9</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28,7</w:t>
            </w:r>
          </w:p>
        </w:tc>
        <w:tc>
          <w:tcPr>
            <w:tcW w:w="821" w:type="dxa"/>
            <w:tcBorders>
              <w:top w:val="nil"/>
              <w:left w:val="nil"/>
              <w:bottom w:val="nil"/>
              <w:right w:val="nil"/>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28,8</w:t>
            </w:r>
          </w:p>
        </w:tc>
        <w:tc>
          <w:tcPr>
            <w:tcW w:w="821" w:type="dxa"/>
            <w:tcBorders>
              <w:top w:val="nil"/>
              <w:left w:val="single" w:sz="4" w:space="0" w:color="auto"/>
              <w:bottom w:val="nil"/>
              <w:right w:val="nil"/>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28,8</w:t>
            </w:r>
          </w:p>
        </w:tc>
      </w:tr>
      <w:tr w:rsidR="008D6098" w:rsidRPr="00074CFC" w:rsidTr="00305387">
        <w:trPr>
          <w:trHeight w:val="240"/>
        </w:trPr>
        <w:tc>
          <w:tcPr>
            <w:tcW w:w="1426"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rPr>
                <w:rFonts w:cs="Arial"/>
                <w:sz w:val="16"/>
                <w:szCs w:val="16"/>
              </w:rPr>
            </w:pPr>
            <w:r w:rsidRPr="00074CFC">
              <w:rPr>
                <w:rFonts w:cs="Arial"/>
                <w:sz w:val="16"/>
                <w:szCs w:val="16"/>
              </w:rPr>
              <w:t>Slovinsko</w:t>
            </w:r>
          </w:p>
        </w:tc>
        <w:tc>
          <w:tcPr>
            <w:tcW w:w="822"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29,4</w:t>
            </w:r>
          </w:p>
        </w:tc>
        <w:tc>
          <w:tcPr>
            <w:tcW w:w="822"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29,6</w:t>
            </w:r>
          </w:p>
        </w:tc>
        <w:tc>
          <w:tcPr>
            <w:tcW w:w="822"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29,8</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29,9</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30,0</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30,1</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30,1</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30,1</w:t>
            </w:r>
          </w:p>
        </w:tc>
        <w:tc>
          <w:tcPr>
            <w:tcW w:w="821" w:type="dxa"/>
            <w:tcBorders>
              <w:top w:val="nil"/>
              <w:left w:val="nil"/>
              <w:bottom w:val="nil"/>
              <w:right w:val="nil"/>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30,1</w:t>
            </w:r>
          </w:p>
        </w:tc>
        <w:tc>
          <w:tcPr>
            <w:tcW w:w="821" w:type="dxa"/>
            <w:tcBorders>
              <w:top w:val="nil"/>
              <w:left w:val="single" w:sz="4" w:space="0" w:color="auto"/>
              <w:bottom w:val="nil"/>
              <w:right w:val="nil"/>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30,2</w:t>
            </w:r>
          </w:p>
        </w:tc>
      </w:tr>
      <w:tr w:rsidR="008D6098" w:rsidRPr="00074CFC" w:rsidTr="00305387">
        <w:trPr>
          <w:trHeight w:val="240"/>
        </w:trPr>
        <w:tc>
          <w:tcPr>
            <w:tcW w:w="1426"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rPr>
                <w:rFonts w:cs="Arial"/>
                <w:sz w:val="16"/>
                <w:szCs w:val="16"/>
              </w:rPr>
            </w:pPr>
            <w:r w:rsidRPr="00074CFC">
              <w:rPr>
                <w:rFonts w:cs="Arial"/>
                <w:sz w:val="16"/>
                <w:szCs w:val="16"/>
              </w:rPr>
              <w:t>Španělsko</w:t>
            </w:r>
          </w:p>
        </w:tc>
        <w:tc>
          <w:tcPr>
            <w:tcW w:w="822"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30,9</w:t>
            </w:r>
          </w:p>
        </w:tc>
        <w:tc>
          <w:tcPr>
            <w:tcW w:w="822"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30,9</w:t>
            </w:r>
          </w:p>
        </w:tc>
        <w:tc>
          <w:tcPr>
            <w:tcW w:w="822"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30,8</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30,8</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31,0</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31,2</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31,4</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31,6</w:t>
            </w:r>
          </w:p>
        </w:tc>
        <w:tc>
          <w:tcPr>
            <w:tcW w:w="821" w:type="dxa"/>
            <w:tcBorders>
              <w:top w:val="nil"/>
              <w:left w:val="nil"/>
              <w:bottom w:val="nil"/>
              <w:right w:val="nil"/>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31,7</w:t>
            </w:r>
          </w:p>
        </w:tc>
        <w:tc>
          <w:tcPr>
            <w:tcW w:w="821" w:type="dxa"/>
            <w:tcBorders>
              <w:top w:val="nil"/>
              <w:left w:val="single" w:sz="4" w:space="0" w:color="auto"/>
              <w:bottom w:val="nil"/>
              <w:right w:val="nil"/>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31,8</w:t>
            </w:r>
          </w:p>
        </w:tc>
      </w:tr>
      <w:tr w:rsidR="008D6098" w:rsidRPr="00074CFC" w:rsidTr="00305387">
        <w:trPr>
          <w:trHeight w:val="240"/>
        </w:trPr>
        <w:tc>
          <w:tcPr>
            <w:tcW w:w="1426"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rPr>
                <w:rFonts w:cs="Arial"/>
                <w:sz w:val="16"/>
                <w:szCs w:val="16"/>
              </w:rPr>
            </w:pPr>
            <w:r w:rsidRPr="00074CFC">
              <w:rPr>
                <w:rFonts w:cs="Arial"/>
                <w:sz w:val="16"/>
                <w:szCs w:val="16"/>
              </w:rPr>
              <w:t>Švédsko</w:t>
            </w:r>
          </w:p>
        </w:tc>
        <w:tc>
          <w:tcPr>
            <w:tcW w:w="822"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30,5</w:t>
            </w:r>
          </w:p>
        </w:tc>
        <w:tc>
          <w:tcPr>
            <w:tcW w:w="822"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30,6</w:t>
            </w:r>
          </w:p>
        </w:tc>
        <w:tc>
          <w:tcPr>
            <w:tcW w:w="822"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30,6</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30,6</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30,7</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30,7</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30,8</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30,9</w:t>
            </w:r>
          </w:p>
        </w:tc>
        <w:tc>
          <w:tcPr>
            <w:tcW w:w="821" w:type="dxa"/>
            <w:tcBorders>
              <w:top w:val="nil"/>
              <w:left w:val="nil"/>
              <w:bottom w:val="nil"/>
              <w:right w:val="nil"/>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30,9</w:t>
            </w:r>
          </w:p>
        </w:tc>
        <w:tc>
          <w:tcPr>
            <w:tcW w:w="821" w:type="dxa"/>
            <w:tcBorders>
              <w:top w:val="nil"/>
              <w:left w:val="single" w:sz="4" w:space="0" w:color="auto"/>
              <w:bottom w:val="nil"/>
              <w:right w:val="nil"/>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31,0</w:t>
            </w:r>
          </w:p>
        </w:tc>
      </w:tr>
      <w:tr w:rsidR="008D6098" w:rsidRPr="00074CFC" w:rsidTr="00305387">
        <w:trPr>
          <w:trHeight w:val="240"/>
        </w:trPr>
        <w:tc>
          <w:tcPr>
            <w:tcW w:w="1426"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rPr>
                <w:rFonts w:cs="Arial"/>
                <w:sz w:val="16"/>
                <w:szCs w:val="16"/>
              </w:rPr>
            </w:pPr>
            <w:r w:rsidRPr="00074CFC">
              <w:rPr>
                <w:rFonts w:cs="Arial"/>
                <w:sz w:val="16"/>
                <w:szCs w:val="16"/>
              </w:rPr>
              <w:t>Švýcarsko</w:t>
            </w:r>
          </w:p>
        </w:tc>
        <w:tc>
          <w:tcPr>
            <w:tcW w:w="822"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30,6</w:t>
            </w:r>
          </w:p>
        </w:tc>
        <w:tc>
          <w:tcPr>
            <w:tcW w:w="822"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30,7</w:t>
            </w:r>
          </w:p>
        </w:tc>
        <w:tc>
          <w:tcPr>
            <w:tcW w:w="822"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30,9</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31,0</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31,2</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31,2</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31,4</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31,5</w:t>
            </w:r>
          </w:p>
        </w:tc>
        <w:tc>
          <w:tcPr>
            <w:tcW w:w="821" w:type="dxa"/>
            <w:tcBorders>
              <w:top w:val="nil"/>
              <w:left w:val="nil"/>
              <w:bottom w:val="nil"/>
              <w:right w:val="nil"/>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31,6</w:t>
            </w:r>
          </w:p>
        </w:tc>
        <w:tc>
          <w:tcPr>
            <w:tcW w:w="821" w:type="dxa"/>
            <w:tcBorders>
              <w:top w:val="nil"/>
              <w:left w:val="single" w:sz="4" w:space="0" w:color="auto"/>
              <w:bottom w:val="nil"/>
              <w:right w:val="nil"/>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31,8</w:t>
            </w:r>
          </w:p>
        </w:tc>
      </w:tr>
      <w:tr w:rsidR="008D6098" w:rsidRPr="00074CFC" w:rsidTr="00305387">
        <w:trPr>
          <w:trHeight w:val="240"/>
        </w:trPr>
        <w:tc>
          <w:tcPr>
            <w:tcW w:w="1426"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rPr>
                <w:rFonts w:cs="Arial"/>
                <w:sz w:val="16"/>
                <w:szCs w:val="16"/>
              </w:rPr>
            </w:pPr>
            <w:r w:rsidRPr="00074CFC">
              <w:rPr>
                <w:rFonts w:cs="Arial"/>
                <w:sz w:val="16"/>
                <w:szCs w:val="16"/>
              </w:rPr>
              <w:t>Ukrajina</w:t>
            </w:r>
          </w:p>
        </w:tc>
        <w:tc>
          <w:tcPr>
            <w:tcW w:w="822"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w:t>
            </w:r>
          </w:p>
        </w:tc>
        <w:tc>
          <w:tcPr>
            <w:tcW w:w="822"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26,2</w:t>
            </w:r>
          </w:p>
        </w:tc>
        <w:tc>
          <w:tcPr>
            <w:tcW w:w="822"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26,4</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26,5</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27,0</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27,2</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27,2</w:t>
            </w:r>
          </w:p>
        </w:tc>
        <w:tc>
          <w:tcPr>
            <w:tcW w:w="821" w:type="dxa"/>
            <w:tcBorders>
              <w:top w:val="nil"/>
              <w:left w:val="nil"/>
              <w:bottom w:val="nil"/>
              <w:right w:val="nil"/>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w:t>
            </w:r>
          </w:p>
        </w:tc>
        <w:tc>
          <w:tcPr>
            <w:tcW w:w="821" w:type="dxa"/>
            <w:tcBorders>
              <w:top w:val="nil"/>
              <w:left w:val="single" w:sz="4" w:space="0" w:color="auto"/>
              <w:bottom w:val="nil"/>
              <w:right w:val="nil"/>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27,4</w:t>
            </w:r>
          </w:p>
        </w:tc>
      </w:tr>
      <w:tr w:rsidR="008D6098" w:rsidRPr="00074CFC" w:rsidTr="00305387">
        <w:trPr>
          <w:trHeight w:val="240"/>
        </w:trPr>
        <w:tc>
          <w:tcPr>
            <w:tcW w:w="1426"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rPr>
                <w:rFonts w:cs="Arial"/>
                <w:sz w:val="16"/>
                <w:szCs w:val="16"/>
              </w:rPr>
            </w:pPr>
            <w:r w:rsidRPr="00074CFC">
              <w:rPr>
                <w:rFonts w:cs="Arial"/>
                <w:sz w:val="16"/>
                <w:szCs w:val="16"/>
              </w:rPr>
              <w:t>Velká Británie</w:t>
            </w:r>
          </w:p>
        </w:tc>
        <w:tc>
          <w:tcPr>
            <w:tcW w:w="822"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29,1</w:t>
            </w:r>
          </w:p>
        </w:tc>
        <w:tc>
          <w:tcPr>
            <w:tcW w:w="822"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29,2</w:t>
            </w:r>
          </w:p>
        </w:tc>
        <w:tc>
          <w:tcPr>
            <w:tcW w:w="822"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29,3</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29,3</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29,4</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29,5</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29,7</w:t>
            </w:r>
          </w:p>
        </w:tc>
        <w:tc>
          <w:tcPr>
            <w:tcW w:w="821" w:type="dxa"/>
            <w:tcBorders>
              <w:top w:val="nil"/>
              <w:left w:val="nil"/>
              <w:bottom w:val="nil"/>
              <w:right w:val="single" w:sz="4" w:space="0" w:color="auto"/>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29,8</w:t>
            </w:r>
          </w:p>
        </w:tc>
        <w:tc>
          <w:tcPr>
            <w:tcW w:w="821" w:type="dxa"/>
            <w:tcBorders>
              <w:top w:val="nil"/>
              <w:left w:val="nil"/>
              <w:bottom w:val="nil"/>
              <w:right w:val="nil"/>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30,0</w:t>
            </w:r>
          </w:p>
        </w:tc>
        <w:tc>
          <w:tcPr>
            <w:tcW w:w="821" w:type="dxa"/>
            <w:tcBorders>
              <w:top w:val="nil"/>
              <w:left w:val="single" w:sz="4" w:space="0" w:color="auto"/>
              <w:bottom w:val="nil"/>
              <w:right w:val="nil"/>
            </w:tcBorders>
            <w:shd w:val="clear" w:color="000000" w:fill="FFFFFF"/>
            <w:noWrap/>
            <w:vAlign w:val="bottom"/>
            <w:hideMark/>
          </w:tcPr>
          <w:p w:rsidR="008D6098" w:rsidRPr="00074CFC" w:rsidRDefault="008D6098" w:rsidP="00305387">
            <w:pPr>
              <w:spacing w:after="0" w:line="240" w:lineRule="auto"/>
              <w:jc w:val="center"/>
              <w:rPr>
                <w:rFonts w:cs="Arial"/>
                <w:sz w:val="16"/>
                <w:szCs w:val="16"/>
              </w:rPr>
            </w:pPr>
            <w:r w:rsidRPr="00074CFC">
              <w:rPr>
                <w:rFonts w:cs="Arial"/>
                <w:sz w:val="16"/>
                <w:szCs w:val="16"/>
              </w:rPr>
              <w:t>30,2</w:t>
            </w:r>
          </w:p>
        </w:tc>
      </w:tr>
    </w:tbl>
    <w:p w:rsidR="008D6098" w:rsidRPr="00A513FA" w:rsidRDefault="008D6098" w:rsidP="008D6098">
      <w:pPr>
        <w:spacing w:before="60"/>
        <w:rPr>
          <w:rFonts w:cs="Arial"/>
          <w:i/>
          <w:sz w:val="16"/>
          <w:szCs w:val="16"/>
        </w:rPr>
      </w:pPr>
      <w:r w:rsidRPr="00A513FA">
        <w:rPr>
          <w:rFonts w:cs="Arial"/>
          <w:i/>
          <w:sz w:val="16"/>
          <w:szCs w:val="16"/>
        </w:rPr>
        <w:t>Zdroj dat: Eurostat database</w:t>
      </w:r>
      <w:r>
        <w:rPr>
          <w:rFonts w:cs="Arial"/>
          <w:i/>
          <w:sz w:val="16"/>
          <w:szCs w:val="16"/>
        </w:rPr>
        <w:t>; * Hodnoty za ČR se liší od hodnot ČSÚ, protože Eurostat používá pro výpočet jiné stavy obyvatelstva.</w:t>
      </w:r>
    </w:p>
    <w:p w:rsidR="008D6098" w:rsidRDefault="008D6098" w:rsidP="008D6098">
      <w:pPr>
        <w:rPr>
          <w:rFonts w:cs="Arial"/>
          <w:szCs w:val="20"/>
        </w:rPr>
      </w:pPr>
      <w:r>
        <w:rPr>
          <w:rFonts w:cs="Arial"/>
          <w:szCs w:val="20"/>
        </w:rPr>
        <w:lastRenderedPageBreak/>
        <w:t xml:space="preserve">Ze států mimo východní Evropu měly nejmladší matky v roce 2014 na Islandu, Velká Británii a Belgii (30,2–30,3 let). Jak ve státech severní a západní Evropy, tak i v její jižní části lze nalézt státy s nejstaršími rodičkami v Evropské unii. Průměrného věku 31 let a více v roce 2014 dosahovaly následující státy seřazené od nejvyšší hodnoty – Španělsko, Švýcarsko, Irsko, Itálie, Nizozemsko, Řecko, Kypr a Švédsko. </w:t>
      </w:r>
    </w:p>
    <w:p w:rsidR="008D6098" w:rsidRDefault="008D6098" w:rsidP="008D6098">
      <w:pPr>
        <w:pStyle w:val="Nadpis2"/>
      </w:pPr>
      <w:bookmarkStart w:id="4" w:name="_Toc468110184"/>
      <w:r>
        <w:t>6.3 Podíl dětí narozených mimo manželství</w:t>
      </w:r>
      <w:bookmarkEnd w:id="4"/>
    </w:p>
    <w:p w:rsidR="008D6098" w:rsidRDefault="008D6098" w:rsidP="008D6098">
      <w:pPr>
        <w:rPr>
          <w:rFonts w:cs="Arial"/>
          <w:szCs w:val="20"/>
        </w:rPr>
      </w:pPr>
      <w:r>
        <w:rPr>
          <w:rFonts w:cs="Arial"/>
          <w:szCs w:val="20"/>
        </w:rPr>
        <w:t xml:space="preserve">Zastoupení dětí narozených mimo manželství v celé Evropské unii vzrostlo z 32,9 % v roce 2005 na 40,0 % v roce 2012 (poslední dostupný rok za EU-28). Mezi státy byly patrné výrazné rozdíly, když variační rozpětí bylo po celé období nad 50 procentními body. Obecně nejnižší podíl dětí narozených mimo manželství lze nalézt ve státech jižní Evropy, zejména v Řecku (nárůst z 5,1 % na 8,2 % v poslední dekádě) a na </w:t>
      </w:r>
      <w:proofErr w:type="gramStart"/>
      <w:r>
        <w:rPr>
          <w:rFonts w:cs="Arial"/>
          <w:szCs w:val="20"/>
        </w:rPr>
        <w:t>Kypru (z 4,4</w:t>
      </w:r>
      <w:proofErr w:type="gramEnd"/>
      <w:r>
        <w:rPr>
          <w:rFonts w:cs="Arial"/>
          <w:szCs w:val="20"/>
        </w:rPr>
        <w:t xml:space="preserve"> % v roce 2005 na 18,6 % v roce 2012). Itálie a Španělsko zaznamenaly výrazný nárůst podílu z 15,2 % na 28,8 %, respektive z 26,5 % na 42,5 % mezi roky 2005 a 2014. </w:t>
      </w:r>
    </w:p>
    <w:p w:rsidR="008D6098" w:rsidRPr="00544EE1" w:rsidRDefault="008D6098" w:rsidP="008D6098">
      <w:pPr>
        <w:spacing w:after="60"/>
        <w:rPr>
          <w:rFonts w:cs="Arial"/>
          <w:b/>
          <w:szCs w:val="20"/>
        </w:rPr>
      </w:pPr>
      <w:r>
        <w:rPr>
          <w:rFonts w:cs="Arial"/>
          <w:b/>
          <w:szCs w:val="20"/>
        </w:rPr>
        <w:t>Tab. 19</w:t>
      </w:r>
      <w:r w:rsidRPr="00544EE1">
        <w:rPr>
          <w:rFonts w:cs="Arial"/>
          <w:b/>
          <w:szCs w:val="20"/>
        </w:rPr>
        <w:t xml:space="preserve"> Podíl dětí narozených mimo manželství v evropských zemích v letech 2005–2014</w:t>
      </w:r>
    </w:p>
    <w:tbl>
      <w:tblPr>
        <w:tblW w:w="9639" w:type="dxa"/>
        <w:tblCellMar>
          <w:left w:w="70" w:type="dxa"/>
          <w:right w:w="70" w:type="dxa"/>
        </w:tblCellMar>
        <w:tblLook w:val="04A0" w:firstRow="1" w:lastRow="0" w:firstColumn="1" w:lastColumn="0" w:noHBand="0" w:noVBand="1"/>
      </w:tblPr>
      <w:tblGrid>
        <w:gridCol w:w="1426"/>
        <w:gridCol w:w="822"/>
        <w:gridCol w:w="822"/>
        <w:gridCol w:w="822"/>
        <w:gridCol w:w="821"/>
        <w:gridCol w:w="821"/>
        <w:gridCol w:w="821"/>
        <w:gridCol w:w="821"/>
        <w:gridCol w:w="821"/>
        <w:gridCol w:w="821"/>
        <w:gridCol w:w="821"/>
      </w:tblGrid>
      <w:tr w:rsidR="008D6098" w:rsidRPr="00544EE1" w:rsidTr="00305387">
        <w:trPr>
          <w:trHeight w:val="240"/>
        </w:trPr>
        <w:tc>
          <w:tcPr>
            <w:tcW w:w="1426" w:type="dxa"/>
            <w:tcBorders>
              <w:top w:val="single" w:sz="4" w:space="0" w:color="auto"/>
              <w:left w:val="nil"/>
              <w:bottom w:val="single" w:sz="4" w:space="0" w:color="auto"/>
              <w:right w:val="single" w:sz="4" w:space="0" w:color="auto"/>
            </w:tcBorders>
            <w:shd w:val="clear" w:color="000000" w:fill="F5DADD"/>
            <w:noWrap/>
            <w:vAlign w:val="bottom"/>
            <w:hideMark/>
          </w:tcPr>
          <w:p w:rsidR="008D6098" w:rsidRPr="00544EE1" w:rsidRDefault="008D6098" w:rsidP="00305387">
            <w:pPr>
              <w:spacing w:after="0" w:line="240" w:lineRule="auto"/>
              <w:rPr>
                <w:rFonts w:cs="Arial"/>
                <w:b/>
                <w:bCs/>
                <w:sz w:val="16"/>
                <w:szCs w:val="16"/>
              </w:rPr>
            </w:pPr>
            <w:r w:rsidRPr="00544EE1">
              <w:rPr>
                <w:rFonts w:cs="Arial"/>
                <w:b/>
                <w:bCs/>
                <w:sz w:val="16"/>
                <w:szCs w:val="16"/>
              </w:rPr>
              <w:t>Země</w:t>
            </w:r>
          </w:p>
        </w:tc>
        <w:tc>
          <w:tcPr>
            <w:tcW w:w="822" w:type="dxa"/>
            <w:tcBorders>
              <w:top w:val="single" w:sz="4" w:space="0" w:color="auto"/>
              <w:left w:val="nil"/>
              <w:bottom w:val="single" w:sz="4" w:space="0" w:color="auto"/>
              <w:right w:val="single" w:sz="4" w:space="0" w:color="auto"/>
            </w:tcBorders>
            <w:shd w:val="clear" w:color="000000" w:fill="F5DADD"/>
            <w:noWrap/>
            <w:vAlign w:val="bottom"/>
            <w:hideMark/>
          </w:tcPr>
          <w:p w:rsidR="008D6098" w:rsidRPr="00544EE1" w:rsidRDefault="008D6098" w:rsidP="00305387">
            <w:pPr>
              <w:spacing w:after="0" w:line="240" w:lineRule="auto"/>
              <w:jc w:val="center"/>
              <w:rPr>
                <w:rFonts w:cs="Arial"/>
                <w:b/>
                <w:bCs/>
                <w:sz w:val="16"/>
                <w:szCs w:val="16"/>
              </w:rPr>
            </w:pPr>
            <w:r w:rsidRPr="00544EE1">
              <w:rPr>
                <w:rFonts w:cs="Arial"/>
                <w:b/>
                <w:bCs/>
                <w:sz w:val="16"/>
                <w:szCs w:val="16"/>
              </w:rPr>
              <w:t>2005</w:t>
            </w:r>
          </w:p>
        </w:tc>
        <w:tc>
          <w:tcPr>
            <w:tcW w:w="822" w:type="dxa"/>
            <w:tcBorders>
              <w:top w:val="single" w:sz="4" w:space="0" w:color="auto"/>
              <w:left w:val="nil"/>
              <w:bottom w:val="single" w:sz="4" w:space="0" w:color="auto"/>
              <w:right w:val="single" w:sz="4" w:space="0" w:color="auto"/>
            </w:tcBorders>
            <w:shd w:val="clear" w:color="000000" w:fill="F5DADD"/>
            <w:noWrap/>
            <w:vAlign w:val="bottom"/>
            <w:hideMark/>
          </w:tcPr>
          <w:p w:rsidR="008D6098" w:rsidRPr="00544EE1" w:rsidRDefault="008D6098" w:rsidP="00305387">
            <w:pPr>
              <w:spacing w:after="0" w:line="240" w:lineRule="auto"/>
              <w:jc w:val="center"/>
              <w:rPr>
                <w:rFonts w:cs="Arial"/>
                <w:b/>
                <w:bCs/>
                <w:sz w:val="16"/>
                <w:szCs w:val="16"/>
              </w:rPr>
            </w:pPr>
            <w:r w:rsidRPr="00544EE1">
              <w:rPr>
                <w:rFonts w:cs="Arial"/>
                <w:b/>
                <w:bCs/>
                <w:sz w:val="16"/>
                <w:szCs w:val="16"/>
              </w:rPr>
              <w:t>2006</w:t>
            </w:r>
          </w:p>
        </w:tc>
        <w:tc>
          <w:tcPr>
            <w:tcW w:w="822" w:type="dxa"/>
            <w:tcBorders>
              <w:top w:val="single" w:sz="4" w:space="0" w:color="auto"/>
              <w:left w:val="nil"/>
              <w:bottom w:val="single" w:sz="4" w:space="0" w:color="auto"/>
              <w:right w:val="single" w:sz="4" w:space="0" w:color="auto"/>
            </w:tcBorders>
            <w:shd w:val="clear" w:color="000000" w:fill="F5DADD"/>
            <w:noWrap/>
            <w:vAlign w:val="bottom"/>
            <w:hideMark/>
          </w:tcPr>
          <w:p w:rsidR="008D6098" w:rsidRPr="00544EE1" w:rsidRDefault="008D6098" w:rsidP="00305387">
            <w:pPr>
              <w:spacing w:after="0" w:line="240" w:lineRule="auto"/>
              <w:jc w:val="center"/>
              <w:rPr>
                <w:rFonts w:cs="Arial"/>
                <w:b/>
                <w:bCs/>
                <w:sz w:val="16"/>
                <w:szCs w:val="16"/>
              </w:rPr>
            </w:pPr>
            <w:r w:rsidRPr="00544EE1">
              <w:rPr>
                <w:rFonts w:cs="Arial"/>
                <w:b/>
                <w:bCs/>
                <w:sz w:val="16"/>
                <w:szCs w:val="16"/>
              </w:rPr>
              <w:t>2007</w:t>
            </w:r>
          </w:p>
        </w:tc>
        <w:tc>
          <w:tcPr>
            <w:tcW w:w="821" w:type="dxa"/>
            <w:tcBorders>
              <w:top w:val="single" w:sz="4" w:space="0" w:color="auto"/>
              <w:left w:val="nil"/>
              <w:bottom w:val="single" w:sz="4" w:space="0" w:color="auto"/>
              <w:right w:val="single" w:sz="4" w:space="0" w:color="auto"/>
            </w:tcBorders>
            <w:shd w:val="clear" w:color="000000" w:fill="F5DADD"/>
            <w:noWrap/>
            <w:vAlign w:val="bottom"/>
            <w:hideMark/>
          </w:tcPr>
          <w:p w:rsidR="008D6098" w:rsidRPr="00544EE1" w:rsidRDefault="008D6098" w:rsidP="00305387">
            <w:pPr>
              <w:spacing w:after="0" w:line="240" w:lineRule="auto"/>
              <w:jc w:val="center"/>
              <w:rPr>
                <w:rFonts w:cs="Arial"/>
                <w:b/>
                <w:bCs/>
                <w:sz w:val="16"/>
                <w:szCs w:val="16"/>
              </w:rPr>
            </w:pPr>
            <w:r w:rsidRPr="00544EE1">
              <w:rPr>
                <w:rFonts w:cs="Arial"/>
                <w:b/>
                <w:bCs/>
                <w:sz w:val="16"/>
                <w:szCs w:val="16"/>
              </w:rPr>
              <w:t>2008</w:t>
            </w:r>
          </w:p>
        </w:tc>
        <w:tc>
          <w:tcPr>
            <w:tcW w:w="821" w:type="dxa"/>
            <w:tcBorders>
              <w:top w:val="single" w:sz="4" w:space="0" w:color="auto"/>
              <w:left w:val="nil"/>
              <w:bottom w:val="single" w:sz="4" w:space="0" w:color="auto"/>
              <w:right w:val="single" w:sz="4" w:space="0" w:color="auto"/>
            </w:tcBorders>
            <w:shd w:val="clear" w:color="000000" w:fill="F5DADD"/>
            <w:noWrap/>
            <w:vAlign w:val="bottom"/>
            <w:hideMark/>
          </w:tcPr>
          <w:p w:rsidR="008D6098" w:rsidRPr="00544EE1" w:rsidRDefault="008D6098" w:rsidP="00305387">
            <w:pPr>
              <w:spacing w:after="0" w:line="240" w:lineRule="auto"/>
              <w:jc w:val="center"/>
              <w:rPr>
                <w:rFonts w:cs="Arial"/>
                <w:b/>
                <w:bCs/>
                <w:sz w:val="16"/>
                <w:szCs w:val="16"/>
              </w:rPr>
            </w:pPr>
            <w:r w:rsidRPr="00544EE1">
              <w:rPr>
                <w:rFonts w:cs="Arial"/>
                <w:b/>
                <w:bCs/>
                <w:sz w:val="16"/>
                <w:szCs w:val="16"/>
              </w:rPr>
              <w:t>2009</w:t>
            </w:r>
          </w:p>
        </w:tc>
        <w:tc>
          <w:tcPr>
            <w:tcW w:w="821" w:type="dxa"/>
            <w:tcBorders>
              <w:top w:val="single" w:sz="4" w:space="0" w:color="auto"/>
              <w:left w:val="nil"/>
              <w:bottom w:val="single" w:sz="4" w:space="0" w:color="auto"/>
              <w:right w:val="single" w:sz="4" w:space="0" w:color="auto"/>
            </w:tcBorders>
            <w:shd w:val="clear" w:color="000000" w:fill="F5DADD"/>
            <w:noWrap/>
            <w:vAlign w:val="bottom"/>
            <w:hideMark/>
          </w:tcPr>
          <w:p w:rsidR="008D6098" w:rsidRPr="00544EE1" w:rsidRDefault="008D6098" w:rsidP="00305387">
            <w:pPr>
              <w:spacing w:after="0" w:line="240" w:lineRule="auto"/>
              <w:jc w:val="center"/>
              <w:rPr>
                <w:rFonts w:cs="Arial"/>
                <w:b/>
                <w:bCs/>
                <w:sz w:val="16"/>
                <w:szCs w:val="16"/>
              </w:rPr>
            </w:pPr>
            <w:r w:rsidRPr="00544EE1">
              <w:rPr>
                <w:rFonts w:cs="Arial"/>
                <w:b/>
                <w:bCs/>
                <w:sz w:val="16"/>
                <w:szCs w:val="16"/>
              </w:rPr>
              <w:t>2010</w:t>
            </w:r>
          </w:p>
        </w:tc>
        <w:tc>
          <w:tcPr>
            <w:tcW w:w="821" w:type="dxa"/>
            <w:tcBorders>
              <w:top w:val="single" w:sz="4" w:space="0" w:color="auto"/>
              <w:left w:val="nil"/>
              <w:bottom w:val="single" w:sz="4" w:space="0" w:color="auto"/>
              <w:right w:val="single" w:sz="4" w:space="0" w:color="auto"/>
            </w:tcBorders>
            <w:shd w:val="clear" w:color="000000" w:fill="F5DADD"/>
            <w:noWrap/>
            <w:vAlign w:val="bottom"/>
            <w:hideMark/>
          </w:tcPr>
          <w:p w:rsidR="008D6098" w:rsidRPr="00544EE1" w:rsidRDefault="008D6098" w:rsidP="00305387">
            <w:pPr>
              <w:spacing w:after="0" w:line="240" w:lineRule="auto"/>
              <w:jc w:val="center"/>
              <w:rPr>
                <w:rFonts w:cs="Arial"/>
                <w:b/>
                <w:bCs/>
                <w:sz w:val="16"/>
                <w:szCs w:val="16"/>
              </w:rPr>
            </w:pPr>
            <w:r w:rsidRPr="00544EE1">
              <w:rPr>
                <w:rFonts w:cs="Arial"/>
                <w:b/>
                <w:bCs/>
                <w:sz w:val="16"/>
                <w:szCs w:val="16"/>
              </w:rPr>
              <w:t>2011</w:t>
            </w:r>
          </w:p>
        </w:tc>
        <w:tc>
          <w:tcPr>
            <w:tcW w:w="821" w:type="dxa"/>
            <w:tcBorders>
              <w:top w:val="single" w:sz="4" w:space="0" w:color="auto"/>
              <w:left w:val="nil"/>
              <w:bottom w:val="single" w:sz="4" w:space="0" w:color="auto"/>
              <w:right w:val="single" w:sz="4" w:space="0" w:color="auto"/>
            </w:tcBorders>
            <w:shd w:val="clear" w:color="000000" w:fill="F5DADD"/>
            <w:noWrap/>
            <w:vAlign w:val="bottom"/>
            <w:hideMark/>
          </w:tcPr>
          <w:p w:rsidR="008D6098" w:rsidRPr="00544EE1" w:rsidRDefault="008D6098" w:rsidP="00305387">
            <w:pPr>
              <w:spacing w:after="0" w:line="240" w:lineRule="auto"/>
              <w:jc w:val="center"/>
              <w:rPr>
                <w:rFonts w:cs="Arial"/>
                <w:b/>
                <w:bCs/>
                <w:sz w:val="16"/>
                <w:szCs w:val="16"/>
              </w:rPr>
            </w:pPr>
            <w:r w:rsidRPr="00544EE1">
              <w:rPr>
                <w:rFonts w:cs="Arial"/>
                <w:b/>
                <w:bCs/>
                <w:sz w:val="16"/>
                <w:szCs w:val="16"/>
              </w:rPr>
              <w:t>2012</w:t>
            </w:r>
          </w:p>
        </w:tc>
        <w:tc>
          <w:tcPr>
            <w:tcW w:w="821" w:type="dxa"/>
            <w:tcBorders>
              <w:top w:val="single" w:sz="4" w:space="0" w:color="auto"/>
              <w:left w:val="nil"/>
              <w:bottom w:val="single" w:sz="4" w:space="0" w:color="auto"/>
              <w:right w:val="nil"/>
            </w:tcBorders>
            <w:shd w:val="clear" w:color="000000" w:fill="F5DADD"/>
            <w:noWrap/>
            <w:vAlign w:val="bottom"/>
            <w:hideMark/>
          </w:tcPr>
          <w:p w:rsidR="008D6098" w:rsidRPr="00544EE1" w:rsidRDefault="008D6098" w:rsidP="00305387">
            <w:pPr>
              <w:spacing w:after="0" w:line="240" w:lineRule="auto"/>
              <w:jc w:val="center"/>
              <w:rPr>
                <w:rFonts w:cs="Arial"/>
                <w:b/>
                <w:bCs/>
                <w:sz w:val="16"/>
                <w:szCs w:val="16"/>
              </w:rPr>
            </w:pPr>
            <w:r w:rsidRPr="00544EE1">
              <w:rPr>
                <w:rFonts w:cs="Arial"/>
                <w:b/>
                <w:bCs/>
                <w:sz w:val="16"/>
                <w:szCs w:val="16"/>
              </w:rPr>
              <w:t>2013</w:t>
            </w:r>
          </w:p>
        </w:tc>
        <w:tc>
          <w:tcPr>
            <w:tcW w:w="821" w:type="dxa"/>
            <w:tcBorders>
              <w:top w:val="single" w:sz="4" w:space="0" w:color="auto"/>
              <w:left w:val="single" w:sz="4" w:space="0" w:color="auto"/>
              <w:bottom w:val="single" w:sz="4" w:space="0" w:color="auto"/>
              <w:right w:val="nil"/>
            </w:tcBorders>
            <w:shd w:val="clear" w:color="000000" w:fill="F5DADD"/>
            <w:noWrap/>
            <w:vAlign w:val="bottom"/>
            <w:hideMark/>
          </w:tcPr>
          <w:p w:rsidR="008D6098" w:rsidRPr="00544EE1" w:rsidRDefault="008D6098" w:rsidP="00305387">
            <w:pPr>
              <w:spacing w:after="0" w:line="240" w:lineRule="auto"/>
              <w:jc w:val="center"/>
              <w:rPr>
                <w:rFonts w:cs="Arial"/>
                <w:b/>
                <w:bCs/>
                <w:sz w:val="16"/>
                <w:szCs w:val="16"/>
              </w:rPr>
            </w:pPr>
            <w:r w:rsidRPr="00544EE1">
              <w:rPr>
                <w:rFonts w:cs="Arial"/>
                <w:b/>
                <w:bCs/>
                <w:sz w:val="16"/>
                <w:szCs w:val="16"/>
              </w:rPr>
              <w:t>2014</w:t>
            </w:r>
          </w:p>
        </w:tc>
      </w:tr>
      <w:tr w:rsidR="008D6098" w:rsidRPr="00544EE1" w:rsidTr="00305387">
        <w:trPr>
          <w:trHeight w:val="240"/>
        </w:trPr>
        <w:tc>
          <w:tcPr>
            <w:tcW w:w="1426"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rPr>
                <w:rFonts w:cs="Arial"/>
                <w:sz w:val="16"/>
                <w:szCs w:val="16"/>
              </w:rPr>
            </w:pPr>
            <w:r w:rsidRPr="00544EE1">
              <w:rPr>
                <w:rFonts w:cs="Arial"/>
                <w:sz w:val="16"/>
                <w:szCs w:val="16"/>
              </w:rPr>
              <w:t>EU-28</w:t>
            </w:r>
          </w:p>
        </w:tc>
        <w:tc>
          <w:tcPr>
            <w:tcW w:w="822"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32,9</w:t>
            </w:r>
          </w:p>
        </w:tc>
        <w:tc>
          <w:tcPr>
            <w:tcW w:w="822"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34,1</w:t>
            </w:r>
          </w:p>
        </w:tc>
        <w:tc>
          <w:tcPr>
            <w:tcW w:w="822"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35,0</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36,7</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37,6</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38,6</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39,3</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40,0</w:t>
            </w:r>
          </w:p>
        </w:tc>
        <w:tc>
          <w:tcPr>
            <w:tcW w:w="821" w:type="dxa"/>
            <w:tcBorders>
              <w:top w:val="nil"/>
              <w:left w:val="nil"/>
              <w:bottom w:val="nil"/>
              <w:right w:val="nil"/>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w:t>
            </w:r>
          </w:p>
        </w:tc>
        <w:tc>
          <w:tcPr>
            <w:tcW w:w="821" w:type="dxa"/>
            <w:tcBorders>
              <w:top w:val="nil"/>
              <w:left w:val="single" w:sz="4" w:space="0" w:color="auto"/>
              <w:bottom w:val="nil"/>
              <w:right w:val="nil"/>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w:t>
            </w:r>
          </w:p>
        </w:tc>
      </w:tr>
      <w:tr w:rsidR="008D6098" w:rsidRPr="00544EE1" w:rsidTr="00305387">
        <w:trPr>
          <w:trHeight w:val="240"/>
        </w:trPr>
        <w:tc>
          <w:tcPr>
            <w:tcW w:w="1426"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rPr>
                <w:rFonts w:cs="Arial"/>
                <w:sz w:val="16"/>
                <w:szCs w:val="16"/>
              </w:rPr>
            </w:pPr>
            <w:r w:rsidRPr="00544EE1">
              <w:rPr>
                <w:rFonts w:cs="Arial"/>
                <w:sz w:val="16"/>
                <w:szCs w:val="16"/>
              </w:rPr>
              <w:t>Azerbajdžán</w:t>
            </w:r>
          </w:p>
        </w:tc>
        <w:tc>
          <w:tcPr>
            <w:tcW w:w="822"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w:t>
            </w:r>
          </w:p>
        </w:tc>
        <w:tc>
          <w:tcPr>
            <w:tcW w:w="822"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14,8</w:t>
            </w:r>
          </w:p>
        </w:tc>
        <w:tc>
          <w:tcPr>
            <w:tcW w:w="822"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5,6</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12,1</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12,7</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15,3</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17,6</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15,5</w:t>
            </w:r>
          </w:p>
        </w:tc>
        <w:tc>
          <w:tcPr>
            <w:tcW w:w="821" w:type="dxa"/>
            <w:tcBorders>
              <w:top w:val="nil"/>
              <w:left w:val="nil"/>
              <w:bottom w:val="nil"/>
              <w:right w:val="nil"/>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14,5</w:t>
            </w:r>
          </w:p>
        </w:tc>
        <w:tc>
          <w:tcPr>
            <w:tcW w:w="821" w:type="dxa"/>
            <w:tcBorders>
              <w:top w:val="nil"/>
              <w:left w:val="single" w:sz="4" w:space="0" w:color="auto"/>
              <w:bottom w:val="nil"/>
              <w:right w:val="nil"/>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14,9</w:t>
            </w:r>
          </w:p>
        </w:tc>
      </w:tr>
      <w:tr w:rsidR="008D6098" w:rsidRPr="00544EE1" w:rsidTr="00305387">
        <w:trPr>
          <w:trHeight w:val="240"/>
        </w:trPr>
        <w:tc>
          <w:tcPr>
            <w:tcW w:w="1426"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rPr>
                <w:rFonts w:cs="Arial"/>
                <w:sz w:val="16"/>
                <w:szCs w:val="16"/>
              </w:rPr>
            </w:pPr>
            <w:r w:rsidRPr="00544EE1">
              <w:rPr>
                <w:rFonts w:cs="Arial"/>
                <w:sz w:val="16"/>
                <w:szCs w:val="16"/>
              </w:rPr>
              <w:t>Belgie</w:t>
            </w:r>
          </w:p>
        </w:tc>
        <w:tc>
          <w:tcPr>
            <w:tcW w:w="822"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39,4</w:t>
            </w:r>
          </w:p>
        </w:tc>
        <w:tc>
          <w:tcPr>
            <w:tcW w:w="822"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40,9</w:t>
            </w:r>
          </w:p>
        </w:tc>
        <w:tc>
          <w:tcPr>
            <w:tcW w:w="822"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43,2</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44,6</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45,5</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45,7</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50,0</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52,3</w:t>
            </w:r>
          </w:p>
        </w:tc>
        <w:tc>
          <w:tcPr>
            <w:tcW w:w="821" w:type="dxa"/>
            <w:tcBorders>
              <w:top w:val="nil"/>
              <w:left w:val="nil"/>
              <w:bottom w:val="nil"/>
              <w:right w:val="nil"/>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w:t>
            </w:r>
          </w:p>
        </w:tc>
        <w:tc>
          <w:tcPr>
            <w:tcW w:w="821" w:type="dxa"/>
            <w:tcBorders>
              <w:top w:val="nil"/>
              <w:left w:val="single" w:sz="4" w:space="0" w:color="auto"/>
              <w:bottom w:val="nil"/>
              <w:right w:val="nil"/>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w:t>
            </w:r>
          </w:p>
        </w:tc>
      </w:tr>
      <w:tr w:rsidR="008D6098" w:rsidRPr="00544EE1" w:rsidTr="00305387">
        <w:trPr>
          <w:trHeight w:val="240"/>
        </w:trPr>
        <w:tc>
          <w:tcPr>
            <w:tcW w:w="1426"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rPr>
                <w:rFonts w:cs="Arial"/>
                <w:sz w:val="16"/>
                <w:szCs w:val="16"/>
              </w:rPr>
            </w:pPr>
            <w:r w:rsidRPr="00544EE1">
              <w:rPr>
                <w:rFonts w:cs="Arial"/>
                <w:sz w:val="16"/>
                <w:szCs w:val="16"/>
              </w:rPr>
              <w:t>Bělorusko</w:t>
            </w:r>
          </w:p>
        </w:tc>
        <w:tc>
          <w:tcPr>
            <w:tcW w:w="822"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w:t>
            </w:r>
          </w:p>
        </w:tc>
        <w:tc>
          <w:tcPr>
            <w:tcW w:w="822"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22,7</w:t>
            </w:r>
          </w:p>
        </w:tc>
        <w:tc>
          <w:tcPr>
            <w:tcW w:w="822"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21,2</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20,1</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19,9</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19,6</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19,0</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18,2</w:t>
            </w:r>
          </w:p>
        </w:tc>
        <w:tc>
          <w:tcPr>
            <w:tcW w:w="821" w:type="dxa"/>
            <w:tcBorders>
              <w:top w:val="nil"/>
              <w:left w:val="nil"/>
              <w:bottom w:val="nil"/>
              <w:right w:val="nil"/>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16,1</w:t>
            </w:r>
          </w:p>
        </w:tc>
        <w:tc>
          <w:tcPr>
            <w:tcW w:w="821" w:type="dxa"/>
            <w:tcBorders>
              <w:top w:val="nil"/>
              <w:left w:val="single" w:sz="4" w:space="0" w:color="auto"/>
              <w:bottom w:val="nil"/>
              <w:right w:val="nil"/>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14,9</w:t>
            </w:r>
          </w:p>
        </w:tc>
      </w:tr>
      <w:tr w:rsidR="008D6098" w:rsidRPr="00544EE1" w:rsidTr="00305387">
        <w:trPr>
          <w:trHeight w:val="240"/>
        </w:trPr>
        <w:tc>
          <w:tcPr>
            <w:tcW w:w="1426"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rPr>
                <w:rFonts w:cs="Arial"/>
                <w:sz w:val="16"/>
                <w:szCs w:val="16"/>
              </w:rPr>
            </w:pPr>
            <w:r w:rsidRPr="00544EE1">
              <w:rPr>
                <w:rFonts w:cs="Arial"/>
                <w:sz w:val="16"/>
                <w:szCs w:val="16"/>
              </w:rPr>
              <w:t>Bulharsko</w:t>
            </w:r>
          </w:p>
        </w:tc>
        <w:tc>
          <w:tcPr>
            <w:tcW w:w="822"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49,0</w:t>
            </w:r>
          </w:p>
        </w:tc>
        <w:tc>
          <w:tcPr>
            <w:tcW w:w="822"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50,8</w:t>
            </w:r>
          </w:p>
        </w:tc>
        <w:tc>
          <w:tcPr>
            <w:tcW w:w="822"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50,2</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51,1</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53,4</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54,1</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56,1</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57,4</w:t>
            </w:r>
          </w:p>
        </w:tc>
        <w:tc>
          <w:tcPr>
            <w:tcW w:w="821" w:type="dxa"/>
            <w:tcBorders>
              <w:top w:val="nil"/>
              <w:left w:val="nil"/>
              <w:bottom w:val="nil"/>
              <w:right w:val="nil"/>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59,1</w:t>
            </w:r>
          </w:p>
        </w:tc>
        <w:tc>
          <w:tcPr>
            <w:tcW w:w="821" w:type="dxa"/>
            <w:tcBorders>
              <w:top w:val="nil"/>
              <w:left w:val="single" w:sz="4" w:space="0" w:color="auto"/>
              <w:bottom w:val="nil"/>
              <w:right w:val="nil"/>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58,8</w:t>
            </w:r>
          </w:p>
        </w:tc>
      </w:tr>
      <w:tr w:rsidR="008D6098" w:rsidRPr="00544EE1" w:rsidTr="00305387">
        <w:trPr>
          <w:trHeight w:val="240"/>
        </w:trPr>
        <w:tc>
          <w:tcPr>
            <w:tcW w:w="1426"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rPr>
                <w:rFonts w:cs="Arial"/>
                <w:sz w:val="16"/>
                <w:szCs w:val="16"/>
              </w:rPr>
            </w:pPr>
            <w:r w:rsidRPr="00544EE1">
              <w:rPr>
                <w:rFonts w:cs="Arial"/>
                <w:sz w:val="16"/>
                <w:szCs w:val="16"/>
              </w:rPr>
              <w:t>Česko</w:t>
            </w:r>
          </w:p>
        </w:tc>
        <w:tc>
          <w:tcPr>
            <w:tcW w:w="822"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31,7</w:t>
            </w:r>
          </w:p>
        </w:tc>
        <w:tc>
          <w:tcPr>
            <w:tcW w:w="822"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33,3</w:t>
            </w:r>
          </w:p>
        </w:tc>
        <w:tc>
          <w:tcPr>
            <w:tcW w:w="822"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34,5</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36,3</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38,8</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40,3</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41,8</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43,4</w:t>
            </w:r>
          </w:p>
        </w:tc>
        <w:tc>
          <w:tcPr>
            <w:tcW w:w="821" w:type="dxa"/>
            <w:tcBorders>
              <w:top w:val="nil"/>
              <w:left w:val="nil"/>
              <w:bottom w:val="nil"/>
              <w:right w:val="nil"/>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45,0</w:t>
            </w:r>
          </w:p>
        </w:tc>
        <w:tc>
          <w:tcPr>
            <w:tcW w:w="821" w:type="dxa"/>
            <w:tcBorders>
              <w:top w:val="nil"/>
              <w:left w:val="single" w:sz="4" w:space="0" w:color="auto"/>
              <w:bottom w:val="nil"/>
              <w:right w:val="nil"/>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46,7</w:t>
            </w:r>
          </w:p>
        </w:tc>
      </w:tr>
      <w:tr w:rsidR="008D6098" w:rsidRPr="00544EE1" w:rsidTr="00305387">
        <w:trPr>
          <w:trHeight w:val="240"/>
        </w:trPr>
        <w:tc>
          <w:tcPr>
            <w:tcW w:w="1426"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rPr>
                <w:rFonts w:cs="Arial"/>
                <w:sz w:val="16"/>
                <w:szCs w:val="16"/>
              </w:rPr>
            </w:pPr>
            <w:r w:rsidRPr="00544EE1">
              <w:rPr>
                <w:rFonts w:cs="Arial"/>
                <w:sz w:val="16"/>
                <w:szCs w:val="16"/>
              </w:rPr>
              <w:t>Dánsko</w:t>
            </w:r>
          </w:p>
        </w:tc>
        <w:tc>
          <w:tcPr>
            <w:tcW w:w="822"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45,7</w:t>
            </w:r>
          </w:p>
        </w:tc>
        <w:tc>
          <w:tcPr>
            <w:tcW w:w="822"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46,4</w:t>
            </w:r>
          </w:p>
        </w:tc>
        <w:tc>
          <w:tcPr>
            <w:tcW w:w="822"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46,1</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46,2</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46,8</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47,3</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49,0</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50,6</w:t>
            </w:r>
          </w:p>
        </w:tc>
        <w:tc>
          <w:tcPr>
            <w:tcW w:w="821" w:type="dxa"/>
            <w:tcBorders>
              <w:top w:val="nil"/>
              <w:left w:val="nil"/>
              <w:bottom w:val="nil"/>
              <w:right w:val="nil"/>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51,5</w:t>
            </w:r>
          </w:p>
        </w:tc>
        <w:tc>
          <w:tcPr>
            <w:tcW w:w="821" w:type="dxa"/>
            <w:tcBorders>
              <w:top w:val="nil"/>
              <w:left w:val="single" w:sz="4" w:space="0" w:color="auto"/>
              <w:bottom w:val="nil"/>
              <w:right w:val="nil"/>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52,5</w:t>
            </w:r>
          </w:p>
        </w:tc>
      </w:tr>
      <w:tr w:rsidR="008D6098" w:rsidRPr="00544EE1" w:rsidTr="00305387">
        <w:trPr>
          <w:trHeight w:val="240"/>
        </w:trPr>
        <w:tc>
          <w:tcPr>
            <w:tcW w:w="1426"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rPr>
                <w:rFonts w:cs="Arial"/>
                <w:sz w:val="16"/>
                <w:szCs w:val="16"/>
              </w:rPr>
            </w:pPr>
            <w:r w:rsidRPr="00544EE1">
              <w:rPr>
                <w:rFonts w:cs="Arial"/>
                <w:sz w:val="16"/>
                <w:szCs w:val="16"/>
              </w:rPr>
              <w:t>Estonsko</w:t>
            </w:r>
          </w:p>
        </w:tc>
        <w:tc>
          <w:tcPr>
            <w:tcW w:w="822"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58,5</w:t>
            </w:r>
          </w:p>
        </w:tc>
        <w:tc>
          <w:tcPr>
            <w:tcW w:w="822"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58,2</w:t>
            </w:r>
          </w:p>
        </w:tc>
        <w:tc>
          <w:tcPr>
            <w:tcW w:w="822"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57,8</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59,0</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59,2</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59,1</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59,7</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58,4</w:t>
            </w:r>
          </w:p>
        </w:tc>
        <w:tc>
          <w:tcPr>
            <w:tcW w:w="821" w:type="dxa"/>
            <w:tcBorders>
              <w:top w:val="nil"/>
              <w:left w:val="nil"/>
              <w:bottom w:val="nil"/>
              <w:right w:val="nil"/>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w:t>
            </w:r>
          </w:p>
        </w:tc>
        <w:tc>
          <w:tcPr>
            <w:tcW w:w="821" w:type="dxa"/>
            <w:tcBorders>
              <w:top w:val="nil"/>
              <w:left w:val="single" w:sz="4" w:space="0" w:color="auto"/>
              <w:bottom w:val="nil"/>
              <w:right w:val="nil"/>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w:t>
            </w:r>
          </w:p>
        </w:tc>
      </w:tr>
      <w:tr w:rsidR="008D6098" w:rsidRPr="00544EE1" w:rsidTr="00305387">
        <w:trPr>
          <w:trHeight w:val="240"/>
        </w:trPr>
        <w:tc>
          <w:tcPr>
            <w:tcW w:w="1426"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rPr>
                <w:rFonts w:cs="Arial"/>
                <w:sz w:val="16"/>
                <w:szCs w:val="16"/>
              </w:rPr>
            </w:pPr>
            <w:r w:rsidRPr="00544EE1">
              <w:rPr>
                <w:rFonts w:cs="Arial"/>
                <w:sz w:val="16"/>
                <w:szCs w:val="16"/>
              </w:rPr>
              <w:t>Finsko</w:t>
            </w:r>
          </w:p>
        </w:tc>
        <w:tc>
          <w:tcPr>
            <w:tcW w:w="822"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40,4</w:t>
            </w:r>
          </w:p>
        </w:tc>
        <w:tc>
          <w:tcPr>
            <w:tcW w:w="822"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40,5</w:t>
            </w:r>
          </w:p>
        </w:tc>
        <w:tc>
          <w:tcPr>
            <w:tcW w:w="822"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40,6</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40,7</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40,9</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41,1</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40,9</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41,5</w:t>
            </w:r>
          </w:p>
        </w:tc>
        <w:tc>
          <w:tcPr>
            <w:tcW w:w="821" w:type="dxa"/>
            <w:tcBorders>
              <w:top w:val="nil"/>
              <w:left w:val="nil"/>
              <w:bottom w:val="nil"/>
              <w:right w:val="nil"/>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42,1</w:t>
            </w:r>
          </w:p>
        </w:tc>
        <w:tc>
          <w:tcPr>
            <w:tcW w:w="821" w:type="dxa"/>
            <w:tcBorders>
              <w:top w:val="nil"/>
              <w:left w:val="single" w:sz="4" w:space="0" w:color="auto"/>
              <w:bottom w:val="nil"/>
              <w:right w:val="nil"/>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42,8</w:t>
            </w:r>
          </w:p>
        </w:tc>
      </w:tr>
      <w:tr w:rsidR="008D6098" w:rsidRPr="00544EE1" w:rsidTr="00305387">
        <w:trPr>
          <w:trHeight w:val="240"/>
        </w:trPr>
        <w:tc>
          <w:tcPr>
            <w:tcW w:w="1426"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rPr>
                <w:rFonts w:cs="Arial"/>
                <w:sz w:val="16"/>
                <w:szCs w:val="16"/>
              </w:rPr>
            </w:pPr>
            <w:r w:rsidRPr="00544EE1">
              <w:rPr>
                <w:rFonts w:cs="Arial"/>
                <w:sz w:val="16"/>
                <w:szCs w:val="16"/>
              </w:rPr>
              <w:t>Francie</w:t>
            </w:r>
          </w:p>
        </w:tc>
        <w:tc>
          <w:tcPr>
            <w:tcW w:w="822"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48,4</w:t>
            </w:r>
          </w:p>
        </w:tc>
        <w:tc>
          <w:tcPr>
            <w:tcW w:w="822"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50,5</w:t>
            </w:r>
          </w:p>
        </w:tc>
        <w:tc>
          <w:tcPr>
            <w:tcW w:w="822"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51,7</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52,6</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53,7</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55,0</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55,8</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56,7</w:t>
            </w:r>
          </w:p>
        </w:tc>
        <w:tc>
          <w:tcPr>
            <w:tcW w:w="821" w:type="dxa"/>
            <w:tcBorders>
              <w:top w:val="nil"/>
              <w:left w:val="nil"/>
              <w:bottom w:val="nil"/>
              <w:right w:val="nil"/>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w:t>
            </w:r>
          </w:p>
        </w:tc>
        <w:tc>
          <w:tcPr>
            <w:tcW w:w="821" w:type="dxa"/>
            <w:tcBorders>
              <w:top w:val="nil"/>
              <w:left w:val="single" w:sz="4" w:space="0" w:color="auto"/>
              <w:bottom w:val="nil"/>
              <w:right w:val="nil"/>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w:t>
            </w:r>
          </w:p>
        </w:tc>
      </w:tr>
      <w:tr w:rsidR="008D6098" w:rsidRPr="00544EE1" w:rsidTr="00305387">
        <w:trPr>
          <w:trHeight w:val="240"/>
        </w:trPr>
        <w:tc>
          <w:tcPr>
            <w:tcW w:w="1426"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rPr>
                <w:rFonts w:cs="Arial"/>
                <w:sz w:val="16"/>
                <w:szCs w:val="16"/>
              </w:rPr>
            </w:pPr>
            <w:r w:rsidRPr="00544EE1">
              <w:rPr>
                <w:rFonts w:cs="Arial"/>
                <w:sz w:val="16"/>
                <w:szCs w:val="16"/>
              </w:rPr>
              <w:t>Gruzie</w:t>
            </w:r>
          </w:p>
        </w:tc>
        <w:tc>
          <w:tcPr>
            <w:tcW w:w="822"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w:t>
            </w:r>
          </w:p>
        </w:tc>
        <w:tc>
          <w:tcPr>
            <w:tcW w:w="822"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54,4</w:t>
            </w:r>
          </w:p>
        </w:tc>
        <w:tc>
          <w:tcPr>
            <w:tcW w:w="822"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43,9</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34,3</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31,4</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36,6</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33,8</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w:t>
            </w:r>
          </w:p>
        </w:tc>
        <w:tc>
          <w:tcPr>
            <w:tcW w:w="821" w:type="dxa"/>
            <w:tcBorders>
              <w:top w:val="nil"/>
              <w:left w:val="nil"/>
              <w:bottom w:val="nil"/>
              <w:right w:val="nil"/>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32,9</w:t>
            </w:r>
          </w:p>
        </w:tc>
        <w:tc>
          <w:tcPr>
            <w:tcW w:w="821" w:type="dxa"/>
            <w:tcBorders>
              <w:top w:val="nil"/>
              <w:left w:val="single" w:sz="4" w:space="0" w:color="auto"/>
              <w:bottom w:val="nil"/>
              <w:right w:val="nil"/>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30,8</w:t>
            </w:r>
          </w:p>
        </w:tc>
      </w:tr>
      <w:tr w:rsidR="008D6098" w:rsidRPr="00544EE1" w:rsidTr="00305387">
        <w:trPr>
          <w:trHeight w:val="240"/>
        </w:trPr>
        <w:tc>
          <w:tcPr>
            <w:tcW w:w="1426"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rPr>
                <w:rFonts w:cs="Arial"/>
                <w:sz w:val="16"/>
                <w:szCs w:val="16"/>
              </w:rPr>
            </w:pPr>
            <w:r w:rsidRPr="00544EE1">
              <w:rPr>
                <w:rFonts w:cs="Arial"/>
                <w:sz w:val="16"/>
                <w:szCs w:val="16"/>
              </w:rPr>
              <w:t>Chorvatsko</w:t>
            </w:r>
          </w:p>
        </w:tc>
        <w:tc>
          <w:tcPr>
            <w:tcW w:w="822"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10,5</w:t>
            </w:r>
          </w:p>
        </w:tc>
        <w:tc>
          <w:tcPr>
            <w:tcW w:w="822"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11,0</w:t>
            </w:r>
          </w:p>
        </w:tc>
        <w:tc>
          <w:tcPr>
            <w:tcW w:w="822"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11,5</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12,0</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12,9</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13,3</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14,0</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15,4</w:t>
            </w:r>
          </w:p>
        </w:tc>
        <w:tc>
          <w:tcPr>
            <w:tcW w:w="821" w:type="dxa"/>
            <w:tcBorders>
              <w:top w:val="nil"/>
              <w:left w:val="nil"/>
              <w:bottom w:val="nil"/>
              <w:right w:val="nil"/>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16,1</w:t>
            </w:r>
          </w:p>
        </w:tc>
        <w:tc>
          <w:tcPr>
            <w:tcW w:w="821" w:type="dxa"/>
            <w:tcBorders>
              <w:top w:val="nil"/>
              <w:left w:val="single" w:sz="4" w:space="0" w:color="auto"/>
              <w:bottom w:val="nil"/>
              <w:right w:val="nil"/>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17,4</w:t>
            </w:r>
          </w:p>
        </w:tc>
      </w:tr>
      <w:tr w:rsidR="008D6098" w:rsidRPr="00544EE1" w:rsidTr="00305387">
        <w:trPr>
          <w:trHeight w:val="240"/>
        </w:trPr>
        <w:tc>
          <w:tcPr>
            <w:tcW w:w="1426"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rPr>
                <w:rFonts w:cs="Arial"/>
                <w:sz w:val="16"/>
                <w:szCs w:val="16"/>
              </w:rPr>
            </w:pPr>
            <w:r w:rsidRPr="00544EE1">
              <w:rPr>
                <w:rFonts w:cs="Arial"/>
                <w:sz w:val="16"/>
                <w:szCs w:val="16"/>
              </w:rPr>
              <w:t>Irsko</w:t>
            </w:r>
          </w:p>
        </w:tc>
        <w:tc>
          <w:tcPr>
            <w:tcW w:w="822"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31,8</w:t>
            </w:r>
          </w:p>
        </w:tc>
        <w:tc>
          <w:tcPr>
            <w:tcW w:w="822"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32,7</w:t>
            </w:r>
          </w:p>
        </w:tc>
        <w:tc>
          <w:tcPr>
            <w:tcW w:w="822"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33,1</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33,4</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33,4</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33,8</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33,9</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35,1</w:t>
            </w:r>
          </w:p>
        </w:tc>
        <w:tc>
          <w:tcPr>
            <w:tcW w:w="821" w:type="dxa"/>
            <w:tcBorders>
              <w:top w:val="nil"/>
              <w:left w:val="nil"/>
              <w:bottom w:val="nil"/>
              <w:right w:val="nil"/>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w:t>
            </w:r>
          </w:p>
        </w:tc>
        <w:tc>
          <w:tcPr>
            <w:tcW w:w="821" w:type="dxa"/>
            <w:tcBorders>
              <w:top w:val="nil"/>
              <w:left w:val="single" w:sz="4" w:space="0" w:color="auto"/>
              <w:bottom w:val="nil"/>
              <w:right w:val="nil"/>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w:t>
            </w:r>
          </w:p>
        </w:tc>
      </w:tr>
      <w:tr w:rsidR="008D6098" w:rsidRPr="00544EE1" w:rsidTr="00305387">
        <w:trPr>
          <w:trHeight w:val="240"/>
        </w:trPr>
        <w:tc>
          <w:tcPr>
            <w:tcW w:w="1426"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rPr>
                <w:rFonts w:cs="Arial"/>
                <w:sz w:val="16"/>
                <w:szCs w:val="16"/>
              </w:rPr>
            </w:pPr>
            <w:r w:rsidRPr="00544EE1">
              <w:rPr>
                <w:rFonts w:cs="Arial"/>
                <w:sz w:val="16"/>
                <w:szCs w:val="16"/>
              </w:rPr>
              <w:t>Island</w:t>
            </w:r>
          </w:p>
        </w:tc>
        <w:tc>
          <w:tcPr>
            <w:tcW w:w="822"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65,7</w:t>
            </w:r>
          </w:p>
        </w:tc>
        <w:tc>
          <w:tcPr>
            <w:tcW w:w="822"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65,6</w:t>
            </w:r>
          </w:p>
        </w:tc>
        <w:tc>
          <w:tcPr>
            <w:tcW w:w="822"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63,8</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64,1</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64,4</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64,3</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65,0</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66,9</w:t>
            </w:r>
          </w:p>
        </w:tc>
        <w:tc>
          <w:tcPr>
            <w:tcW w:w="821" w:type="dxa"/>
            <w:tcBorders>
              <w:top w:val="nil"/>
              <w:left w:val="nil"/>
              <w:bottom w:val="nil"/>
              <w:right w:val="nil"/>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w:t>
            </w:r>
          </w:p>
        </w:tc>
        <w:tc>
          <w:tcPr>
            <w:tcW w:w="821" w:type="dxa"/>
            <w:tcBorders>
              <w:top w:val="nil"/>
              <w:left w:val="single" w:sz="4" w:space="0" w:color="auto"/>
              <w:bottom w:val="nil"/>
              <w:right w:val="nil"/>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w:t>
            </w:r>
          </w:p>
        </w:tc>
      </w:tr>
      <w:tr w:rsidR="008D6098" w:rsidRPr="00544EE1" w:rsidTr="00305387">
        <w:trPr>
          <w:trHeight w:val="240"/>
        </w:trPr>
        <w:tc>
          <w:tcPr>
            <w:tcW w:w="1426"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rPr>
                <w:rFonts w:cs="Arial"/>
                <w:sz w:val="16"/>
                <w:szCs w:val="16"/>
              </w:rPr>
            </w:pPr>
            <w:r w:rsidRPr="00544EE1">
              <w:rPr>
                <w:rFonts w:cs="Arial"/>
                <w:sz w:val="16"/>
                <w:szCs w:val="16"/>
              </w:rPr>
              <w:t>Itálie</w:t>
            </w:r>
          </w:p>
        </w:tc>
        <w:tc>
          <w:tcPr>
            <w:tcW w:w="822"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15,2</w:t>
            </w:r>
          </w:p>
        </w:tc>
        <w:tc>
          <w:tcPr>
            <w:tcW w:w="822"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16,2</w:t>
            </w:r>
          </w:p>
        </w:tc>
        <w:tc>
          <w:tcPr>
            <w:tcW w:w="822"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17,7</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18,9</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19,8</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21,5</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23,4</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24,5</w:t>
            </w:r>
          </w:p>
        </w:tc>
        <w:tc>
          <w:tcPr>
            <w:tcW w:w="821" w:type="dxa"/>
            <w:tcBorders>
              <w:top w:val="nil"/>
              <w:left w:val="nil"/>
              <w:bottom w:val="nil"/>
              <w:right w:val="nil"/>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26,9</w:t>
            </w:r>
          </w:p>
        </w:tc>
        <w:tc>
          <w:tcPr>
            <w:tcW w:w="821" w:type="dxa"/>
            <w:tcBorders>
              <w:top w:val="nil"/>
              <w:left w:val="single" w:sz="4" w:space="0" w:color="auto"/>
              <w:bottom w:val="nil"/>
              <w:right w:val="nil"/>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28,8</w:t>
            </w:r>
          </w:p>
        </w:tc>
      </w:tr>
      <w:tr w:rsidR="008D6098" w:rsidRPr="00544EE1" w:rsidTr="00305387">
        <w:trPr>
          <w:trHeight w:val="240"/>
        </w:trPr>
        <w:tc>
          <w:tcPr>
            <w:tcW w:w="1426"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rPr>
                <w:rFonts w:cs="Arial"/>
                <w:sz w:val="16"/>
                <w:szCs w:val="16"/>
              </w:rPr>
            </w:pPr>
            <w:r w:rsidRPr="00544EE1">
              <w:rPr>
                <w:rFonts w:cs="Arial"/>
                <w:sz w:val="16"/>
                <w:szCs w:val="16"/>
              </w:rPr>
              <w:t>Kypr</w:t>
            </w:r>
          </w:p>
        </w:tc>
        <w:tc>
          <w:tcPr>
            <w:tcW w:w="822"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4,4</w:t>
            </w:r>
          </w:p>
        </w:tc>
        <w:tc>
          <w:tcPr>
            <w:tcW w:w="822"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5,6</w:t>
            </w:r>
          </w:p>
        </w:tc>
        <w:tc>
          <w:tcPr>
            <w:tcW w:w="822"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8,7</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8,9</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11,7</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15,2</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16,9</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18,6</w:t>
            </w:r>
          </w:p>
        </w:tc>
        <w:tc>
          <w:tcPr>
            <w:tcW w:w="821" w:type="dxa"/>
            <w:tcBorders>
              <w:top w:val="nil"/>
              <w:left w:val="nil"/>
              <w:bottom w:val="nil"/>
              <w:right w:val="nil"/>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w:t>
            </w:r>
          </w:p>
        </w:tc>
        <w:tc>
          <w:tcPr>
            <w:tcW w:w="821" w:type="dxa"/>
            <w:tcBorders>
              <w:top w:val="nil"/>
              <w:left w:val="single" w:sz="4" w:space="0" w:color="auto"/>
              <w:bottom w:val="nil"/>
              <w:right w:val="nil"/>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w:t>
            </w:r>
          </w:p>
        </w:tc>
      </w:tr>
      <w:tr w:rsidR="008D6098" w:rsidRPr="00544EE1" w:rsidTr="00305387">
        <w:trPr>
          <w:trHeight w:val="240"/>
        </w:trPr>
        <w:tc>
          <w:tcPr>
            <w:tcW w:w="1426"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rPr>
                <w:rFonts w:cs="Arial"/>
                <w:sz w:val="16"/>
                <w:szCs w:val="16"/>
              </w:rPr>
            </w:pPr>
            <w:r w:rsidRPr="00544EE1">
              <w:rPr>
                <w:rFonts w:cs="Arial"/>
                <w:sz w:val="16"/>
                <w:szCs w:val="16"/>
              </w:rPr>
              <w:t>Litva</w:t>
            </w:r>
          </w:p>
        </w:tc>
        <w:tc>
          <w:tcPr>
            <w:tcW w:w="822"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28,0</w:t>
            </w:r>
          </w:p>
        </w:tc>
        <w:tc>
          <w:tcPr>
            <w:tcW w:w="822"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28,8</w:t>
            </w:r>
          </w:p>
        </w:tc>
        <w:tc>
          <w:tcPr>
            <w:tcW w:w="822"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27,8</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26,6</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25,4</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25,7</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27,7</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28,8</w:t>
            </w:r>
          </w:p>
        </w:tc>
        <w:tc>
          <w:tcPr>
            <w:tcW w:w="821" w:type="dxa"/>
            <w:tcBorders>
              <w:top w:val="nil"/>
              <w:left w:val="nil"/>
              <w:bottom w:val="nil"/>
              <w:right w:val="nil"/>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29,5</w:t>
            </w:r>
          </w:p>
        </w:tc>
        <w:tc>
          <w:tcPr>
            <w:tcW w:w="821" w:type="dxa"/>
            <w:tcBorders>
              <w:top w:val="nil"/>
              <w:left w:val="single" w:sz="4" w:space="0" w:color="auto"/>
              <w:bottom w:val="nil"/>
              <w:right w:val="nil"/>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29,0</w:t>
            </w:r>
          </w:p>
        </w:tc>
      </w:tr>
      <w:tr w:rsidR="008D6098" w:rsidRPr="00544EE1" w:rsidTr="00305387">
        <w:trPr>
          <w:trHeight w:val="240"/>
        </w:trPr>
        <w:tc>
          <w:tcPr>
            <w:tcW w:w="1426"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rPr>
                <w:rFonts w:cs="Arial"/>
                <w:sz w:val="16"/>
                <w:szCs w:val="16"/>
              </w:rPr>
            </w:pPr>
            <w:r w:rsidRPr="00544EE1">
              <w:rPr>
                <w:rFonts w:cs="Arial"/>
                <w:sz w:val="16"/>
                <w:szCs w:val="16"/>
              </w:rPr>
              <w:t>Lotyšsko</w:t>
            </w:r>
          </w:p>
        </w:tc>
        <w:tc>
          <w:tcPr>
            <w:tcW w:w="822"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44,7</w:t>
            </w:r>
          </w:p>
        </w:tc>
        <w:tc>
          <w:tcPr>
            <w:tcW w:w="822"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43,8</w:t>
            </w:r>
          </w:p>
        </w:tc>
        <w:tc>
          <w:tcPr>
            <w:tcW w:w="822"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43,2</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43,2</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43,5</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44,4</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44,6</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45,0</w:t>
            </w:r>
          </w:p>
        </w:tc>
        <w:tc>
          <w:tcPr>
            <w:tcW w:w="821" w:type="dxa"/>
            <w:tcBorders>
              <w:top w:val="nil"/>
              <w:left w:val="nil"/>
              <w:bottom w:val="nil"/>
              <w:right w:val="nil"/>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44,6</w:t>
            </w:r>
          </w:p>
        </w:tc>
        <w:tc>
          <w:tcPr>
            <w:tcW w:w="821" w:type="dxa"/>
            <w:tcBorders>
              <w:top w:val="nil"/>
              <w:left w:val="single" w:sz="4" w:space="0" w:color="auto"/>
              <w:bottom w:val="nil"/>
              <w:right w:val="nil"/>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44,0</w:t>
            </w:r>
          </w:p>
        </w:tc>
      </w:tr>
      <w:tr w:rsidR="008D6098" w:rsidRPr="00544EE1" w:rsidTr="00305387">
        <w:trPr>
          <w:trHeight w:val="240"/>
        </w:trPr>
        <w:tc>
          <w:tcPr>
            <w:tcW w:w="1426"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rPr>
                <w:rFonts w:cs="Arial"/>
                <w:sz w:val="16"/>
                <w:szCs w:val="16"/>
              </w:rPr>
            </w:pPr>
            <w:r w:rsidRPr="00544EE1">
              <w:rPr>
                <w:rFonts w:cs="Arial"/>
                <w:sz w:val="16"/>
                <w:szCs w:val="16"/>
              </w:rPr>
              <w:t>Maďarsko</w:t>
            </w:r>
          </w:p>
        </w:tc>
        <w:tc>
          <w:tcPr>
            <w:tcW w:w="822"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35,0</w:t>
            </w:r>
          </w:p>
        </w:tc>
        <w:tc>
          <w:tcPr>
            <w:tcW w:w="822"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35,6</w:t>
            </w:r>
          </w:p>
        </w:tc>
        <w:tc>
          <w:tcPr>
            <w:tcW w:w="822"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37,5</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39,5</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40,8</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40,8</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42,3</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44,5</w:t>
            </w:r>
          </w:p>
        </w:tc>
        <w:tc>
          <w:tcPr>
            <w:tcW w:w="821" w:type="dxa"/>
            <w:tcBorders>
              <w:top w:val="nil"/>
              <w:left w:val="nil"/>
              <w:bottom w:val="nil"/>
              <w:right w:val="nil"/>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45,6</w:t>
            </w:r>
          </w:p>
        </w:tc>
        <w:tc>
          <w:tcPr>
            <w:tcW w:w="821" w:type="dxa"/>
            <w:tcBorders>
              <w:top w:val="nil"/>
              <w:left w:val="single" w:sz="4" w:space="0" w:color="auto"/>
              <w:bottom w:val="nil"/>
              <w:right w:val="nil"/>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47,3</w:t>
            </w:r>
          </w:p>
        </w:tc>
      </w:tr>
      <w:tr w:rsidR="008D6098" w:rsidRPr="00544EE1" w:rsidTr="00305387">
        <w:trPr>
          <w:trHeight w:val="240"/>
        </w:trPr>
        <w:tc>
          <w:tcPr>
            <w:tcW w:w="1426"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rPr>
                <w:rFonts w:cs="Arial"/>
                <w:sz w:val="16"/>
                <w:szCs w:val="16"/>
              </w:rPr>
            </w:pPr>
            <w:r w:rsidRPr="00544EE1">
              <w:rPr>
                <w:rFonts w:cs="Arial"/>
                <w:sz w:val="16"/>
                <w:szCs w:val="16"/>
              </w:rPr>
              <w:t>Moldavsko</w:t>
            </w:r>
          </w:p>
        </w:tc>
        <w:tc>
          <w:tcPr>
            <w:tcW w:w="822"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w:t>
            </w:r>
          </w:p>
        </w:tc>
        <w:tc>
          <w:tcPr>
            <w:tcW w:w="822"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23,3</w:t>
            </w:r>
          </w:p>
        </w:tc>
        <w:tc>
          <w:tcPr>
            <w:tcW w:w="822"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22,7</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22,3</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22,9</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22,4</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21,6</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22,4</w:t>
            </w:r>
          </w:p>
        </w:tc>
        <w:tc>
          <w:tcPr>
            <w:tcW w:w="821" w:type="dxa"/>
            <w:tcBorders>
              <w:top w:val="nil"/>
              <w:left w:val="nil"/>
              <w:bottom w:val="nil"/>
              <w:right w:val="nil"/>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w:t>
            </w:r>
          </w:p>
        </w:tc>
        <w:tc>
          <w:tcPr>
            <w:tcW w:w="821" w:type="dxa"/>
            <w:tcBorders>
              <w:top w:val="nil"/>
              <w:left w:val="single" w:sz="4" w:space="0" w:color="auto"/>
              <w:bottom w:val="nil"/>
              <w:right w:val="nil"/>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w:t>
            </w:r>
          </w:p>
        </w:tc>
      </w:tr>
      <w:tr w:rsidR="008D6098" w:rsidRPr="00544EE1" w:rsidTr="00305387">
        <w:trPr>
          <w:trHeight w:val="240"/>
        </w:trPr>
        <w:tc>
          <w:tcPr>
            <w:tcW w:w="1426"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rPr>
                <w:rFonts w:cs="Arial"/>
                <w:sz w:val="16"/>
                <w:szCs w:val="16"/>
              </w:rPr>
            </w:pPr>
            <w:r w:rsidRPr="00544EE1">
              <w:rPr>
                <w:rFonts w:cs="Arial"/>
                <w:sz w:val="16"/>
                <w:szCs w:val="16"/>
              </w:rPr>
              <w:t>Německo</w:t>
            </w:r>
          </w:p>
        </w:tc>
        <w:tc>
          <w:tcPr>
            <w:tcW w:w="822"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29,2</w:t>
            </w:r>
          </w:p>
        </w:tc>
        <w:tc>
          <w:tcPr>
            <w:tcW w:w="822"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30,0</w:t>
            </w:r>
          </w:p>
        </w:tc>
        <w:tc>
          <w:tcPr>
            <w:tcW w:w="822"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30,8</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32,1</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32,7</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33,3</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33,9</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34,5</w:t>
            </w:r>
          </w:p>
        </w:tc>
        <w:tc>
          <w:tcPr>
            <w:tcW w:w="821" w:type="dxa"/>
            <w:tcBorders>
              <w:top w:val="nil"/>
              <w:left w:val="nil"/>
              <w:bottom w:val="nil"/>
              <w:right w:val="nil"/>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34,8</w:t>
            </w:r>
          </w:p>
        </w:tc>
        <w:tc>
          <w:tcPr>
            <w:tcW w:w="821" w:type="dxa"/>
            <w:tcBorders>
              <w:top w:val="nil"/>
              <w:left w:val="single" w:sz="4" w:space="0" w:color="auto"/>
              <w:bottom w:val="nil"/>
              <w:right w:val="nil"/>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35,0</w:t>
            </w:r>
          </w:p>
        </w:tc>
      </w:tr>
      <w:tr w:rsidR="008D6098" w:rsidRPr="00544EE1" w:rsidTr="00305387">
        <w:trPr>
          <w:trHeight w:val="240"/>
        </w:trPr>
        <w:tc>
          <w:tcPr>
            <w:tcW w:w="1426"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rPr>
                <w:rFonts w:cs="Arial"/>
                <w:sz w:val="16"/>
                <w:szCs w:val="16"/>
              </w:rPr>
            </w:pPr>
            <w:r w:rsidRPr="00544EE1">
              <w:rPr>
                <w:rFonts w:cs="Arial"/>
                <w:sz w:val="16"/>
                <w:szCs w:val="16"/>
              </w:rPr>
              <w:t>Nizozemsko</w:t>
            </w:r>
          </w:p>
        </w:tc>
        <w:tc>
          <w:tcPr>
            <w:tcW w:w="822"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34,9</w:t>
            </w:r>
          </w:p>
        </w:tc>
        <w:tc>
          <w:tcPr>
            <w:tcW w:w="822"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37,1</w:t>
            </w:r>
          </w:p>
        </w:tc>
        <w:tc>
          <w:tcPr>
            <w:tcW w:w="822"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39,5</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41,2</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43,3</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44,3</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45,3</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46,6</w:t>
            </w:r>
          </w:p>
        </w:tc>
        <w:tc>
          <w:tcPr>
            <w:tcW w:w="821" w:type="dxa"/>
            <w:tcBorders>
              <w:top w:val="nil"/>
              <w:left w:val="nil"/>
              <w:bottom w:val="nil"/>
              <w:right w:val="nil"/>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47,4</w:t>
            </w:r>
          </w:p>
        </w:tc>
        <w:tc>
          <w:tcPr>
            <w:tcW w:w="821" w:type="dxa"/>
            <w:tcBorders>
              <w:top w:val="nil"/>
              <w:left w:val="single" w:sz="4" w:space="0" w:color="auto"/>
              <w:bottom w:val="nil"/>
              <w:right w:val="nil"/>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48,7</w:t>
            </w:r>
          </w:p>
        </w:tc>
      </w:tr>
      <w:tr w:rsidR="008D6098" w:rsidRPr="00544EE1" w:rsidTr="00305387">
        <w:trPr>
          <w:trHeight w:val="240"/>
        </w:trPr>
        <w:tc>
          <w:tcPr>
            <w:tcW w:w="1426"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rPr>
                <w:rFonts w:cs="Arial"/>
                <w:sz w:val="16"/>
                <w:szCs w:val="16"/>
              </w:rPr>
            </w:pPr>
            <w:r w:rsidRPr="00544EE1">
              <w:rPr>
                <w:rFonts w:cs="Arial"/>
                <w:sz w:val="16"/>
                <w:szCs w:val="16"/>
              </w:rPr>
              <w:t>Norsko</w:t>
            </w:r>
          </w:p>
        </w:tc>
        <w:tc>
          <w:tcPr>
            <w:tcW w:w="822"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51,8</w:t>
            </w:r>
          </w:p>
        </w:tc>
        <w:tc>
          <w:tcPr>
            <w:tcW w:w="822"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53,0</w:t>
            </w:r>
          </w:p>
        </w:tc>
        <w:tc>
          <w:tcPr>
            <w:tcW w:w="822"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54,5</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55,0</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55,1</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54,8</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55,0</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54,9</w:t>
            </w:r>
          </w:p>
        </w:tc>
        <w:tc>
          <w:tcPr>
            <w:tcW w:w="821" w:type="dxa"/>
            <w:tcBorders>
              <w:top w:val="nil"/>
              <w:left w:val="nil"/>
              <w:bottom w:val="nil"/>
              <w:right w:val="nil"/>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55,2</w:t>
            </w:r>
          </w:p>
        </w:tc>
        <w:tc>
          <w:tcPr>
            <w:tcW w:w="821" w:type="dxa"/>
            <w:tcBorders>
              <w:top w:val="nil"/>
              <w:left w:val="single" w:sz="4" w:space="0" w:color="auto"/>
              <w:bottom w:val="nil"/>
              <w:right w:val="nil"/>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55,5</w:t>
            </w:r>
          </w:p>
        </w:tc>
      </w:tr>
      <w:tr w:rsidR="008D6098" w:rsidRPr="00544EE1" w:rsidTr="00305387">
        <w:trPr>
          <w:trHeight w:val="240"/>
        </w:trPr>
        <w:tc>
          <w:tcPr>
            <w:tcW w:w="1426"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rPr>
                <w:rFonts w:cs="Arial"/>
                <w:sz w:val="16"/>
                <w:szCs w:val="16"/>
              </w:rPr>
            </w:pPr>
            <w:r w:rsidRPr="00544EE1">
              <w:rPr>
                <w:rFonts w:cs="Arial"/>
                <w:sz w:val="16"/>
                <w:szCs w:val="16"/>
              </w:rPr>
              <w:t>Polsko</w:t>
            </w:r>
          </w:p>
        </w:tc>
        <w:tc>
          <w:tcPr>
            <w:tcW w:w="822"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18,5</w:t>
            </w:r>
          </w:p>
        </w:tc>
        <w:tc>
          <w:tcPr>
            <w:tcW w:w="822"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18,9</w:t>
            </w:r>
          </w:p>
        </w:tc>
        <w:tc>
          <w:tcPr>
            <w:tcW w:w="822"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19,5</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19,9</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20,2</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20,6</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21,2</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22,3</w:t>
            </w:r>
          </w:p>
        </w:tc>
        <w:tc>
          <w:tcPr>
            <w:tcW w:w="821" w:type="dxa"/>
            <w:tcBorders>
              <w:top w:val="nil"/>
              <w:left w:val="nil"/>
              <w:bottom w:val="nil"/>
              <w:right w:val="nil"/>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23,4</w:t>
            </w:r>
          </w:p>
        </w:tc>
        <w:tc>
          <w:tcPr>
            <w:tcW w:w="821" w:type="dxa"/>
            <w:tcBorders>
              <w:top w:val="nil"/>
              <w:left w:val="single" w:sz="4" w:space="0" w:color="auto"/>
              <w:bottom w:val="nil"/>
              <w:right w:val="nil"/>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24,2</w:t>
            </w:r>
          </w:p>
        </w:tc>
      </w:tr>
      <w:tr w:rsidR="008D6098" w:rsidRPr="00544EE1" w:rsidTr="00305387">
        <w:trPr>
          <w:trHeight w:val="240"/>
        </w:trPr>
        <w:tc>
          <w:tcPr>
            <w:tcW w:w="1426"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rPr>
                <w:rFonts w:cs="Arial"/>
                <w:sz w:val="16"/>
                <w:szCs w:val="16"/>
              </w:rPr>
            </w:pPr>
            <w:r w:rsidRPr="00544EE1">
              <w:rPr>
                <w:rFonts w:cs="Arial"/>
                <w:sz w:val="16"/>
                <w:szCs w:val="16"/>
              </w:rPr>
              <w:t>Portugalsko</w:t>
            </w:r>
          </w:p>
        </w:tc>
        <w:tc>
          <w:tcPr>
            <w:tcW w:w="822"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30,7</w:t>
            </w:r>
          </w:p>
        </w:tc>
        <w:tc>
          <w:tcPr>
            <w:tcW w:w="822"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31,6</w:t>
            </w:r>
          </w:p>
        </w:tc>
        <w:tc>
          <w:tcPr>
            <w:tcW w:w="822"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33,6</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36,2</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38,1</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41,3</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42,8</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45,6</w:t>
            </w:r>
          </w:p>
        </w:tc>
        <w:tc>
          <w:tcPr>
            <w:tcW w:w="821" w:type="dxa"/>
            <w:tcBorders>
              <w:top w:val="nil"/>
              <w:left w:val="nil"/>
              <w:bottom w:val="nil"/>
              <w:right w:val="nil"/>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47,6</w:t>
            </w:r>
          </w:p>
        </w:tc>
        <w:tc>
          <w:tcPr>
            <w:tcW w:w="821" w:type="dxa"/>
            <w:tcBorders>
              <w:top w:val="nil"/>
              <w:left w:val="single" w:sz="4" w:space="0" w:color="auto"/>
              <w:bottom w:val="nil"/>
              <w:right w:val="nil"/>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49,3</w:t>
            </w:r>
          </w:p>
        </w:tc>
      </w:tr>
      <w:tr w:rsidR="008D6098" w:rsidRPr="00544EE1" w:rsidTr="00305387">
        <w:trPr>
          <w:trHeight w:val="240"/>
        </w:trPr>
        <w:tc>
          <w:tcPr>
            <w:tcW w:w="1426"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rPr>
                <w:rFonts w:cs="Arial"/>
                <w:sz w:val="16"/>
                <w:szCs w:val="16"/>
              </w:rPr>
            </w:pPr>
            <w:r w:rsidRPr="00544EE1">
              <w:rPr>
                <w:rFonts w:cs="Arial"/>
                <w:sz w:val="16"/>
                <w:szCs w:val="16"/>
              </w:rPr>
              <w:t>Rakousko</w:t>
            </w:r>
          </w:p>
        </w:tc>
        <w:tc>
          <w:tcPr>
            <w:tcW w:w="822"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36,5</w:t>
            </w:r>
          </w:p>
        </w:tc>
        <w:tc>
          <w:tcPr>
            <w:tcW w:w="822"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37,2</w:t>
            </w:r>
          </w:p>
        </w:tc>
        <w:tc>
          <w:tcPr>
            <w:tcW w:w="822"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38,3</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38,8</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39,3</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40,1</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40,4</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41,5</w:t>
            </w:r>
          </w:p>
        </w:tc>
        <w:tc>
          <w:tcPr>
            <w:tcW w:w="821" w:type="dxa"/>
            <w:tcBorders>
              <w:top w:val="nil"/>
              <w:left w:val="nil"/>
              <w:bottom w:val="nil"/>
              <w:right w:val="nil"/>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w:t>
            </w:r>
          </w:p>
        </w:tc>
        <w:tc>
          <w:tcPr>
            <w:tcW w:w="821" w:type="dxa"/>
            <w:tcBorders>
              <w:top w:val="nil"/>
              <w:left w:val="single" w:sz="4" w:space="0" w:color="auto"/>
              <w:bottom w:val="nil"/>
              <w:right w:val="nil"/>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w:t>
            </w:r>
          </w:p>
        </w:tc>
      </w:tr>
      <w:tr w:rsidR="008D6098" w:rsidRPr="00544EE1" w:rsidTr="00305387">
        <w:trPr>
          <w:trHeight w:val="240"/>
        </w:trPr>
        <w:tc>
          <w:tcPr>
            <w:tcW w:w="1426"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rPr>
                <w:rFonts w:cs="Arial"/>
                <w:sz w:val="16"/>
                <w:szCs w:val="16"/>
              </w:rPr>
            </w:pPr>
            <w:r w:rsidRPr="00544EE1">
              <w:rPr>
                <w:rFonts w:cs="Arial"/>
                <w:sz w:val="16"/>
                <w:szCs w:val="16"/>
              </w:rPr>
              <w:t>Rumunsko</w:t>
            </w:r>
          </w:p>
        </w:tc>
        <w:tc>
          <w:tcPr>
            <w:tcW w:w="822"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28,5</w:t>
            </w:r>
          </w:p>
        </w:tc>
        <w:tc>
          <w:tcPr>
            <w:tcW w:w="822"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29,0</w:t>
            </w:r>
          </w:p>
        </w:tc>
        <w:tc>
          <w:tcPr>
            <w:tcW w:w="822"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26,7</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27,4</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28,0</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27,7</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30,0</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31,0</w:t>
            </w:r>
          </w:p>
        </w:tc>
        <w:tc>
          <w:tcPr>
            <w:tcW w:w="821" w:type="dxa"/>
            <w:tcBorders>
              <w:top w:val="nil"/>
              <w:left w:val="nil"/>
              <w:bottom w:val="nil"/>
              <w:right w:val="nil"/>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30,5</w:t>
            </w:r>
          </w:p>
        </w:tc>
        <w:tc>
          <w:tcPr>
            <w:tcW w:w="821" w:type="dxa"/>
            <w:tcBorders>
              <w:top w:val="nil"/>
              <w:left w:val="single" w:sz="4" w:space="0" w:color="auto"/>
              <w:bottom w:val="nil"/>
              <w:right w:val="nil"/>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31,2</w:t>
            </w:r>
          </w:p>
        </w:tc>
      </w:tr>
      <w:tr w:rsidR="008D6098" w:rsidRPr="00544EE1" w:rsidTr="00305387">
        <w:trPr>
          <w:trHeight w:val="240"/>
        </w:trPr>
        <w:tc>
          <w:tcPr>
            <w:tcW w:w="1426"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rPr>
                <w:rFonts w:cs="Arial"/>
                <w:sz w:val="16"/>
                <w:szCs w:val="16"/>
              </w:rPr>
            </w:pPr>
            <w:r w:rsidRPr="00544EE1">
              <w:rPr>
                <w:rFonts w:cs="Arial"/>
                <w:sz w:val="16"/>
                <w:szCs w:val="16"/>
              </w:rPr>
              <w:t>Rusko</w:t>
            </w:r>
          </w:p>
        </w:tc>
        <w:tc>
          <w:tcPr>
            <w:tcW w:w="822"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w:t>
            </w:r>
          </w:p>
        </w:tc>
        <w:tc>
          <w:tcPr>
            <w:tcW w:w="822"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29,2</w:t>
            </w:r>
          </w:p>
        </w:tc>
        <w:tc>
          <w:tcPr>
            <w:tcW w:w="822"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28,0</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26,9</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26,1</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24,9</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24,6</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w:t>
            </w:r>
          </w:p>
        </w:tc>
        <w:tc>
          <w:tcPr>
            <w:tcW w:w="821" w:type="dxa"/>
            <w:tcBorders>
              <w:top w:val="nil"/>
              <w:left w:val="nil"/>
              <w:bottom w:val="nil"/>
              <w:right w:val="nil"/>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23,0</w:t>
            </w:r>
          </w:p>
        </w:tc>
        <w:tc>
          <w:tcPr>
            <w:tcW w:w="821" w:type="dxa"/>
            <w:tcBorders>
              <w:top w:val="nil"/>
              <w:left w:val="single" w:sz="4" w:space="0" w:color="auto"/>
              <w:bottom w:val="nil"/>
              <w:right w:val="nil"/>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22,5</w:t>
            </w:r>
          </w:p>
        </w:tc>
      </w:tr>
      <w:tr w:rsidR="008D6098" w:rsidRPr="00544EE1" w:rsidTr="00305387">
        <w:trPr>
          <w:trHeight w:val="240"/>
        </w:trPr>
        <w:tc>
          <w:tcPr>
            <w:tcW w:w="1426"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rPr>
                <w:rFonts w:cs="Arial"/>
                <w:sz w:val="16"/>
                <w:szCs w:val="16"/>
              </w:rPr>
            </w:pPr>
            <w:r w:rsidRPr="00544EE1">
              <w:rPr>
                <w:rFonts w:cs="Arial"/>
                <w:sz w:val="16"/>
                <w:szCs w:val="16"/>
              </w:rPr>
              <w:t>Řecko</w:t>
            </w:r>
          </w:p>
        </w:tc>
        <w:tc>
          <w:tcPr>
            <w:tcW w:w="822"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5,1</w:t>
            </w:r>
          </w:p>
        </w:tc>
        <w:tc>
          <w:tcPr>
            <w:tcW w:w="822"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5,3</w:t>
            </w:r>
          </w:p>
        </w:tc>
        <w:tc>
          <w:tcPr>
            <w:tcW w:w="822"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5,8</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5,9</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6,6</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7,3</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7,4</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7,6</w:t>
            </w:r>
          </w:p>
        </w:tc>
        <w:tc>
          <w:tcPr>
            <w:tcW w:w="821" w:type="dxa"/>
            <w:tcBorders>
              <w:top w:val="nil"/>
              <w:left w:val="nil"/>
              <w:bottom w:val="nil"/>
              <w:right w:val="nil"/>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7,0</w:t>
            </w:r>
          </w:p>
        </w:tc>
        <w:tc>
          <w:tcPr>
            <w:tcW w:w="821" w:type="dxa"/>
            <w:tcBorders>
              <w:top w:val="nil"/>
              <w:left w:val="single" w:sz="4" w:space="0" w:color="auto"/>
              <w:bottom w:val="nil"/>
              <w:right w:val="nil"/>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8,2</w:t>
            </w:r>
          </w:p>
        </w:tc>
      </w:tr>
      <w:tr w:rsidR="008D6098" w:rsidRPr="00544EE1" w:rsidTr="00305387">
        <w:trPr>
          <w:trHeight w:val="240"/>
        </w:trPr>
        <w:tc>
          <w:tcPr>
            <w:tcW w:w="1426"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rPr>
                <w:rFonts w:cs="Arial"/>
                <w:sz w:val="16"/>
                <w:szCs w:val="16"/>
              </w:rPr>
            </w:pPr>
            <w:r w:rsidRPr="00544EE1">
              <w:rPr>
                <w:rFonts w:cs="Arial"/>
                <w:sz w:val="16"/>
                <w:szCs w:val="16"/>
              </w:rPr>
              <w:t>Slovensko</w:t>
            </w:r>
          </w:p>
        </w:tc>
        <w:tc>
          <w:tcPr>
            <w:tcW w:w="822"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26,0</w:t>
            </w:r>
          </w:p>
        </w:tc>
        <w:tc>
          <w:tcPr>
            <w:tcW w:w="822"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27,5</w:t>
            </w:r>
          </w:p>
        </w:tc>
        <w:tc>
          <w:tcPr>
            <w:tcW w:w="822"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28,8</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30,1</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31,6</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33,0</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34,0</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35,4</w:t>
            </w:r>
          </w:p>
        </w:tc>
        <w:tc>
          <w:tcPr>
            <w:tcW w:w="821" w:type="dxa"/>
            <w:tcBorders>
              <w:top w:val="nil"/>
              <w:left w:val="nil"/>
              <w:bottom w:val="nil"/>
              <w:right w:val="nil"/>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37,0</w:t>
            </w:r>
          </w:p>
        </w:tc>
        <w:tc>
          <w:tcPr>
            <w:tcW w:w="821" w:type="dxa"/>
            <w:tcBorders>
              <w:top w:val="nil"/>
              <w:left w:val="single" w:sz="4" w:space="0" w:color="auto"/>
              <w:bottom w:val="nil"/>
              <w:right w:val="nil"/>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38,9</w:t>
            </w:r>
          </w:p>
        </w:tc>
      </w:tr>
      <w:tr w:rsidR="008D6098" w:rsidRPr="00544EE1" w:rsidTr="00305387">
        <w:trPr>
          <w:trHeight w:val="240"/>
        </w:trPr>
        <w:tc>
          <w:tcPr>
            <w:tcW w:w="1426"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rPr>
                <w:rFonts w:cs="Arial"/>
                <w:sz w:val="16"/>
                <w:szCs w:val="16"/>
              </w:rPr>
            </w:pPr>
            <w:r w:rsidRPr="00544EE1">
              <w:rPr>
                <w:rFonts w:cs="Arial"/>
                <w:sz w:val="16"/>
                <w:szCs w:val="16"/>
              </w:rPr>
              <w:t>Slovinsko</w:t>
            </w:r>
          </w:p>
        </w:tc>
        <w:tc>
          <w:tcPr>
            <w:tcW w:w="822"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46,7</w:t>
            </w:r>
          </w:p>
        </w:tc>
        <w:tc>
          <w:tcPr>
            <w:tcW w:w="822"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47,2</w:t>
            </w:r>
          </w:p>
        </w:tc>
        <w:tc>
          <w:tcPr>
            <w:tcW w:w="822"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50,8</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52,8</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53,6</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55,7</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56,8</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57,6</w:t>
            </w:r>
          </w:p>
        </w:tc>
        <w:tc>
          <w:tcPr>
            <w:tcW w:w="821" w:type="dxa"/>
            <w:tcBorders>
              <w:top w:val="nil"/>
              <w:left w:val="nil"/>
              <w:bottom w:val="nil"/>
              <w:right w:val="nil"/>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58,0</w:t>
            </w:r>
          </w:p>
        </w:tc>
        <w:tc>
          <w:tcPr>
            <w:tcW w:w="821" w:type="dxa"/>
            <w:tcBorders>
              <w:top w:val="nil"/>
              <w:left w:val="single" w:sz="4" w:space="0" w:color="auto"/>
              <w:bottom w:val="nil"/>
              <w:right w:val="nil"/>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58,3</w:t>
            </w:r>
          </w:p>
        </w:tc>
      </w:tr>
      <w:tr w:rsidR="008D6098" w:rsidRPr="00544EE1" w:rsidTr="00305387">
        <w:trPr>
          <w:trHeight w:val="240"/>
        </w:trPr>
        <w:tc>
          <w:tcPr>
            <w:tcW w:w="1426"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rPr>
                <w:rFonts w:cs="Arial"/>
                <w:sz w:val="16"/>
                <w:szCs w:val="16"/>
              </w:rPr>
            </w:pPr>
            <w:r w:rsidRPr="00544EE1">
              <w:rPr>
                <w:rFonts w:cs="Arial"/>
                <w:sz w:val="16"/>
                <w:szCs w:val="16"/>
              </w:rPr>
              <w:t>Španělsko</w:t>
            </w:r>
          </w:p>
        </w:tc>
        <w:tc>
          <w:tcPr>
            <w:tcW w:w="822"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26,5</w:t>
            </w:r>
          </w:p>
        </w:tc>
        <w:tc>
          <w:tcPr>
            <w:tcW w:w="822"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28,4</w:t>
            </w:r>
          </w:p>
        </w:tc>
        <w:tc>
          <w:tcPr>
            <w:tcW w:w="822"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30,2</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33,2</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34,5</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35,5</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37,4</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39,0</w:t>
            </w:r>
          </w:p>
        </w:tc>
        <w:tc>
          <w:tcPr>
            <w:tcW w:w="821" w:type="dxa"/>
            <w:tcBorders>
              <w:top w:val="nil"/>
              <w:left w:val="nil"/>
              <w:bottom w:val="nil"/>
              <w:right w:val="nil"/>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40,9</w:t>
            </w:r>
          </w:p>
        </w:tc>
        <w:tc>
          <w:tcPr>
            <w:tcW w:w="821" w:type="dxa"/>
            <w:tcBorders>
              <w:top w:val="nil"/>
              <w:left w:val="single" w:sz="4" w:space="0" w:color="auto"/>
              <w:bottom w:val="nil"/>
              <w:right w:val="nil"/>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42,5</w:t>
            </w:r>
          </w:p>
        </w:tc>
      </w:tr>
      <w:tr w:rsidR="008D6098" w:rsidRPr="00544EE1" w:rsidTr="00305387">
        <w:trPr>
          <w:trHeight w:val="240"/>
        </w:trPr>
        <w:tc>
          <w:tcPr>
            <w:tcW w:w="1426"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rPr>
                <w:rFonts w:cs="Arial"/>
                <w:sz w:val="16"/>
                <w:szCs w:val="16"/>
              </w:rPr>
            </w:pPr>
            <w:r w:rsidRPr="00544EE1">
              <w:rPr>
                <w:rFonts w:cs="Arial"/>
                <w:sz w:val="16"/>
                <w:szCs w:val="16"/>
              </w:rPr>
              <w:t>Švédsko</w:t>
            </w:r>
          </w:p>
        </w:tc>
        <w:tc>
          <w:tcPr>
            <w:tcW w:w="822"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55,4</w:t>
            </w:r>
          </w:p>
        </w:tc>
        <w:tc>
          <w:tcPr>
            <w:tcW w:w="822"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55,5</w:t>
            </w:r>
          </w:p>
        </w:tc>
        <w:tc>
          <w:tcPr>
            <w:tcW w:w="822"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54,8</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54,7</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54,4</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54,2</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54,3</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54,5</w:t>
            </w:r>
          </w:p>
        </w:tc>
        <w:tc>
          <w:tcPr>
            <w:tcW w:w="821" w:type="dxa"/>
            <w:tcBorders>
              <w:top w:val="nil"/>
              <w:left w:val="nil"/>
              <w:bottom w:val="nil"/>
              <w:right w:val="nil"/>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54,4</w:t>
            </w:r>
          </w:p>
        </w:tc>
        <w:tc>
          <w:tcPr>
            <w:tcW w:w="821" w:type="dxa"/>
            <w:tcBorders>
              <w:top w:val="nil"/>
              <w:left w:val="single" w:sz="4" w:space="0" w:color="auto"/>
              <w:bottom w:val="nil"/>
              <w:right w:val="nil"/>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54,6</w:t>
            </w:r>
          </w:p>
        </w:tc>
      </w:tr>
      <w:tr w:rsidR="008D6098" w:rsidRPr="00544EE1" w:rsidTr="00305387">
        <w:trPr>
          <w:trHeight w:val="240"/>
        </w:trPr>
        <w:tc>
          <w:tcPr>
            <w:tcW w:w="1426"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rPr>
                <w:rFonts w:cs="Arial"/>
                <w:sz w:val="16"/>
                <w:szCs w:val="16"/>
              </w:rPr>
            </w:pPr>
            <w:r w:rsidRPr="00544EE1">
              <w:rPr>
                <w:rFonts w:cs="Arial"/>
                <w:sz w:val="16"/>
                <w:szCs w:val="16"/>
              </w:rPr>
              <w:t>Švýcarsko</w:t>
            </w:r>
          </w:p>
        </w:tc>
        <w:tc>
          <w:tcPr>
            <w:tcW w:w="822"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13,7</w:t>
            </w:r>
          </w:p>
        </w:tc>
        <w:tc>
          <w:tcPr>
            <w:tcW w:w="822"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15,4</w:t>
            </w:r>
          </w:p>
        </w:tc>
        <w:tc>
          <w:tcPr>
            <w:tcW w:w="822"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16,2</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17,1</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17,9</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18,6</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19,3</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20,2</w:t>
            </w:r>
          </w:p>
        </w:tc>
        <w:tc>
          <w:tcPr>
            <w:tcW w:w="821" w:type="dxa"/>
            <w:tcBorders>
              <w:top w:val="nil"/>
              <w:left w:val="nil"/>
              <w:bottom w:val="nil"/>
              <w:right w:val="nil"/>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21,1</w:t>
            </w:r>
          </w:p>
        </w:tc>
        <w:tc>
          <w:tcPr>
            <w:tcW w:w="821" w:type="dxa"/>
            <w:tcBorders>
              <w:top w:val="nil"/>
              <w:left w:val="single" w:sz="4" w:space="0" w:color="auto"/>
              <w:bottom w:val="nil"/>
              <w:right w:val="nil"/>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21,7</w:t>
            </w:r>
          </w:p>
        </w:tc>
      </w:tr>
      <w:tr w:rsidR="008D6098" w:rsidRPr="00544EE1" w:rsidTr="00305387">
        <w:trPr>
          <w:trHeight w:val="240"/>
        </w:trPr>
        <w:tc>
          <w:tcPr>
            <w:tcW w:w="1426"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rPr>
                <w:rFonts w:cs="Arial"/>
                <w:sz w:val="16"/>
                <w:szCs w:val="16"/>
              </w:rPr>
            </w:pPr>
            <w:r w:rsidRPr="00544EE1">
              <w:rPr>
                <w:rFonts w:cs="Arial"/>
                <w:sz w:val="16"/>
                <w:szCs w:val="16"/>
              </w:rPr>
              <w:t>Ukrajina</w:t>
            </w:r>
          </w:p>
        </w:tc>
        <w:tc>
          <w:tcPr>
            <w:tcW w:w="822"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w:t>
            </w:r>
          </w:p>
        </w:tc>
        <w:tc>
          <w:tcPr>
            <w:tcW w:w="822"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21,1</w:t>
            </w:r>
          </w:p>
        </w:tc>
        <w:tc>
          <w:tcPr>
            <w:tcW w:w="822"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21,4</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20,9</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21,2</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21,9</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21,9</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21,4</w:t>
            </w:r>
          </w:p>
        </w:tc>
        <w:tc>
          <w:tcPr>
            <w:tcW w:w="821" w:type="dxa"/>
            <w:tcBorders>
              <w:top w:val="nil"/>
              <w:left w:val="nil"/>
              <w:bottom w:val="nil"/>
              <w:right w:val="nil"/>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w:t>
            </w:r>
          </w:p>
        </w:tc>
        <w:tc>
          <w:tcPr>
            <w:tcW w:w="821" w:type="dxa"/>
            <w:tcBorders>
              <w:top w:val="nil"/>
              <w:left w:val="single" w:sz="4" w:space="0" w:color="auto"/>
              <w:bottom w:val="nil"/>
              <w:right w:val="nil"/>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21,1</w:t>
            </w:r>
          </w:p>
        </w:tc>
      </w:tr>
      <w:tr w:rsidR="008D6098" w:rsidRPr="00544EE1" w:rsidTr="00305387">
        <w:trPr>
          <w:trHeight w:val="240"/>
        </w:trPr>
        <w:tc>
          <w:tcPr>
            <w:tcW w:w="1426"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rPr>
                <w:rFonts w:cs="Arial"/>
                <w:sz w:val="16"/>
                <w:szCs w:val="16"/>
              </w:rPr>
            </w:pPr>
            <w:r w:rsidRPr="00544EE1">
              <w:rPr>
                <w:rFonts w:cs="Arial"/>
                <w:sz w:val="16"/>
                <w:szCs w:val="16"/>
              </w:rPr>
              <w:t>Velká Británie</w:t>
            </w:r>
          </w:p>
        </w:tc>
        <w:tc>
          <w:tcPr>
            <w:tcW w:w="822"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42,9</w:t>
            </w:r>
          </w:p>
        </w:tc>
        <w:tc>
          <w:tcPr>
            <w:tcW w:w="822"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43,7</w:t>
            </w:r>
          </w:p>
        </w:tc>
        <w:tc>
          <w:tcPr>
            <w:tcW w:w="822"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44,4</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45,4</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46,3</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46,9</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47,3</w:t>
            </w:r>
          </w:p>
        </w:tc>
        <w:tc>
          <w:tcPr>
            <w:tcW w:w="821" w:type="dxa"/>
            <w:tcBorders>
              <w:top w:val="nil"/>
              <w:left w:val="nil"/>
              <w:bottom w:val="nil"/>
              <w:right w:val="single" w:sz="4" w:space="0" w:color="auto"/>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47,6</w:t>
            </w:r>
          </w:p>
        </w:tc>
        <w:tc>
          <w:tcPr>
            <w:tcW w:w="821" w:type="dxa"/>
            <w:tcBorders>
              <w:top w:val="nil"/>
              <w:left w:val="nil"/>
              <w:bottom w:val="nil"/>
              <w:right w:val="nil"/>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w:t>
            </w:r>
          </w:p>
        </w:tc>
        <w:tc>
          <w:tcPr>
            <w:tcW w:w="821" w:type="dxa"/>
            <w:tcBorders>
              <w:top w:val="nil"/>
              <w:left w:val="single" w:sz="4" w:space="0" w:color="auto"/>
              <w:bottom w:val="nil"/>
              <w:right w:val="nil"/>
            </w:tcBorders>
            <w:shd w:val="clear" w:color="000000" w:fill="FFFFFF"/>
            <w:noWrap/>
            <w:vAlign w:val="bottom"/>
            <w:hideMark/>
          </w:tcPr>
          <w:p w:rsidR="008D6098" w:rsidRPr="00544EE1" w:rsidRDefault="008D6098" w:rsidP="00305387">
            <w:pPr>
              <w:spacing w:after="0" w:line="240" w:lineRule="auto"/>
              <w:jc w:val="center"/>
              <w:rPr>
                <w:rFonts w:cs="Arial"/>
                <w:sz w:val="16"/>
                <w:szCs w:val="16"/>
              </w:rPr>
            </w:pPr>
            <w:r w:rsidRPr="00544EE1">
              <w:rPr>
                <w:rFonts w:cs="Arial"/>
                <w:sz w:val="16"/>
                <w:szCs w:val="16"/>
              </w:rPr>
              <w:t>.</w:t>
            </w:r>
          </w:p>
        </w:tc>
      </w:tr>
    </w:tbl>
    <w:p w:rsidR="008D6098" w:rsidRPr="00A513FA" w:rsidRDefault="008D6098" w:rsidP="008D6098">
      <w:pPr>
        <w:spacing w:before="60"/>
        <w:rPr>
          <w:rFonts w:cs="Arial"/>
          <w:i/>
          <w:sz w:val="16"/>
          <w:szCs w:val="16"/>
        </w:rPr>
      </w:pPr>
      <w:r w:rsidRPr="00A513FA">
        <w:rPr>
          <w:rFonts w:cs="Arial"/>
          <w:i/>
          <w:sz w:val="16"/>
          <w:szCs w:val="16"/>
        </w:rPr>
        <w:t>Zdroj dat: Eurostat database</w:t>
      </w:r>
    </w:p>
    <w:p w:rsidR="008D6098" w:rsidRDefault="008D6098" w:rsidP="008D6098">
      <w:pPr>
        <w:spacing w:after="60"/>
        <w:rPr>
          <w:rFonts w:cs="Arial"/>
          <w:szCs w:val="20"/>
        </w:rPr>
      </w:pPr>
      <w:r>
        <w:rPr>
          <w:rFonts w:cs="Arial"/>
          <w:szCs w:val="20"/>
        </w:rPr>
        <w:t xml:space="preserve">Státy východní Evropy jsou z pohledu tohoto ukazatele značně diferencovány. Nižších hodnot dosahovaly například Polsko (24,2 % v roce 2014) a Litva (29,0 % v roce 2014), přičemž sousední Lotyšsko dosahovalo naopak nadprůměrné hodnoty (44,0 % v posledním roce). V České republice byl evidován jeden z největší </w:t>
      </w:r>
      <w:r>
        <w:rPr>
          <w:rFonts w:cs="Arial"/>
          <w:szCs w:val="20"/>
        </w:rPr>
        <w:lastRenderedPageBreak/>
        <w:t xml:space="preserve">nárůstů podílu mimomanželsky narozených dětí a to z 31,7 na 46,7 % mezi roky 2004 a 2014. Nejvyšší zastoupení dětí narozených mimo manželství nejen v rámci východní Evropy, ale v rámci celé Evropské unie, bylo v roce 2014 v Bulharsku (58,8 %) a Slovinsku (58,3 %). Za roky 2013 a 2014 ovšem nebyla dostupná data za Island, kde dosahoval tento ukazatel v roce 2012 hodnoty 66,9 %. Další výrazně nadprůměrné hodnoty bychom nalezli v Estonsku, Francii, Norsku, Švédsku, Dánsku a Belgii (nad 50 %).   </w:t>
      </w:r>
    </w:p>
    <w:p w:rsidR="008D6098" w:rsidRDefault="008D6098" w:rsidP="008D6098">
      <w:pPr>
        <w:spacing w:after="60"/>
        <w:rPr>
          <w:rFonts w:cs="Arial"/>
          <w:szCs w:val="20"/>
        </w:rPr>
      </w:pPr>
    </w:p>
    <w:p w:rsidR="008D6098" w:rsidRDefault="008D6098" w:rsidP="008D6098">
      <w:pPr>
        <w:pStyle w:val="Nadpis1"/>
      </w:pPr>
    </w:p>
    <w:p w:rsidR="008D6098" w:rsidRDefault="008D6098" w:rsidP="008D6098">
      <w:pPr>
        <w:pStyle w:val="Nadpis1"/>
      </w:pPr>
    </w:p>
    <w:p w:rsidR="008D6098" w:rsidRDefault="008D6098" w:rsidP="008D6098">
      <w:pPr>
        <w:pStyle w:val="Nadpis1"/>
      </w:pPr>
    </w:p>
    <w:p w:rsidR="008D6098" w:rsidRDefault="008D6098" w:rsidP="008D6098">
      <w:pPr>
        <w:pStyle w:val="Nadpis1"/>
      </w:pPr>
    </w:p>
    <w:p w:rsidR="008D6098" w:rsidRDefault="008D6098" w:rsidP="008D6098">
      <w:pPr>
        <w:pStyle w:val="Nadpis1"/>
      </w:pPr>
    </w:p>
    <w:p w:rsidR="008D6098" w:rsidRDefault="008D6098" w:rsidP="008D6098">
      <w:pPr>
        <w:pStyle w:val="Nadpis1"/>
      </w:pPr>
    </w:p>
    <w:p w:rsidR="008D6098" w:rsidRDefault="008D6098" w:rsidP="008D6098">
      <w:pPr>
        <w:pStyle w:val="Nadpis1"/>
      </w:pPr>
    </w:p>
    <w:p w:rsidR="008D6098" w:rsidRDefault="008D6098" w:rsidP="008D6098">
      <w:pPr>
        <w:pStyle w:val="Nadpis1"/>
      </w:pPr>
    </w:p>
    <w:p w:rsidR="008D6098" w:rsidRDefault="008D6098" w:rsidP="008D6098">
      <w:pPr>
        <w:pStyle w:val="Nadpis1"/>
      </w:pPr>
    </w:p>
    <w:p w:rsidR="008D6098" w:rsidRDefault="008D6098" w:rsidP="008D6098">
      <w:pPr>
        <w:pStyle w:val="Nadpis1"/>
      </w:pPr>
    </w:p>
    <w:p w:rsidR="008D6098" w:rsidRDefault="008D6098" w:rsidP="008D6098">
      <w:pPr>
        <w:pStyle w:val="Nadpis1"/>
      </w:pPr>
    </w:p>
    <w:p w:rsidR="008D6098" w:rsidRDefault="008D6098" w:rsidP="008D6098">
      <w:pPr>
        <w:pStyle w:val="Nadpis1"/>
      </w:pPr>
    </w:p>
    <w:p w:rsidR="008564D2" w:rsidRPr="008D6098" w:rsidRDefault="008564D2" w:rsidP="008D6098">
      <w:r w:rsidRPr="008D6098">
        <w:t xml:space="preserve"> </w:t>
      </w:r>
    </w:p>
    <w:sectPr w:rsidR="008564D2" w:rsidRPr="008D6098" w:rsidSect="008D6098">
      <w:headerReference w:type="even" r:id="rId9"/>
      <w:headerReference w:type="default" r:id="rId10"/>
      <w:footerReference w:type="even" r:id="rId11"/>
      <w:footerReference w:type="default" r:id="rId12"/>
      <w:footnotePr>
        <w:numStart w:val="6"/>
      </w:footnotePr>
      <w:pgSz w:w="11906" w:h="16838" w:code="9"/>
      <w:pgMar w:top="1134" w:right="1134" w:bottom="1418" w:left="1134" w:header="680" w:footer="680" w:gutter="0"/>
      <w:pgNumType w:start="3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C37" w:rsidRDefault="00E10C37" w:rsidP="00E71A58">
      <w:r>
        <w:separator/>
      </w:r>
    </w:p>
  </w:endnote>
  <w:endnote w:type="continuationSeparator" w:id="0">
    <w:p w:rsidR="00E10C37" w:rsidRDefault="00E10C37"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7B7" w:rsidRPr="00932443" w:rsidRDefault="00E10C37" w:rsidP="00A418BC">
    <w:pPr>
      <w:pStyle w:val="Zpat"/>
      <w:rPr>
        <w:szCs w:val="16"/>
      </w:rPr>
    </w:pPr>
    <w:r>
      <w:rPr>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331.55pt;margin-top:-5.1pt;width:33.75pt;height:15.85pt;z-index:2;mso-position-horizontal:right">
          <v:imagedata r:id="rId1" o:title="CSU RGB CZ logo-01"/>
        </v:shape>
      </w:pict>
    </w:r>
    <w:r w:rsidR="009047B7" w:rsidRPr="00932443">
      <w:rPr>
        <w:szCs w:val="16"/>
      </w:rPr>
      <w:fldChar w:fldCharType="begin"/>
    </w:r>
    <w:r w:rsidR="009047B7" w:rsidRPr="00932443">
      <w:rPr>
        <w:szCs w:val="16"/>
      </w:rPr>
      <w:instrText>PAGE   \* MERGEFORMAT</w:instrText>
    </w:r>
    <w:r w:rsidR="009047B7" w:rsidRPr="00932443">
      <w:rPr>
        <w:szCs w:val="16"/>
      </w:rPr>
      <w:fldChar w:fldCharType="separate"/>
    </w:r>
    <w:r w:rsidR="008D6098">
      <w:rPr>
        <w:szCs w:val="16"/>
      </w:rPr>
      <w:t>32</w:t>
    </w:r>
    <w:r w:rsidR="009047B7" w:rsidRPr="00932443">
      <w:rPr>
        <w:szCs w:val="16"/>
      </w:rPr>
      <w:fldChar w:fldCharType="end"/>
    </w:r>
    <w:r w:rsidR="009047B7" w:rsidRPr="00932443">
      <w:rPr>
        <w:szCs w:val="16"/>
      </w:rPr>
      <w:tab/>
    </w:r>
    <w:r w:rsidR="009047B7">
      <w:rPr>
        <w:szCs w:val="16"/>
      </w:rPr>
      <w:t>2011 - 2015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7B7" w:rsidRPr="00932443" w:rsidRDefault="00E10C37" w:rsidP="00A418BC">
    <w:pPr>
      <w:pStyle w:val="Zpat"/>
      <w:rPr>
        <w:szCs w:val="16"/>
      </w:rPr>
    </w:pPr>
    <w:r>
      <w:rPr>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0;margin-top:-9.65pt;width:40.2pt;height:21.45pt;z-index:1;mso-position-horizontal:left">
          <v:imagedata r:id="rId1" o:title="CSU RGB CZ logo-02"/>
        </v:shape>
      </w:pict>
    </w:r>
    <w:r w:rsidR="009047B7" w:rsidRPr="00932443">
      <w:rPr>
        <w:szCs w:val="16"/>
      </w:rPr>
      <w:tab/>
    </w:r>
    <w:r w:rsidR="009047B7">
      <w:rPr>
        <w:rStyle w:val="ZpatChar"/>
        <w:szCs w:val="16"/>
      </w:rPr>
      <w:t>2011 – 2015</w:t>
    </w:r>
    <w:r w:rsidR="009047B7" w:rsidRPr="00932443">
      <w:rPr>
        <w:szCs w:val="16"/>
      </w:rPr>
      <w:tab/>
    </w:r>
    <w:r w:rsidR="009047B7" w:rsidRPr="00932443">
      <w:rPr>
        <w:rStyle w:val="ZpatChar"/>
        <w:szCs w:val="16"/>
      </w:rPr>
      <w:fldChar w:fldCharType="begin"/>
    </w:r>
    <w:r w:rsidR="009047B7" w:rsidRPr="00932443">
      <w:rPr>
        <w:rStyle w:val="ZpatChar"/>
        <w:szCs w:val="16"/>
      </w:rPr>
      <w:instrText>PAGE   \* MERGEFORMAT</w:instrText>
    </w:r>
    <w:r w:rsidR="009047B7" w:rsidRPr="00932443">
      <w:rPr>
        <w:rStyle w:val="ZpatChar"/>
        <w:szCs w:val="16"/>
      </w:rPr>
      <w:fldChar w:fldCharType="separate"/>
    </w:r>
    <w:r w:rsidR="008D6098">
      <w:rPr>
        <w:rStyle w:val="ZpatChar"/>
        <w:szCs w:val="16"/>
      </w:rPr>
      <w:t>31</w:t>
    </w:r>
    <w:r w:rsidR="009047B7" w:rsidRPr="00932443">
      <w:rPr>
        <w:rStyle w:val="ZpatChar"/>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C37" w:rsidRDefault="00E10C37" w:rsidP="00E71A58">
      <w:r>
        <w:separator/>
      </w:r>
    </w:p>
  </w:footnote>
  <w:footnote w:type="continuationSeparator" w:id="0">
    <w:p w:rsidR="00E10C37" w:rsidRDefault="00E10C37" w:rsidP="00E71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7B7" w:rsidRPr="002037C9" w:rsidRDefault="009047B7" w:rsidP="002037C9">
    <w:pPr>
      <w:pStyle w:val="Zhlav"/>
    </w:pPr>
    <w:r>
      <w:t>Porodnost a plodnost 2011 - 2015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7B7" w:rsidRPr="006F5416" w:rsidRDefault="009047B7" w:rsidP="00937AE2">
    <w:pPr>
      <w:pStyle w:val="Zhlav"/>
    </w:pPr>
    <w:r>
      <w:t>Porodnost a plodnost 2011 - 2015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1.25pt;height:11.2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oNotTrackMoves/>
  <w:defaultTabStop w:val="708"/>
  <w:hyphenationZone w:val="425"/>
  <w:evenAndOddHeaders/>
  <w:drawingGridHorizontalSpacing w:val="110"/>
  <w:displayHorizontalDrawingGridEvery w:val="2"/>
  <w:characterSpacingControl w:val="doNotCompress"/>
  <w:hdrShapeDefaults>
    <o:shapedefaults v:ext="edit" spidmax="2060">
      <o:colormru v:ext="edit" colors="#ecf4dd,#eaecee,#fcec0a,#fcecdb,#f1daf5"/>
    </o:shapedefaults>
    <o:shapelayout v:ext="edit">
      <o:idmap v:ext="edit" data="2"/>
    </o:shapelayout>
  </w:hdrShapeDefaults>
  <w:footnotePr>
    <w:numStart w:val="6"/>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34BB"/>
    <w:rsid w:val="0000209D"/>
    <w:rsid w:val="00004D5A"/>
    <w:rsid w:val="000056D5"/>
    <w:rsid w:val="0000683B"/>
    <w:rsid w:val="0000767A"/>
    <w:rsid w:val="00010702"/>
    <w:rsid w:val="000234D6"/>
    <w:rsid w:val="00023D29"/>
    <w:rsid w:val="00026389"/>
    <w:rsid w:val="00031AE0"/>
    <w:rsid w:val="000322EF"/>
    <w:rsid w:val="000336AC"/>
    <w:rsid w:val="00033FCD"/>
    <w:rsid w:val="00041CEC"/>
    <w:rsid w:val="0004694F"/>
    <w:rsid w:val="00046F8A"/>
    <w:rsid w:val="000522E4"/>
    <w:rsid w:val="000610E1"/>
    <w:rsid w:val="00062EC5"/>
    <w:rsid w:val="00062F22"/>
    <w:rsid w:val="000712B3"/>
    <w:rsid w:val="00074CFC"/>
    <w:rsid w:val="00081632"/>
    <w:rsid w:val="000818F1"/>
    <w:rsid w:val="0008263E"/>
    <w:rsid w:val="00082C19"/>
    <w:rsid w:val="00085395"/>
    <w:rsid w:val="00085CB7"/>
    <w:rsid w:val="00086D37"/>
    <w:rsid w:val="00087634"/>
    <w:rsid w:val="00087F2B"/>
    <w:rsid w:val="00091A5B"/>
    <w:rsid w:val="00091F06"/>
    <w:rsid w:val="000974D1"/>
    <w:rsid w:val="0009799E"/>
    <w:rsid w:val="000A1183"/>
    <w:rsid w:val="000A256D"/>
    <w:rsid w:val="000A3A2C"/>
    <w:rsid w:val="000B0A56"/>
    <w:rsid w:val="000B21AE"/>
    <w:rsid w:val="000B5CD7"/>
    <w:rsid w:val="000B74DD"/>
    <w:rsid w:val="000C070C"/>
    <w:rsid w:val="000C3408"/>
    <w:rsid w:val="000C6AFD"/>
    <w:rsid w:val="000D3D56"/>
    <w:rsid w:val="000D5637"/>
    <w:rsid w:val="000E6FBD"/>
    <w:rsid w:val="000E7369"/>
    <w:rsid w:val="000F1A66"/>
    <w:rsid w:val="000F2B69"/>
    <w:rsid w:val="000F6376"/>
    <w:rsid w:val="00100F5C"/>
    <w:rsid w:val="00103392"/>
    <w:rsid w:val="00104C4C"/>
    <w:rsid w:val="00116BC3"/>
    <w:rsid w:val="0011725D"/>
    <w:rsid w:val="0012192F"/>
    <w:rsid w:val="00122DB3"/>
    <w:rsid w:val="00125D69"/>
    <w:rsid w:val="001276C3"/>
    <w:rsid w:val="001405FA"/>
    <w:rsid w:val="001425C3"/>
    <w:rsid w:val="0014426B"/>
    <w:rsid w:val="00144E68"/>
    <w:rsid w:val="00162255"/>
    <w:rsid w:val="0016256B"/>
    <w:rsid w:val="00163793"/>
    <w:rsid w:val="0017050E"/>
    <w:rsid w:val="001706D6"/>
    <w:rsid w:val="001714F2"/>
    <w:rsid w:val="001766BA"/>
    <w:rsid w:val="001776AE"/>
    <w:rsid w:val="00184B08"/>
    <w:rsid w:val="00185010"/>
    <w:rsid w:val="0018715D"/>
    <w:rsid w:val="00192326"/>
    <w:rsid w:val="00196B60"/>
    <w:rsid w:val="001A552F"/>
    <w:rsid w:val="001A6BC0"/>
    <w:rsid w:val="001B2CA9"/>
    <w:rsid w:val="001B3110"/>
    <w:rsid w:val="001B34BB"/>
    <w:rsid w:val="001B4729"/>
    <w:rsid w:val="001B6C09"/>
    <w:rsid w:val="001B71EB"/>
    <w:rsid w:val="001C05CD"/>
    <w:rsid w:val="001C1392"/>
    <w:rsid w:val="001D1710"/>
    <w:rsid w:val="001D68B2"/>
    <w:rsid w:val="001F0A2C"/>
    <w:rsid w:val="001F243F"/>
    <w:rsid w:val="001F4597"/>
    <w:rsid w:val="001F52E2"/>
    <w:rsid w:val="001F6C36"/>
    <w:rsid w:val="00202314"/>
    <w:rsid w:val="002037C9"/>
    <w:rsid w:val="00203CFD"/>
    <w:rsid w:val="002118B9"/>
    <w:rsid w:val="00217C5B"/>
    <w:rsid w:val="0022139E"/>
    <w:rsid w:val="00222CAC"/>
    <w:rsid w:val="00224669"/>
    <w:rsid w:val="002252E0"/>
    <w:rsid w:val="002255F6"/>
    <w:rsid w:val="00227850"/>
    <w:rsid w:val="00227A53"/>
    <w:rsid w:val="002308B2"/>
    <w:rsid w:val="00230C6E"/>
    <w:rsid w:val="00236443"/>
    <w:rsid w:val="00240858"/>
    <w:rsid w:val="002436BA"/>
    <w:rsid w:val="00244A15"/>
    <w:rsid w:val="0024611D"/>
    <w:rsid w:val="00247319"/>
    <w:rsid w:val="0024799E"/>
    <w:rsid w:val="00253C0F"/>
    <w:rsid w:val="00260690"/>
    <w:rsid w:val="00260EBC"/>
    <w:rsid w:val="002645B6"/>
    <w:rsid w:val="00271465"/>
    <w:rsid w:val="00280E72"/>
    <w:rsid w:val="002821A7"/>
    <w:rsid w:val="00283CC2"/>
    <w:rsid w:val="00285412"/>
    <w:rsid w:val="00293C4F"/>
    <w:rsid w:val="0029542D"/>
    <w:rsid w:val="002A00BE"/>
    <w:rsid w:val="002A16D4"/>
    <w:rsid w:val="002A230C"/>
    <w:rsid w:val="002A47A3"/>
    <w:rsid w:val="002C018D"/>
    <w:rsid w:val="002C05BD"/>
    <w:rsid w:val="002C43BD"/>
    <w:rsid w:val="002D0E59"/>
    <w:rsid w:val="002E02A1"/>
    <w:rsid w:val="002E4E4C"/>
    <w:rsid w:val="00303337"/>
    <w:rsid w:val="00304771"/>
    <w:rsid w:val="003052D4"/>
    <w:rsid w:val="00306C5B"/>
    <w:rsid w:val="003209D6"/>
    <w:rsid w:val="00321737"/>
    <w:rsid w:val="00321924"/>
    <w:rsid w:val="0032656E"/>
    <w:rsid w:val="003308C5"/>
    <w:rsid w:val="00332190"/>
    <w:rsid w:val="003367CA"/>
    <w:rsid w:val="00344668"/>
    <w:rsid w:val="003454EF"/>
    <w:rsid w:val="003462D9"/>
    <w:rsid w:val="00347E74"/>
    <w:rsid w:val="00352CA8"/>
    <w:rsid w:val="00354569"/>
    <w:rsid w:val="00354958"/>
    <w:rsid w:val="00360C86"/>
    <w:rsid w:val="003657F3"/>
    <w:rsid w:val="00367AA7"/>
    <w:rsid w:val="00370322"/>
    <w:rsid w:val="00370C61"/>
    <w:rsid w:val="00370E9E"/>
    <w:rsid w:val="00372A04"/>
    <w:rsid w:val="00374CB1"/>
    <w:rsid w:val="003801BD"/>
    <w:rsid w:val="003818DC"/>
    <w:rsid w:val="00384327"/>
    <w:rsid w:val="00385D98"/>
    <w:rsid w:val="00387C33"/>
    <w:rsid w:val="00391F25"/>
    <w:rsid w:val="00392800"/>
    <w:rsid w:val="003A2B4D"/>
    <w:rsid w:val="003A478C"/>
    <w:rsid w:val="003A5525"/>
    <w:rsid w:val="003A613A"/>
    <w:rsid w:val="003A6B38"/>
    <w:rsid w:val="003B0AF1"/>
    <w:rsid w:val="003B5A32"/>
    <w:rsid w:val="003C3490"/>
    <w:rsid w:val="003C4A90"/>
    <w:rsid w:val="003C4ED5"/>
    <w:rsid w:val="003D6920"/>
    <w:rsid w:val="003D736E"/>
    <w:rsid w:val="003E47B7"/>
    <w:rsid w:val="003E4C91"/>
    <w:rsid w:val="003F313C"/>
    <w:rsid w:val="003F4079"/>
    <w:rsid w:val="003F4B2C"/>
    <w:rsid w:val="003F551C"/>
    <w:rsid w:val="003F7D23"/>
    <w:rsid w:val="00400C70"/>
    <w:rsid w:val="00404562"/>
    <w:rsid w:val="00407C13"/>
    <w:rsid w:val="00410638"/>
    <w:rsid w:val="0041088C"/>
    <w:rsid w:val="00421D1D"/>
    <w:rsid w:val="00430E7E"/>
    <w:rsid w:val="00432A58"/>
    <w:rsid w:val="00434617"/>
    <w:rsid w:val="00437AAD"/>
    <w:rsid w:val="00440900"/>
    <w:rsid w:val="00442CE3"/>
    <w:rsid w:val="004441A0"/>
    <w:rsid w:val="00460FB3"/>
    <w:rsid w:val="00462E97"/>
    <w:rsid w:val="004669E8"/>
    <w:rsid w:val="00467694"/>
    <w:rsid w:val="00476240"/>
    <w:rsid w:val="00476439"/>
    <w:rsid w:val="0047735C"/>
    <w:rsid w:val="004776BC"/>
    <w:rsid w:val="0048139F"/>
    <w:rsid w:val="00481E40"/>
    <w:rsid w:val="00484A97"/>
    <w:rsid w:val="00484ECE"/>
    <w:rsid w:val="004867D0"/>
    <w:rsid w:val="004900FF"/>
    <w:rsid w:val="004915CB"/>
    <w:rsid w:val="004924DC"/>
    <w:rsid w:val="00492FD7"/>
    <w:rsid w:val="00492FDF"/>
    <w:rsid w:val="004A0994"/>
    <w:rsid w:val="004A14E4"/>
    <w:rsid w:val="004A1F23"/>
    <w:rsid w:val="004A3212"/>
    <w:rsid w:val="004A61C5"/>
    <w:rsid w:val="004A77DF"/>
    <w:rsid w:val="004B1417"/>
    <w:rsid w:val="004B37F1"/>
    <w:rsid w:val="004B48E1"/>
    <w:rsid w:val="004B55B7"/>
    <w:rsid w:val="004B6468"/>
    <w:rsid w:val="004B74FD"/>
    <w:rsid w:val="004C384C"/>
    <w:rsid w:val="004C3867"/>
    <w:rsid w:val="004C3F22"/>
    <w:rsid w:val="004C4CD0"/>
    <w:rsid w:val="004C4EF0"/>
    <w:rsid w:val="004C6B99"/>
    <w:rsid w:val="004C70DC"/>
    <w:rsid w:val="004D0211"/>
    <w:rsid w:val="004D0794"/>
    <w:rsid w:val="004D0803"/>
    <w:rsid w:val="004D48A1"/>
    <w:rsid w:val="004D67F0"/>
    <w:rsid w:val="004E2D09"/>
    <w:rsid w:val="004E483E"/>
    <w:rsid w:val="004E5429"/>
    <w:rsid w:val="004E54BF"/>
    <w:rsid w:val="004F06F5"/>
    <w:rsid w:val="004F0AD7"/>
    <w:rsid w:val="004F33A0"/>
    <w:rsid w:val="00500A8A"/>
    <w:rsid w:val="005072AC"/>
    <w:rsid w:val="005108C0"/>
    <w:rsid w:val="00510D30"/>
    <w:rsid w:val="00511873"/>
    <w:rsid w:val="00512A2F"/>
    <w:rsid w:val="00513B7E"/>
    <w:rsid w:val="00515C74"/>
    <w:rsid w:val="00517F07"/>
    <w:rsid w:val="0052007E"/>
    <w:rsid w:val="0052337A"/>
    <w:rsid w:val="00523F91"/>
    <w:rsid w:val="00525137"/>
    <w:rsid w:val="005251DD"/>
    <w:rsid w:val="00532CE7"/>
    <w:rsid w:val="0053324C"/>
    <w:rsid w:val="00534A28"/>
    <w:rsid w:val="00536611"/>
    <w:rsid w:val="005377E1"/>
    <w:rsid w:val="00540984"/>
    <w:rsid w:val="00541508"/>
    <w:rsid w:val="00541533"/>
    <w:rsid w:val="00544961"/>
    <w:rsid w:val="00544EE1"/>
    <w:rsid w:val="0055599F"/>
    <w:rsid w:val="00556D68"/>
    <w:rsid w:val="005570F2"/>
    <w:rsid w:val="00557A15"/>
    <w:rsid w:val="00560659"/>
    <w:rsid w:val="005647BF"/>
    <w:rsid w:val="005668F4"/>
    <w:rsid w:val="0057364B"/>
    <w:rsid w:val="00574773"/>
    <w:rsid w:val="00582B5E"/>
    <w:rsid w:val="00583FFD"/>
    <w:rsid w:val="00587B4C"/>
    <w:rsid w:val="00590434"/>
    <w:rsid w:val="005911BE"/>
    <w:rsid w:val="00593152"/>
    <w:rsid w:val="00593280"/>
    <w:rsid w:val="005A10F2"/>
    <w:rsid w:val="005A21E0"/>
    <w:rsid w:val="005A28FF"/>
    <w:rsid w:val="005A3DF8"/>
    <w:rsid w:val="005A5549"/>
    <w:rsid w:val="005A660A"/>
    <w:rsid w:val="005B121D"/>
    <w:rsid w:val="005B2ACF"/>
    <w:rsid w:val="005B6AD7"/>
    <w:rsid w:val="005C0558"/>
    <w:rsid w:val="005C06ED"/>
    <w:rsid w:val="005D2600"/>
    <w:rsid w:val="005D5802"/>
    <w:rsid w:val="005D6B94"/>
    <w:rsid w:val="005D7890"/>
    <w:rsid w:val="005E7C78"/>
    <w:rsid w:val="005F2579"/>
    <w:rsid w:val="005F3EB1"/>
    <w:rsid w:val="005F478F"/>
    <w:rsid w:val="005F539F"/>
    <w:rsid w:val="005F5469"/>
    <w:rsid w:val="005F6625"/>
    <w:rsid w:val="00601C79"/>
    <w:rsid w:val="00604307"/>
    <w:rsid w:val="0060487F"/>
    <w:rsid w:val="00604EAD"/>
    <w:rsid w:val="00606C65"/>
    <w:rsid w:val="006104FB"/>
    <w:rsid w:val="00610DAB"/>
    <w:rsid w:val="00612A2F"/>
    <w:rsid w:val="00614B01"/>
    <w:rsid w:val="00616E05"/>
    <w:rsid w:val="0062256D"/>
    <w:rsid w:val="00624093"/>
    <w:rsid w:val="0063536D"/>
    <w:rsid w:val="0063575A"/>
    <w:rsid w:val="006362BD"/>
    <w:rsid w:val="006368F9"/>
    <w:rsid w:val="006404A7"/>
    <w:rsid w:val="006451E4"/>
    <w:rsid w:val="00645B33"/>
    <w:rsid w:val="00646599"/>
    <w:rsid w:val="006503E7"/>
    <w:rsid w:val="006516CB"/>
    <w:rsid w:val="00657E87"/>
    <w:rsid w:val="006633C6"/>
    <w:rsid w:val="00664803"/>
    <w:rsid w:val="00665BA4"/>
    <w:rsid w:val="00667AF2"/>
    <w:rsid w:val="006710C9"/>
    <w:rsid w:val="00673CB5"/>
    <w:rsid w:val="00674D89"/>
    <w:rsid w:val="00675E37"/>
    <w:rsid w:val="0068174E"/>
    <w:rsid w:val="00681DCE"/>
    <w:rsid w:val="0068260E"/>
    <w:rsid w:val="00695BEF"/>
    <w:rsid w:val="006977A3"/>
    <w:rsid w:val="006977F6"/>
    <w:rsid w:val="00697A13"/>
    <w:rsid w:val="006A109C"/>
    <w:rsid w:val="006A5F00"/>
    <w:rsid w:val="006B344A"/>
    <w:rsid w:val="006B78D8"/>
    <w:rsid w:val="006C113F"/>
    <w:rsid w:val="006C123E"/>
    <w:rsid w:val="006C4BA5"/>
    <w:rsid w:val="006C56D4"/>
    <w:rsid w:val="006C6924"/>
    <w:rsid w:val="006C7CA6"/>
    <w:rsid w:val="006D3E8A"/>
    <w:rsid w:val="006D61F6"/>
    <w:rsid w:val="006E0A0B"/>
    <w:rsid w:val="006E279A"/>
    <w:rsid w:val="006E2DE0"/>
    <w:rsid w:val="006E313B"/>
    <w:rsid w:val="006F2352"/>
    <w:rsid w:val="006F5416"/>
    <w:rsid w:val="006F6002"/>
    <w:rsid w:val="006F7137"/>
    <w:rsid w:val="00705631"/>
    <w:rsid w:val="00706AD4"/>
    <w:rsid w:val="007140BE"/>
    <w:rsid w:val="0071781A"/>
    <w:rsid w:val="00717E46"/>
    <w:rsid w:val="007209E8"/>
    <w:rsid w:val="007211F5"/>
    <w:rsid w:val="00722587"/>
    <w:rsid w:val="00725764"/>
    <w:rsid w:val="00725BB5"/>
    <w:rsid w:val="00730AE8"/>
    <w:rsid w:val="00734255"/>
    <w:rsid w:val="00741493"/>
    <w:rsid w:val="00743D95"/>
    <w:rsid w:val="007501A5"/>
    <w:rsid w:val="00751611"/>
    <w:rsid w:val="00752180"/>
    <w:rsid w:val="00755202"/>
    <w:rsid w:val="00755D3A"/>
    <w:rsid w:val="007578D3"/>
    <w:rsid w:val="007609C6"/>
    <w:rsid w:val="0076175D"/>
    <w:rsid w:val="0076521E"/>
    <w:rsid w:val="007661E9"/>
    <w:rsid w:val="007758D2"/>
    <w:rsid w:val="00776169"/>
    <w:rsid w:val="00776527"/>
    <w:rsid w:val="00780EF1"/>
    <w:rsid w:val="00782A7C"/>
    <w:rsid w:val="00785FB1"/>
    <w:rsid w:val="00790764"/>
    <w:rsid w:val="0079453C"/>
    <w:rsid w:val="00794677"/>
    <w:rsid w:val="007B005E"/>
    <w:rsid w:val="007B6689"/>
    <w:rsid w:val="007C4665"/>
    <w:rsid w:val="007D40DF"/>
    <w:rsid w:val="007D4EB6"/>
    <w:rsid w:val="007D7B96"/>
    <w:rsid w:val="007E7E61"/>
    <w:rsid w:val="007F0845"/>
    <w:rsid w:val="007F3EC5"/>
    <w:rsid w:val="007F7943"/>
    <w:rsid w:val="008009CE"/>
    <w:rsid w:val="00807C82"/>
    <w:rsid w:val="00813EDF"/>
    <w:rsid w:val="00816905"/>
    <w:rsid w:val="00820556"/>
    <w:rsid w:val="00821EC7"/>
    <w:rsid w:val="00821FF6"/>
    <w:rsid w:val="00822E29"/>
    <w:rsid w:val="00825C4D"/>
    <w:rsid w:val="00830EB8"/>
    <w:rsid w:val="0083143E"/>
    <w:rsid w:val="00831CDE"/>
    <w:rsid w:val="00834304"/>
    <w:rsid w:val="00834FAA"/>
    <w:rsid w:val="00836086"/>
    <w:rsid w:val="00841E69"/>
    <w:rsid w:val="00844938"/>
    <w:rsid w:val="0084708F"/>
    <w:rsid w:val="008477C8"/>
    <w:rsid w:val="0085114D"/>
    <w:rsid w:val="00851356"/>
    <w:rsid w:val="00852217"/>
    <w:rsid w:val="008533E2"/>
    <w:rsid w:val="00855408"/>
    <w:rsid w:val="008564D2"/>
    <w:rsid w:val="00856D65"/>
    <w:rsid w:val="00861B41"/>
    <w:rsid w:val="00863434"/>
    <w:rsid w:val="00865E4C"/>
    <w:rsid w:val="008701E4"/>
    <w:rsid w:val="00872E80"/>
    <w:rsid w:val="00875A32"/>
    <w:rsid w:val="00876086"/>
    <w:rsid w:val="0087779B"/>
    <w:rsid w:val="00885016"/>
    <w:rsid w:val="008873D4"/>
    <w:rsid w:val="00893E85"/>
    <w:rsid w:val="00894031"/>
    <w:rsid w:val="008B45F6"/>
    <w:rsid w:val="008B7C02"/>
    <w:rsid w:val="008B7D2B"/>
    <w:rsid w:val="008C0049"/>
    <w:rsid w:val="008C0E88"/>
    <w:rsid w:val="008C310F"/>
    <w:rsid w:val="008C426F"/>
    <w:rsid w:val="008D016D"/>
    <w:rsid w:val="008D1E6A"/>
    <w:rsid w:val="008D2661"/>
    <w:rsid w:val="008D2A16"/>
    <w:rsid w:val="008D6098"/>
    <w:rsid w:val="008E2C57"/>
    <w:rsid w:val="008E31FF"/>
    <w:rsid w:val="008E6F06"/>
    <w:rsid w:val="008F029B"/>
    <w:rsid w:val="008F3FC9"/>
    <w:rsid w:val="008F4794"/>
    <w:rsid w:val="008F57A6"/>
    <w:rsid w:val="008F585B"/>
    <w:rsid w:val="008F612C"/>
    <w:rsid w:val="009003A8"/>
    <w:rsid w:val="00902500"/>
    <w:rsid w:val="00902EFF"/>
    <w:rsid w:val="009047B7"/>
    <w:rsid w:val="00904905"/>
    <w:rsid w:val="00906401"/>
    <w:rsid w:val="00906EE5"/>
    <w:rsid w:val="00907323"/>
    <w:rsid w:val="0091155E"/>
    <w:rsid w:val="00912A92"/>
    <w:rsid w:val="0091728D"/>
    <w:rsid w:val="0092180B"/>
    <w:rsid w:val="00921F14"/>
    <w:rsid w:val="0092254A"/>
    <w:rsid w:val="00922810"/>
    <w:rsid w:val="00923D47"/>
    <w:rsid w:val="009242ED"/>
    <w:rsid w:val="00924AC8"/>
    <w:rsid w:val="0092597A"/>
    <w:rsid w:val="00931308"/>
    <w:rsid w:val="00932443"/>
    <w:rsid w:val="00934193"/>
    <w:rsid w:val="00936899"/>
    <w:rsid w:val="00937AE2"/>
    <w:rsid w:val="0094427A"/>
    <w:rsid w:val="00954170"/>
    <w:rsid w:val="00955BC1"/>
    <w:rsid w:val="0096617D"/>
    <w:rsid w:val="0097155E"/>
    <w:rsid w:val="00974923"/>
    <w:rsid w:val="00980D3D"/>
    <w:rsid w:val="009813A8"/>
    <w:rsid w:val="009821DC"/>
    <w:rsid w:val="00987697"/>
    <w:rsid w:val="00987A30"/>
    <w:rsid w:val="00992CF3"/>
    <w:rsid w:val="009968D6"/>
    <w:rsid w:val="009A1CAB"/>
    <w:rsid w:val="009A57D7"/>
    <w:rsid w:val="009A60D1"/>
    <w:rsid w:val="009A617E"/>
    <w:rsid w:val="009B615A"/>
    <w:rsid w:val="009B6FD3"/>
    <w:rsid w:val="009C1750"/>
    <w:rsid w:val="009C2E29"/>
    <w:rsid w:val="009C554B"/>
    <w:rsid w:val="009C719E"/>
    <w:rsid w:val="009D3ACD"/>
    <w:rsid w:val="009E16D7"/>
    <w:rsid w:val="009E5273"/>
    <w:rsid w:val="009E55B9"/>
    <w:rsid w:val="009E5DDB"/>
    <w:rsid w:val="009F4CA7"/>
    <w:rsid w:val="009F5537"/>
    <w:rsid w:val="00A037F4"/>
    <w:rsid w:val="00A03F42"/>
    <w:rsid w:val="00A06813"/>
    <w:rsid w:val="00A07E80"/>
    <w:rsid w:val="00A10D66"/>
    <w:rsid w:val="00A10EC3"/>
    <w:rsid w:val="00A13B8F"/>
    <w:rsid w:val="00A14114"/>
    <w:rsid w:val="00A16413"/>
    <w:rsid w:val="00A17080"/>
    <w:rsid w:val="00A23E43"/>
    <w:rsid w:val="00A30F65"/>
    <w:rsid w:val="00A3676E"/>
    <w:rsid w:val="00A37E07"/>
    <w:rsid w:val="00A413D4"/>
    <w:rsid w:val="00A418BC"/>
    <w:rsid w:val="00A46185"/>
    <w:rsid w:val="00A46DE0"/>
    <w:rsid w:val="00A50D73"/>
    <w:rsid w:val="00A513FA"/>
    <w:rsid w:val="00A52CAD"/>
    <w:rsid w:val="00A53FC7"/>
    <w:rsid w:val="00A553DE"/>
    <w:rsid w:val="00A62C82"/>
    <w:rsid w:val="00A62CE1"/>
    <w:rsid w:val="00A6741E"/>
    <w:rsid w:val="00A75E40"/>
    <w:rsid w:val="00A77D1D"/>
    <w:rsid w:val="00A8510B"/>
    <w:rsid w:val="00A857C0"/>
    <w:rsid w:val="00A92A4C"/>
    <w:rsid w:val="00AA17FB"/>
    <w:rsid w:val="00AA2996"/>
    <w:rsid w:val="00AA319D"/>
    <w:rsid w:val="00AA52BF"/>
    <w:rsid w:val="00AA559A"/>
    <w:rsid w:val="00AB1467"/>
    <w:rsid w:val="00AB2AF1"/>
    <w:rsid w:val="00AC58BB"/>
    <w:rsid w:val="00AD306C"/>
    <w:rsid w:val="00AD46A9"/>
    <w:rsid w:val="00AE09B3"/>
    <w:rsid w:val="00AE1A83"/>
    <w:rsid w:val="00AE3398"/>
    <w:rsid w:val="00AE3E55"/>
    <w:rsid w:val="00AF20FF"/>
    <w:rsid w:val="00B00913"/>
    <w:rsid w:val="00B01593"/>
    <w:rsid w:val="00B0303C"/>
    <w:rsid w:val="00B10A4D"/>
    <w:rsid w:val="00B10A7E"/>
    <w:rsid w:val="00B17E71"/>
    <w:rsid w:val="00B17FDE"/>
    <w:rsid w:val="00B2379C"/>
    <w:rsid w:val="00B2687D"/>
    <w:rsid w:val="00B32DDB"/>
    <w:rsid w:val="00B34528"/>
    <w:rsid w:val="00B36DA6"/>
    <w:rsid w:val="00B373CF"/>
    <w:rsid w:val="00B402FC"/>
    <w:rsid w:val="00B43231"/>
    <w:rsid w:val="00B46604"/>
    <w:rsid w:val="00B471BD"/>
    <w:rsid w:val="00B47339"/>
    <w:rsid w:val="00B530CD"/>
    <w:rsid w:val="00B55F5E"/>
    <w:rsid w:val="00B56DC9"/>
    <w:rsid w:val="00B5752E"/>
    <w:rsid w:val="00B61479"/>
    <w:rsid w:val="00B62887"/>
    <w:rsid w:val="00B63A11"/>
    <w:rsid w:val="00B64C24"/>
    <w:rsid w:val="00B6608F"/>
    <w:rsid w:val="00B679FB"/>
    <w:rsid w:val="00B7185A"/>
    <w:rsid w:val="00B7442B"/>
    <w:rsid w:val="00B76D1E"/>
    <w:rsid w:val="00B80538"/>
    <w:rsid w:val="00B80EC6"/>
    <w:rsid w:val="00B84FAD"/>
    <w:rsid w:val="00B92D1D"/>
    <w:rsid w:val="00B938C5"/>
    <w:rsid w:val="00B95940"/>
    <w:rsid w:val="00B96C18"/>
    <w:rsid w:val="00BA26B1"/>
    <w:rsid w:val="00BB46F3"/>
    <w:rsid w:val="00BB4CB1"/>
    <w:rsid w:val="00BB4F98"/>
    <w:rsid w:val="00BC674D"/>
    <w:rsid w:val="00BC7154"/>
    <w:rsid w:val="00BD198B"/>
    <w:rsid w:val="00BD30FC"/>
    <w:rsid w:val="00BD366B"/>
    <w:rsid w:val="00BD6D50"/>
    <w:rsid w:val="00BE0D56"/>
    <w:rsid w:val="00BE18B9"/>
    <w:rsid w:val="00BE2495"/>
    <w:rsid w:val="00BF1578"/>
    <w:rsid w:val="00BF218B"/>
    <w:rsid w:val="00BF769C"/>
    <w:rsid w:val="00C05A90"/>
    <w:rsid w:val="00C15E2B"/>
    <w:rsid w:val="00C21F94"/>
    <w:rsid w:val="00C27913"/>
    <w:rsid w:val="00C27D18"/>
    <w:rsid w:val="00C27ECC"/>
    <w:rsid w:val="00C3195B"/>
    <w:rsid w:val="00C32955"/>
    <w:rsid w:val="00C33B68"/>
    <w:rsid w:val="00C3652B"/>
    <w:rsid w:val="00C36A79"/>
    <w:rsid w:val="00C405D4"/>
    <w:rsid w:val="00C409DC"/>
    <w:rsid w:val="00C43131"/>
    <w:rsid w:val="00C440D8"/>
    <w:rsid w:val="00C4513B"/>
    <w:rsid w:val="00C45FE0"/>
    <w:rsid w:val="00C5379F"/>
    <w:rsid w:val="00C54697"/>
    <w:rsid w:val="00C5561B"/>
    <w:rsid w:val="00C73885"/>
    <w:rsid w:val="00C747B1"/>
    <w:rsid w:val="00C82191"/>
    <w:rsid w:val="00C84E4D"/>
    <w:rsid w:val="00C90CF4"/>
    <w:rsid w:val="00C92502"/>
    <w:rsid w:val="00C92EB6"/>
    <w:rsid w:val="00C93389"/>
    <w:rsid w:val="00C96710"/>
    <w:rsid w:val="00CB4930"/>
    <w:rsid w:val="00CC2E7D"/>
    <w:rsid w:val="00CC565D"/>
    <w:rsid w:val="00CD10A5"/>
    <w:rsid w:val="00CD2076"/>
    <w:rsid w:val="00CE670B"/>
    <w:rsid w:val="00CF12ED"/>
    <w:rsid w:val="00CF51EC"/>
    <w:rsid w:val="00CF73AE"/>
    <w:rsid w:val="00D00502"/>
    <w:rsid w:val="00D040DD"/>
    <w:rsid w:val="00D12A19"/>
    <w:rsid w:val="00D135A5"/>
    <w:rsid w:val="00D13986"/>
    <w:rsid w:val="00D163BC"/>
    <w:rsid w:val="00D235B7"/>
    <w:rsid w:val="00D257C0"/>
    <w:rsid w:val="00D25F28"/>
    <w:rsid w:val="00D27973"/>
    <w:rsid w:val="00D325F0"/>
    <w:rsid w:val="00D3462F"/>
    <w:rsid w:val="00D50F46"/>
    <w:rsid w:val="00D5153F"/>
    <w:rsid w:val="00D52224"/>
    <w:rsid w:val="00D529C4"/>
    <w:rsid w:val="00D559C4"/>
    <w:rsid w:val="00D563CA"/>
    <w:rsid w:val="00D60536"/>
    <w:rsid w:val="00D66223"/>
    <w:rsid w:val="00D8084C"/>
    <w:rsid w:val="00D839DC"/>
    <w:rsid w:val="00D861E7"/>
    <w:rsid w:val="00D9332B"/>
    <w:rsid w:val="00D9378B"/>
    <w:rsid w:val="00D970E1"/>
    <w:rsid w:val="00DA7C0C"/>
    <w:rsid w:val="00DB0CB0"/>
    <w:rsid w:val="00DB2EC8"/>
    <w:rsid w:val="00DC5061"/>
    <w:rsid w:val="00DC5B3B"/>
    <w:rsid w:val="00DD0553"/>
    <w:rsid w:val="00DD129F"/>
    <w:rsid w:val="00DD569C"/>
    <w:rsid w:val="00DE1CFD"/>
    <w:rsid w:val="00DE69A3"/>
    <w:rsid w:val="00DF42FF"/>
    <w:rsid w:val="00DF5E7C"/>
    <w:rsid w:val="00E0076C"/>
    <w:rsid w:val="00E01C0E"/>
    <w:rsid w:val="00E03F9A"/>
    <w:rsid w:val="00E04694"/>
    <w:rsid w:val="00E10C37"/>
    <w:rsid w:val="00E12B1E"/>
    <w:rsid w:val="00E17262"/>
    <w:rsid w:val="00E23793"/>
    <w:rsid w:val="00E243C8"/>
    <w:rsid w:val="00E253A2"/>
    <w:rsid w:val="00E3309D"/>
    <w:rsid w:val="00E358CA"/>
    <w:rsid w:val="00E427B0"/>
    <w:rsid w:val="00E50156"/>
    <w:rsid w:val="00E53470"/>
    <w:rsid w:val="00E539F6"/>
    <w:rsid w:val="00E6519D"/>
    <w:rsid w:val="00E67696"/>
    <w:rsid w:val="00E71A58"/>
    <w:rsid w:val="00E72A7A"/>
    <w:rsid w:val="00E72C16"/>
    <w:rsid w:val="00E75C94"/>
    <w:rsid w:val="00E801D6"/>
    <w:rsid w:val="00E810B0"/>
    <w:rsid w:val="00E858C7"/>
    <w:rsid w:val="00E93820"/>
    <w:rsid w:val="00EA0857"/>
    <w:rsid w:val="00EA0C68"/>
    <w:rsid w:val="00EA32BC"/>
    <w:rsid w:val="00EA63FB"/>
    <w:rsid w:val="00EA7389"/>
    <w:rsid w:val="00EB1118"/>
    <w:rsid w:val="00EB4511"/>
    <w:rsid w:val="00EB518D"/>
    <w:rsid w:val="00EC03D7"/>
    <w:rsid w:val="00ED2BAB"/>
    <w:rsid w:val="00ED62C6"/>
    <w:rsid w:val="00ED64C1"/>
    <w:rsid w:val="00EE3446"/>
    <w:rsid w:val="00EE3E78"/>
    <w:rsid w:val="00EE4B1B"/>
    <w:rsid w:val="00EF150D"/>
    <w:rsid w:val="00EF1F5A"/>
    <w:rsid w:val="00EF47BF"/>
    <w:rsid w:val="00EF797F"/>
    <w:rsid w:val="00F04811"/>
    <w:rsid w:val="00F0488C"/>
    <w:rsid w:val="00F05F5E"/>
    <w:rsid w:val="00F07CB9"/>
    <w:rsid w:val="00F10F11"/>
    <w:rsid w:val="00F122EF"/>
    <w:rsid w:val="00F12ED7"/>
    <w:rsid w:val="00F15AAA"/>
    <w:rsid w:val="00F15BEF"/>
    <w:rsid w:val="00F16257"/>
    <w:rsid w:val="00F24407"/>
    <w:rsid w:val="00F24FAA"/>
    <w:rsid w:val="00F258E6"/>
    <w:rsid w:val="00F31254"/>
    <w:rsid w:val="00F335D5"/>
    <w:rsid w:val="00F3364D"/>
    <w:rsid w:val="00F42A7A"/>
    <w:rsid w:val="00F437CC"/>
    <w:rsid w:val="00F44C2A"/>
    <w:rsid w:val="00F47067"/>
    <w:rsid w:val="00F525EB"/>
    <w:rsid w:val="00F55A6C"/>
    <w:rsid w:val="00F63DDE"/>
    <w:rsid w:val="00F63FB7"/>
    <w:rsid w:val="00F649D2"/>
    <w:rsid w:val="00F6602B"/>
    <w:rsid w:val="00F678F0"/>
    <w:rsid w:val="00F7260E"/>
    <w:rsid w:val="00F73A0C"/>
    <w:rsid w:val="00F756DB"/>
    <w:rsid w:val="00F7570B"/>
    <w:rsid w:val="00F85066"/>
    <w:rsid w:val="00F9045A"/>
    <w:rsid w:val="00FA5D4D"/>
    <w:rsid w:val="00FA5E67"/>
    <w:rsid w:val="00FB0EE2"/>
    <w:rsid w:val="00FB542E"/>
    <w:rsid w:val="00FB6523"/>
    <w:rsid w:val="00FC0DBA"/>
    <w:rsid w:val="00FC0E5F"/>
    <w:rsid w:val="00FC1A95"/>
    <w:rsid w:val="00FC56DE"/>
    <w:rsid w:val="00FC5805"/>
    <w:rsid w:val="00FC684B"/>
    <w:rsid w:val="00FD3265"/>
    <w:rsid w:val="00FE2F78"/>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colormru v:ext="edit" colors="#ecf4dd,#eaecee,#fcec0a,#fcecdb,#f1daf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35" w:qFormat="1"/>
    <w:lsdException w:name="footnote reference" w:uiPriority="0"/>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No Spacing" w:semiHidden="0" w:unhideWhenUsed="0"/>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39" w:qFormat="1"/>
  </w:latentStyles>
  <w:style w:type="paragraph" w:default="1" w:styleId="Normln">
    <w:name w:val="Normal"/>
    <w:qFormat/>
    <w:rsid w:val="004867D0"/>
    <w:pPr>
      <w:spacing w:after="240" w:line="288" w:lineRule="auto"/>
    </w:pPr>
    <w:rPr>
      <w:rFonts w:ascii="Arial" w:eastAsia="Times New Roman" w:hAnsi="Arial"/>
      <w:szCs w:val="24"/>
    </w:rPr>
  </w:style>
  <w:style w:type="paragraph" w:styleId="Nadpis1">
    <w:name w:val="heading 1"/>
    <w:next w:val="Normln"/>
    <w:link w:val="Nadpis1Char"/>
    <w:uiPriority w:val="9"/>
    <w:qFormat/>
    <w:rsid w:val="008C310F"/>
    <w:pPr>
      <w:widowControl w:val="0"/>
      <w:spacing w:after="100" w:line="288" w:lineRule="auto"/>
      <w:contextualSpacing/>
      <w:outlineLvl w:val="0"/>
    </w:pPr>
    <w:rPr>
      <w:rFonts w:ascii="Arial" w:eastAsia="MS Gothic" w:hAnsi="Arial"/>
      <w:b/>
      <w:bCs/>
      <w:color w:val="C00000"/>
      <w:sz w:val="32"/>
      <w:szCs w:val="28"/>
    </w:rPr>
  </w:style>
  <w:style w:type="paragraph" w:styleId="Nadpis2">
    <w:name w:val="heading 2"/>
    <w:next w:val="Normln"/>
    <w:link w:val="Nadpis2Char"/>
    <w:uiPriority w:val="9"/>
    <w:qFormat/>
    <w:rsid w:val="008C310F"/>
    <w:pPr>
      <w:widowControl w:val="0"/>
      <w:spacing w:line="288" w:lineRule="auto"/>
      <w:outlineLvl w:val="1"/>
    </w:pPr>
    <w:rPr>
      <w:rFonts w:ascii="Arial" w:eastAsia="MS Gothic" w:hAnsi="Arial"/>
      <w:b/>
      <w:bCs/>
      <w:color w:val="BC091B"/>
      <w:sz w:val="28"/>
      <w:szCs w:val="26"/>
    </w:rPr>
  </w:style>
  <w:style w:type="paragraph" w:styleId="Nadpis3">
    <w:name w:val="heading 3"/>
    <w:next w:val="Normln"/>
    <w:link w:val="Nadpis3Char"/>
    <w:uiPriority w:val="9"/>
    <w:qFormat/>
    <w:rsid w:val="004900FF"/>
    <w:pPr>
      <w:keepNext/>
      <w:keepLines/>
      <w:spacing w:line="288" w:lineRule="auto"/>
      <w:outlineLvl w:val="2"/>
    </w:pPr>
    <w:rPr>
      <w:rFonts w:ascii="Arial" w:eastAsia="MS Gothic" w:hAnsi="Arial"/>
      <w:b/>
      <w:bCs/>
      <w:color w:val="BC091B"/>
      <w:sz w:val="24"/>
      <w:szCs w:val="24"/>
    </w:rPr>
  </w:style>
  <w:style w:type="paragraph" w:styleId="Nadpis4">
    <w:name w:val="heading 4"/>
    <w:next w:val="Normln"/>
    <w:link w:val="Nadpis4Char"/>
    <w:uiPriority w:val="9"/>
    <w:qFormat/>
    <w:rsid w:val="004900FF"/>
    <w:pPr>
      <w:keepNext/>
      <w:keepLines/>
      <w:spacing w:line="288" w:lineRule="auto"/>
      <w:outlineLvl w:val="3"/>
    </w:pPr>
    <w:rPr>
      <w:rFonts w:ascii="Arial" w:eastAsia="MS Gothic" w:hAnsi="Arial"/>
      <w:b/>
      <w:bCs/>
      <w:iCs/>
      <w:color w:val="BC091B"/>
      <w:szCs w:val="24"/>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8C310F"/>
    <w:rPr>
      <w:rFonts w:ascii="Arial" w:eastAsia="MS Gothic" w:hAnsi="Arial"/>
      <w:b/>
      <w:bCs/>
      <w:color w:val="C00000"/>
      <w:sz w:val="32"/>
      <w:szCs w:val="28"/>
    </w:rPr>
  </w:style>
  <w:style w:type="character" w:customStyle="1" w:styleId="Nadpis2Char">
    <w:name w:val="Nadpis 2 Char"/>
    <w:link w:val="Nadpis2"/>
    <w:uiPriority w:val="9"/>
    <w:rsid w:val="008C310F"/>
    <w:rPr>
      <w:rFonts w:ascii="Arial" w:eastAsia="MS Gothic" w:hAnsi="Arial"/>
      <w:b/>
      <w:bCs/>
      <w:color w:val="BC091B"/>
      <w:sz w:val="28"/>
      <w:szCs w:val="26"/>
    </w:rPr>
  </w:style>
  <w:style w:type="character" w:customStyle="1" w:styleId="Nadpis3Char">
    <w:name w:val="Nadpis 3 Char"/>
    <w:link w:val="Nadpis3"/>
    <w:uiPriority w:val="9"/>
    <w:rsid w:val="004900FF"/>
    <w:rPr>
      <w:rFonts w:ascii="Arial" w:eastAsia="MS Gothic" w:hAnsi="Arial"/>
      <w:b/>
      <w:bCs/>
      <w:color w:val="BC091B"/>
      <w:sz w:val="24"/>
      <w:szCs w:val="24"/>
    </w:rPr>
  </w:style>
  <w:style w:type="character" w:customStyle="1" w:styleId="Nadpis4Char">
    <w:name w:val="Nadpis 4 Char"/>
    <w:link w:val="Nadpis4"/>
    <w:uiPriority w:val="9"/>
    <w:rsid w:val="004900FF"/>
    <w:rPr>
      <w:rFonts w:ascii="Arial" w:eastAsia="MS Gothic" w:hAnsi="Arial"/>
      <w:b/>
      <w:bCs/>
      <w:iCs/>
      <w:color w:val="BC091B"/>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lang w:eastAsia="en-US"/>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lang w:eastAsia="en-US"/>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rPr>
  </w:style>
  <w:style w:type="paragraph" w:customStyle="1" w:styleId="Obsah">
    <w:name w:val="Obsah"/>
    <w:next w:val="Normln"/>
    <w:qFormat/>
    <w:rsid w:val="004900FF"/>
    <w:pPr>
      <w:spacing w:after="80" w:line="288" w:lineRule="auto"/>
    </w:pPr>
    <w:rPr>
      <w:rFonts w:ascii="Arial" w:eastAsia="Times New Roman" w:hAnsi="Arial"/>
      <w:b/>
      <w:color w:val="BC091B"/>
      <w:sz w:val="32"/>
      <w:szCs w:val="24"/>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rPr>
  </w:style>
  <w:style w:type="paragraph" w:customStyle="1" w:styleId="Box1">
    <w:name w:val="Box 1"/>
    <w:next w:val="Normln"/>
    <w:qFormat/>
    <w:rsid w:val="004900FF"/>
    <w:pPr>
      <w:shd w:val="clear" w:color="auto" w:fill="F5DADD"/>
      <w:spacing w:before="240" w:after="240" w:line="288" w:lineRule="auto"/>
      <w:ind w:left="709"/>
      <w:contextualSpacing/>
    </w:pPr>
    <w:rPr>
      <w:rFonts w:ascii="Arial" w:hAnsi="Arial" w:cs="Arial"/>
    </w:rPr>
  </w:style>
  <w:style w:type="paragraph" w:customStyle="1" w:styleId="Box2">
    <w:name w:val="Box 2"/>
    <w:qFormat/>
    <w:rsid w:val="004900FF"/>
    <w:pPr>
      <w:spacing w:before="240" w:after="240" w:line="288" w:lineRule="auto"/>
      <w:ind w:left="709"/>
      <w:contextualSpacing/>
    </w:pPr>
    <w:rPr>
      <w:rFonts w:ascii="Arial" w:hAnsi="Arial" w:cs="Arial"/>
      <w:color w:val="BC091B"/>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rPr>
  </w:style>
  <w:style w:type="paragraph" w:styleId="Nzev">
    <w:name w:val="Title"/>
    <w:link w:val="NzevChar"/>
    <w:uiPriority w:val="10"/>
    <w:qFormat/>
    <w:rsid w:val="004900FF"/>
    <w:pPr>
      <w:spacing w:line="288" w:lineRule="auto"/>
    </w:pPr>
    <w:rPr>
      <w:rFonts w:ascii="Arial" w:eastAsia="Times New Roman" w:hAnsi="Arial"/>
      <w:b/>
      <w:bCs/>
      <w:caps/>
      <w:color w:val="BC091B"/>
      <w:kern w:val="28"/>
      <w:sz w:val="56"/>
      <w:szCs w:val="32"/>
    </w:rPr>
  </w:style>
  <w:style w:type="character" w:customStyle="1" w:styleId="NzevChar">
    <w:name w:val="Název Char"/>
    <w:link w:val="Nzev"/>
    <w:uiPriority w:val="10"/>
    <w:rsid w:val="004900FF"/>
    <w:rPr>
      <w:rFonts w:ascii="Arial" w:eastAsia="Times New Roman" w:hAnsi="Arial"/>
      <w:b/>
      <w:bCs/>
      <w:caps/>
      <w:color w:val="BC091B"/>
      <w:kern w:val="28"/>
      <w:sz w:val="56"/>
      <w:szCs w:val="32"/>
    </w:rPr>
  </w:style>
  <w:style w:type="paragraph" w:styleId="Podtitul">
    <w:name w:val="Subtitle"/>
    <w:link w:val="PodtitulChar"/>
    <w:uiPriority w:val="11"/>
    <w:qFormat/>
    <w:rsid w:val="004900FF"/>
    <w:pPr>
      <w:spacing w:line="288" w:lineRule="auto"/>
    </w:pPr>
    <w:rPr>
      <w:rFonts w:ascii="Arial" w:eastAsia="Times New Roman" w:hAnsi="Arial" w:cs="Arial"/>
      <w:b/>
      <w:color w:val="BC091B"/>
      <w:sz w:val="28"/>
      <w:szCs w:val="24"/>
    </w:rPr>
  </w:style>
  <w:style w:type="character" w:customStyle="1" w:styleId="PodtitulChar">
    <w:name w:val="Podtitul Char"/>
    <w:link w:val="Podtitul"/>
    <w:uiPriority w:val="11"/>
    <w:rsid w:val="004900FF"/>
    <w:rPr>
      <w:rFonts w:ascii="Arial" w:eastAsia="Times New Roman" w:hAnsi="Arial" w:cs="Arial"/>
      <w:b/>
      <w:color w:val="BC091B"/>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odkaz-style-wrapper">
    <w:name w:val="odkaz-style-wrapper"/>
    <w:rsid w:val="00C92502"/>
  </w:style>
  <w:style w:type="paragraph" w:styleId="Nadpisobsahu">
    <w:name w:val="TOC Heading"/>
    <w:basedOn w:val="Nadpis1"/>
    <w:next w:val="Normln"/>
    <w:uiPriority w:val="39"/>
    <w:semiHidden/>
    <w:unhideWhenUsed/>
    <w:qFormat/>
    <w:rsid w:val="00557A15"/>
    <w:pPr>
      <w:spacing w:before="480" w:after="0" w:line="276" w:lineRule="auto"/>
      <w:contextualSpacing w:val="0"/>
      <w:outlineLvl w:val="9"/>
    </w:pPr>
    <w:rPr>
      <w:rFonts w:ascii="Cambria" w:eastAsia="Times New Roman" w:hAnsi="Cambria"/>
      <w:color w:val="365F91"/>
      <w:sz w:val="28"/>
    </w:rPr>
  </w:style>
  <w:style w:type="paragraph" w:styleId="Textpoznpodarou">
    <w:name w:val="footnote text"/>
    <w:basedOn w:val="Normln"/>
    <w:link w:val="TextpoznpodarouChar"/>
    <w:semiHidden/>
    <w:rsid w:val="00F12ED7"/>
    <w:pPr>
      <w:spacing w:after="0" w:line="240" w:lineRule="auto"/>
      <w:jc w:val="both"/>
    </w:pPr>
    <w:rPr>
      <w:i/>
      <w:sz w:val="18"/>
      <w:szCs w:val="20"/>
    </w:rPr>
  </w:style>
  <w:style w:type="character" w:customStyle="1" w:styleId="TextpoznpodarouChar">
    <w:name w:val="Text pozn. pod čarou Char"/>
    <w:link w:val="Textpoznpodarou"/>
    <w:semiHidden/>
    <w:rsid w:val="00F12ED7"/>
    <w:rPr>
      <w:rFonts w:ascii="Arial" w:eastAsia="Times New Roman" w:hAnsi="Arial"/>
      <w:i/>
      <w:sz w:val="18"/>
    </w:rPr>
  </w:style>
  <w:style w:type="character" w:styleId="Znakapoznpodarou">
    <w:name w:val="footnote reference"/>
    <w:semiHidden/>
    <w:rsid w:val="00F12ED7"/>
    <w:rPr>
      <w:vertAlign w:val="superscript"/>
    </w:rPr>
  </w:style>
  <w:style w:type="character" w:styleId="Odkaznakoment">
    <w:name w:val="annotation reference"/>
    <w:uiPriority w:val="99"/>
    <w:semiHidden/>
    <w:unhideWhenUsed/>
    <w:rsid w:val="00B7442B"/>
    <w:rPr>
      <w:sz w:val="16"/>
      <w:szCs w:val="16"/>
    </w:rPr>
  </w:style>
  <w:style w:type="paragraph" w:styleId="Textkomente">
    <w:name w:val="annotation text"/>
    <w:basedOn w:val="Normln"/>
    <w:link w:val="TextkomenteChar"/>
    <w:uiPriority w:val="99"/>
    <w:semiHidden/>
    <w:unhideWhenUsed/>
    <w:rsid w:val="00B7442B"/>
    <w:rPr>
      <w:szCs w:val="20"/>
    </w:rPr>
  </w:style>
  <w:style w:type="character" w:customStyle="1" w:styleId="TextkomenteChar">
    <w:name w:val="Text komentáře Char"/>
    <w:link w:val="Textkomente"/>
    <w:uiPriority w:val="99"/>
    <w:semiHidden/>
    <w:rsid w:val="00B7442B"/>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B7442B"/>
    <w:rPr>
      <w:b/>
      <w:bCs/>
    </w:rPr>
  </w:style>
  <w:style w:type="character" w:customStyle="1" w:styleId="PedmtkomenteChar">
    <w:name w:val="Předmět komentáře Char"/>
    <w:link w:val="Pedmtkomente"/>
    <w:uiPriority w:val="99"/>
    <w:semiHidden/>
    <w:rsid w:val="00B7442B"/>
    <w:rPr>
      <w:rFonts w:ascii="Arial" w:eastAsia="Times New Roman" w:hAnsi="Arial"/>
      <w:b/>
      <w:bCs/>
    </w:rPr>
  </w:style>
  <w:style w:type="character" w:styleId="Sledovanodkaz">
    <w:name w:val="FollowedHyperlink"/>
    <w:uiPriority w:val="99"/>
    <w:semiHidden/>
    <w:unhideWhenUsed/>
    <w:rsid w:val="00C05A9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3093956">
      <w:bodyDiv w:val="1"/>
      <w:marLeft w:val="0"/>
      <w:marRight w:val="0"/>
      <w:marTop w:val="0"/>
      <w:marBottom w:val="0"/>
      <w:divBdr>
        <w:top w:val="none" w:sz="0" w:space="0" w:color="auto"/>
        <w:left w:val="none" w:sz="0" w:space="0" w:color="auto"/>
        <w:bottom w:val="none" w:sz="0" w:space="0" w:color="auto"/>
        <w:right w:val="none" w:sz="0" w:space="0" w:color="auto"/>
      </w:divBdr>
    </w:div>
    <w:div w:id="39062051">
      <w:bodyDiv w:val="1"/>
      <w:marLeft w:val="0"/>
      <w:marRight w:val="0"/>
      <w:marTop w:val="0"/>
      <w:marBottom w:val="0"/>
      <w:divBdr>
        <w:top w:val="none" w:sz="0" w:space="0" w:color="auto"/>
        <w:left w:val="none" w:sz="0" w:space="0" w:color="auto"/>
        <w:bottom w:val="none" w:sz="0" w:space="0" w:color="auto"/>
        <w:right w:val="none" w:sz="0" w:space="0" w:color="auto"/>
      </w:divBdr>
    </w:div>
    <w:div w:id="113718446">
      <w:bodyDiv w:val="1"/>
      <w:marLeft w:val="0"/>
      <w:marRight w:val="0"/>
      <w:marTop w:val="0"/>
      <w:marBottom w:val="0"/>
      <w:divBdr>
        <w:top w:val="none" w:sz="0" w:space="0" w:color="auto"/>
        <w:left w:val="none" w:sz="0" w:space="0" w:color="auto"/>
        <w:bottom w:val="none" w:sz="0" w:space="0" w:color="auto"/>
        <w:right w:val="none" w:sz="0" w:space="0" w:color="auto"/>
      </w:divBdr>
    </w:div>
    <w:div w:id="134497207">
      <w:bodyDiv w:val="1"/>
      <w:marLeft w:val="0"/>
      <w:marRight w:val="0"/>
      <w:marTop w:val="0"/>
      <w:marBottom w:val="0"/>
      <w:divBdr>
        <w:top w:val="none" w:sz="0" w:space="0" w:color="auto"/>
        <w:left w:val="none" w:sz="0" w:space="0" w:color="auto"/>
        <w:bottom w:val="none" w:sz="0" w:space="0" w:color="auto"/>
        <w:right w:val="none" w:sz="0" w:space="0" w:color="auto"/>
      </w:divBdr>
    </w:div>
    <w:div w:id="161286603">
      <w:bodyDiv w:val="1"/>
      <w:marLeft w:val="0"/>
      <w:marRight w:val="0"/>
      <w:marTop w:val="0"/>
      <w:marBottom w:val="0"/>
      <w:divBdr>
        <w:top w:val="none" w:sz="0" w:space="0" w:color="auto"/>
        <w:left w:val="none" w:sz="0" w:space="0" w:color="auto"/>
        <w:bottom w:val="none" w:sz="0" w:space="0" w:color="auto"/>
        <w:right w:val="none" w:sz="0" w:space="0" w:color="auto"/>
      </w:divBdr>
    </w:div>
    <w:div w:id="259261676">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04243444">
      <w:bodyDiv w:val="1"/>
      <w:marLeft w:val="0"/>
      <w:marRight w:val="0"/>
      <w:marTop w:val="0"/>
      <w:marBottom w:val="0"/>
      <w:divBdr>
        <w:top w:val="none" w:sz="0" w:space="0" w:color="auto"/>
        <w:left w:val="none" w:sz="0" w:space="0" w:color="auto"/>
        <w:bottom w:val="none" w:sz="0" w:space="0" w:color="auto"/>
        <w:right w:val="none" w:sz="0" w:space="0" w:color="auto"/>
      </w:divBdr>
    </w:div>
    <w:div w:id="308753862">
      <w:bodyDiv w:val="1"/>
      <w:marLeft w:val="0"/>
      <w:marRight w:val="0"/>
      <w:marTop w:val="0"/>
      <w:marBottom w:val="0"/>
      <w:divBdr>
        <w:top w:val="none" w:sz="0" w:space="0" w:color="auto"/>
        <w:left w:val="none" w:sz="0" w:space="0" w:color="auto"/>
        <w:bottom w:val="none" w:sz="0" w:space="0" w:color="auto"/>
        <w:right w:val="none" w:sz="0" w:space="0" w:color="auto"/>
      </w:divBdr>
    </w:div>
    <w:div w:id="315576752">
      <w:bodyDiv w:val="1"/>
      <w:marLeft w:val="0"/>
      <w:marRight w:val="0"/>
      <w:marTop w:val="0"/>
      <w:marBottom w:val="0"/>
      <w:divBdr>
        <w:top w:val="none" w:sz="0" w:space="0" w:color="auto"/>
        <w:left w:val="none" w:sz="0" w:space="0" w:color="auto"/>
        <w:bottom w:val="none" w:sz="0" w:space="0" w:color="auto"/>
        <w:right w:val="none" w:sz="0" w:space="0" w:color="auto"/>
      </w:divBdr>
    </w:div>
    <w:div w:id="321470946">
      <w:bodyDiv w:val="1"/>
      <w:marLeft w:val="0"/>
      <w:marRight w:val="0"/>
      <w:marTop w:val="0"/>
      <w:marBottom w:val="0"/>
      <w:divBdr>
        <w:top w:val="none" w:sz="0" w:space="0" w:color="auto"/>
        <w:left w:val="none" w:sz="0" w:space="0" w:color="auto"/>
        <w:bottom w:val="none" w:sz="0" w:space="0" w:color="auto"/>
        <w:right w:val="none" w:sz="0" w:space="0" w:color="auto"/>
      </w:divBdr>
    </w:div>
    <w:div w:id="444347079">
      <w:bodyDiv w:val="1"/>
      <w:marLeft w:val="0"/>
      <w:marRight w:val="0"/>
      <w:marTop w:val="0"/>
      <w:marBottom w:val="0"/>
      <w:divBdr>
        <w:top w:val="none" w:sz="0" w:space="0" w:color="auto"/>
        <w:left w:val="none" w:sz="0" w:space="0" w:color="auto"/>
        <w:bottom w:val="none" w:sz="0" w:space="0" w:color="auto"/>
        <w:right w:val="none" w:sz="0" w:space="0" w:color="auto"/>
      </w:divBdr>
    </w:div>
    <w:div w:id="445320267">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498353454">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41235638">
      <w:bodyDiv w:val="1"/>
      <w:marLeft w:val="0"/>
      <w:marRight w:val="0"/>
      <w:marTop w:val="0"/>
      <w:marBottom w:val="0"/>
      <w:divBdr>
        <w:top w:val="none" w:sz="0" w:space="0" w:color="auto"/>
        <w:left w:val="none" w:sz="0" w:space="0" w:color="auto"/>
        <w:bottom w:val="none" w:sz="0" w:space="0" w:color="auto"/>
        <w:right w:val="none" w:sz="0" w:space="0" w:color="auto"/>
      </w:divBdr>
    </w:div>
    <w:div w:id="646782327">
      <w:bodyDiv w:val="1"/>
      <w:marLeft w:val="0"/>
      <w:marRight w:val="0"/>
      <w:marTop w:val="0"/>
      <w:marBottom w:val="0"/>
      <w:divBdr>
        <w:top w:val="none" w:sz="0" w:space="0" w:color="auto"/>
        <w:left w:val="none" w:sz="0" w:space="0" w:color="auto"/>
        <w:bottom w:val="none" w:sz="0" w:space="0" w:color="auto"/>
        <w:right w:val="none" w:sz="0" w:space="0" w:color="auto"/>
      </w:divBdr>
    </w:div>
    <w:div w:id="65931409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691538508">
      <w:bodyDiv w:val="1"/>
      <w:marLeft w:val="0"/>
      <w:marRight w:val="0"/>
      <w:marTop w:val="0"/>
      <w:marBottom w:val="0"/>
      <w:divBdr>
        <w:top w:val="none" w:sz="0" w:space="0" w:color="auto"/>
        <w:left w:val="none" w:sz="0" w:space="0" w:color="auto"/>
        <w:bottom w:val="none" w:sz="0" w:space="0" w:color="auto"/>
        <w:right w:val="none" w:sz="0" w:space="0" w:color="auto"/>
      </w:divBdr>
    </w:div>
    <w:div w:id="725495322">
      <w:bodyDiv w:val="1"/>
      <w:marLeft w:val="0"/>
      <w:marRight w:val="0"/>
      <w:marTop w:val="0"/>
      <w:marBottom w:val="0"/>
      <w:divBdr>
        <w:top w:val="none" w:sz="0" w:space="0" w:color="auto"/>
        <w:left w:val="none" w:sz="0" w:space="0" w:color="auto"/>
        <w:bottom w:val="none" w:sz="0" w:space="0" w:color="auto"/>
        <w:right w:val="none" w:sz="0" w:space="0" w:color="auto"/>
      </w:divBdr>
    </w:div>
    <w:div w:id="846362488">
      <w:bodyDiv w:val="1"/>
      <w:marLeft w:val="0"/>
      <w:marRight w:val="0"/>
      <w:marTop w:val="0"/>
      <w:marBottom w:val="0"/>
      <w:divBdr>
        <w:top w:val="none" w:sz="0" w:space="0" w:color="auto"/>
        <w:left w:val="none" w:sz="0" w:space="0" w:color="auto"/>
        <w:bottom w:val="none" w:sz="0" w:space="0" w:color="auto"/>
        <w:right w:val="none" w:sz="0" w:space="0" w:color="auto"/>
      </w:divBdr>
    </w:div>
    <w:div w:id="870803653">
      <w:bodyDiv w:val="1"/>
      <w:marLeft w:val="0"/>
      <w:marRight w:val="0"/>
      <w:marTop w:val="0"/>
      <w:marBottom w:val="0"/>
      <w:divBdr>
        <w:top w:val="none" w:sz="0" w:space="0" w:color="auto"/>
        <w:left w:val="none" w:sz="0" w:space="0" w:color="auto"/>
        <w:bottom w:val="none" w:sz="0" w:space="0" w:color="auto"/>
        <w:right w:val="none" w:sz="0" w:space="0" w:color="auto"/>
      </w:divBdr>
    </w:div>
    <w:div w:id="936446864">
      <w:bodyDiv w:val="1"/>
      <w:marLeft w:val="0"/>
      <w:marRight w:val="0"/>
      <w:marTop w:val="0"/>
      <w:marBottom w:val="0"/>
      <w:divBdr>
        <w:top w:val="none" w:sz="0" w:space="0" w:color="auto"/>
        <w:left w:val="none" w:sz="0" w:space="0" w:color="auto"/>
        <w:bottom w:val="none" w:sz="0" w:space="0" w:color="auto"/>
        <w:right w:val="none" w:sz="0" w:space="0" w:color="auto"/>
      </w:divBdr>
    </w:div>
    <w:div w:id="966860990">
      <w:bodyDiv w:val="1"/>
      <w:marLeft w:val="0"/>
      <w:marRight w:val="0"/>
      <w:marTop w:val="0"/>
      <w:marBottom w:val="0"/>
      <w:divBdr>
        <w:top w:val="none" w:sz="0" w:space="0" w:color="auto"/>
        <w:left w:val="none" w:sz="0" w:space="0" w:color="auto"/>
        <w:bottom w:val="none" w:sz="0" w:space="0" w:color="auto"/>
        <w:right w:val="none" w:sz="0" w:space="0" w:color="auto"/>
      </w:divBdr>
    </w:div>
    <w:div w:id="978416494">
      <w:bodyDiv w:val="1"/>
      <w:marLeft w:val="0"/>
      <w:marRight w:val="0"/>
      <w:marTop w:val="0"/>
      <w:marBottom w:val="0"/>
      <w:divBdr>
        <w:top w:val="none" w:sz="0" w:space="0" w:color="auto"/>
        <w:left w:val="none" w:sz="0" w:space="0" w:color="auto"/>
        <w:bottom w:val="none" w:sz="0" w:space="0" w:color="auto"/>
        <w:right w:val="none" w:sz="0" w:space="0" w:color="auto"/>
      </w:divBdr>
    </w:div>
    <w:div w:id="992412867">
      <w:bodyDiv w:val="1"/>
      <w:marLeft w:val="0"/>
      <w:marRight w:val="0"/>
      <w:marTop w:val="0"/>
      <w:marBottom w:val="0"/>
      <w:divBdr>
        <w:top w:val="none" w:sz="0" w:space="0" w:color="auto"/>
        <w:left w:val="none" w:sz="0" w:space="0" w:color="auto"/>
        <w:bottom w:val="none" w:sz="0" w:space="0" w:color="auto"/>
        <w:right w:val="none" w:sz="0" w:space="0" w:color="auto"/>
      </w:divBdr>
    </w:div>
    <w:div w:id="1016880383">
      <w:bodyDiv w:val="1"/>
      <w:marLeft w:val="0"/>
      <w:marRight w:val="0"/>
      <w:marTop w:val="0"/>
      <w:marBottom w:val="0"/>
      <w:divBdr>
        <w:top w:val="none" w:sz="0" w:space="0" w:color="auto"/>
        <w:left w:val="none" w:sz="0" w:space="0" w:color="auto"/>
        <w:bottom w:val="none" w:sz="0" w:space="0" w:color="auto"/>
        <w:right w:val="none" w:sz="0" w:space="0" w:color="auto"/>
      </w:divBdr>
    </w:div>
    <w:div w:id="1098526939">
      <w:bodyDiv w:val="1"/>
      <w:marLeft w:val="0"/>
      <w:marRight w:val="0"/>
      <w:marTop w:val="0"/>
      <w:marBottom w:val="0"/>
      <w:divBdr>
        <w:top w:val="none" w:sz="0" w:space="0" w:color="auto"/>
        <w:left w:val="none" w:sz="0" w:space="0" w:color="auto"/>
        <w:bottom w:val="none" w:sz="0" w:space="0" w:color="auto"/>
        <w:right w:val="none" w:sz="0" w:space="0" w:color="auto"/>
      </w:divBdr>
    </w:div>
    <w:div w:id="1173032448">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280527526">
      <w:bodyDiv w:val="1"/>
      <w:marLeft w:val="0"/>
      <w:marRight w:val="0"/>
      <w:marTop w:val="0"/>
      <w:marBottom w:val="0"/>
      <w:divBdr>
        <w:top w:val="none" w:sz="0" w:space="0" w:color="auto"/>
        <w:left w:val="none" w:sz="0" w:space="0" w:color="auto"/>
        <w:bottom w:val="none" w:sz="0" w:space="0" w:color="auto"/>
        <w:right w:val="none" w:sz="0" w:space="0" w:color="auto"/>
      </w:divBdr>
    </w:div>
    <w:div w:id="1304852376">
      <w:bodyDiv w:val="1"/>
      <w:marLeft w:val="0"/>
      <w:marRight w:val="0"/>
      <w:marTop w:val="0"/>
      <w:marBottom w:val="0"/>
      <w:divBdr>
        <w:top w:val="none" w:sz="0" w:space="0" w:color="auto"/>
        <w:left w:val="none" w:sz="0" w:space="0" w:color="auto"/>
        <w:bottom w:val="none" w:sz="0" w:space="0" w:color="auto"/>
        <w:right w:val="none" w:sz="0" w:space="0" w:color="auto"/>
      </w:divBdr>
    </w:div>
    <w:div w:id="1310279944">
      <w:bodyDiv w:val="1"/>
      <w:marLeft w:val="0"/>
      <w:marRight w:val="0"/>
      <w:marTop w:val="0"/>
      <w:marBottom w:val="0"/>
      <w:divBdr>
        <w:top w:val="none" w:sz="0" w:space="0" w:color="auto"/>
        <w:left w:val="none" w:sz="0" w:space="0" w:color="auto"/>
        <w:bottom w:val="none" w:sz="0" w:space="0" w:color="auto"/>
        <w:right w:val="none" w:sz="0" w:space="0" w:color="auto"/>
      </w:divBdr>
    </w:div>
    <w:div w:id="1337417277">
      <w:bodyDiv w:val="1"/>
      <w:marLeft w:val="0"/>
      <w:marRight w:val="0"/>
      <w:marTop w:val="0"/>
      <w:marBottom w:val="0"/>
      <w:divBdr>
        <w:top w:val="none" w:sz="0" w:space="0" w:color="auto"/>
        <w:left w:val="none" w:sz="0" w:space="0" w:color="auto"/>
        <w:bottom w:val="none" w:sz="0" w:space="0" w:color="auto"/>
        <w:right w:val="none" w:sz="0" w:space="0" w:color="auto"/>
      </w:divBdr>
    </w:div>
    <w:div w:id="1341928311">
      <w:bodyDiv w:val="1"/>
      <w:marLeft w:val="0"/>
      <w:marRight w:val="0"/>
      <w:marTop w:val="0"/>
      <w:marBottom w:val="0"/>
      <w:divBdr>
        <w:top w:val="none" w:sz="0" w:space="0" w:color="auto"/>
        <w:left w:val="none" w:sz="0" w:space="0" w:color="auto"/>
        <w:bottom w:val="none" w:sz="0" w:space="0" w:color="auto"/>
        <w:right w:val="none" w:sz="0" w:space="0" w:color="auto"/>
      </w:divBdr>
    </w:div>
    <w:div w:id="1372730014">
      <w:bodyDiv w:val="1"/>
      <w:marLeft w:val="0"/>
      <w:marRight w:val="0"/>
      <w:marTop w:val="0"/>
      <w:marBottom w:val="0"/>
      <w:divBdr>
        <w:top w:val="none" w:sz="0" w:space="0" w:color="auto"/>
        <w:left w:val="none" w:sz="0" w:space="0" w:color="auto"/>
        <w:bottom w:val="none" w:sz="0" w:space="0" w:color="auto"/>
        <w:right w:val="none" w:sz="0" w:space="0" w:color="auto"/>
      </w:divBdr>
    </w:div>
    <w:div w:id="1392655182">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38162408">
      <w:bodyDiv w:val="1"/>
      <w:marLeft w:val="0"/>
      <w:marRight w:val="0"/>
      <w:marTop w:val="0"/>
      <w:marBottom w:val="0"/>
      <w:divBdr>
        <w:top w:val="none" w:sz="0" w:space="0" w:color="auto"/>
        <w:left w:val="none" w:sz="0" w:space="0" w:color="auto"/>
        <w:bottom w:val="none" w:sz="0" w:space="0" w:color="auto"/>
        <w:right w:val="none" w:sz="0" w:space="0" w:color="auto"/>
      </w:divBdr>
    </w:div>
    <w:div w:id="1547570088">
      <w:bodyDiv w:val="1"/>
      <w:marLeft w:val="0"/>
      <w:marRight w:val="0"/>
      <w:marTop w:val="0"/>
      <w:marBottom w:val="0"/>
      <w:divBdr>
        <w:top w:val="none" w:sz="0" w:space="0" w:color="auto"/>
        <w:left w:val="none" w:sz="0" w:space="0" w:color="auto"/>
        <w:bottom w:val="none" w:sz="0" w:space="0" w:color="auto"/>
        <w:right w:val="none" w:sz="0" w:space="0" w:color="auto"/>
      </w:divBdr>
    </w:div>
    <w:div w:id="1561592998">
      <w:bodyDiv w:val="1"/>
      <w:marLeft w:val="0"/>
      <w:marRight w:val="0"/>
      <w:marTop w:val="0"/>
      <w:marBottom w:val="0"/>
      <w:divBdr>
        <w:top w:val="none" w:sz="0" w:space="0" w:color="auto"/>
        <w:left w:val="none" w:sz="0" w:space="0" w:color="auto"/>
        <w:bottom w:val="none" w:sz="0" w:space="0" w:color="auto"/>
        <w:right w:val="none" w:sz="0" w:space="0" w:color="auto"/>
      </w:divBdr>
    </w:div>
    <w:div w:id="1575385723">
      <w:bodyDiv w:val="1"/>
      <w:marLeft w:val="0"/>
      <w:marRight w:val="0"/>
      <w:marTop w:val="0"/>
      <w:marBottom w:val="0"/>
      <w:divBdr>
        <w:top w:val="none" w:sz="0" w:space="0" w:color="auto"/>
        <w:left w:val="none" w:sz="0" w:space="0" w:color="auto"/>
        <w:bottom w:val="none" w:sz="0" w:space="0" w:color="auto"/>
        <w:right w:val="none" w:sz="0" w:space="0" w:color="auto"/>
      </w:divBdr>
    </w:div>
    <w:div w:id="1575508668">
      <w:bodyDiv w:val="1"/>
      <w:marLeft w:val="0"/>
      <w:marRight w:val="0"/>
      <w:marTop w:val="0"/>
      <w:marBottom w:val="0"/>
      <w:divBdr>
        <w:top w:val="none" w:sz="0" w:space="0" w:color="auto"/>
        <w:left w:val="none" w:sz="0" w:space="0" w:color="auto"/>
        <w:bottom w:val="none" w:sz="0" w:space="0" w:color="auto"/>
        <w:right w:val="none" w:sz="0" w:space="0" w:color="auto"/>
      </w:divBdr>
    </w:div>
    <w:div w:id="1597598017">
      <w:bodyDiv w:val="1"/>
      <w:marLeft w:val="0"/>
      <w:marRight w:val="0"/>
      <w:marTop w:val="0"/>
      <w:marBottom w:val="0"/>
      <w:divBdr>
        <w:top w:val="none" w:sz="0" w:space="0" w:color="auto"/>
        <w:left w:val="none" w:sz="0" w:space="0" w:color="auto"/>
        <w:bottom w:val="none" w:sz="0" w:space="0" w:color="auto"/>
        <w:right w:val="none" w:sz="0" w:space="0" w:color="auto"/>
      </w:divBdr>
    </w:div>
    <w:div w:id="1606767098">
      <w:bodyDiv w:val="1"/>
      <w:marLeft w:val="0"/>
      <w:marRight w:val="0"/>
      <w:marTop w:val="0"/>
      <w:marBottom w:val="0"/>
      <w:divBdr>
        <w:top w:val="none" w:sz="0" w:space="0" w:color="auto"/>
        <w:left w:val="none" w:sz="0" w:space="0" w:color="auto"/>
        <w:bottom w:val="none" w:sz="0" w:space="0" w:color="auto"/>
        <w:right w:val="none" w:sz="0" w:space="0" w:color="auto"/>
      </w:divBdr>
    </w:div>
    <w:div w:id="1608001271">
      <w:bodyDiv w:val="1"/>
      <w:marLeft w:val="0"/>
      <w:marRight w:val="0"/>
      <w:marTop w:val="0"/>
      <w:marBottom w:val="0"/>
      <w:divBdr>
        <w:top w:val="none" w:sz="0" w:space="0" w:color="auto"/>
        <w:left w:val="none" w:sz="0" w:space="0" w:color="auto"/>
        <w:bottom w:val="none" w:sz="0" w:space="0" w:color="auto"/>
        <w:right w:val="none" w:sz="0" w:space="0" w:color="auto"/>
      </w:divBdr>
    </w:div>
    <w:div w:id="1712613891">
      <w:bodyDiv w:val="1"/>
      <w:marLeft w:val="0"/>
      <w:marRight w:val="0"/>
      <w:marTop w:val="0"/>
      <w:marBottom w:val="0"/>
      <w:divBdr>
        <w:top w:val="none" w:sz="0" w:space="0" w:color="auto"/>
        <w:left w:val="none" w:sz="0" w:space="0" w:color="auto"/>
        <w:bottom w:val="none" w:sz="0" w:space="0" w:color="auto"/>
        <w:right w:val="none" w:sz="0" w:space="0" w:color="auto"/>
      </w:divBdr>
    </w:div>
    <w:div w:id="1766271024">
      <w:bodyDiv w:val="1"/>
      <w:marLeft w:val="0"/>
      <w:marRight w:val="0"/>
      <w:marTop w:val="0"/>
      <w:marBottom w:val="0"/>
      <w:divBdr>
        <w:top w:val="none" w:sz="0" w:space="0" w:color="auto"/>
        <w:left w:val="none" w:sz="0" w:space="0" w:color="auto"/>
        <w:bottom w:val="none" w:sz="0" w:space="0" w:color="auto"/>
        <w:right w:val="none" w:sz="0" w:space="0" w:color="auto"/>
      </w:divBdr>
    </w:div>
    <w:div w:id="1769691357">
      <w:bodyDiv w:val="1"/>
      <w:marLeft w:val="0"/>
      <w:marRight w:val="0"/>
      <w:marTop w:val="0"/>
      <w:marBottom w:val="0"/>
      <w:divBdr>
        <w:top w:val="none" w:sz="0" w:space="0" w:color="auto"/>
        <w:left w:val="none" w:sz="0" w:space="0" w:color="auto"/>
        <w:bottom w:val="none" w:sz="0" w:space="0" w:color="auto"/>
        <w:right w:val="none" w:sz="0" w:space="0" w:color="auto"/>
      </w:divBdr>
    </w:div>
    <w:div w:id="1844277056">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01091455">
      <w:bodyDiv w:val="1"/>
      <w:marLeft w:val="0"/>
      <w:marRight w:val="0"/>
      <w:marTop w:val="0"/>
      <w:marBottom w:val="0"/>
      <w:divBdr>
        <w:top w:val="none" w:sz="0" w:space="0" w:color="auto"/>
        <w:left w:val="none" w:sz="0" w:space="0" w:color="auto"/>
        <w:bottom w:val="none" w:sz="0" w:space="0" w:color="auto"/>
        <w:right w:val="none" w:sz="0" w:space="0" w:color="auto"/>
      </w:divBdr>
    </w:div>
    <w:div w:id="1916671889">
      <w:bodyDiv w:val="1"/>
      <w:marLeft w:val="0"/>
      <w:marRight w:val="0"/>
      <w:marTop w:val="0"/>
      <w:marBottom w:val="0"/>
      <w:divBdr>
        <w:top w:val="none" w:sz="0" w:space="0" w:color="auto"/>
        <w:left w:val="none" w:sz="0" w:space="0" w:color="auto"/>
        <w:bottom w:val="none" w:sz="0" w:space="0" w:color="auto"/>
        <w:right w:val="none" w:sz="0" w:space="0" w:color="auto"/>
      </w:divBdr>
    </w:div>
    <w:div w:id="1977298247">
      <w:bodyDiv w:val="1"/>
      <w:marLeft w:val="0"/>
      <w:marRight w:val="0"/>
      <w:marTop w:val="0"/>
      <w:marBottom w:val="0"/>
      <w:divBdr>
        <w:top w:val="none" w:sz="0" w:space="0" w:color="auto"/>
        <w:left w:val="none" w:sz="0" w:space="0" w:color="auto"/>
        <w:bottom w:val="none" w:sz="0" w:space="0" w:color="auto"/>
        <w:right w:val="none" w:sz="0" w:space="0" w:color="auto"/>
      </w:divBdr>
    </w:div>
    <w:div w:id="2034571184">
      <w:bodyDiv w:val="1"/>
      <w:marLeft w:val="0"/>
      <w:marRight w:val="0"/>
      <w:marTop w:val="0"/>
      <w:marBottom w:val="0"/>
      <w:divBdr>
        <w:top w:val="none" w:sz="0" w:space="0" w:color="auto"/>
        <w:left w:val="none" w:sz="0" w:space="0" w:color="auto"/>
        <w:bottom w:val="none" w:sz="0" w:space="0" w:color="auto"/>
        <w:right w:val="none" w:sz="0" w:space="0" w:color="auto"/>
      </w:divBdr>
    </w:div>
    <w:div w:id="2040084974">
      <w:bodyDiv w:val="1"/>
      <w:marLeft w:val="0"/>
      <w:marRight w:val="0"/>
      <w:marTop w:val="0"/>
      <w:marBottom w:val="0"/>
      <w:divBdr>
        <w:top w:val="none" w:sz="0" w:space="0" w:color="auto"/>
        <w:left w:val="none" w:sz="0" w:space="0" w:color="auto"/>
        <w:bottom w:val="none" w:sz="0" w:space="0" w:color="auto"/>
        <w:right w:val="none" w:sz="0" w:space="0" w:color="auto"/>
      </w:divBdr>
    </w:div>
    <w:div w:id="2041464997">
      <w:bodyDiv w:val="1"/>
      <w:marLeft w:val="0"/>
      <w:marRight w:val="0"/>
      <w:marTop w:val="0"/>
      <w:marBottom w:val="0"/>
      <w:divBdr>
        <w:top w:val="none" w:sz="0" w:space="0" w:color="auto"/>
        <w:left w:val="none" w:sz="0" w:space="0" w:color="auto"/>
        <w:bottom w:val="none" w:sz="0" w:space="0" w:color="auto"/>
        <w:right w:val="none" w:sz="0" w:space="0" w:color="auto"/>
      </w:divBdr>
    </w:div>
    <w:div w:id="205843196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 w:id="2119058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RKIN~1\AppData\Local\Temp\Publikace%20bar%20CZ_lide%20a%20spolecnost_2016-03-29.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5E08D-3750-4FD8-B802-AD88A7F99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CZ_lide a spolecnost_2016-03-29</Template>
  <TotalTime>0</TotalTime>
  <Pages>4</Pages>
  <Words>1638</Words>
  <Characters>9670</Characters>
  <Application>Microsoft Office Word</Application>
  <DocSecurity>0</DocSecurity>
  <Lines>80</Lines>
  <Paragraphs>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11286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kurkin4488</dc:creator>
  <cp:lastModifiedBy>kurkin4488</cp:lastModifiedBy>
  <cp:revision>3</cp:revision>
  <cp:lastPrinted>2014-07-17T14:07:00Z</cp:lastPrinted>
  <dcterms:created xsi:type="dcterms:W3CDTF">2016-11-28T14:40:00Z</dcterms:created>
  <dcterms:modified xsi:type="dcterms:W3CDTF">2016-11-28T14:40:00Z</dcterms:modified>
</cp:coreProperties>
</file>