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DD32A" w14:textId="77777777" w:rsidR="00290725" w:rsidRDefault="00290725" w:rsidP="00290725">
      <w:pPr>
        <w:pStyle w:val="Nadpis1"/>
      </w:pPr>
      <w:bookmarkStart w:id="0" w:name="_Toc224903147"/>
      <w:r>
        <w:t>3. Výkonnost odvětví</w:t>
      </w:r>
      <w:bookmarkEnd w:id="0"/>
    </w:p>
    <w:tbl>
      <w:tblPr>
        <w:tblW w:w="9646" w:type="dxa"/>
        <w:tblInd w:w="-20" w:type="dxa"/>
        <w:tblCellMar>
          <w:left w:w="0" w:type="dxa"/>
          <w:right w:w="0" w:type="dxa"/>
        </w:tblCellMar>
        <w:tblLook w:val="00A0" w:firstRow="1" w:lastRow="0" w:firstColumn="1" w:lastColumn="0" w:noHBand="0" w:noVBand="0"/>
      </w:tblPr>
      <w:tblGrid>
        <w:gridCol w:w="1788"/>
        <w:gridCol w:w="147"/>
        <w:gridCol w:w="7711"/>
      </w:tblGrid>
      <w:tr w:rsidR="00290725" w:rsidRPr="0037004A" w14:paraId="26EC70A9" w14:textId="77777777" w:rsidTr="00A96D94">
        <w:trPr>
          <w:trHeight w:val="145"/>
        </w:trPr>
        <w:tc>
          <w:tcPr>
            <w:tcW w:w="1788" w:type="dxa"/>
          </w:tcPr>
          <w:p w14:paraId="0F2ACD69" w14:textId="77777777" w:rsidR="00290725" w:rsidRPr="00EE0E68" w:rsidRDefault="00290725" w:rsidP="00A96D94">
            <w:pPr>
              <w:pStyle w:val="Marginlie"/>
              <w:rPr>
                <w:color w:val="000000" w:themeColor="text1"/>
                <w:spacing w:val="0"/>
                <w:lang w:eastAsia="en-US"/>
              </w:rPr>
            </w:pPr>
            <w:r>
              <w:rPr>
                <w:color w:val="000000" w:themeColor="text1"/>
                <w:spacing w:val="0"/>
                <w:lang w:eastAsia="en-US"/>
              </w:rPr>
              <w:t xml:space="preserve">Ekonomika loni navázala na přechozí oživení. </w:t>
            </w:r>
            <w:proofErr w:type="spellStart"/>
            <w:r>
              <w:rPr>
                <w:color w:val="000000" w:themeColor="text1"/>
                <w:spacing w:val="0"/>
                <w:lang w:eastAsia="en-US"/>
              </w:rPr>
              <w:t>Mezikvartální</w:t>
            </w:r>
            <w:proofErr w:type="spellEnd"/>
            <w:r>
              <w:rPr>
                <w:color w:val="000000" w:themeColor="text1"/>
                <w:spacing w:val="0"/>
                <w:lang w:eastAsia="en-US"/>
              </w:rPr>
              <w:t xml:space="preserve"> růst HPH byl během roku vcelku rovnoměrný. Na jeho konci se projevil příznivý vývoj průmyslu.</w:t>
            </w:r>
          </w:p>
        </w:tc>
        <w:tc>
          <w:tcPr>
            <w:tcW w:w="147" w:type="dxa"/>
          </w:tcPr>
          <w:p w14:paraId="7816FA86" w14:textId="77777777" w:rsidR="00290725" w:rsidRPr="00EE0E68" w:rsidRDefault="00290725" w:rsidP="00A96D94">
            <w:pPr>
              <w:pStyle w:val="Textpoznpodarou"/>
              <w:jc w:val="both"/>
              <w:rPr>
                <w:color w:val="000000" w:themeColor="text1"/>
                <w:lang w:eastAsia="en-US"/>
              </w:rPr>
            </w:pPr>
          </w:p>
        </w:tc>
        <w:tc>
          <w:tcPr>
            <w:tcW w:w="7711" w:type="dxa"/>
          </w:tcPr>
          <w:p w14:paraId="2495EE87" w14:textId="77777777" w:rsidR="00290725" w:rsidRPr="00E357B4" w:rsidRDefault="00290725" w:rsidP="00A96D94">
            <w:pPr>
              <w:spacing w:after="220"/>
              <w:rPr>
                <w:lang w:eastAsia="en-US"/>
              </w:rPr>
            </w:pPr>
            <w:r w:rsidRPr="00E357B4">
              <w:rPr>
                <w:lang w:eastAsia="en-US"/>
              </w:rPr>
              <w:t>Vývoj nabídkové strany ekonomiky potvrzuje, že tuzemskému hospodářství se loni dařilo. Celková hrubá přidaná hodnota (HPH)</w:t>
            </w:r>
            <w:r w:rsidRPr="00E357B4">
              <w:rPr>
                <w:rStyle w:val="Znakapoznpodarou"/>
                <w:color w:val="0D0D0D" w:themeColor="text1" w:themeTint="F2"/>
              </w:rPr>
              <w:footnoteReference w:id="1"/>
            </w:r>
            <w:r w:rsidRPr="00E357B4">
              <w:rPr>
                <w:lang w:eastAsia="en-US"/>
              </w:rPr>
              <w:t xml:space="preserve"> navázala na předloňské oživení a</w:t>
            </w:r>
            <w:r>
              <w:rPr>
                <w:lang w:eastAsia="en-US"/>
              </w:rPr>
              <w:t> </w:t>
            </w:r>
            <w:r w:rsidRPr="00E357B4">
              <w:rPr>
                <w:lang w:eastAsia="en-US"/>
              </w:rPr>
              <w:t>v</w:t>
            </w:r>
            <w:r>
              <w:rPr>
                <w:lang w:eastAsia="en-US"/>
              </w:rPr>
              <w:t> </w:t>
            </w:r>
            <w:r w:rsidRPr="00E357B4">
              <w:rPr>
                <w:lang w:eastAsia="en-US"/>
              </w:rPr>
              <w:t>1.</w:t>
            </w:r>
            <w:r>
              <w:rPr>
                <w:lang w:eastAsia="en-US"/>
              </w:rPr>
              <w:t> </w:t>
            </w:r>
            <w:r w:rsidRPr="00E357B4">
              <w:rPr>
                <w:lang w:eastAsia="en-US"/>
              </w:rPr>
              <w:t xml:space="preserve">čtvrtletí 2025 </w:t>
            </w:r>
            <w:r>
              <w:rPr>
                <w:lang w:eastAsia="en-US"/>
              </w:rPr>
              <w:t xml:space="preserve">se </w:t>
            </w:r>
            <w:r w:rsidRPr="00E357B4">
              <w:rPr>
                <w:lang w:eastAsia="en-US"/>
              </w:rPr>
              <w:t xml:space="preserve">mezikvartálně zvýšila o 0,9 % (nejvíce za poslední tři roky). V další části roku výkon ekonomiky v zásadě s podobnou intenzitou pokračoval na této růstové trajektorii. Jestliže v první polovině loňského roku ekonomiku táhly hlavně obchod (spolu s odvětvími vázanými na cestovní ruch) a stavebnictví, na konci převzal tuto roli zpracovatelský průmysl, jenž těžil z domácího oživení investic do strojů </w:t>
            </w:r>
            <w:r>
              <w:rPr>
                <w:lang w:eastAsia="en-US"/>
              </w:rPr>
              <w:br/>
            </w:r>
            <w:r w:rsidRPr="00E357B4">
              <w:rPr>
                <w:lang w:eastAsia="en-US"/>
              </w:rPr>
              <w:t xml:space="preserve">a zařízení a také vyšší zahraniční poptávky. </w:t>
            </w:r>
            <w:r w:rsidRPr="00E357B4">
              <w:rPr>
                <w:color w:val="0D0D0D" w:themeColor="text1" w:themeTint="F2"/>
              </w:rPr>
              <w:t>Celkový výkon odvětví ekonomiky se tak nacházel o 5,4 % nad vrcholem z období poslední konjunktury (4. čtvrtletí 2019), z drtivé části zásluhou služeb (zejména ICT, vyspělých služeb pro podniky a veřejných služeb)</w:t>
            </w:r>
            <w:r w:rsidRPr="00E357B4">
              <w:rPr>
                <w:rStyle w:val="Znakapoznpodarou"/>
                <w:color w:val="0D0D0D" w:themeColor="text1" w:themeTint="F2"/>
              </w:rPr>
              <w:footnoteReference w:id="2"/>
            </w:r>
            <w:r w:rsidRPr="00E357B4">
              <w:rPr>
                <w:color w:val="0D0D0D" w:themeColor="text1" w:themeTint="F2"/>
              </w:rPr>
              <w:t xml:space="preserve">. </w:t>
            </w:r>
          </w:p>
        </w:tc>
      </w:tr>
      <w:tr w:rsidR="00290725" w:rsidRPr="004D4FDB" w14:paraId="655AB6F3" w14:textId="77777777" w:rsidTr="00A96D94">
        <w:trPr>
          <w:trHeight w:val="145"/>
        </w:trPr>
        <w:tc>
          <w:tcPr>
            <w:tcW w:w="1788" w:type="dxa"/>
            <w:tcMar>
              <w:left w:w="0" w:type="dxa"/>
            </w:tcMar>
          </w:tcPr>
          <w:p w14:paraId="57AABF09" w14:textId="77777777" w:rsidR="00290725" w:rsidRPr="00101A1A" w:rsidRDefault="00290725" w:rsidP="00A96D94">
            <w:pPr>
              <w:pStyle w:val="Marginlie"/>
              <w:rPr>
                <w:color w:val="000000" w:themeColor="text1"/>
              </w:rPr>
            </w:pPr>
            <w:r w:rsidRPr="00101A1A">
              <w:rPr>
                <w:color w:val="000000" w:themeColor="text1"/>
              </w:rPr>
              <w:t>Loňský růst HPH nastal ve všech hlavních sledovaných odvětvích. Nejrychleji se rozvíjely oblast ICT a také stavebnictví.</w:t>
            </w:r>
          </w:p>
          <w:p w14:paraId="4C6FAC96" w14:textId="77777777" w:rsidR="00290725" w:rsidRPr="00101A1A" w:rsidRDefault="00290725" w:rsidP="00A96D94">
            <w:pPr>
              <w:pStyle w:val="Marginlie"/>
              <w:rPr>
                <w:color w:val="000000" w:themeColor="text1"/>
              </w:rPr>
            </w:pPr>
          </w:p>
          <w:p w14:paraId="733CDB0B" w14:textId="77777777" w:rsidR="00290725" w:rsidRPr="00101A1A" w:rsidRDefault="00290725" w:rsidP="00A96D94">
            <w:pPr>
              <w:pStyle w:val="Marginlie"/>
              <w:rPr>
                <w:color w:val="000000" w:themeColor="text1"/>
              </w:rPr>
            </w:pPr>
          </w:p>
          <w:p w14:paraId="00AC2C10" w14:textId="77777777" w:rsidR="00290725" w:rsidRPr="00101A1A" w:rsidRDefault="00290725" w:rsidP="00A96D94">
            <w:pPr>
              <w:pStyle w:val="Marginlie"/>
              <w:rPr>
                <w:color w:val="000000" w:themeColor="text1"/>
              </w:rPr>
            </w:pPr>
          </w:p>
          <w:p w14:paraId="6823070D" w14:textId="77777777" w:rsidR="00290725" w:rsidRPr="00101A1A" w:rsidRDefault="00290725" w:rsidP="00A96D94">
            <w:pPr>
              <w:pStyle w:val="Marginlie"/>
              <w:rPr>
                <w:color w:val="000000" w:themeColor="text1"/>
              </w:rPr>
            </w:pPr>
          </w:p>
          <w:p w14:paraId="22D26221" w14:textId="77777777" w:rsidR="00290725" w:rsidRDefault="00290725" w:rsidP="00A96D94">
            <w:pPr>
              <w:pStyle w:val="Marginlie"/>
              <w:rPr>
                <w:color w:val="000000" w:themeColor="text1"/>
              </w:rPr>
            </w:pPr>
          </w:p>
          <w:p w14:paraId="7C0B5A36" w14:textId="77777777" w:rsidR="00290725" w:rsidRDefault="00290725" w:rsidP="00A96D94">
            <w:pPr>
              <w:pStyle w:val="Marginlie"/>
              <w:rPr>
                <w:color w:val="000000" w:themeColor="text1"/>
              </w:rPr>
            </w:pPr>
          </w:p>
          <w:p w14:paraId="5A90BBBB" w14:textId="77777777" w:rsidR="00290725" w:rsidRPr="00101A1A" w:rsidRDefault="00290725" w:rsidP="00A96D94">
            <w:pPr>
              <w:pStyle w:val="Marginlie"/>
              <w:rPr>
                <w:color w:val="000000" w:themeColor="text1"/>
              </w:rPr>
            </w:pPr>
          </w:p>
          <w:p w14:paraId="7D7EE758" w14:textId="77777777" w:rsidR="00290725" w:rsidRDefault="00290725" w:rsidP="00A96D94">
            <w:pPr>
              <w:pStyle w:val="Marginlie"/>
              <w:rPr>
                <w:color w:val="000000" w:themeColor="text1"/>
                <w:spacing w:val="0"/>
              </w:rPr>
            </w:pPr>
            <w:r w:rsidRPr="00101A1A">
              <w:rPr>
                <w:color w:val="000000" w:themeColor="text1"/>
              </w:rPr>
              <w:t>V průmyslu nastalo mírné oživení. Růst výkonu primárního sektoru měl dlouhodobější povahu</w:t>
            </w:r>
            <w:r>
              <w:rPr>
                <w:color w:val="000000" w:themeColor="text1"/>
                <w:spacing w:val="0"/>
              </w:rPr>
              <w:t>.</w:t>
            </w:r>
          </w:p>
          <w:p w14:paraId="087E2930" w14:textId="77777777" w:rsidR="00290725" w:rsidRDefault="00290725" w:rsidP="00A96D94">
            <w:pPr>
              <w:pStyle w:val="Marginlie"/>
              <w:rPr>
                <w:color w:val="000000" w:themeColor="text1"/>
                <w:spacing w:val="0"/>
              </w:rPr>
            </w:pPr>
          </w:p>
          <w:p w14:paraId="6AFEC09F" w14:textId="77777777" w:rsidR="00290725" w:rsidRDefault="00290725" w:rsidP="00A96D94">
            <w:pPr>
              <w:pStyle w:val="Marginlie"/>
              <w:rPr>
                <w:color w:val="000000" w:themeColor="text1"/>
                <w:spacing w:val="0"/>
              </w:rPr>
            </w:pPr>
          </w:p>
          <w:p w14:paraId="4A3077B7" w14:textId="77777777" w:rsidR="00290725" w:rsidRDefault="00290725" w:rsidP="00A96D94">
            <w:pPr>
              <w:pStyle w:val="Marginlie"/>
              <w:rPr>
                <w:color w:val="000000" w:themeColor="text1"/>
                <w:spacing w:val="0"/>
              </w:rPr>
            </w:pPr>
          </w:p>
          <w:p w14:paraId="406D8D4F" w14:textId="77777777" w:rsidR="00290725" w:rsidRDefault="00290725" w:rsidP="00A96D94">
            <w:pPr>
              <w:pStyle w:val="Marginlie"/>
              <w:rPr>
                <w:color w:val="000000" w:themeColor="text1"/>
                <w:spacing w:val="0"/>
              </w:rPr>
            </w:pPr>
          </w:p>
          <w:p w14:paraId="45D2E3C5" w14:textId="77777777" w:rsidR="00290725" w:rsidRDefault="00290725" w:rsidP="00A96D94">
            <w:pPr>
              <w:pStyle w:val="Marginlie"/>
              <w:rPr>
                <w:color w:val="000000" w:themeColor="text1"/>
                <w:spacing w:val="0"/>
              </w:rPr>
            </w:pPr>
            <w:r>
              <w:rPr>
                <w:color w:val="000000" w:themeColor="text1"/>
                <w:spacing w:val="0"/>
              </w:rPr>
              <w:t xml:space="preserve">Úroda většiny hlavních plodin byla velmi dobrá. Pokračoval mírný růst výroby mléka i masa. </w:t>
            </w:r>
          </w:p>
          <w:p w14:paraId="4678CEC3" w14:textId="77777777" w:rsidR="00290725" w:rsidRDefault="00290725" w:rsidP="00A96D94">
            <w:pPr>
              <w:pStyle w:val="Marginlie"/>
              <w:spacing w:after="240"/>
              <w:rPr>
                <w:color w:val="000000" w:themeColor="text1"/>
                <w:spacing w:val="0"/>
              </w:rPr>
            </w:pPr>
          </w:p>
        </w:tc>
        <w:tc>
          <w:tcPr>
            <w:tcW w:w="147" w:type="dxa"/>
            <w:tcMar>
              <w:left w:w="0" w:type="dxa"/>
            </w:tcMar>
          </w:tcPr>
          <w:p w14:paraId="23A0F2A5" w14:textId="77777777" w:rsidR="00290725" w:rsidRPr="00EE0E68" w:rsidRDefault="00290725" w:rsidP="00A96D94">
            <w:pPr>
              <w:pStyle w:val="Textpoznpodarou"/>
              <w:spacing w:after="240"/>
              <w:jc w:val="both"/>
              <w:rPr>
                <w:color w:val="000000" w:themeColor="text1"/>
              </w:rPr>
            </w:pPr>
          </w:p>
        </w:tc>
        <w:tc>
          <w:tcPr>
            <w:tcW w:w="7711" w:type="dxa"/>
            <w:tcMar>
              <w:left w:w="0" w:type="dxa"/>
            </w:tcMar>
          </w:tcPr>
          <w:p w14:paraId="70897BAE" w14:textId="51CED203" w:rsidR="00290725" w:rsidRPr="00E357B4" w:rsidRDefault="00290725" w:rsidP="00FE470B">
            <w:pPr>
              <w:spacing w:after="0"/>
              <w:rPr>
                <w:color w:val="0D0D0D" w:themeColor="text1" w:themeTint="F2"/>
              </w:rPr>
            </w:pPr>
            <w:r w:rsidRPr="00E357B4">
              <w:rPr>
                <w:color w:val="0D0D0D" w:themeColor="text1" w:themeTint="F2"/>
              </w:rPr>
              <w:t xml:space="preserve">Za celý loňský rok se souhrnná HPH zvýšila o 2,8 % a rostla nejvýrazněji za poslední tři roky. Pozitivní je, že </w:t>
            </w:r>
            <w:r w:rsidR="00FE470B">
              <w:rPr>
                <w:color w:val="0D0D0D" w:themeColor="text1" w:themeTint="F2"/>
              </w:rPr>
              <w:t xml:space="preserve">poprvé od roku 2004 </w:t>
            </w:r>
            <w:r w:rsidRPr="00E357B4">
              <w:rPr>
                <w:color w:val="0D0D0D" w:themeColor="text1" w:themeTint="F2"/>
              </w:rPr>
              <w:t>došlo</w:t>
            </w:r>
            <w:r w:rsidR="00FE470B">
              <w:rPr>
                <w:color w:val="0D0D0D" w:themeColor="text1" w:themeTint="F2"/>
              </w:rPr>
              <w:t xml:space="preserve"> k růstu</w:t>
            </w:r>
            <w:r w:rsidRPr="00E357B4">
              <w:rPr>
                <w:color w:val="0D0D0D" w:themeColor="text1" w:themeTint="F2"/>
              </w:rPr>
              <w:t xml:space="preserve"> ve všech jedenácti hlavních odvětvových uskupeních</w:t>
            </w:r>
            <w:r w:rsidR="00FE470B">
              <w:rPr>
                <w:color w:val="0D0D0D" w:themeColor="text1" w:themeTint="F2"/>
              </w:rPr>
              <w:t>.</w:t>
            </w:r>
            <w:r w:rsidRPr="00E357B4">
              <w:rPr>
                <w:color w:val="0D0D0D" w:themeColor="text1" w:themeTint="F2"/>
              </w:rPr>
              <w:t xml:space="preserve"> Nejvíce se vedlo informačním a komunikačním činnostem (+7,8 %). K růstu ekonomiky ale nejvíce přispělo, obdobně jako v roce 2024, uskupení obchod, doprava, ubytování a pohostinství (+0,7 p. b.), jež profitovalo ze stabilně rostoucí kupní síly tuzemských domácností i pokračujícího rozvoje příjezdového cestovního ruchu. Dařilo se také všem dalším odvětvím služeb, kter</w:t>
            </w:r>
            <w:r>
              <w:rPr>
                <w:color w:val="0D0D0D" w:themeColor="text1" w:themeTint="F2"/>
              </w:rPr>
              <w:t>á</w:t>
            </w:r>
            <w:r w:rsidRPr="00E357B4">
              <w:rPr>
                <w:color w:val="0D0D0D" w:themeColor="text1" w:themeTint="F2"/>
              </w:rPr>
              <w:t xml:space="preserve"> ale v úhrnu podpořil</w:t>
            </w:r>
            <w:r>
              <w:rPr>
                <w:color w:val="0D0D0D" w:themeColor="text1" w:themeTint="F2"/>
              </w:rPr>
              <w:t>a</w:t>
            </w:r>
            <w:r w:rsidRPr="00E357B4">
              <w:rPr>
                <w:color w:val="0D0D0D" w:themeColor="text1" w:themeTint="F2"/>
              </w:rPr>
              <w:t xml:space="preserve"> růst ekonomiky méně výrazně (+0,6 p. b.). Výkon stavebnictví razantně zrychlil, HPH rostla o 6,8 % (vyššího tempa dosáhla v současném miléniu jen v roce 2002) a k růstu celé ekonomiky přispěla 0,4 p. b. Podobný vliv měl loni průmysl, jehož výkon posílil o 1,5 %, ovšem propad z roku 2024 nevykompenzoval. Dařilo se přitom jak zpracovatelským odvětvím, tak energetice. Čtvrtým rokem v řadě posilovala HPH v primárním sektoru (loni o 3,5 %). Protože objem těžby dřeva se loni, stejně jako v předcházejícím roce, zásadně nezměnil, odrážel vývoj výkonu primárního sektoru především výsledky zemědělství. Z předběžných výsledků účtu hrubé zemědělské produkce</w:t>
            </w:r>
            <w:r w:rsidRPr="00E357B4">
              <w:rPr>
                <w:rStyle w:val="Znakapoznpodarou"/>
                <w:color w:val="0D0D0D" w:themeColor="text1" w:themeTint="F2"/>
              </w:rPr>
              <w:footnoteReference w:id="3"/>
            </w:r>
            <w:r w:rsidRPr="00E357B4">
              <w:rPr>
                <w:color w:val="0D0D0D" w:themeColor="text1" w:themeTint="F2"/>
              </w:rPr>
              <w:t xml:space="preserve"> plyne, že za růstem HPH loni stála vyšší produkce rostlinné výroby. V ní se projevil dopad velmi dobré úrody většiny základních plodin, zejména obilovin, pícnin či brambor</w:t>
            </w:r>
            <w:r w:rsidRPr="00E357B4">
              <w:rPr>
                <w:rStyle w:val="Znakapoznpodarou"/>
                <w:color w:val="0D0D0D" w:themeColor="text1" w:themeTint="F2"/>
              </w:rPr>
              <w:footnoteReference w:id="4"/>
            </w:r>
            <w:r w:rsidRPr="00E357B4">
              <w:rPr>
                <w:color w:val="0D0D0D" w:themeColor="text1" w:themeTint="F2"/>
              </w:rPr>
              <w:t xml:space="preserve">. K výraznějšímu oživení došlo po velmi špatném roce 2024 v malém segmentu </w:t>
            </w:r>
            <w:r w:rsidRPr="00191AE2">
              <w:rPr>
                <w:color w:val="0D0D0D" w:themeColor="text1" w:themeTint="F2"/>
                <w:spacing w:val="-4"/>
              </w:rPr>
              <w:t>ovocnářství. V živočišné výrobě loni produkce stagnovala. I</w:t>
            </w:r>
            <w:r w:rsidRPr="00191AE2">
              <w:rPr>
                <w:rStyle w:val="normaltextrun"/>
                <w:rFonts w:eastAsia="MS Gothic" w:cs="Arial"/>
                <w:color w:val="0D0D0D" w:themeColor="text1" w:themeTint="F2"/>
                <w:spacing w:val="-4"/>
                <w:szCs w:val="20"/>
              </w:rPr>
              <w:t xml:space="preserve"> přes přetrvávající významnější</w:t>
            </w:r>
            <w:r w:rsidRPr="00E357B4">
              <w:rPr>
                <w:rStyle w:val="normaltextrun"/>
                <w:rFonts w:eastAsia="MS Gothic" w:cs="Arial"/>
                <w:color w:val="0D0D0D" w:themeColor="text1" w:themeTint="F2"/>
                <w:szCs w:val="20"/>
              </w:rPr>
              <w:t xml:space="preserve"> cenové pohyby hlavních komodit (</w:t>
            </w:r>
            <w:r>
              <w:rPr>
                <w:rStyle w:val="normaltextrun"/>
                <w:rFonts w:eastAsia="MS Gothic" w:cs="Arial"/>
                <w:color w:val="0D0D0D" w:themeColor="text1" w:themeTint="F2"/>
                <w:szCs w:val="20"/>
              </w:rPr>
              <w:t xml:space="preserve">zejména </w:t>
            </w:r>
            <w:r w:rsidRPr="00E357B4">
              <w:rPr>
                <w:rStyle w:val="normaltextrun"/>
                <w:rFonts w:eastAsia="MS Gothic" w:cs="Arial"/>
                <w:color w:val="0D0D0D" w:themeColor="text1" w:themeTint="F2"/>
              </w:rPr>
              <w:t>hovězího a vepřového masa) i</w:t>
            </w:r>
            <w:r w:rsidRPr="00E357B4">
              <w:rPr>
                <w:color w:val="0D0D0D" w:themeColor="text1" w:themeTint="F2"/>
              </w:rPr>
              <w:t> zvýšená</w:t>
            </w:r>
            <w:r w:rsidRPr="00E357B4">
              <w:rPr>
                <w:rStyle w:val="normaltextrun"/>
                <w:rFonts w:eastAsia="MS Gothic" w:cs="Arial"/>
                <w:color w:val="0D0D0D" w:themeColor="text1" w:themeTint="F2"/>
                <w:szCs w:val="20"/>
              </w:rPr>
              <w:t xml:space="preserve"> hygienická rizika zůstala situace tuzemských producentů stabilizovaná. Výroba masa (v</w:t>
            </w:r>
            <w:r>
              <w:rPr>
                <w:rStyle w:val="normaltextrun"/>
                <w:rFonts w:eastAsia="MS Gothic" w:cs="Arial"/>
                <w:color w:val="0D0D0D" w:themeColor="text1" w:themeTint="F2"/>
                <w:szCs w:val="20"/>
              </w:rPr>
              <w:t> </w:t>
            </w:r>
            <w:r w:rsidRPr="00E357B4">
              <w:rPr>
                <w:rStyle w:val="normaltextrun"/>
                <w:rFonts w:eastAsia="MS Gothic" w:cs="Arial"/>
                <w:color w:val="0D0D0D" w:themeColor="text1" w:themeTint="F2"/>
                <w:szCs w:val="20"/>
              </w:rPr>
              <w:t xml:space="preserve">naturálním množství) </w:t>
            </w:r>
            <w:r w:rsidR="00FE470B">
              <w:rPr>
                <w:rStyle w:val="normaltextrun"/>
                <w:rFonts w:eastAsia="MS Gothic" w:cs="Arial"/>
                <w:color w:val="0D0D0D" w:themeColor="text1" w:themeTint="F2"/>
                <w:szCs w:val="20"/>
              </w:rPr>
              <w:t>r</w:t>
            </w:r>
            <w:r w:rsidR="00FE470B">
              <w:rPr>
                <w:rStyle w:val="normaltextrun"/>
                <w:rFonts w:eastAsia="MS Gothic" w:cs="Arial"/>
                <w:color w:val="0D0D0D" w:themeColor="text1" w:themeTint="F2"/>
              </w:rPr>
              <w:t>ostla</w:t>
            </w:r>
            <w:r w:rsidRPr="00E357B4">
              <w:rPr>
                <w:rStyle w:val="normaltextrun"/>
                <w:rFonts w:eastAsia="MS Gothic" w:cs="Arial"/>
                <w:color w:val="0D0D0D" w:themeColor="text1" w:themeTint="F2"/>
                <w:szCs w:val="20"/>
              </w:rPr>
              <w:t xml:space="preserve"> druhý rok v řadě</w:t>
            </w:r>
            <w:r w:rsidRPr="00E357B4">
              <w:rPr>
                <w:rStyle w:val="Znakapoznpodarou"/>
                <w:color w:val="0D0D0D" w:themeColor="text1" w:themeTint="F2"/>
              </w:rPr>
              <w:footnoteReference w:id="5"/>
            </w:r>
            <w:r w:rsidRPr="00E357B4">
              <w:rPr>
                <w:rStyle w:val="normaltextrun"/>
                <w:rFonts w:eastAsia="MS Gothic" w:cs="Arial"/>
                <w:color w:val="0D0D0D" w:themeColor="text1" w:themeTint="F2"/>
                <w:szCs w:val="20"/>
              </w:rPr>
              <w:t>. Růst výroby mléka měl dlouhodobější povahu a loni činil 3,2 %. Z toho samotný nákup tuzemskými mlékárnami stagnoval,</w:t>
            </w:r>
            <w:r w:rsidRPr="00E357B4">
              <w:rPr>
                <w:rFonts w:eastAsia="MS Gothic"/>
                <w:color w:val="0D0D0D" w:themeColor="text1" w:themeTint="F2"/>
              </w:rPr>
              <w:t xml:space="preserve"> prvovýrobcům se tak v</w:t>
            </w:r>
            <w:r w:rsidRPr="00E357B4">
              <w:rPr>
                <w:rFonts w:eastAsia="MS Gothic"/>
              </w:rPr>
              <w:t xml:space="preserve">íce </w:t>
            </w:r>
            <w:r w:rsidRPr="00E357B4">
              <w:rPr>
                <w:rFonts w:eastAsia="MS Gothic"/>
                <w:color w:val="0D0D0D" w:themeColor="text1" w:themeTint="F2"/>
              </w:rPr>
              <w:t xml:space="preserve">dařilo </w:t>
            </w:r>
            <w:r>
              <w:rPr>
                <w:rFonts w:eastAsia="MS Gothic"/>
                <w:color w:val="0D0D0D" w:themeColor="text1" w:themeTint="F2"/>
              </w:rPr>
              <w:t xml:space="preserve">exportovat </w:t>
            </w:r>
            <w:r w:rsidRPr="00E357B4">
              <w:rPr>
                <w:rFonts w:eastAsia="MS Gothic"/>
                <w:color w:val="0D0D0D" w:themeColor="text1" w:themeTint="F2"/>
              </w:rPr>
              <w:t>mléko za příznivější ceny.</w:t>
            </w:r>
          </w:p>
        </w:tc>
      </w:tr>
      <w:tr w:rsidR="00290725" w:rsidRPr="004D4FDB" w14:paraId="665D962F" w14:textId="77777777" w:rsidTr="00A96D94">
        <w:trPr>
          <w:trHeight w:val="145"/>
        </w:trPr>
        <w:tc>
          <w:tcPr>
            <w:tcW w:w="1788" w:type="dxa"/>
            <w:tcMar>
              <w:left w:w="0" w:type="dxa"/>
            </w:tcMar>
          </w:tcPr>
          <w:p w14:paraId="6429621D" w14:textId="77777777" w:rsidR="00290725" w:rsidRPr="00EE0E68" w:rsidRDefault="00290725" w:rsidP="00A96D94">
            <w:pPr>
              <w:pStyle w:val="Marginlie"/>
              <w:spacing w:after="240"/>
              <w:rPr>
                <w:color w:val="000000" w:themeColor="text1"/>
                <w:spacing w:val="0"/>
              </w:rPr>
            </w:pPr>
            <w:r>
              <w:rPr>
                <w:color w:val="000000" w:themeColor="text1"/>
                <w:spacing w:val="0"/>
              </w:rPr>
              <w:lastRenderedPageBreak/>
              <w:t xml:space="preserve">K oživení průmyslu došlo zejména na počátku </w:t>
            </w:r>
            <w:r>
              <w:rPr>
                <w:color w:val="000000" w:themeColor="text1"/>
                <w:spacing w:val="0"/>
              </w:rPr>
              <w:br/>
              <w:t xml:space="preserve">a také na samém konci loňského roku, kdy již </w:t>
            </w:r>
            <w:proofErr w:type="spellStart"/>
            <w:r>
              <w:rPr>
                <w:color w:val="000000" w:themeColor="text1"/>
                <w:spacing w:val="0"/>
              </w:rPr>
              <w:t>mezikvartální</w:t>
            </w:r>
            <w:proofErr w:type="spellEnd"/>
            <w:r>
              <w:rPr>
                <w:color w:val="000000" w:themeColor="text1"/>
                <w:spacing w:val="0"/>
              </w:rPr>
              <w:t xml:space="preserve"> růst produkce prostoupil drtivou většinu klíčových oborů.</w:t>
            </w:r>
          </w:p>
        </w:tc>
        <w:tc>
          <w:tcPr>
            <w:tcW w:w="147" w:type="dxa"/>
            <w:tcMar>
              <w:left w:w="0" w:type="dxa"/>
            </w:tcMar>
          </w:tcPr>
          <w:p w14:paraId="22A5EA93" w14:textId="77777777" w:rsidR="00290725" w:rsidRPr="00EE0E68" w:rsidRDefault="00290725" w:rsidP="00A96D94">
            <w:pPr>
              <w:pStyle w:val="Textpoznpodarou"/>
              <w:spacing w:after="240"/>
              <w:jc w:val="both"/>
              <w:rPr>
                <w:color w:val="000000" w:themeColor="text1"/>
              </w:rPr>
            </w:pPr>
          </w:p>
        </w:tc>
        <w:tc>
          <w:tcPr>
            <w:tcW w:w="7711" w:type="dxa"/>
            <w:tcMar>
              <w:left w:w="0" w:type="dxa"/>
            </w:tcMar>
          </w:tcPr>
          <w:p w14:paraId="5224BC6D" w14:textId="77777777" w:rsidR="00290725" w:rsidRPr="00E357B4" w:rsidRDefault="00290725" w:rsidP="00A96D94">
            <w:pPr>
              <w:spacing w:after="200"/>
              <w:rPr>
                <w:color w:val="0D0D0D" w:themeColor="text1" w:themeTint="F2"/>
              </w:rPr>
            </w:pPr>
            <w:r w:rsidRPr="00E357B4">
              <w:rPr>
                <w:color w:val="0D0D0D" w:themeColor="text1" w:themeTint="F2"/>
              </w:rPr>
              <w:t>Po letech 2023 i 2024, kdy se průmysl v Česku vinou slabé zahraniční i domácí poptávky i silných nákladových tlaků v důsledku energetické krize nacházel v celkové mírné recesi, se loni situace postupně zlepšovala. Již v 1. čtvrtletí se průmyslová produkce</w:t>
            </w:r>
            <w:r w:rsidRPr="00E357B4">
              <w:rPr>
                <w:rStyle w:val="Znakapoznpodarou"/>
                <w:color w:val="0D0D0D" w:themeColor="text1" w:themeTint="F2"/>
              </w:rPr>
              <w:footnoteReference w:id="6"/>
            </w:r>
            <w:r w:rsidRPr="00E357B4">
              <w:rPr>
                <w:color w:val="0D0D0D" w:themeColor="text1" w:themeTint="F2"/>
              </w:rPr>
              <w:t xml:space="preserve"> mezikvartálně zvýšila o 2,1 %, k čemuž přispěla zejména energetika, strojírenství a</w:t>
            </w:r>
            <w:r>
              <w:rPr>
                <w:color w:val="0D0D0D" w:themeColor="text1" w:themeTint="F2"/>
              </w:rPr>
              <w:t> </w:t>
            </w:r>
            <w:r w:rsidRPr="00E357B4">
              <w:rPr>
                <w:color w:val="0D0D0D" w:themeColor="text1" w:themeTint="F2"/>
              </w:rPr>
              <w:t xml:space="preserve">některé významnější obory zaměřené na výrobu meziproduktů (elektrotechnika, hutnictví a slévárenství, výroba stavebních materiálů, gumárenství a </w:t>
            </w:r>
            <w:proofErr w:type="spellStart"/>
            <w:r w:rsidRPr="00E357B4">
              <w:rPr>
                <w:color w:val="0D0D0D" w:themeColor="text1" w:themeTint="F2"/>
              </w:rPr>
              <w:t>plastikářství</w:t>
            </w:r>
            <w:proofErr w:type="spellEnd"/>
            <w:r w:rsidRPr="00E357B4">
              <w:rPr>
                <w:color w:val="0D0D0D" w:themeColor="text1" w:themeTint="F2"/>
              </w:rPr>
              <w:t>). Posílení části exportních oborů zčásti souviselo se snahou obchodních partnerů o</w:t>
            </w:r>
            <w:r>
              <w:rPr>
                <w:color w:val="0D0D0D" w:themeColor="text1" w:themeTint="F2"/>
              </w:rPr>
              <w:t> </w:t>
            </w:r>
            <w:r w:rsidRPr="00E357B4">
              <w:rPr>
                <w:color w:val="0D0D0D" w:themeColor="text1" w:themeTint="F2"/>
              </w:rPr>
              <w:t>předzásobení se před účinností opatření vlády USA v oblasti obchodní politiky. V následujícím kvartálu sice tento krátkodobý stimul vyprchal, avšak výkon průmyslu nadále mírně rostl – především díky výrobě ostatních (zejména kolejových) dopravních prostředků a také vlivem pokračujícího oživení v hutnictví. V samotném závěru roku tuzemský průmysl těžil z rostoucí zahraniční poptávky a jeho produkce mezikvartálně posílila o 2,2 % (nejvíce od konce roku 2020). Příznivý vývoj nastal téměř ve všech investičně zaměřených oborech a také v oblasti meziproduktů. I díky tomu celková průmyslová produkce loni ve 4. čtvrtletí velmi mírně (o 1,1 %) předčila úroveň z vrcholu z období poslední konjunktury (2. čtvrtletí 2019)</w:t>
            </w:r>
            <w:r w:rsidRPr="00E357B4">
              <w:rPr>
                <w:rStyle w:val="Znakapoznpodarou"/>
                <w:color w:val="0D0D0D" w:themeColor="text1" w:themeTint="F2"/>
              </w:rPr>
              <w:footnoteReference w:id="7"/>
            </w:r>
            <w:r w:rsidRPr="00E357B4">
              <w:rPr>
                <w:color w:val="0D0D0D" w:themeColor="text1" w:themeTint="F2"/>
              </w:rPr>
              <w:t xml:space="preserve"> a současně se dorovnala absolutnímu vrcholu z období postpandemického oživení (3. čtvrtletí 2022).</w:t>
            </w:r>
          </w:p>
        </w:tc>
      </w:tr>
      <w:tr w:rsidR="00290725" w:rsidRPr="004D4FDB" w14:paraId="339C7BDE" w14:textId="77777777" w:rsidTr="00A96D94">
        <w:trPr>
          <w:trHeight w:val="145"/>
        </w:trPr>
        <w:tc>
          <w:tcPr>
            <w:tcW w:w="1788" w:type="dxa"/>
            <w:tcMar>
              <w:left w:w="0" w:type="dxa"/>
            </w:tcMar>
          </w:tcPr>
          <w:p w14:paraId="2F577B31" w14:textId="77777777" w:rsidR="00290725" w:rsidRPr="00EE0E68" w:rsidRDefault="00290725" w:rsidP="00A96D94">
            <w:pPr>
              <w:pStyle w:val="Marginlie"/>
              <w:spacing w:after="240"/>
              <w:rPr>
                <w:color w:val="000000" w:themeColor="text1"/>
                <w:spacing w:val="0"/>
              </w:rPr>
            </w:pPr>
            <w:r>
              <w:rPr>
                <w:color w:val="000000" w:themeColor="text1"/>
                <w:spacing w:val="0"/>
              </w:rPr>
              <w:t>K mírnému růstu</w:t>
            </w:r>
            <w:r w:rsidRPr="00EE0E68">
              <w:rPr>
                <w:color w:val="000000" w:themeColor="text1"/>
                <w:spacing w:val="0"/>
              </w:rPr>
              <w:t xml:space="preserve"> průmyslové produkce </w:t>
            </w:r>
            <w:r>
              <w:rPr>
                <w:color w:val="000000" w:themeColor="text1"/>
                <w:spacing w:val="0"/>
              </w:rPr>
              <w:t>loni</w:t>
            </w:r>
            <w:r w:rsidRPr="00EE0E68">
              <w:rPr>
                <w:color w:val="000000" w:themeColor="text1"/>
                <w:spacing w:val="0"/>
              </w:rPr>
              <w:t xml:space="preserve"> nejvíce </w:t>
            </w:r>
            <w:r>
              <w:rPr>
                <w:color w:val="000000" w:themeColor="text1"/>
                <w:spacing w:val="0"/>
              </w:rPr>
              <w:t>přispěly</w:t>
            </w:r>
            <w:r w:rsidRPr="00EE0E68">
              <w:rPr>
                <w:color w:val="000000" w:themeColor="text1"/>
                <w:spacing w:val="0"/>
              </w:rPr>
              <w:t xml:space="preserve"> </w:t>
            </w:r>
            <w:r>
              <w:rPr>
                <w:color w:val="000000" w:themeColor="text1"/>
                <w:spacing w:val="0"/>
              </w:rPr>
              <w:t xml:space="preserve">kovodělný průmysl </w:t>
            </w:r>
            <w:r>
              <w:rPr>
                <w:color w:val="000000" w:themeColor="text1"/>
                <w:spacing w:val="0"/>
              </w:rPr>
              <w:br/>
              <w:t xml:space="preserve">a </w:t>
            </w:r>
            <w:r w:rsidRPr="00EE0E68">
              <w:rPr>
                <w:color w:val="000000" w:themeColor="text1"/>
                <w:spacing w:val="0"/>
              </w:rPr>
              <w:t>energetik</w:t>
            </w:r>
            <w:r>
              <w:rPr>
                <w:color w:val="000000" w:themeColor="text1"/>
                <w:spacing w:val="0"/>
              </w:rPr>
              <w:t>a</w:t>
            </w:r>
            <w:r w:rsidRPr="00EE0E68">
              <w:rPr>
                <w:color w:val="000000" w:themeColor="text1"/>
                <w:spacing w:val="0"/>
              </w:rPr>
              <w:t>.</w:t>
            </w:r>
            <w:r>
              <w:rPr>
                <w:color w:val="000000" w:themeColor="text1"/>
                <w:spacing w:val="0"/>
              </w:rPr>
              <w:t xml:space="preserve"> Projevila se sílící poptávka po zbrojní výrobě, u energií k ní významně pomohlo chladnější počasí. </w:t>
            </w:r>
          </w:p>
        </w:tc>
        <w:tc>
          <w:tcPr>
            <w:tcW w:w="147" w:type="dxa"/>
            <w:tcMar>
              <w:left w:w="0" w:type="dxa"/>
            </w:tcMar>
          </w:tcPr>
          <w:p w14:paraId="4A1DD2C7" w14:textId="77777777" w:rsidR="00290725" w:rsidRPr="00EE0E68" w:rsidRDefault="00290725" w:rsidP="00A96D94">
            <w:pPr>
              <w:pStyle w:val="Textpoznpodarou"/>
              <w:spacing w:after="240"/>
              <w:jc w:val="both"/>
              <w:rPr>
                <w:color w:val="000000" w:themeColor="text1"/>
              </w:rPr>
            </w:pPr>
          </w:p>
        </w:tc>
        <w:tc>
          <w:tcPr>
            <w:tcW w:w="7711" w:type="dxa"/>
            <w:tcMar>
              <w:left w:w="0" w:type="dxa"/>
            </w:tcMar>
          </w:tcPr>
          <w:p w14:paraId="752BFD2C" w14:textId="77777777" w:rsidR="00290725" w:rsidRPr="00E357B4" w:rsidRDefault="00290725" w:rsidP="00A96D94">
            <w:pPr>
              <w:spacing w:after="200"/>
              <w:rPr>
                <w:color w:val="000000" w:themeColor="text1"/>
              </w:rPr>
            </w:pPr>
            <w:r w:rsidRPr="00E357B4">
              <w:rPr>
                <w:color w:val="000000" w:themeColor="text1"/>
              </w:rPr>
              <w:t>V úhrnu za celý rok 2025 se průmyslová produkce zvýšila o 2,2 %, což znamenalo nejlepší výsledek za poslední čtyři roky. Loňský růst podpořil nejvíce kovodělný průmysl (růst o 7,0</w:t>
            </w:r>
            <w:r w:rsidRPr="00E357B4">
              <w:rPr>
                <w:color w:val="0D0D0D" w:themeColor="text1" w:themeTint="F2"/>
              </w:rPr>
              <w:t> </w:t>
            </w:r>
            <w:r w:rsidRPr="00E357B4">
              <w:rPr>
                <w:color w:val="000000" w:themeColor="text1"/>
              </w:rPr>
              <w:t>%, příspěvek k růstu +0,69 p. b.) poháněný sílící domácí i zahraniční poptávkou, jež ve 4. čtvrtletí vyústila v tomto oboru v růst produkce o 13,7 % (nejvyšší za poslední čtyři a půl roku). Vyšší výroba kovových konstrukcí našla uplatnění v automobilovém průmyslu a stavebnictví. Vedle toho se zde stále více projevoval rychlý růst v segmentu zbrojní výroby. Průmyslu loni pomáhala také energetika (+0,35 p. b.), jejíž produkce po třech slabších rocích vzrostla o 4,0 % (nejvíce za posledních osm let). Zvyšovala se výroba i spotřeba elektřiny</w:t>
            </w:r>
            <w:r w:rsidRPr="00E357B4">
              <w:rPr>
                <w:rStyle w:val="Znakapoznpodarou"/>
                <w:color w:val="000000" w:themeColor="text1"/>
              </w:rPr>
              <w:footnoteReference w:id="8"/>
            </w:r>
            <w:r w:rsidRPr="00E357B4">
              <w:rPr>
                <w:color w:val="000000" w:themeColor="text1"/>
              </w:rPr>
              <w:t>, plynu</w:t>
            </w:r>
            <w:r w:rsidRPr="00E357B4">
              <w:rPr>
                <w:rStyle w:val="Znakapoznpodarou"/>
                <w:color w:val="000000" w:themeColor="text1"/>
              </w:rPr>
              <w:footnoteReference w:id="9"/>
            </w:r>
            <w:r w:rsidRPr="00E357B4">
              <w:rPr>
                <w:color w:val="000000" w:themeColor="text1"/>
              </w:rPr>
              <w:t xml:space="preserve"> i tepla</w:t>
            </w:r>
            <w:r w:rsidRPr="00E357B4">
              <w:rPr>
                <w:rStyle w:val="Znakapoznpodarou"/>
                <w:color w:val="000000" w:themeColor="text1"/>
              </w:rPr>
              <w:footnoteReference w:id="10"/>
            </w:r>
            <w:r w:rsidRPr="00E357B4">
              <w:rPr>
                <w:color w:val="000000" w:themeColor="text1"/>
              </w:rPr>
              <w:t xml:space="preserve">. To souvisí zejména s tím, že počátek roku 2025 nebyl teplotně natolik nadprůměrný jako ten předchozí a relativně chladněji bylo vloni i v květnu, září či říjnu. Vedle toho motivace k dalším úsporám ve spotřebě, zejména v domácnostech, klesala i vlivem stabilizace a následného zlevňování cen energií, jež bylo znatelnější hlavně u zemního plynu. Do vyšší spotřeby </w:t>
            </w:r>
            <w:r w:rsidRPr="00E357B4">
              <w:rPr>
                <w:color w:val="000000" w:themeColor="text1"/>
              </w:rPr>
              <w:lastRenderedPageBreak/>
              <w:t>se loni promítaly příznivější finanční situace domácností i postupné oživení výkonu ekonomiky doprovázené stabilizací poptávky v některých energeticky náročných průmyslových oborech.</w:t>
            </w:r>
          </w:p>
        </w:tc>
      </w:tr>
      <w:tr w:rsidR="00290725" w:rsidRPr="00884AAD" w14:paraId="22785BB0" w14:textId="77777777" w:rsidTr="00A96D94">
        <w:trPr>
          <w:trHeight w:val="145"/>
        </w:trPr>
        <w:tc>
          <w:tcPr>
            <w:tcW w:w="1788" w:type="dxa"/>
            <w:tcMar>
              <w:left w:w="0" w:type="dxa"/>
            </w:tcMar>
          </w:tcPr>
          <w:p w14:paraId="1548C94B" w14:textId="77777777" w:rsidR="00290725" w:rsidRPr="00EE0E68" w:rsidRDefault="00290725" w:rsidP="00A96D94">
            <w:pPr>
              <w:pStyle w:val="Marginlie"/>
              <w:spacing w:after="240"/>
              <w:rPr>
                <w:color w:val="000000" w:themeColor="text1"/>
                <w:spacing w:val="0"/>
              </w:rPr>
            </w:pPr>
            <w:r>
              <w:rPr>
                <w:color w:val="000000" w:themeColor="text1"/>
                <w:spacing w:val="0"/>
              </w:rPr>
              <w:lastRenderedPageBreak/>
              <w:t xml:space="preserve">Některé významné energeticky náročné obory zaměřené na výrobu meziproduktů loni zřetelně ožily. Nejvíce patrné to bylo v hutnictví, jemuž pomohla domácí </w:t>
            </w:r>
            <w:r>
              <w:rPr>
                <w:color w:val="000000" w:themeColor="text1"/>
                <w:spacing w:val="0"/>
              </w:rPr>
              <w:br/>
              <w:t>i zahraniční poptávka.</w:t>
            </w:r>
          </w:p>
        </w:tc>
        <w:tc>
          <w:tcPr>
            <w:tcW w:w="147" w:type="dxa"/>
            <w:tcMar>
              <w:left w:w="0" w:type="dxa"/>
            </w:tcMar>
          </w:tcPr>
          <w:p w14:paraId="245F0D54" w14:textId="77777777" w:rsidR="00290725" w:rsidRPr="00EE0E68" w:rsidRDefault="00290725" w:rsidP="00A96D94">
            <w:pPr>
              <w:pStyle w:val="Textpoznpodarou"/>
              <w:spacing w:after="240"/>
              <w:jc w:val="both"/>
              <w:rPr>
                <w:color w:val="000000" w:themeColor="text1"/>
              </w:rPr>
            </w:pPr>
          </w:p>
        </w:tc>
        <w:tc>
          <w:tcPr>
            <w:tcW w:w="7711" w:type="dxa"/>
            <w:tcMar>
              <w:left w:w="0" w:type="dxa"/>
            </w:tcMar>
          </w:tcPr>
          <w:p w14:paraId="6D8F0324" w14:textId="77777777" w:rsidR="00290725" w:rsidRPr="00E357B4" w:rsidRDefault="00290725" w:rsidP="00A96D94">
            <w:pPr>
              <w:spacing w:after="200"/>
              <w:rPr>
                <w:color w:val="000000" w:themeColor="text1"/>
              </w:rPr>
            </w:pPr>
            <w:r w:rsidRPr="00E357B4">
              <w:rPr>
                <w:color w:val="0D0D0D" w:themeColor="text1" w:themeTint="F2"/>
              </w:rPr>
              <w:t>Průmyslu loni pomohla i většina váhově významných</w:t>
            </w:r>
            <w:r>
              <w:rPr>
                <w:color w:val="0D0D0D" w:themeColor="text1" w:themeTint="F2"/>
              </w:rPr>
              <w:t>,</w:t>
            </w:r>
            <w:r w:rsidRPr="00E357B4">
              <w:rPr>
                <w:color w:val="0D0D0D" w:themeColor="text1" w:themeTint="F2"/>
              </w:rPr>
              <w:t xml:space="preserve"> vesměs energeticky náročných oborů vyrábějících meziprodukty. Nejvýznamnější roli zde mělo gumárenství a</w:t>
            </w:r>
            <w:r>
              <w:rPr>
                <w:color w:val="0D0D0D" w:themeColor="text1" w:themeTint="F2"/>
              </w:rPr>
              <w:t> </w:t>
            </w:r>
            <w:proofErr w:type="spellStart"/>
            <w:r w:rsidRPr="00E357B4">
              <w:rPr>
                <w:color w:val="0D0D0D" w:themeColor="text1" w:themeTint="F2"/>
              </w:rPr>
              <w:t>plastikářství</w:t>
            </w:r>
            <w:proofErr w:type="spellEnd"/>
            <w:r w:rsidRPr="00E357B4">
              <w:rPr>
                <w:color w:val="0D0D0D" w:themeColor="text1" w:themeTint="F2"/>
              </w:rPr>
              <w:t xml:space="preserve">, kde produkce vzrostla o 4,0 % (během roku postupně výkon sílil – až na 7,7 % ve 4. čtvrtletí, což bylo nejvíce za poslední čtyři a půl roku). Pomohla k tomu výhradně zahraniční poptávka, jež </w:t>
            </w:r>
            <w:r>
              <w:rPr>
                <w:color w:val="0D0D0D" w:themeColor="text1" w:themeTint="F2"/>
              </w:rPr>
              <w:t>částečně</w:t>
            </w:r>
            <w:r w:rsidRPr="00E357B4">
              <w:rPr>
                <w:color w:val="0D0D0D" w:themeColor="text1" w:themeTint="F2"/>
              </w:rPr>
              <w:t xml:space="preserve"> souvisela </w:t>
            </w:r>
            <w:r>
              <w:rPr>
                <w:color w:val="0D0D0D" w:themeColor="text1" w:themeTint="F2"/>
              </w:rPr>
              <w:t>s</w:t>
            </w:r>
            <w:r w:rsidRPr="00E357B4">
              <w:rPr>
                <w:color w:val="0D0D0D" w:themeColor="text1" w:themeTint="F2"/>
              </w:rPr>
              <w:t xml:space="preserve"> rozvojem automobilového průmyslu. Podobné faktory loni podpořily rovněž výkon elektrotechnického průmyslu (+1,7 %). Zejména díky vyšší domácí poptávce došlo k významnějšímu oživení produkce </w:t>
            </w:r>
            <w:r w:rsidRPr="00E357B4">
              <w:rPr>
                <w:color w:val="000000" w:themeColor="text1"/>
              </w:rPr>
              <w:t>(po hlubokém útlumu v předchozích třech letech – nejdelším a nejhlubším v současném miléniu) v hutnictví a slévárenství (+4,9 %). Dynamický rozvoj tuzemského stavebnictví se promítl i do výroby ostatních nekovových minerálních výrobků, kde produkce loni vzrostla o 3,4 %. Především lepší odbyt v zahraniční vedl loni k udržení mírného růstu produkce v relativně malém oboru dřevozpracujícího průmyslu (+1,0 %). Druhý rok v řadě se mírně zvyšoval i výkon navazujícího papírenského průmyslu, aktuálně podpořený vyšší poptávkou spíše z tuzemska. V chemickém průmyslu produkce loni, podobně jako v průměru za rok 2024, fakticky stagnovala. Projevilo se zde i postupné omezování výrobních kapacit spojené s útlumem některých dříve tradičních výrob. Během 2. pololetí 2025 však šlo vystopovat náznaky mírného oživení domácí i zahraniční poptávky, což se ve 4. čtvrtletí promítlo do vyšší produkce (+5,0 %, nejvyšší tempo za poslední tři roky). Výše uvedené obory zaměřené na meziprodukty přispěly loni k meziročnímu růstu celého průmyslu 0,76 p. b.</w:t>
            </w:r>
          </w:p>
        </w:tc>
      </w:tr>
      <w:tr w:rsidR="00290725" w:rsidRPr="00884AAD" w14:paraId="424FC87E" w14:textId="77777777" w:rsidTr="00A96D94">
        <w:trPr>
          <w:trHeight w:val="145"/>
        </w:trPr>
        <w:tc>
          <w:tcPr>
            <w:tcW w:w="1788" w:type="dxa"/>
            <w:tcMar>
              <w:left w:w="0" w:type="dxa"/>
            </w:tcMar>
          </w:tcPr>
          <w:p w14:paraId="7E624015" w14:textId="77777777" w:rsidR="00290725" w:rsidRDefault="00290725" w:rsidP="00A96D94">
            <w:pPr>
              <w:pStyle w:val="Marginlie"/>
              <w:spacing w:after="240"/>
              <w:rPr>
                <w:color w:val="000000" w:themeColor="text1"/>
                <w:spacing w:val="0"/>
              </w:rPr>
            </w:pPr>
            <w:r>
              <w:rPr>
                <w:color w:val="000000" w:themeColor="text1"/>
                <w:spacing w:val="0"/>
              </w:rPr>
              <w:t>Nejvíce loni vzrostla produkce</w:t>
            </w:r>
            <w:r w:rsidRPr="00EE0E68">
              <w:rPr>
                <w:color w:val="000000" w:themeColor="text1"/>
                <w:spacing w:val="0"/>
              </w:rPr>
              <w:t xml:space="preserve"> </w:t>
            </w:r>
            <w:r>
              <w:rPr>
                <w:color w:val="000000" w:themeColor="text1"/>
                <w:spacing w:val="0"/>
              </w:rPr>
              <w:t xml:space="preserve">ve </w:t>
            </w:r>
            <w:r w:rsidRPr="00EE0E68">
              <w:rPr>
                <w:color w:val="000000" w:themeColor="text1"/>
                <w:spacing w:val="0"/>
              </w:rPr>
              <w:t>výrob</w:t>
            </w:r>
            <w:r>
              <w:rPr>
                <w:color w:val="000000" w:themeColor="text1"/>
                <w:spacing w:val="0"/>
              </w:rPr>
              <w:t>ě</w:t>
            </w:r>
            <w:r w:rsidRPr="00EE0E68">
              <w:rPr>
                <w:color w:val="000000" w:themeColor="text1"/>
                <w:spacing w:val="0"/>
              </w:rPr>
              <w:t xml:space="preserve"> </w:t>
            </w:r>
            <w:r w:rsidRPr="00897CD7">
              <w:rPr>
                <w:color w:val="000000" w:themeColor="text1"/>
              </w:rPr>
              <w:t>kolejových dopravních</w:t>
            </w:r>
            <w:r w:rsidRPr="00EE0E68">
              <w:rPr>
                <w:color w:val="000000" w:themeColor="text1"/>
                <w:spacing w:val="0"/>
              </w:rPr>
              <w:t xml:space="preserve"> prostředků</w:t>
            </w:r>
            <w:r>
              <w:rPr>
                <w:color w:val="000000" w:themeColor="text1"/>
                <w:spacing w:val="0"/>
              </w:rPr>
              <w:t xml:space="preserve">. </w:t>
            </w:r>
          </w:p>
          <w:p w14:paraId="1A415AF8" w14:textId="77777777" w:rsidR="00290725" w:rsidRDefault="00290725" w:rsidP="00A96D94">
            <w:pPr>
              <w:pStyle w:val="Marginlie"/>
              <w:spacing w:after="240"/>
              <w:rPr>
                <w:color w:val="000000" w:themeColor="text1"/>
                <w:spacing w:val="0"/>
              </w:rPr>
            </w:pPr>
          </w:p>
          <w:p w14:paraId="584BA0F4" w14:textId="77777777" w:rsidR="00290725" w:rsidRPr="00EE0E68" w:rsidRDefault="00290725" w:rsidP="00A96D94">
            <w:pPr>
              <w:pStyle w:val="Marginlie"/>
              <w:spacing w:after="240"/>
              <w:rPr>
                <w:color w:val="000000" w:themeColor="text1"/>
                <w:spacing w:val="0"/>
              </w:rPr>
            </w:pPr>
            <w:r>
              <w:rPr>
                <w:color w:val="000000" w:themeColor="text1"/>
                <w:spacing w:val="0"/>
              </w:rPr>
              <w:t>V automobilovém průmyslu produkce i přes rozvoj elektromobility spíše stagnovala.</w:t>
            </w:r>
          </w:p>
        </w:tc>
        <w:tc>
          <w:tcPr>
            <w:tcW w:w="147" w:type="dxa"/>
            <w:tcMar>
              <w:left w:w="0" w:type="dxa"/>
            </w:tcMar>
          </w:tcPr>
          <w:p w14:paraId="686A87B5" w14:textId="77777777" w:rsidR="00290725" w:rsidRPr="00EE0E68" w:rsidRDefault="00290725" w:rsidP="00A96D94">
            <w:pPr>
              <w:pStyle w:val="Textpoznpodarou"/>
              <w:spacing w:after="240"/>
              <w:jc w:val="both"/>
              <w:rPr>
                <w:color w:val="000000" w:themeColor="text1"/>
              </w:rPr>
            </w:pPr>
          </w:p>
        </w:tc>
        <w:tc>
          <w:tcPr>
            <w:tcW w:w="7711" w:type="dxa"/>
            <w:tcMar>
              <w:left w:w="0" w:type="dxa"/>
            </w:tcMar>
          </w:tcPr>
          <w:p w14:paraId="59E50724" w14:textId="77777777" w:rsidR="00290725" w:rsidRPr="00E357B4" w:rsidRDefault="00290725" w:rsidP="00A96D94">
            <w:pPr>
              <w:spacing w:after="200"/>
              <w:rPr>
                <w:color w:val="000000" w:themeColor="text1"/>
              </w:rPr>
            </w:pPr>
            <w:r w:rsidRPr="00E357B4">
              <w:rPr>
                <w:color w:val="0D0D0D" w:themeColor="text1" w:themeTint="F2"/>
              </w:rPr>
              <w:t xml:space="preserve">Ze všech průmyslových oborů se loni zvyšovala produkce nejvíce ve výrobě ostatních dopravních prostředků (+8,4 %). Pomohl tomu silný závěr roku, kdy se vedle delší dobu pozitivně působící zahraniční poptávky projevily také pozitivní stimuly z tuzemského trhu. Rozvoj dalších </w:t>
            </w:r>
            <w:r w:rsidRPr="00E357B4">
              <w:rPr>
                <w:bCs/>
                <w:color w:val="0D0D0D" w:themeColor="text1" w:themeTint="F2"/>
              </w:rPr>
              <w:t xml:space="preserve">investičně zaměřených oborů nebyl loni tak intenzivní. </w:t>
            </w:r>
            <w:r w:rsidRPr="00E357B4">
              <w:rPr>
                <w:color w:val="000000" w:themeColor="text1"/>
              </w:rPr>
              <w:t>Ve výrobě dopravních prostředků loni produkce spíše stagnovala (+0,5 %) a navázala tak na slabší výsledek z roku 2024 (−1,5 %). Zatímco za mírným útlumem v roce 2024 st</w:t>
            </w:r>
            <w:r>
              <w:rPr>
                <w:color w:val="000000" w:themeColor="text1"/>
              </w:rPr>
              <w:t>á</w:t>
            </w:r>
            <w:r w:rsidRPr="00E357B4">
              <w:rPr>
                <w:color w:val="000000" w:themeColor="text1"/>
              </w:rPr>
              <w:t xml:space="preserve">la hlavně </w:t>
            </w:r>
            <w:r w:rsidRPr="00E357B4">
              <w:rPr>
                <w:color w:val="0D0D0D" w:themeColor="text1" w:themeTint="F2"/>
              </w:rPr>
              <w:t>zhoršená situace přímých tuzemských subdodavatelů autodílů (působících v rámci odvětví automobilového průmyslu), loni se projevily i nepatrně horší výsledky finálních výrobců vozidel</w:t>
            </w:r>
            <w:r w:rsidRPr="00E357B4">
              <w:rPr>
                <w:rStyle w:val="Znakapoznpodarou"/>
                <w:color w:val="0D0D0D" w:themeColor="text1" w:themeTint="F2"/>
              </w:rPr>
              <w:footnoteReference w:id="11"/>
            </w:r>
            <w:r w:rsidRPr="00E357B4">
              <w:rPr>
                <w:color w:val="0D0D0D" w:themeColor="text1" w:themeTint="F2"/>
              </w:rPr>
              <w:t xml:space="preserve">. </w:t>
            </w:r>
            <w:r w:rsidRPr="00E357B4">
              <w:rPr>
                <w:bCs/>
                <w:color w:val="0D0D0D" w:themeColor="text1" w:themeTint="F2"/>
              </w:rPr>
              <w:t xml:space="preserve">V </w:t>
            </w:r>
            <w:r w:rsidRPr="00E357B4">
              <w:rPr>
                <w:color w:val="0D0D0D" w:themeColor="text1" w:themeTint="F2"/>
              </w:rPr>
              <w:t>dlo</w:t>
            </w:r>
            <w:r w:rsidRPr="00E357B4">
              <w:rPr>
                <w:color w:val="000000" w:themeColor="text1"/>
              </w:rPr>
              <w:t>uhodobě rostoucím oboru opravy a instalace strojů a zařízení zaměřeném tradičně spíše na domácí trh (např. opravy jaderných zařízení) produkce vzrostla o 2,5 %. Spíše tuzemská poptávka pak podpořila strojírenství, kde se produkce po hlubokém útlumu v roce 2024 loni mírně zotavila (+1,9 %). Výše uvedené „investiční obory“ přispěly loni k růstu průmyslu 0,47 p. b.</w:t>
            </w:r>
          </w:p>
        </w:tc>
      </w:tr>
      <w:tr w:rsidR="00290725" w:rsidRPr="00884AAD" w14:paraId="1AA5B88C" w14:textId="77777777" w:rsidTr="00A96D94">
        <w:trPr>
          <w:trHeight w:val="145"/>
        </w:trPr>
        <w:tc>
          <w:tcPr>
            <w:tcW w:w="1788" w:type="dxa"/>
            <w:tcMar>
              <w:left w:w="0" w:type="dxa"/>
            </w:tcMar>
          </w:tcPr>
          <w:p w14:paraId="09CB7081" w14:textId="77777777" w:rsidR="00290725" w:rsidRDefault="00290725" w:rsidP="00A96D94">
            <w:pPr>
              <w:pStyle w:val="Marginlie"/>
              <w:spacing w:after="240"/>
              <w:rPr>
                <w:color w:val="000000" w:themeColor="text1"/>
                <w:spacing w:val="0"/>
              </w:rPr>
            </w:pPr>
            <w:r w:rsidRPr="00EE0E68">
              <w:rPr>
                <w:color w:val="000000" w:themeColor="text1"/>
                <w:spacing w:val="0"/>
              </w:rPr>
              <w:t xml:space="preserve">Zvyšující se kupní síla domácností dále podporovala rozvoj potravinářství. Růst produkce však oproti roku </w:t>
            </w:r>
            <w:r>
              <w:rPr>
                <w:color w:val="000000" w:themeColor="text1"/>
                <w:spacing w:val="0"/>
              </w:rPr>
              <w:t>2024 lehce zvolnil.</w:t>
            </w:r>
          </w:p>
        </w:tc>
        <w:tc>
          <w:tcPr>
            <w:tcW w:w="147" w:type="dxa"/>
            <w:tcMar>
              <w:left w:w="0" w:type="dxa"/>
            </w:tcMar>
          </w:tcPr>
          <w:p w14:paraId="5CA7B976" w14:textId="77777777" w:rsidR="00290725" w:rsidRPr="00EE0E68" w:rsidRDefault="00290725" w:rsidP="00A96D94">
            <w:pPr>
              <w:pStyle w:val="Textpoznpodarou"/>
              <w:spacing w:after="240"/>
              <w:jc w:val="both"/>
              <w:rPr>
                <w:color w:val="000000" w:themeColor="text1"/>
              </w:rPr>
            </w:pPr>
          </w:p>
        </w:tc>
        <w:tc>
          <w:tcPr>
            <w:tcW w:w="7711" w:type="dxa"/>
            <w:tcMar>
              <w:left w:w="0" w:type="dxa"/>
            </w:tcMar>
          </w:tcPr>
          <w:p w14:paraId="2982D157" w14:textId="77777777" w:rsidR="00290725" w:rsidRPr="00E357B4" w:rsidRDefault="00290725" w:rsidP="00A96D94">
            <w:pPr>
              <w:spacing w:after="200"/>
              <w:rPr>
                <w:color w:val="000000" w:themeColor="text1"/>
              </w:rPr>
            </w:pPr>
            <w:r w:rsidRPr="00E357B4">
              <w:rPr>
                <w:color w:val="000000" w:themeColor="text1"/>
              </w:rPr>
              <w:t>Z </w:t>
            </w:r>
            <w:r w:rsidRPr="00E357B4">
              <w:rPr>
                <w:color w:val="0D0D0D" w:themeColor="text1" w:themeTint="F2"/>
              </w:rPr>
              <w:t>oborů vyrábějících spotřební zboží díky rostoucí kupní síle domácností i jejich důvěře v ekonomiku profitovalo loni zejména potravinářství. Ovšem</w:t>
            </w:r>
            <w:r w:rsidRPr="00E357B4">
              <w:rPr>
                <w:color w:val="000000" w:themeColor="text1"/>
              </w:rPr>
              <w:t xml:space="preserve"> růst produkce v tomto oboru ve srovnání s rokem 2024 zvolnil (na 3,4 %). To platí i pro ostatní zpracovatelský průmysl (+2,3 %) zahrnující např. výrobu sportovních potřeb, her, hraček či bižuterie. Výše uvedené obory vyrábějící převážně spotřební zboží loni souhrnně podpořily růst celého průmyslu jen 0,23 p. b.</w:t>
            </w:r>
          </w:p>
        </w:tc>
      </w:tr>
      <w:tr w:rsidR="00290725" w:rsidRPr="00884AAD" w14:paraId="36005E78" w14:textId="77777777" w:rsidTr="00A96D94">
        <w:trPr>
          <w:trHeight w:val="145"/>
        </w:trPr>
        <w:tc>
          <w:tcPr>
            <w:tcW w:w="1788" w:type="dxa"/>
            <w:tcMar>
              <w:left w:w="0" w:type="dxa"/>
            </w:tcMar>
          </w:tcPr>
          <w:p w14:paraId="62A58057" w14:textId="77777777" w:rsidR="00290725" w:rsidRPr="00812245" w:rsidRDefault="00290725" w:rsidP="00A96D94">
            <w:pPr>
              <w:pStyle w:val="Marginlie"/>
              <w:rPr>
                <w:color w:val="000000" w:themeColor="text1"/>
              </w:rPr>
            </w:pPr>
            <w:r w:rsidRPr="00812245">
              <w:rPr>
                <w:color w:val="000000" w:themeColor="text1"/>
              </w:rPr>
              <w:t xml:space="preserve">Růst </w:t>
            </w:r>
            <w:r>
              <w:rPr>
                <w:color w:val="000000" w:themeColor="text1"/>
              </w:rPr>
              <w:t xml:space="preserve">zpracovatelského </w:t>
            </w:r>
            <w:r w:rsidRPr="00812245">
              <w:rPr>
                <w:color w:val="000000" w:themeColor="text1"/>
              </w:rPr>
              <w:t xml:space="preserve">průmyslu byl nejvíce tlumen výrobou počítačů, </w:t>
            </w:r>
            <w:r w:rsidRPr="00812245">
              <w:rPr>
                <w:color w:val="000000" w:themeColor="text1"/>
              </w:rPr>
              <w:lastRenderedPageBreak/>
              <w:t xml:space="preserve">elektronických </w:t>
            </w:r>
            <w:r>
              <w:rPr>
                <w:color w:val="000000" w:themeColor="text1"/>
              </w:rPr>
              <w:br/>
            </w:r>
            <w:r w:rsidRPr="00812245">
              <w:rPr>
                <w:color w:val="000000" w:themeColor="text1"/>
              </w:rPr>
              <w:t xml:space="preserve">a optických přístrojů. </w:t>
            </w:r>
          </w:p>
          <w:p w14:paraId="02396D44" w14:textId="77777777" w:rsidR="00290725" w:rsidRPr="00EE0E68" w:rsidRDefault="00290725" w:rsidP="00A96D94">
            <w:pPr>
              <w:pStyle w:val="Marginlie"/>
              <w:spacing w:after="240"/>
              <w:rPr>
                <w:color w:val="000000" w:themeColor="text1"/>
                <w:spacing w:val="0"/>
              </w:rPr>
            </w:pPr>
          </w:p>
        </w:tc>
        <w:tc>
          <w:tcPr>
            <w:tcW w:w="147" w:type="dxa"/>
            <w:tcMar>
              <w:left w:w="0" w:type="dxa"/>
            </w:tcMar>
          </w:tcPr>
          <w:p w14:paraId="70216D24" w14:textId="77777777" w:rsidR="00290725" w:rsidRPr="00EE0E68" w:rsidRDefault="00290725" w:rsidP="00A96D94">
            <w:pPr>
              <w:pStyle w:val="Textpoznpodarou"/>
              <w:spacing w:after="240"/>
              <w:jc w:val="both"/>
              <w:rPr>
                <w:color w:val="000000" w:themeColor="text1"/>
              </w:rPr>
            </w:pPr>
          </w:p>
        </w:tc>
        <w:tc>
          <w:tcPr>
            <w:tcW w:w="7711" w:type="dxa"/>
            <w:tcMar>
              <w:left w:w="0" w:type="dxa"/>
            </w:tcMar>
          </w:tcPr>
          <w:p w14:paraId="4D64FB0F" w14:textId="77777777" w:rsidR="00290725" w:rsidRPr="00E357B4" w:rsidRDefault="00290725" w:rsidP="00A96D94">
            <w:pPr>
              <w:spacing w:after="200"/>
              <w:rPr>
                <w:color w:val="000000" w:themeColor="text1"/>
              </w:rPr>
            </w:pPr>
            <w:r w:rsidRPr="00E357B4">
              <w:rPr>
                <w:color w:val="0D0D0D" w:themeColor="text1" w:themeTint="F2"/>
              </w:rPr>
              <w:t>Mezi investičně zaměřenými obory loni klesal výkon jen ve výrobě počítačů, elektronických a optických přístrojů, vyznačující se vysokou dovozní náročností a</w:t>
            </w:r>
            <w:r>
              <w:rPr>
                <w:color w:val="0D0D0D" w:themeColor="text1" w:themeTint="F2"/>
              </w:rPr>
              <w:t> </w:t>
            </w:r>
            <w:r w:rsidRPr="00E357B4">
              <w:rPr>
                <w:color w:val="0D0D0D" w:themeColor="text1" w:themeTint="F2"/>
              </w:rPr>
              <w:t xml:space="preserve">současně i výrazně proexportním zaměřením. Produkce v tomto oboru, jež se </w:t>
            </w:r>
            <w:r w:rsidRPr="00E357B4">
              <w:rPr>
                <w:color w:val="0D0D0D" w:themeColor="text1" w:themeTint="F2"/>
              </w:rPr>
              <w:lastRenderedPageBreak/>
              <w:t>v předchozích čtyřech letech slibně rozvíjel</w:t>
            </w:r>
            <w:r>
              <w:rPr>
                <w:color w:val="0D0D0D" w:themeColor="text1" w:themeTint="F2"/>
              </w:rPr>
              <w:t>a</w:t>
            </w:r>
            <w:r w:rsidRPr="00E357B4">
              <w:rPr>
                <w:color w:val="0D0D0D" w:themeColor="text1" w:themeTint="F2"/>
              </w:rPr>
              <w:t xml:space="preserve">, </w:t>
            </w:r>
            <w:r w:rsidRPr="00E357B4">
              <w:rPr>
                <w:color w:val="000000" w:themeColor="text1"/>
              </w:rPr>
              <w:t xml:space="preserve">loni klesla o rovná 2 % (a proti růstu průmyslu působila silou 0,07 p. b, nejvíce ze všech zpracovatelských oborů). Vedle slabší zahraniční poptávky zde negativně působila i tuzemská, jež byla ještě předloni významněji podporována </w:t>
            </w:r>
            <w:r w:rsidRPr="00E357B4">
              <w:rPr>
                <w:color w:val="0D0D0D" w:themeColor="text1" w:themeTint="F2"/>
              </w:rPr>
              <w:t xml:space="preserve">pokračujícím rozvojem fotovoltaiky. </w:t>
            </w:r>
          </w:p>
        </w:tc>
      </w:tr>
      <w:tr w:rsidR="00290725" w:rsidRPr="00884AAD" w14:paraId="1BDE1E56" w14:textId="77777777" w:rsidTr="00A96D94">
        <w:trPr>
          <w:trHeight w:val="145"/>
        </w:trPr>
        <w:tc>
          <w:tcPr>
            <w:tcW w:w="1788" w:type="dxa"/>
            <w:tcMar>
              <w:left w:w="0" w:type="dxa"/>
            </w:tcMar>
          </w:tcPr>
          <w:p w14:paraId="4734EA46" w14:textId="77777777" w:rsidR="00290725" w:rsidRPr="00812245" w:rsidRDefault="00290725" w:rsidP="00A96D94">
            <w:pPr>
              <w:pStyle w:val="Marginlie"/>
              <w:rPr>
                <w:color w:val="000000" w:themeColor="text1"/>
              </w:rPr>
            </w:pPr>
            <w:r>
              <w:rPr>
                <w:color w:val="000000" w:themeColor="text1"/>
                <w:spacing w:val="0"/>
              </w:rPr>
              <w:lastRenderedPageBreak/>
              <w:t>Energeticky náročné obory těžebního průmyslu se nadále potýkaly se zvýšenými výrobními náklady.</w:t>
            </w:r>
          </w:p>
        </w:tc>
        <w:tc>
          <w:tcPr>
            <w:tcW w:w="147" w:type="dxa"/>
            <w:tcMar>
              <w:left w:w="0" w:type="dxa"/>
            </w:tcMar>
          </w:tcPr>
          <w:p w14:paraId="540C609C" w14:textId="77777777" w:rsidR="00290725" w:rsidRPr="00EE0E68" w:rsidRDefault="00290725" w:rsidP="00A96D94">
            <w:pPr>
              <w:pStyle w:val="Textpoznpodarou"/>
              <w:spacing w:after="240"/>
              <w:jc w:val="both"/>
              <w:rPr>
                <w:color w:val="000000" w:themeColor="text1"/>
              </w:rPr>
            </w:pPr>
          </w:p>
        </w:tc>
        <w:tc>
          <w:tcPr>
            <w:tcW w:w="7711" w:type="dxa"/>
            <w:tcMar>
              <w:left w:w="0" w:type="dxa"/>
            </w:tcMar>
          </w:tcPr>
          <w:p w14:paraId="79E33110" w14:textId="77777777" w:rsidR="00290725" w:rsidRPr="00E357B4" w:rsidRDefault="00290725" w:rsidP="00A96D94">
            <w:pPr>
              <w:spacing w:after="200"/>
              <w:rPr>
                <w:color w:val="0D0D0D" w:themeColor="text1" w:themeTint="F2"/>
              </w:rPr>
            </w:pPr>
            <w:r w:rsidRPr="00E357B4">
              <w:rPr>
                <w:color w:val="000000" w:themeColor="text1"/>
              </w:rPr>
              <w:t xml:space="preserve">S </w:t>
            </w:r>
            <w:r w:rsidRPr="00E357B4">
              <w:rPr>
                <w:color w:val="0D0D0D" w:themeColor="text1" w:themeTint="F2"/>
              </w:rPr>
              <w:t>hlubšími problémy se stále potýkaly některé vesměs energeticky náročné obory vyrábějící meziprodukty. V těžbě a dobývání se sice loni produkce meziročně snížila méně výrazněji než v předchozích dvou letech, i tak šlo o vcelku významný pohyb (</w:t>
            </w:r>
            <w:r>
              <w:rPr>
                <w:color w:val="0D0D0D" w:themeColor="text1" w:themeTint="F2"/>
              </w:rPr>
              <w:t>−</w:t>
            </w:r>
            <w:r w:rsidRPr="00E357B4">
              <w:rPr>
                <w:color w:val="0D0D0D" w:themeColor="text1" w:themeTint="F2"/>
              </w:rPr>
              <w:t>4,1</w:t>
            </w:r>
            <w:r>
              <w:rPr>
                <w:color w:val="0D0D0D" w:themeColor="text1" w:themeTint="F2"/>
              </w:rPr>
              <w:t> </w:t>
            </w:r>
            <w:r w:rsidRPr="00E357B4">
              <w:rPr>
                <w:color w:val="0D0D0D" w:themeColor="text1" w:themeTint="F2"/>
              </w:rPr>
              <w:t xml:space="preserve">%). Pokračoval řízený útlum těžby uhlí (na přelomu roku 2025 a 2026 se v Česku zcela zastavila těžba černého uhlí). Naopak poněkud překvapivě se loni citelně (zhruba o desetinu) snížila také </w:t>
            </w:r>
            <w:r w:rsidRPr="00E357B4">
              <w:rPr>
                <w:color w:val="000000" w:themeColor="text1"/>
              </w:rPr>
              <w:t xml:space="preserve">těžba stavebních materiálů. Rostoucí tuzemská poptávka zde stále více naráží na současné limity dané počtem povolených obývacích prostor, častěji tak patrně dochází k dovozu materiálů, např. z Polska). Výkon </w:t>
            </w:r>
            <w:r w:rsidRPr="00E357B4">
              <w:rPr>
                <w:color w:val="0D0D0D" w:themeColor="text1" w:themeTint="F2"/>
              </w:rPr>
              <w:t>v textilním průmyslu, jehož klíčovou část tvoří výroba umělých textilií k užití v průmyslu nebo stavebnictví, za loňský rok klesl o 3,0 % (snížil se potřetí v řadě). Výše</w:t>
            </w:r>
            <w:r>
              <w:rPr>
                <w:color w:val="0D0D0D" w:themeColor="text1" w:themeTint="F2"/>
              </w:rPr>
              <w:t xml:space="preserve"> uvedené</w:t>
            </w:r>
            <w:r w:rsidRPr="00E357B4">
              <w:rPr>
                <w:color w:val="0D0D0D" w:themeColor="text1" w:themeTint="F2"/>
              </w:rPr>
              <w:t xml:space="preserve"> obory </w:t>
            </w:r>
            <w:r>
              <w:rPr>
                <w:color w:val="0D0D0D" w:themeColor="text1" w:themeTint="F2"/>
              </w:rPr>
              <w:t xml:space="preserve">loni </w:t>
            </w:r>
            <w:r w:rsidRPr="00E357B4">
              <w:rPr>
                <w:color w:val="0D0D0D" w:themeColor="text1" w:themeTint="F2"/>
              </w:rPr>
              <w:t>celkově působily proti růstu celého průmyslu silou 0,10 p. b</w:t>
            </w:r>
            <w:r>
              <w:rPr>
                <w:color w:val="0D0D0D" w:themeColor="text1" w:themeTint="F2"/>
              </w:rPr>
              <w:t>.</w:t>
            </w:r>
          </w:p>
        </w:tc>
      </w:tr>
      <w:tr w:rsidR="00290725" w:rsidRPr="00884AAD" w14:paraId="67A6AF53" w14:textId="77777777" w:rsidTr="00A96D94">
        <w:trPr>
          <w:trHeight w:val="145"/>
        </w:trPr>
        <w:tc>
          <w:tcPr>
            <w:tcW w:w="1788" w:type="dxa"/>
            <w:tcMar>
              <w:left w:w="0" w:type="dxa"/>
            </w:tcMar>
          </w:tcPr>
          <w:p w14:paraId="333E95E5" w14:textId="77777777" w:rsidR="00290725" w:rsidRPr="00EE0E68" w:rsidRDefault="00290725" w:rsidP="00A96D94">
            <w:pPr>
              <w:pStyle w:val="Marginlie"/>
              <w:spacing w:after="240"/>
              <w:rPr>
                <w:color w:val="0D0D0D" w:themeColor="text1" w:themeTint="F2"/>
                <w:spacing w:val="0"/>
              </w:rPr>
            </w:pPr>
          </w:p>
        </w:tc>
        <w:tc>
          <w:tcPr>
            <w:tcW w:w="147" w:type="dxa"/>
            <w:tcMar>
              <w:left w:w="0" w:type="dxa"/>
            </w:tcMar>
          </w:tcPr>
          <w:p w14:paraId="03094511" w14:textId="77777777" w:rsidR="00290725" w:rsidRPr="00EE0E68" w:rsidRDefault="00290725" w:rsidP="00A96D94">
            <w:pPr>
              <w:pStyle w:val="Textpoznpodarou"/>
              <w:spacing w:after="240"/>
              <w:jc w:val="both"/>
            </w:pPr>
          </w:p>
        </w:tc>
        <w:tc>
          <w:tcPr>
            <w:tcW w:w="7711" w:type="dxa"/>
            <w:tcMar>
              <w:left w:w="0" w:type="dxa"/>
            </w:tcMar>
          </w:tcPr>
          <w:p w14:paraId="15AB4C9C" w14:textId="77777777" w:rsidR="00290725" w:rsidRPr="00E357B4" w:rsidRDefault="00290725" w:rsidP="00A96D94">
            <w:pPr>
              <w:spacing w:after="40"/>
              <w:rPr>
                <w:color w:val="0D0D0D" w:themeColor="text1" w:themeTint="F2"/>
              </w:rPr>
            </w:pPr>
            <w:r w:rsidRPr="00E357B4">
              <w:rPr>
                <w:b/>
                <w:color w:val="0D0D0D" w:themeColor="text1" w:themeTint="F2"/>
              </w:rPr>
              <w:t>Graf č. 4 Příspěvky dílčích odvětví k meziroční změně průmyslové produkce v ČR</w:t>
            </w:r>
            <w:r w:rsidRPr="00E357B4">
              <w:rPr>
                <w:color w:val="0D0D0D" w:themeColor="text1" w:themeTint="F2"/>
              </w:rPr>
              <w:t xml:space="preserve"> (očištěno o kalendářní vlivy, reálně, v p. b.) </w:t>
            </w:r>
            <w:r w:rsidRPr="00E357B4">
              <w:rPr>
                <w:b/>
                <w:color w:val="0D0D0D" w:themeColor="text1" w:themeTint="F2"/>
              </w:rPr>
              <w:t>a produkce v celém průmyslu v ČR, Německu a EU27</w:t>
            </w:r>
            <w:r w:rsidRPr="00E357B4">
              <w:rPr>
                <w:i/>
                <w:color w:val="0D0D0D" w:themeColor="text1" w:themeTint="F2"/>
              </w:rPr>
              <w:t xml:space="preserve"> </w:t>
            </w:r>
            <w:r w:rsidRPr="00E357B4">
              <w:rPr>
                <w:color w:val="0D0D0D" w:themeColor="text1" w:themeTint="F2"/>
              </w:rPr>
              <w:t>(sezónně očištěno, úroveň roku 2021=100, pravá osa)</w:t>
            </w:r>
          </w:p>
        </w:tc>
      </w:tr>
      <w:tr w:rsidR="00290725" w:rsidRPr="0067514E" w14:paraId="23A46061" w14:textId="77777777" w:rsidTr="00A96D94">
        <w:tblPrEx>
          <w:tblCellMar>
            <w:left w:w="70" w:type="dxa"/>
            <w:right w:w="70" w:type="dxa"/>
          </w:tblCellMar>
        </w:tblPrEx>
        <w:trPr>
          <w:trHeight w:val="145"/>
        </w:trPr>
        <w:tc>
          <w:tcPr>
            <w:tcW w:w="1788" w:type="dxa"/>
          </w:tcPr>
          <w:p w14:paraId="00A0EBE8" w14:textId="77777777" w:rsidR="00290725" w:rsidRPr="00EE0E68" w:rsidRDefault="00290725" w:rsidP="00A96D94">
            <w:pPr>
              <w:pStyle w:val="Marginlie"/>
              <w:spacing w:after="240"/>
              <w:rPr>
                <w:color w:val="0D0D0D" w:themeColor="text1" w:themeTint="F2"/>
                <w:spacing w:val="0"/>
              </w:rPr>
            </w:pPr>
          </w:p>
        </w:tc>
        <w:tc>
          <w:tcPr>
            <w:tcW w:w="147" w:type="dxa"/>
          </w:tcPr>
          <w:p w14:paraId="3886D436" w14:textId="77777777" w:rsidR="00290725" w:rsidRPr="00EE0E68" w:rsidRDefault="00290725" w:rsidP="00A96D94">
            <w:pPr>
              <w:pStyle w:val="Textpoznpodarou"/>
              <w:spacing w:after="240"/>
              <w:jc w:val="both"/>
            </w:pPr>
          </w:p>
        </w:tc>
        <w:tc>
          <w:tcPr>
            <w:tcW w:w="7711" w:type="dxa"/>
          </w:tcPr>
          <w:p w14:paraId="2787E68C" w14:textId="77777777" w:rsidR="00290725" w:rsidRPr="00E357B4" w:rsidRDefault="00290725" w:rsidP="00A96D94">
            <w:pPr>
              <w:spacing w:before="40" w:after="40"/>
              <w:rPr>
                <w:color w:val="0D0D0D" w:themeColor="text1" w:themeTint="F2"/>
              </w:rPr>
            </w:pPr>
            <w:r w:rsidRPr="00E357B4">
              <w:rPr>
                <w:noProof/>
              </w:rPr>
              <w:drawing>
                <wp:inline distT="0" distB="0" distL="0" distR="0" wp14:anchorId="768574A0" wp14:editId="78D804EC">
                  <wp:extent cx="4730750" cy="3206750"/>
                  <wp:effectExtent l="0" t="0" r="0" b="0"/>
                  <wp:docPr id="1900032645" name="Graf 1">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290725" w:rsidRPr="00E52D45" w14:paraId="35DE6246" w14:textId="77777777" w:rsidTr="00A96D94">
        <w:trPr>
          <w:trHeight w:val="145"/>
        </w:trPr>
        <w:tc>
          <w:tcPr>
            <w:tcW w:w="1788" w:type="dxa"/>
            <w:tcMar>
              <w:left w:w="0" w:type="dxa"/>
            </w:tcMar>
          </w:tcPr>
          <w:p w14:paraId="741222B5" w14:textId="77777777" w:rsidR="00290725" w:rsidRPr="00EE0E68" w:rsidRDefault="00290725" w:rsidP="00A96D94">
            <w:pPr>
              <w:pStyle w:val="Marginlie"/>
              <w:spacing w:after="240"/>
              <w:rPr>
                <w:color w:val="0D0D0D" w:themeColor="text1" w:themeTint="F2"/>
                <w:spacing w:val="0"/>
              </w:rPr>
            </w:pPr>
          </w:p>
        </w:tc>
        <w:tc>
          <w:tcPr>
            <w:tcW w:w="147" w:type="dxa"/>
            <w:tcMar>
              <w:left w:w="0" w:type="dxa"/>
            </w:tcMar>
          </w:tcPr>
          <w:p w14:paraId="76CA5FCE" w14:textId="77777777" w:rsidR="00290725" w:rsidRPr="00EE0E68" w:rsidRDefault="00290725" w:rsidP="00A96D94">
            <w:pPr>
              <w:pStyle w:val="Textpoznpodarou"/>
              <w:spacing w:after="240"/>
              <w:jc w:val="both"/>
            </w:pPr>
          </w:p>
        </w:tc>
        <w:tc>
          <w:tcPr>
            <w:tcW w:w="7711" w:type="dxa"/>
            <w:tcMar>
              <w:left w:w="0" w:type="dxa"/>
            </w:tcMar>
          </w:tcPr>
          <w:p w14:paraId="4CCA4AF6" w14:textId="77777777" w:rsidR="00290725" w:rsidRPr="00E357B4" w:rsidRDefault="00290725" w:rsidP="00A96D94">
            <w:pPr>
              <w:spacing w:after="0"/>
              <w:rPr>
                <w:color w:val="0D0D0D" w:themeColor="text1" w:themeTint="F2"/>
                <w:sz w:val="14"/>
                <w:szCs w:val="14"/>
              </w:rPr>
            </w:pPr>
            <w:r w:rsidRPr="00E357B4">
              <w:rPr>
                <w:color w:val="0D0D0D" w:themeColor="text1" w:themeTint="F2"/>
                <w:sz w:val="14"/>
                <w:szCs w:val="14"/>
              </w:rPr>
              <w:t>*Příspěvek zbývajícího zpracovatelského průmyslu zahrnuje i vliv celkové metodické diskrepance pramenící ze změny vah.</w:t>
            </w:r>
          </w:p>
          <w:p w14:paraId="07AA9337" w14:textId="77777777" w:rsidR="00290725" w:rsidRPr="00E357B4" w:rsidRDefault="00290725" w:rsidP="00A96D94">
            <w:pPr>
              <w:spacing w:after="200"/>
              <w:rPr>
                <w:color w:val="0D0D0D" w:themeColor="text1" w:themeTint="F2"/>
              </w:rPr>
            </w:pPr>
            <w:r w:rsidRPr="00E357B4">
              <w:rPr>
                <w:color w:val="0D0D0D" w:themeColor="text1" w:themeTint="F2"/>
                <w:sz w:val="14"/>
                <w:szCs w:val="14"/>
              </w:rPr>
              <w:t xml:space="preserve">Zdroj: ČSÚ, </w:t>
            </w:r>
            <w:proofErr w:type="spellStart"/>
            <w:r w:rsidRPr="00E357B4">
              <w:rPr>
                <w:color w:val="0D0D0D" w:themeColor="text1" w:themeTint="F2"/>
                <w:sz w:val="14"/>
                <w:szCs w:val="14"/>
              </w:rPr>
              <w:t>Eurostat</w:t>
            </w:r>
            <w:proofErr w:type="spellEnd"/>
          </w:p>
        </w:tc>
      </w:tr>
      <w:tr w:rsidR="00290725" w:rsidRPr="009658AC" w14:paraId="311679CC" w14:textId="77777777" w:rsidTr="00A96D94">
        <w:trPr>
          <w:trHeight w:val="145"/>
        </w:trPr>
        <w:tc>
          <w:tcPr>
            <w:tcW w:w="1788" w:type="dxa"/>
            <w:tcMar>
              <w:left w:w="0" w:type="dxa"/>
            </w:tcMar>
          </w:tcPr>
          <w:p w14:paraId="2F6CE13C" w14:textId="77777777" w:rsidR="00290725" w:rsidRDefault="00290725" w:rsidP="00A96D94">
            <w:pPr>
              <w:pStyle w:val="Marginlie"/>
              <w:spacing w:after="240"/>
              <w:rPr>
                <w:color w:val="000000" w:themeColor="text1"/>
                <w:spacing w:val="0"/>
              </w:rPr>
            </w:pPr>
            <w:r w:rsidRPr="00EE0E68">
              <w:rPr>
                <w:color w:val="000000" w:themeColor="text1"/>
                <w:spacing w:val="0"/>
              </w:rPr>
              <w:t>Největší útlum postihl drobné odvětví</w:t>
            </w:r>
            <w:r w:rsidRPr="00EE0E68">
              <w:rPr>
                <w:color w:val="000000" w:themeColor="text1"/>
                <w:spacing w:val="0"/>
              </w:rPr>
              <w:br/>
              <w:t xml:space="preserve">kožedělného průmyslu. </w:t>
            </w:r>
            <w:r>
              <w:rPr>
                <w:color w:val="000000" w:themeColor="text1"/>
                <w:spacing w:val="0"/>
              </w:rPr>
              <w:t xml:space="preserve">Po dlouhém období klesl i výkon ve farmacii. </w:t>
            </w:r>
          </w:p>
          <w:p w14:paraId="7F099169" w14:textId="77777777" w:rsidR="00290725" w:rsidRDefault="00290725" w:rsidP="00A96D94">
            <w:pPr>
              <w:pStyle w:val="Marginlie"/>
              <w:spacing w:after="240"/>
              <w:rPr>
                <w:color w:val="000000" w:themeColor="text1"/>
                <w:spacing w:val="0"/>
              </w:rPr>
            </w:pPr>
          </w:p>
          <w:p w14:paraId="2D1C6873" w14:textId="77777777" w:rsidR="00290725" w:rsidRPr="00EE0E68" w:rsidRDefault="00290725" w:rsidP="00A96D94">
            <w:pPr>
              <w:pStyle w:val="Marginlie"/>
              <w:spacing w:after="240"/>
              <w:rPr>
                <w:color w:val="000000" w:themeColor="text1"/>
                <w:spacing w:val="0"/>
              </w:rPr>
            </w:pPr>
            <w:r>
              <w:rPr>
                <w:color w:val="000000" w:themeColor="text1"/>
                <w:spacing w:val="0"/>
              </w:rPr>
              <w:t xml:space="preserve">V některých oborech loni kontrastoval vcelku příznivý vývoj domácí </w:t>
            </w:r>
            <w:r>
              <w:rPr>
                <w:color w:val="000000" w:themeColor="text1"/>
                <w:spacing w:val="0"/>
              </w:rPr>
              <w:lastRenderedPageBreak/>
              <w:t>poptávky se slabší exportní výkonností.</w:t>
            </w:r>
          </w:p>
        </w:tc>
        <w:tc>
          <w:tcPr>
            <w:tcW w:w="147" w:type="dxa"/>
            <w:tcMar>
              <w:left w:w="0" w:type="dxa"/>
            </w:tcMar>
          </w:tcPr>
          <w:p w14:paraId="35DFCEA2" w14:textId="77777777" w:rsidR="00290725" w:rsidRPr="00EE0E68" w:rsidRDefault="00290725" w:rsidP="00A96D94">
            <w:pPr>
              <w:pStyle w:val="Textpoznpodarou"/>
              <w:spacing w:after="240"/>
              <w:jc w:val="both"/>
              <w:rPr>
                <w:color w:val="000000" w:themeColor="text1"/>
              </w:rPr>
            </w:pPr>
          </w:p>
        </w:tc>
        <w:tc>
          <w:tcPr>
            <w:tcW w:w="7711" w:type="dxa"/>
            <w:tcMar>
              <w:left w:w="0" w:type="dxa"/>
            </w:tcMar>
          </w:tcPr>
          <w:p w14:paraId="6606E1EF" w14:textId="77777777" w:rsidR="00290725" w:rsidRPr="00E357B4" w:rsidRDefault="00290725" w:rsidP="00A96D94">
            <w:pPr>
              <w:spacing w:after="200"/>
              <w:rPr>
                <w:color w:val="0D0D0D" w:themeColor="text1" w:themeTint="F2"/>
              </w:rPr>
            </w:pPr>
            <w:r w:rsidRPr="00E357B4">
              <w:rPr>
                <w:color w:val="000000" w:themeColor="text1"/>
              </w:rPr>
              <w:t>Ve větši</w:t>
            </w:r>
            <w:r w:rsidRPr="00E357B4">
              <w:rPr>
                <w:color w:val="0D0D0D" w:themeColor="text1" w:themeTint="F2"/>
              </w:rPr>
              <w:t>ně malých oborů zaměřených na tvorbu produktů krátkodobé spotřeby loni růst již nepokračoval. Největší propad zasáhl kožedělný průmysl</w:t>
            </w:r>
            <w:r w:rsidRPr="00E357B4">
              <w:rPr>
                <w:rStyle w:val="Znakapoznpodarou"/>
                <w:color w:val="0D0D0D" w:themeColor="text1" w:themeTint="F2"/>
              </w:rPr>
              <w:footnoteReference w:id="12"/>
            </w:r>
            <w:r w:rsidRPr="00E357B4">
              <w:rPr>
                <w:color w:val="0D0D0D" w:themeColor="text1" w:themeTint="F2"/>
                <w:vertAlign w:val="superscript"/>
              </w:rPr>
              <w:t xml:space="preserve"> </w:t>
            </w:r>
            <w:r w:rsidRPr="00E357B4">
              <w:rPr>
                <w:color w:val="0D0D0D" w:themeColor="text1" w:themeTint="F2"/>
              </w:rPr>
              <w:t>(−9,2 %, srovnatelný s útlumem v roce 2020), výhradně kvůli výpadku zahraniční poptávky. Ta poznamenala i výkon oděvnictví, je</w:t>
            </w:r>
            <w:r>
              <w:rPr>
                <w:color w:val="0D0D0D" w:themeColor="text1" w:themeTint="F2"/>
              </w:rPr>
              <w:t>n</w:t>
            </w:r>
            <w:r w:rsidRPr="00E357B4">
              <w:rPr>
                <w:color w:val="0D0D0D" w:themeColor="text1" w:themeTint="F2"/>
              </w:rPr>
              <w:t>ž loni klesl o 5,9 % (nejvíce po roce 2009). Naopak za mírnějším poklesem ve výrobě nápojů (o 2,0 %) stála spíše tradičně dominantní tuzemská poptávka</w:t>
            </w:r>
            <w:r w:rsidRPr="00E357B4">
              <w:rPr>
                <w:rStyle w:val="Znakapoznpodarou"/>
                <w:color w:val="0D0D0D" w:themeColor="text1" w:themeTint="F2"/>
              </w:rPr>
              <w:footnoteReference w:id="13"/>
            </w:r>
            <w:r w:rsidRPr="00E357B4">
              <w:rPr>
                <w:color w:val="0D0D0D" w:themeColor="text1" w:themeTint="F2"/>
              </w:rPr>
              <w:t>. Ta ovlivnila také podobné snížení výkonu v tiskárenství. Oslabení dominantní zahraniční poptávky při současně svižném růstu tuzemského trhu (souvisejícím s vyšší poptávkou veřejného sektoru v oblasti bezpečnosti) vyústilo v mírný pokles výkonu farmaceutické</w:t>
            </w:r>
            <w:r>
              <w:rPr>
                <w:color w:val="0D0D0D" w:themeColor="text1" w:themeTint="F2"/>
              </w:rPr>
              <w:t>ho</w:t>
            </w:r>
            <w:r w:rsidRPr="00E357B4">
              <w:rPr>
                <w:color w:val="0D0D0D" w:themeColor="text1" w:themeTint="F2"/>
              </w:rPr>
              <w:t xml:space="preserve"> průmyslu (−0,8 %), první za posledních třináct </w:t>
            </w:r>
            <w:r w:rsidRPr="00E357B4">
              <w:rPr>
                <w:color w:val="0D0D0D" w:themeColor="text1" w:themeTint="F2"/>
              </w:rPr>
              <w:lastRenderedPageBreak/>
              <w:t>let. Naopak již třetí ro</w:t>
            </w:r>
            <w:r>
              <w:rPr>
                <w:color w:val="0D0D0D" w:themeColor="text1" w:themeTint="F2"/>
              </w:rPr>
              <w:t>k</w:t>
            </w:r>
            <w:r w:rsidRPr="00E357B4">
              <w:rPr>
                <w:color w:val="0D0D0D" w:themeColor="text1" w:themeTint="F2"/>
              </w:rPr>
              <w:t xml:space="preserve"> v řadě se snížila produkce v nábytkářském průmyslu, byť loni jen nepatrně (−0,1 %). V roce 2024 </w:t>
            </w:r>
            <w:r>
              <w:rPr>
                <w:color w:val="0D0D0D" w:themeColor="text1" w:themeTint="F2"/>
              </w:rPr>
              <w:t xml:space="preserve">i loni </w:t>
            </w:r>
            <w:r w:rsidRPr="00E357B4">
              <w:rPr>
                <w:color w:val="0D0D0D" w:themeColor="text1" w:themeTint="F2"/>
              </w:rPr>
              <w:t>za tím stála slabší domácí poptávka. Výše uvedený různorodý mix spotřebních oborů celkově loni působil proti růstu celého průmyslu silou 0,13 p. b.</w:t>
            </w:r>
          </w:p>
        </w:tc>
      </w:tr>
      <w:tr w:rsidR="00290725" w:rsidRPr="009658AC" w14:paraId="64B4510C" w14:textId="77777777" w:rsidTr="00A96D94">
        <w:trPr>
          <w:trHeight w:val="145"/>
        </w:trPr>
        <w:tc>
          <w:tcPr>
            <w:tcW w:w="1788" w:type="dxa"/>
            <w:tcMar>
              <w:left w:w="0" w:type="dxa"/>
            </w:tcMar>
          </w:tcPr>
          <w:p w14:paraId="464B5722" w14:textId="77777777" w:rsidR="00290725" w:rsidRDefault="00290725" w:rsidP="00A96D94">
            <w:pPr>
              <w:pStyle w:val="Marginlie"/>
              <w:rPr>
                <w:color w:val="0D0D0D" w:themeColor="text1" w:themeTint="F2"/>
                <w:spacing w:val="0"/>
              </w:rPr>
            </w:pPr>
            <w:r>
              <w:rPr>
                <w:color w:val="0D0D0D" w:themeColor="text1" w:themeTint="F2"/>
                <w:spacing w:val="0"/>
              </w:rPr>
              <w:lastRenderedPageBreak/>
              <w:t>Razantně zrychlil růst h</w:t>
            </w:r>
            <w:r w:rsidRPr="00EE0E68">
              <w:rPr>
                <w:color w:val="0D0D0D" w:themeColor="text1" w:themeTint="F2"/>
                <w:spacing w:val="0"/>
              </w:rPr>
              <w:t>odnot</w:t>
            </w:r>
            <w:r>
              <w:rPr>
                <w:color w:val="0D0D0D" w:themeColor="text1" w:themeTint="F2"/>
                <w:spacing w:val="0"/>
              </w:rPr>
              <w:t>y</w:t>
            </w:r>
            <w:r w:rsidRPr="00EE0E68">
              <w:rPr>
                <w:color w:val="0D0D0D" w:themeColor="text1" w:themeTint="F2"/>
                <w:spacing w:val="0"/>
              </w:rPr>
              <w:t xml:space="preserve"> nových zakázek </w:t>
            </w:r>
            <w:r>
              <w:rPr>
                <w:color w:val="0D0D0D" w:themeColor="text1" w:themeTint="F2"/>
                <w:spacing w:val="0"/>
              </w:rPr>
              <w:t xml:space="preserve">na konci roku 2025, a to díky zahraniční poptávce </w:t>
            </w:r>
            <w:r>
              <w:rPr>
                <w:color w:val="0D0D0D" w:themeColor="text1" w:themeTint="F2"/>
                <w:spacing w:val="0"/>
              </w:rPr>
              <w:br/>
              <w:t xml:space="preserve">v oblasti veřejné dopravy </w:t>
            </w:r>
            <w:r>
              <w:rPr>
                <w:color w:val="0D0D0D" w:themeColor="text1" w:themeTint="F2"/>
                <w:spacing w:val="0"/>
              </w:rPr>
              <w:br/>
              <w:t>i bezpečnosti.</w:t>
            </w:r>
          </w:p>
          <w:p w14:paraId="535A8CE4" w14:textId="77777777" w:rsidR="00290725" w:rsidRDefault="00290725" w:rsidP="00A96D94">
            <w:pPr>
              <w:pStyle w:val="Marginlie"/>
              <w:rPr>
                <w:color w:val="0D0D0D" w:themeColor="text1" w:themeTint="F2"/>
                <w:spacing w:val="0"/>
              </w:rPr>
            </w:pPr>
          </w:p>
          <w:p w14:paraId="53DBE2FD" w14:textId="77777777" w:rsidR="00290725" w:rsidRDefault="00290725" w:rsidP="00A96D94">
            <w:pPr>
              <w:pStyle w:val="Marginlie"/>
              <w:rPr>
                <w:color w:val="0D0D0D" w:themeColor="text1" w:themeTint="F2"/>
                <w:spacing w:val="0"/>
              </w:rPr>
            </w:pPr>
          </w:p>
          <w:p w14:paraId="359FEDC9" w14:textId="77777777" w:rsidR="00290725" w:rsidRDefault="00290725" w:rsidP="00A96D94">
            <w:pPr>
              <w:pStyle w:val="Marginlie"/>
              <w:rPr>
                <w:color w:val="0D0D0D" w:themeColor="text1" w:themeTint="F2"/>
                <w:spacing w:val="0"/>
              </w:rPr>
            </w:pPr>
          </w:p>
          <w:p w14:paraId="537204BF" w14:textId="77777777" w:rsidR="00290725" w:rsidRDefault="00290725" w:rsidP="00A96D94">
            <w:pPr>
              <w:pStyle w:val="Marginlie"/>
              <w:rPr>
                <w:color w:val="0D0D0D" w:themeColor="text1" w:themeTint="F2"/>
                <w:spacing w:val="0"/>
              </w:rPr>
            </w:pPr>
          </w:p>
          <w:p w14:paraId="582CED39" w14:textId="77777777" w:rsidR="00290725" w:rsidRDefault="00290725" w:rsidP="00A96D94">
            <w:pPr>
              <w:pStyle w:val="Marginlie"/>
              <w:rPr>
                <w:color w:val="0D0D0D" w:themeColor="text1" w:themeTint="F2"/>
                <w:spacing w:val="0"/>
              </w:rPr>
            </w:pPr>
          </w:p>
          <w:p w14:paraId="4E959BBE" w14:textId="77777777" w:rsidR="00290725" w:rsidRPr="008772DD" w:rsidRDefault="00290725" w:rsidP="00A96D94">
            <w:pPr>
              <w:pStyle w:val="Marginlie"/>
              <w:rPr>
                <w:color w:val="0D0D0D" w:themeColor="text1" w:themeTint="F2"/>
                <w:spacing w:val="0"/>
              </w:rPr>
            </w:pPr>
            <w:r>
              <w:rPr>
                <w:color w:val="0D0D0D" w:themeColor="text1" w:themeTint="F2"/>
                <w:spacing w:val="0"/>
              </w:rPr>
              <w:t>V řadě vesměs menších oborů se však poptávka nezvyšovala.</w:t>
            </w:r>
          </w:p>
        </w:tc>
        <w:tc>
          <w:tcPr>
            <w:tcW w:w="147" w:type="dxa"/>
            <w:tcMar>
              <w:left w:w="0" w:type="dxa"/>
            </w:tcMar>
          </w:tcPr>
          <w:p w14:paraId="5C84A169" w14:textId="77777777" w:rsidR="00290725" w:rsidRPr="00EE0E68" w:rsidRDefault="00290725" w:rsidP="00A96D94">
            <w:pPr>
              <w:pStyle w:val="Textpoznpodarou"/>
              <w:spacing w:after="240"/>
              <w:jc w:val="both"/>
              <w:rPr>
                <w:color w:val="000000" w:themeColor="text1"/>
              </w:rPr>
            </w:pPr>
          </w:p>
        </w:tc>
        <w:tc>
          <w:tcPr>
            <w:tcW w:w="7711" w:type="dxa"/>
            <w:tcMar>
              <w:left w:w="0" w:type="dxa"/>
            </w:tcMar>
          </w:tcPr>
          <w:p w14:paraId="67312DBB" w14:textId="77777777" w:rsidR="00290725" w:rsidRPr="00E357B4" w:rsidRDefault="00290725" w:rsidP="00A96D94">
            <w:pPr>
              <w:spacing w:after="200"/>
              <w:rPr>
                <w:color w:val="000000" w:themeColor="text1"/>
              </w:rPr>
            </w:pPr>
            <w:r w:rsidRPr="00E357B4">
              <w:rPr>
                <w:color w:val="000000" w:themeColor="text1"/>
              </w:rPr>
              <w:t xml:space="preserve">Vývoj </w:t>
            </w:r>
            <w:r w:rsidRPr="00E357B4">
              <w:rPr>
                <w:color w:val="0D0D0D" w:themeColor="text1" w:themeTint="F2"/>
              </w:rPr>
              <w:t>nominální hodnoty nových průmyslových zakázek</w:t>
            </w:r>
            <w:r w:rsidRPr="00E357B4">
              <w:rPr>
                <w:color w:val="0D0D0D" w:themeColor="text1" w:themeTint="F2"/>
                <w:vertAlign w:val="superscript"/>
              </w:rPr>
              <w:footnoteReference w:id="14"/>
            </w:r>
            <w:r w:rsidRPr="00E357B4">
              <w:rPr>
                <w:color w:val="0D0D0D" w:themeColor="text1" w:themeTint="F2"/>
              </w:rPr>
              <w:t xml:space="preserve"> byl loni z pohledu jednotlivých částí roku i dílčích oborů nerovnoměrný. Meziroční růst objemu zakázek </w:t>
            </w:r>
            <w:r w:rsidRPr="00E357B4">
              <w:rPr>
                <w:color w:val="000000" w:themeColor="text1"/>
              </w:rPr>
              <w:t>již během druhé poloviny předloňského roku zvolňoval a v 1. čtvrtletí 2025 se vinou slabší poptávky po klíčových exportních oborech zcela zastavil (−0,1 %). Následně však nastalo drobné oživení, které pokračovalo i během léta, a na samém konci roku přišel významnější růstový impuls. Ve 4. čtvrtletí objem zakázek posílil o desetinu (nejvíce za poslední tři roky). Přispěla k němu ovšem fakticky pouze zahraniční poptávka (především ve výrobě ostatních dopravních prostředků</w:t>
            </w:r>
            <w:r w:rsidRPr="00E357B4">
              <w:rPr>
                <w:rStyle w:val="Znakapoznpodarou"/>
                <w:color w:val="000000" w:themeColor="text1"/>
              </w:rPr>
              <w:footnoteReference w:id="15"/>
            </w:r>
            <w:r w:rsidRPr="00E357B4">
              <w:rPr>
                <w:color w:val="000000" w:themeColor="text1"/>
              </w:rPr>
              <w:t xml:space="preserve"> a v elektrotechnice i kovodělném průmyslu). Mírněji rostla zahraniční poptávka i v automobilovém průmyslu (+</w:t>
            </w:r>
            <w:r>
              <w:rPr>
                <w:color w:val="000000" w:themeColor="text1"/>
              </w:rPr>
              <w:t>5</w:t>
            </w:r>
            <w:r w:rsidRPr="00E357B4">
              <w:rPr>
                <w:color w:val="000000" w:themeColor="text1"/>
              </w:rPr>
              <w:t>,6 %, celoročně o 3,7 %). V úhrnu za celý loňský rok se hodnota veškerých zakázek v celém průmyslu zvýšila o</w:t>
            </w:r>
            <w:r>
              <w:rPr>
                <w:color w:val="000000" w:themeColor="text1"/>
              </w:rPr>
              <w:t> </w:t>
            </w:r>
            <w:r w:rsidRPr="00E357B4">
              <w:rPr>
                <w:color w:val="000000" w:themeColor="text1"/>
              </w:rPr>
              <w:t>3,9 %, z toho ve výrobě ostatních dopravních prostředků o 54</w:t>
            </w:r>
            <w:r>
              <w:rPr>
                <w:color w:val="000000" w:themeColor="text1"/>
              </w:rPr>
              <w:t>,1</w:t>
            </w:r>
            <w:r w:rsidRPr="00E357B4">
              <w:rPr>
                <w:color w:val="000000" w:themeColor="text1"/>
              </w:rPr>
              <w:t xml:space="preserve"> %</w:t>
            </w:r>
            <w:r w:rsidRPr="00E357B4">
              <w:rPr>
                <w:rStyle w:val="Znakapoznpodarou"/>
                <w:color w:val="000000" w:themeColor="text1"/>
              </w:rPr>
              <w:footnoteReference w:id="16"/>
            </w:r>
            <w:r w:rsidRPr="00E357B4">
              <w:rPr>
                <w:color w:val="000000" w:themeColor="text1"/>
              </w:rPr>
              <w:t>, v kovodělném průmyslu o 9,4 % a dále např. i ve strojírenství (+4,0 %). Naopak nejvíce klesly v elektronickém průmyslu (−</w:t>
            </w:r>
            <w:r>
              <w:rPr>
                <w:color w:val="000000" w:themeColor="text1"/>
              </w:rPr>
              <w:t>4</w:t>
            </w:r>
            <w:r w:rsidRPr="00E357B4">
              <w:rPr>
                <w:color w:val="000000" w:themeColor="text1"/>
              </w:rPr>
              <w:t>,6 %). Při zohlednění cen výrobců zakázky reálně mírněji klesly také v textilním, oděvním, papírenském a farmaceutickém průmyslu. V hutnictví a</w:t>
            </w:r>
            <w:r>
              <w:rPr>
                <w:color w:val="000000" w:themeColor="text1"/>
              </w:rPr>
              <w:t> </w:t>
            </w:r>
            <w:r w:rsidRPr="00E357B4">
              <w:rPr>
                <w:color w:val="000000" w:themeColor="text1"/>
              </w:rPr>
              <w:t xml:space="preserve">chemickém průmyslu touto optikou naopak velmi mírně rostly. </w:t>
            </w:r>
          </w:p>
        </w:tc>
      </w:tr>
      <w:tr w:rsidR="00290725" w:rsidRPr="00705C3E" w14:paraId="49A1C5C5" w14:textId="77777777" w:rsidTr="00A96D94">
        <w:trPr>
          <w:trHeight w:val="145"/>
        </w:trPr>
        <w:tc>
          <w:tcPr>
            <w:tcW w:w="1788" w:type="dxa"/>
            <w:tcMar>
              <w:left w:w="0" w:type="dxa"/>
            </w:tcMar>
          </w:tcPr>
          <w:p w14:paraId="74962BB2" w14:textId="77777777" w:rsidR="00290725" w:rsidRPr="00EE0E68" w:rsidRDefault="00290725" w:rsidP="00A96D94">
            <w:pPr>
              <w:pStyle w:val="Marginlie"/>
              <w:spacing w:after="240"/>
              <w:rPr>
                <w:color w:val="0D0D0D" w:themeColor="text1" w:themeTint="F2"/>
                <w:spacing w:val="0"/>
              </w:rPr>
            </w:pPr>
          </w:p>
        </w:tc>
        <w:tc>
          <w:tcPr>
            <w:tcW w:w="147" w:type="dxa"/>
            <w:tcMar>
              <w:left w:w="0" w:type="dxa"/>
            </w:tcMar>
          </w:tcPr>
          <w:p w14:paraId="401752E9" w14:textId="77777777" w:rsidR="00290725" w:rsidRPr="00EE0E68" w:rsidRDefault="00290725" w:rsidP="00A96D94">
            <w:pPr>
              <w:pStyle w:val="Textpoznpodarou"/>
              <w:spacing w:after="240"/>
              <w:jc w:val="both"/>
            </w:pPr>
          </w:p>
        </w:tc>
        <w:tc>
          <w:tcPr>
            <w:tcW w:w="7711" w:type="dxa"/>
            <w:tcMar>
              <w:left w:w="0" w:type="dxa"/>
            </w:tcMar>
          </w:tcPr>
          <w:p w14:paraId="59D4893D" w14:textId="77777777" w:rsidR="00290725" w:rsidRPr="00E357B4" w:rsidRDefault="00290725" w:rsidP="00A96D94">
            <w:pPr>
              <w:spacing w:after="40"/>
              <w:rPr>
                <w:color w:val="0D0D0D" w:themeColor="text1" w:themeTint="F2"/>
              </w:rPr>
            </w:pPr>
            <w:r w:rsidRPr="00E357B4">
              <w:rPr>
                <w:b/>
                <w:color w:val="0D0D0D" w:themeColor="text1" w:themeTint="F2"/>
              </w:rPr>
              <w:t>Graf č. 5 Nové zakázky v průmyslu</w:t>
            </w:r>
            <w:r w:rsidRPr="00E357B4">
              <w:rPr>
                <w:color w:val="0D0D0D" w:themeColor="text1" w:themeTint="F2"/>
              </w:rPr>
              <w:t xml:space="preserve"> (nominálně, meziročně, v %)</w:t>
            </w:r>
            <w:r w:rsidRPr="00E357B4">
              <w:rPr>
                <w:b/>
                <w:color w:val="0D0D0D" w:themeColor="text1" w:themeTint="F2"/>
              </w:rPr>
              <w:t>, využití výrobních kapacit v průmyslu, vybrané bariéry růstu*</w:t>
            </w:r>
            <w:r w:rsidRPr="00E357B4">
              <w:rPr>
                <w:color w:val="0D0D0D" w:themeColor="text1" w:themeTint="F2"/>
              </w:rPr>
              <w:t xml:space="preserve"> (v %, pravá osa) </w:t>
            </w:r>
            <w:r w:rsidRPr="00E357B4">
              <w:rPr>
                <w:b/>
                <w:color w:val="0D0D0D" w:themeColor="text1" w:themeTint="F2"/>
              </w:rPr>
              <w:t>a saldo důvěry podnikatelů v průmyslu*</w:t>
            </w:r>
            <w:r w:rsidRPr="00E357B4">
              <w:rPr>
                <w:color w:val="0D0D0D" w:themeColor="text1" w:themeTint="F2"/>
              </w:rPr>
              <w:t xml:space="preserve"> (v p. b., pravá osa)</w:t>
            </w:r>
          </w:p>
        </w:tc>
      </w:tr>
      <w:tr w:rsidR="00290725" w:rsidRPr="00705C3E" w14:paraId="2818A26D" w14:textId="77777777" w:rsidTr="00A96D94">
        <w:tblPrEx>
          <w:tblCellMar>
            <w:left w:w="70" w:type="dxa"/>
            <w:right w:w="70" w:type="dxa"/>
          </w:tblCellMar>
        </w:tblPrEx>
        <w:trPr>
          <w:trHeight w:val="145"/>
        </w:trPr>
        <w:tc>
          <w:tcPr>
            <w:tcW w:w="1788" w:type="dxa"/>
          </w:tcPr>
          <w:p w14:paraId="5E2D03E3" w14:textId="77777777" w:rsidR="00290725" w:rsidRPr="00EE0E68" w:rsidRDefault="00290725" w:rsidP="00A96D94">
            <w:pPr>
              <w:pStyle w:val="Marginlie"/>
              <w:spacing w:after="240"/>
              <w:rPr>
                <w:color w:val="0D0D0D" w:themeColor="text1" w:themeTint="F2"/>
                <w:spacing w:val="0"/>
              </w:rPr>
            </w:pPr>
          </w:p>
        </w:tc>
        <w:tc>
          <w:tcPr>
            <w:tcW w:w="147" w:type="dxa"/>
          </w:tcPr>
          <w:p w14:paraId="7FFAF5D3" w14:textId="77777777" w:rsidR="00290725" w:rsidRPr="00EE0E68" w:rsidRDefault="00290725" w:rsidP="00A96D94">
            <w:pPr>
              <w:pStyle w:val="Textpoznpodarou"/>
              <w:spacing w:after="240"/>
              <w:jc w:val="both"/>
            </w:pPr>
          </w:p>
        </w:tc>
        <w:tc>
          <w:tcPr>
            <w:tcW w:w="7711" w:type="dxa"/>
          </w:tcPr>
          <w:p w14:paraId="59B5A21A" w14:textId="77777777" w:rsidR="00290725" w:rsidRPr="00E357B4" w:rsidRDefault="00290725" w:rsidP="00A96D94">
            <w:pPr>
              <w:spacing w:before="40" w:after="40"/>
              <w:rPr>
                <w:color w:val="0D0D0D" w:themeColor="text1" w:themeTint="F2"/>
              </w:rPr>
            </w:pPr>
            <w:r w:rsidRPr="00E357B4">
              <w:rPr>
                <w:noProof/>
              </w:rPr>
              <w:drawing>
                <wp:inline distT="0" distB="0" distL="0" distR="0" wp14:anchorId="1241DA08" wp14:editId="035627F9">
                  <wp:extent cx="4692650" cy="3600450"/>
                  <wp:effectExtent l="0" t="0" r="0" b="0"/>
                  <wp:docPr id="1928630191" name="Graf 1">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290725" w:rsidRPr="00705C3E" w14:paraId="105C7551" w14:textId="77777777" w:rsidTr="00A96D94">
        <w:trPr>
          <w:trHeight w:val="145"/>
        </w:trPr>
        <w:tc>
          <w:tcPr>
            <w:tcW w:w="1788" w:type="dxa"/>
            <w:tcMar>
              <w:left w:w="0" w:type="dxa"/>
            </w:tcMar>
          </w:tcPr>
          <w:p w14:paraId="541C076A" w14:textId="77777777" w:rsidR="00290725" w:rsidRPr="00EE0E68" w:rsidRDefault="00290725" w:rsidP="00A96D94">
            <w:pPr>
              <w:pStyle w:val="Marginlie"/>
              <w:spacing w:after="240"/>
              <w:rPr>
                <w:color w:val="0D0D0D" w:themeColor="text1" w:themeTint="F2"/>
                <w:spacing w:val="0"/>
              </w:rPr>
            </w:pPr>
          </w:p>
        </w:tc>
        <w:tc>
          <w:tcPr>
            <w:tcW w:w="147" w:type="dxa"/>
            <w:tcMar>
              <w:left w:w="0" w:type="dxa"/>
            </w:tcMar>
          </w:tcPr>
          <w:p w14:paraId="525542DA" w14:textId="77777777" w:rsidR="00290725" w:rsidRPr="00EE0E68" w:rsidRDefault="00290725" w:rsidP="00A96D94">
            <w:pPr>
              <w:pStyle w:val="Textpoznpodarou"/>
              <w:spacing w:after="240"/>
              <w:jc w:val="both"/>
            </w:pPr>
          </w:p>
        </w:tc>
        <w:tc>
          <w:tcPr>
            <w:tcW w:w="7711" w:type="dxa"/>
            <w:tcMar>
              <w:left w:w="0" w:type="dxa"/>
            </w:tcMar>
          </w:tcPr>
          <w:p w14:paraId="2BF27AC4" w14:textId="77777777" w:rsidR="00290725" w:rsidRPr="00E357B4" w:rsidRDefault="00290725" w:rsidP="00A96D94">
            <w:pPr>
              <w:spacing w:after="220"/>
              <w:jc w:val="left"/>
              <w:rPr>
                <w:color w:val="0D0D0D" w:themeColor="text1" w:themeTint="F2"/>
                <w:sz w:val="14"/>
                <w:szCs w:val="14"/>
              </w:rPr>
            </w:pPr>
            <w:r w:rsidRPr="00E357B4">
              <w:rPr>
                <w:color w:val="0D0D0D" w:themeColor="text1" w:themeTint="F2"/>
                <w:sz w:val="14"/>
                <w:szCs w:val="14"/>
              </w:rPr>
              <w:t xml:space="preserve">*Využití průmyslových kapacit i bariéry růstu vyjadřují stav v prvním měsíci daného čtvrtletí, saldo důvěry podnikatelů je vztaženo ke druhému měsíci čtvrtletí. Zakázky jsou očištěny o kalendářní vlivy, ostatní ukazatele jsou sezónně očištěny. Podniky mohly uvést více hlavních růstových bariér současně.                                                                                                                                Zdroj: ČSÚ, </w:t>
            </w:r>
            <w:proofErr w:type="spellStart"/>
            <w:r w:rsidRPr="00E357B4">
              <w:rPr>
                <w:color w:val="0D0D0D" w:themeColor="text1" w:themeTint="F2"/>
                <w:sz w:val="14"/>
                <w:szCs w:val="14"/>
              </w:rPr>
              <w:t>Eurostat</w:t>
            </w:r>
            <w:proofErr w:type="spellEnd"/>
          </w:p>
        </w:tc>
      </w:tr>
      <w:tr w:rsidR="00290725" w:rsidRPr="00710F53" w14:paraId="50DB3B25" w14:textId="77777777" w:rsidTr="00A96D94">
        <w:trPr>
          <w:trHeight w:val="145"/>
        </w:trPr>
        <w:tc>
          <w:tcPr>
            <w:tcW w:w="1788" w:type="dxa"/>
            <w:tcMar>
              <w:left w:w="0" w:type="dxa"/>
            </w:tcMar>
          </w:tcPr>
          <w:p w14:paraId="460D5C2C" w14:textId="77777777" w:rsidR="00290725" w:rsidRPr="00F03FEE" w:rsidRDefault="00290725" w:rsidP="00A96D94">
            <w:pPr>
              <w:pStyle w:val="Marginlie"/>
              <w:rPr>
                <w:color w:val="0D0D0D" w:themeColor="text1" w:themeTint="F2"/>
                <w:spacing w:val="0"/>
              </w:rPr>
            </w:pPr>
            <w:r w:rsidRPr="00F501E1">
              <w:rPr>
                <w:color w:val="0D0D0D" w:themeColor="text1" w:themeTint="F2"/>
                <w:spacing w:val="0"/>
              </w:rPr>
              <w:lastRenderedPageBreak/>
              <w:t xml:space="preserve">Důvěra firem v průmyslu setrvávala v lehce negativním pásmu. Polovinu firem sužovala nedostatečná </w:t>
            </w:r>
            <w:r w:rsidRPr="00F03FEE">
              <w:rPr>
                <w:color w:val="0D0D0D" w:themeColor="text1" w:themeTint="F2"/>
                <w:spacing w:val="0"/>
              </w:rPr>
              <w:t>poptávka.</w:t>
            </w:r>
          </w:p>
          <w:p w14:paraId="0995E339" w14:textId="77777777" w:rsidR="00290725" w:rsidRDefault="00290725" w:rsidP="00A96D94">
            <w:pPr>
              <w:pStyle w:val="Marginlie"/>
              <w:rPr>
                <w:color w:val="0D0D0D" w:themeColor="text1" w:themeTint="F2"/>
                <w:spacing w:val="0"/>
              </w:rPr>
            </w:pPr>
          </w:p>
          <w:p w14:paraId="563AB003" w14:textId="77777777" w:rsidR="00290725" w:rsidRDefault="00290725" w:rsidP="00A96D94">
            <w:pPr>
              <w:pStyle w:val="Marginlie"/>
              <w:rPr>
                <w:color w:val="0D0D0D" w:themeColor="text1" w:themeTint="F2"/>
                <w:spacing w:val="0"/>
              </w:rPr>
            </w:pPr>
          </w:p>
          <w:p w14:paraId="247F46AC" w14:textId="77777777" w:rsidR="00290725" w:rsidRDefault="00290725" w:rsidP="00A96D94">
            <w:pPr>
              <w:pStyle w:val="Marginlie"/>
              <w:rPr>
                <w:color w:val="0D0D0D" w:themeColor="text1" w:themeTint="F2"/>
                <w:spacing w:val="0"/>
              </w:rPr>
            </w:pPr>
          </w:p>
          <w:p w14:paraId="41C6F752" w14:textId="77777777" w:rsidR="00290725" w:rsidRDefault="00290725" w:rsidP="00A96D94">
            <w:pPr>
              <w:pStyle w:val="Marginlie"/>
              <w:rPr>
                <w:color w:val="0D0D0D" w:themeColor="text1" w:themeTint="F2"/>
                <w:spacing w:val="0"/>
              </w:rPr>
            </w:pPr>
          </w:p>
          <w:p w14:paraId="090ADF88" w14:textId="77777777" w:rsidR="00290725" w:rsidRDefault="00290725" w:rsidP="00A96D94">
            <w:pPr>
              <w:pStyle w:val="Marginlie"/>
              <w:rPr>
                <w:color w:val="0D0D0D" w:themeColor="text1" w:themeTint="F2"/>
                <w:spacing w:val="0"/>
              </w:rPr>
            </w:pPr>
          </w:p>
          <w:p w14:paraId="012E169D" w14:textId="77777777" w:rsidR="00290725" w:rsidRPr="00F501E1" w:rsidRDefault="00290725" w:rsidP="00A96D94">
            <w:pPr>
              <w:pStyle w:val="Marginlie"/>
              <w:rPr>
                <w:color w:val="0D0D0D" w:themeColor="text1" w:themeTint="F2"/>
                <w:spacing w:val="0"/>
              </w:rPr>
            </w:pPr>
            <w:r>
              <w:rPr>
                <w:color w:val="0D0D0D" w:themeColor="text1" w:themeTint="F2"/>
                <w:spacing w:val="0"/>
              </w:rPr>
              <w:t>V</w:t>
            </w:r>
            <w:r w:rsidRPr="00F03FEE">
              <w:rPr>
                <w:color w:val="0D0D0D" w:themeColor="text1" w:themeTint="F2"/>
                <w:spacing w:val="0"/>
              </w:rPr>
              <w:t xml:space="preserve"> meziročním pohledu </w:t>
            </w:r>
            <w:r w:rsidRPr="00F501E1">
              <w:rPr>
                <w:color w:val="0D0D0D" w:themeColor="text1" w:themeTint="F2"/>
                <w:spacing w:val="0"/>
              </w:rPr>
              <w:t>bylo ale patrné zlepšení</w:t>
            </w:r>
            <w:r>
              <w:rPr>
                <w:color w:val="0D0D0D" w:themeColor="text1" w:themeTint="F2"/>
                <w:spacing w:val="0"/>
              </w:rPr>
              <w:t xml:space="preserve"> poptávky, očekávání výroby, zaměstnanosti </w:t>
            </w:r>
            <w:r>
              <w:rPr>
                <w:color w:val="0D0D0D" w:themeColor="text1" w:themeTint="F2"/>
                <w:spacing w:val="0"/>
              </w:rPr>
              <w:br/>
              <w:t>a také ekonomické situace podniků.</w:t>
            </w:r>
          </w:p>
          <w:p w14:paraId="60262CF8" w14:textId="77777777" w:rsidR="00290725" w:rsidRDefault="00290725" w:rsidP="00A96D94">
            <w:pPr>
              <w:pStyle w:val="Marginlie"/>
              <w:rPr>
                <w:color w:val="0D0D0D" w:themeColor="text1" w:themeTint="F2"/>
                <w:spacing w:val="0"/>
              </w:rPr>
            </w:pPr>
          </w:p>
        </w:tc>
        <w:tc>
          <w:tcPr>
            <w:tcW w:w="147" w:type="dxa"/>
            <w:tcMar>
              <w:left w:w="0" w:type="dxa"/>
            </w:tcMar>
          </w:tcPr>
          <w:p w14:paraId="33981F2E" w14:textId="77777777" w:rsidR="00290725" w:rsidRPr="00EE0E68" w:rsidRDefault="00290725" w:rsidP="00A96D94">
            <w:pPr>
              <w:pStyle w:val="Textpoznpodarou"/>
              <w:spacing w:after="240"/>
              <w:jc w:val="both"/>
              <w:rPr>
                <w:color w:val="0D0D0D" w:themeColor="text1" w:themeTint="F2"/>
              </w:rPr>
            </w:pPr>
          </w:p>
        </w:tc>
        <w:tc>
          <w:tcPr>
            <w:tcW w:w="7711" w:type="dxa"/>
            <w:tcMar>
              <w:left w:w="0" w:type="dxa"/>
            </w:tcMar>
          </w:tcPr>
          <w:p w14:paraId="6DF0FB07" w14:textId="77777777" w:rsidR="00290725" w:rsidRPr="00E357B4" w:rsidRDefault="00290725" w:rsidP="00A96D94">
            <w:pPr>
              <w:spacing w:after="200"/>
              <w:rPr>
                <w:color w:val="0D0D0D" w:themeColor="text1" w:themeTint="F2"/>
              </w:rPr>
            </w:pPr>
            <w:r w:rsidRPr="00E357B4">
              <w:rPr>
                <w:color w:val="0D0D0D" w:themeColor="text1" w:themeTint="F2"/>
              </w:rPr>
              <w:t>Důvěra podnikatelů v průmyslu se během roku 2025 příliš neměnila a setrvávala v lehce negativním pásmu. Přesto již loni na podzim a také na počátku letošního roku byly patrné náznaky dílčího oživení. V únoru 2026 činilo saldo důvěry −2 p. b. (ta zároveň zůstávala lehce pod dlouhodobým průměrem). Zmírňoval se negativní náhled na nynější poptávku, především zahraniční. Růst poptávky s výhledem na letošní jarní období předpokládala již pětina podniků (pokles jen 3 %), což se promítlo do převažujících pozitivních očekávání výroby. Ubývalo firem plánujících propuštění a též pokles evidenčního počtu zaměstnanců během roku 2025 zvolňoval</w:t>
            </w:r>
            <w:r w:rsidRPr="00E357B4">
              <w:rPr>
                <w:rStyle w:val="Znakapoznpodarou"/>
                <w:color w:val="0D0D0D" w:themeColor="text1" w:themeTint="F2"/>
              </w:rPr>
              <w:footnoteReference w:id="17"/>
            </w:r>
            <w:r w:rsidRPr="00E357B4">
              <w:rPr>
                <w:color w:val="0D0D0D" w:themeColor="text1" w:themeTint="F2"/>
              </w:rPr>
              <w:t>. Aktuální ekonomická situace firem se na přelomu roku zlepšovala a také její vyhlídky byly mírně pozitivní</w:t>
            </w:r>
            <w:r w:rsidRPr="00E357B4">
              <w:rPr>
                <w:rStyle w:val="Znakapoznpodarou"/>
                <w:color w:val="0D0D0D" w:themeColor="text1" w:themeTint="F2"/>
              </w:rPr>
              <w:footnoteReference w:id="18"/>
            </w:r>
            <w:r w:rsidRPr="00E357B4">
              <w:rPr>
                <w:color w:val="0D0D0D" w:themeColor="text1" w:themeTint="F2"/>
              </w:rPr>
              <w:t>. Již třetí rok v řadě zůstává klíčovou růstovou bariérou v průmyslu nedostatečná poptávka</w:t>
            </w:r>
            <w:r w:rsidRPr="00E357B4">
              <w:rPr>
                <w:rStyle w:val="Znakapoznpodarou"/>
                <w:rFonts w:eastAsia="MS Gothic"/>
                <w:szCs w:val="20"/>
              </w:rPr>
              <w:footnoteReference w:id="19"/>
            </w:r>
            <w:r w:rsidRPr="00E357B4">
              <w:rPr>
                <w:color w:val="0D0D0D" w:themeColor="text1" w:themeTint="F2"/>
              </w:rPr>
              <w:t xml:space="preserve">. Tu letos v lednu uvedlo </w:t>
            </w:r>
            <w:r w:rsidRPr="00E357B4">
              <w:rPr>
                <w:rStyle w:val="normaltextrun"/>
                <w:rFonts w:eastAsia="MS Gothic" w:cs="Arial"/>
                <w:szCs w:val="20"/>
              </w:rPr>
              <w:t>53 % podniků, meziročně se však její role snížila (o 10 p. b.). Naopak stabilně desetinu podniků trápí nedostatek pracovníků, resp. materiálů či zařízení. Příznivé je, že meziročně se téměř zdvojnásobil podíl firem, jež žádné významné bariéry neuvedly (na 26 %, nejvíce za posledních pět let). Využití výrobních kapacit v průmyslu dosáhlo letos v lednu 82 %, meziročně se téměř nezměnilo a ve srovnání s konjunkturním obdobím 2015 až 2019 bylo nižší o 2,5 p. b. V automobilovém průmyslu bylo jejich využití tradičně vysoké (90 %), avšak i zde za obdobím poslední konju</w:t>
            </w:r>
            <w:r>
              <w:rPr>
                <w:rStyle w:val="normaltextrun"/>
                <w:rFonts w:eastAsia="MS Gothic" w:cs="Arial"/>
                <w:szCs w:val="20"/>
              </w:rPr>
              <w:t>n</w:t>
            </w:r>
            <w:r w:rsidRPr="00E357B4">
              <w:rPr>
                <w:rStyle w:val="normaltextrun"/>
                <w:rFonts w:eastAsia="MS Gothic" w:cs="Arial"/>
                <w:szCs w:val="20"/>
              </w:rPr>
              <w:t>ktury lehce zaostávalo</w:t>
            </w:r>
            <w:r w:rsidRPr="00E357B4">
              <w:rPr>
                <w:rStyle w:val="Znakapoznpodarou"/>
                <w:rFonts w:eastAsia="MS Gothic"/>
                <w:szCs w:val="20"/>
              </w:rPr>
              <w:footnoteReference w:id="20"/>
            </w:r>
            <w:r w:rsidRPr="00E357B4">
              <w:rPr>
                <w:rStyle w:val="normaltextrun"/>
                <w:rFonts w:eastAsia="MS Gothic" w:cs="Arial"/>
                <w:szCs w:val="20"/>
              </w:rPr>
              <w:t xml:space="preserve">. </w:t>
            </w:r>
          </w:p>
        </w:tc>
      </w:tr>
      <w:tr w:rsidR="00290725" w:rsidRPr="00710F53" w14:paraId="25F2816D" w14:textId="77777777" w:rsidTr="00A96D94">
        <w:trPr>
          <w:trHeight w:val="145"/>
        </w:trPr>
        <w:tc>
          <w:tcPr>
            <w:tcW w:w="1788" w:type="dxa"/>
            <w:tcMar>
              <w:left w:w="0" w:type="dxa"/>
            </w:tcMar>
          </w:tcPr>
          <w:p w14:paraId="0578E12C" w14:textId="77777777" w:rsidR="00290725" w:rsidRDefault="00290725" w:rsidP="00A96D94">
            <w:pPr>
              <w:pStyle w:val="Marginlie"/>
              <w:rPr>
                <w:color w:val="0D0D0D" w:themeColor="text1" w:themeTint="F2"/>
                <w:spacing w:val="0"/>
              </w:rPr>
            </w:pPr>
            <w:r>
              <w:rPr>
                <w:color w:val="0D0D0D" w:themeColor="text1" w:themeTint="F2"/>
                <w:spacing w:val="0"/>
              </w:rPr>
              <w:t>Průmyslová produkce v EU loni vzrostla podobným tempem jako v Česku. Zřetelnější náznak akcelerace na konci roku však v Unii nebyl patrný.</w:t>
            </w:r>
          </w:p>
          <w:p w14:paraId="09630996" w14:textId="77777777" w:rsidR="00290725" w:rsidRDefault="00290725" w:rsidP="00A96D94">
            <w:pPr>
              <w:pStyle w:val="Marginlie"/>
              <w:rPr>
                <w:color w:val="0D0D0D" w:themeColor="text1" w:themeTint="F2"/>
                <w:spacing w:val="0"/>
              </w:rPr>
            </w:pPr>
          </w:p>
          <w:p w14:paraId="3773869A" w14:textId="77777777" w:rsidR="00290725" w:rsidRDefault="00290725" w:rsidP="00A96D94">
            <w:pPr>
              <w:pStyle w:val="Marginlie"/>
              <w:rPr>
                <w:color w:val="0D0D0D" w:themeColor="text1" w:themeTint="F2"/>
                <w:spacing w:val="0"/>
              </w:rPr>
            </w:pPr>
          </w:p>
          <w:p w14:paraId="65FF83E1" w14:textId="77777777" w:rsidR="00290725" w:rsidRDefault="00290725" w:rsidP="00A96D94">
            <w:pPr>
              <w:pStyle w:val="Marginlie"/>
              <w:rPr>
                <w:color w:val="0D0D0D" w:themeColor="text1" w:themeTint="F2"/>
                <w:spacing w:val="0"/>
              </w:rPr>
            </w:pPr>
          </w:p>
          <w:p w14:paraId="167348F3" w14:textId="77777777" w:rsidR="00290725" w:rsidRDefault="00290725" w:rsidP="00A96D94">
            <w:pPr>
              <w:pStyle w:val="Marginlie"/>
              <w:rPr>
                <w:color w:val="0D0D0D" w:themeColor="text1" w:themeTint="F2"/>
                <w:spacing w:val="0"/>
              </w:rPr>
            </w:pPr>
          </w:p>
          <w:p w14:paraId="5FC24F91" w14:textId="77777777" w:rsidR="00290725" w:rsidRDefault="00290725" w:rsidP="00A96D94">
            <w:pPr>
              <w:pStyle w:val="Marginlie"/>
              <w:rPr>
                <w:color w:val="0D0D0D" w:themeColor="text1" w:themeTint="F2"/>
                <w:spacing w:val="0"/>
              </w:rPr>
            </w:pPr>
          </w:p>
          <w:p w14:paraId="3C735DD8" w14:textId="77777777" w:rsidR="00290725" w:rsidRDefault="00290725" w:rsidP="00A96D94">
            <w:pPr>
              <w:pStyle w:val="Marginlie"/>
              <w:rPr>
                <w:color w:val="0D0D0D" w:themeColor="text1" w:themeTint="F2"/>
                <w:spacing w:val="0"/>
              </w:rPr>
            </w:pPr>
          </w:p>
          <w:p w14:paraId="30E3FE16" w14:textId="77777777" w:rsidR="00290725" w:rsidRDefault="00290725" w:rsidP="00A96D94">
            <w:pPr>
              <w:pStyle w:val="Marginlie"/>
              <w:rPr>
                <w:color w:val="0D0D0D" w:themeColor="text1" w:themeTint="F2"/>
                <w:spacing w:val="0"/>
              </w:rPr>
            </w:pPr>
            <w:r>
              <w:rPr>
                <w:color w:val="0D0D0D" w:themeColor="text1" w:themeTint="F2"/>
                <w:spacing w:val="0"/>
              </w:rPr>
              <w:t>V Německu se mírný růst produkce obnovil až na konci loňského roku, nepříznivý vývoj zaměstnanosti v průmyslu zde ovšem přetrvával.</w:t>
            </w:r>
          </w:p>
        </w:tc>
        <w:tc>
          <w:tcPr>
            <w:tcW w:w="147" w:type="dxa"/>
            <w:tcMar>
              <w:left w:w="0" w:type="dxa"/>
            </w:tcMar>
          </w:tcPr>
          <w:p w14:paraId="35976AEF" w14:textId="77777777" w:rsidR="00290725" w:rsidRPr="00EE0E68" w:rsidRDefault="00290725" w:rsidP="00A96D94">
            <w:pPr>
              <w:pStyle w:val="Textpoznpodarou"/>
              <w:spacing w:after="240"/>
              <w:jc w:val="both"/>
              <w:rPr>
                <w:color w:val="0D0D0D" w:themeColor="text1" w:themeTint="F2"/>
              </w:rPr>
            </w:pPr>
          </w:p>
        </w:tc>
        <w:tc>
          <w:tcPr>
            <w:tcW w:w="7711" w:type="dxa"/>
            <w:tcMar>
              <w:left w:w="0" w:type="dxa"/>
            </w:tcMar>
          </w:tcPr>
          <w:p w14:paraId="0CEE1D9B" w14:textId="77777777" w:rsidR="00290725" w:rsidRPr="00E357B4" w:rsidRDefault="00290725" w:rsidP="00A96D94">
            <w:pPr>
              <w:spacing w:after="200"/>
              <w:rPr>
                <w:color w:val="0D0D0D" w:themeColor="text1" w:themeTint="F2"/>
              </w:rPr>
            </w:pPr>
            <w:r w:rsidRPr="00E357B4">
              <w:rPr>
                <w:color w:val="0D0D0D" w:themeColor="text1" w:themeTint="F2"/>
              </w:rPr>
              <w:t xml:space="preserve">Průmysl v EU se již </w:t>
            </w:r>
            <w:r>
              <w:rPr>
                <w:color w:val="0D0D0D" w:themeColor="text1" w:themeTint="F2"/>
              </w:rPr>
              <w:t xml:space="preserve">na </w:t>
            </w:r>
            <w:r w:rsidRPr="00E357B4">
              <w:rPr>
                <w:color w:val="0D0D0D" w:themeColor="text1" w:themeTint="F2"/>
              </w:rPr>
              <w:t xml:space="preserve">konci roku 2024 vymanil z mírné recese a jeho oživení </w:t>
            </w:r>
            <w:r>
              <w:rPr>
                <w:color w:val="0D0D0D" w:themeColor="text1" w:themeTint="F2"/>
              </w:rPr>
              <w:br/>
            </w:r>
            <w:r w:rsidRPr="00E357B4">
              <w:rPr>
                <w:color w:val="0D0D0D" w:themeColor="text1" w:themeTint="F2"/>
              </w:rPr>
              <w:t xml:space="preserve">v 1. čtvrtletí 2025 bylo spojeno s obory zaměřenými na investiční produkty. Ve druhé části roku se udržoval mírný </w:t>
            </w:r>
            <w:proofErr w:type="spellStart"/>
            <w:r w:rsidRPr="00E357B4">
              <w:rPr>
                <w:color w:val="0D0D0D" w:themeColor="text1" w:themeTint="F2"/>
              </w:rPr>
              <w:t>mezikvartální</w:t>
            </w:r>
            <w:proofErr w:type="spellEnd"/>
            <w:r w:rsidRPr="00E357B4">
              <w:rPr>
                <w:color w:val="0D0D0D" w:themeColor="text1" w:themeTint="F2"/>
              </w:rPr>
              <w:t xml:space="preserve"> růst produkce (0,2 až 0,3 %) tažený především investičními obory a zčásti i vyšší poptávkou po spotřebním zboží. V Česku bylo na konci loňského roku oživení průmyslu výraznější a stálo hlavně na vyšší produkci oborů zacílených na investice a meziprodukty. Za celý rok 2025 se výkon celého průmyslu v EU zvýšil o 1,5</w:t>
            </w:r>
            <w:r>
              <w:rPr>
                <w:color w:val="0D0D0D" w:themeColor="text1" w:themeTint="F2"/>
              </w:rPr>
              <w:t> </w:t>
            </w:r>
            <w:r w:rsidRPr="00E357B4">
              <w:rPr>
                <w:color w:val="0D0D0D" w:themeColor="text1" w:themeTint="F2"/>
              </w:rPr>
              <w:t>% (v Česku o 2,2 %). Nejvíce se zde projevila vyšší produkce oborů vyrábějících spotřební zboží (+4,8 %), zejména krátkodobé spotřeby. Naopak čtvrtý rok v řadě se snížil výkon oborů zaměřených na meziprodukty (−0,3 %), např. chemický průmysl, gumárenství a</w:t>
            </w:r>
            <w:r>
              <w:rPr>
                <w:color w:val="0D0D0D" w:themeColor="text1" w:themeTint="F2"/>
              </w:rPr>
              <w:t> </w:t>
            </w:r>
            <w:proofErr w:type="spellStart"/>
            <w:r w:rsidRPr="00E357B4">
              <w:rPr>
                <w:color w:val="0D0D0D" w:themeColor="text1" w:themeTint="F2"/>
              </w:rPr>
              <w:t>plastikářství</w:t>
            </w:r>
            <w:proofErr w:type="spellEnd"/>
            <w:r w:rsidRPr="00E357B4">
              <w:rPr>
                <w:color w:val="0D0D0D" w:themeColor="text1" w:themeTint="F2"/>
              </w:rPr>
              <w:t xml:space="preserve"> nebo výroba stavebních materiálů. Za celý loňský rok docílily mezi členskými státy nejvyššího růstu průmyslu Irsko (+17,7 %</w:t>
            </w:r>
            <w:r w:rsidRPr="00E357B4">
              <w:rPr>
                <w:rStyle w:val="Znakapoznpodarou"/>
                <w:color w:val="0D0D0D" w:themeColor="text1" w:themeTint="F2"/>
              </w:rPr>
              <w:footnoteReference w:id="21"/>
            </w:r>
            <w:r w:rsidRPr="00E357B4">
              <w:rPr>
                <w:color w:val="0D0D0D" w:themeColor="text1" w:themeTint="F2"/>
              </w:rPr>
              <w:t>), Švédsko (+4,7 %) a</w:t>
            </w:r>
            <w:r>
              <w:rPr>
                <w:color w:val="0D0D0D" w:themeColor="text1" w:themeTint="F2"/>
              </w:rPr>
              <w:t> </w:t>
            </w:r>
            <w:r w:rsidRPr="00E357B4">
              <w:rPr>
                <w:color w:val="0D0D0D" w:themeColor="text1" w:themeTint="F2"/>
              </w:rPr>
              <w:t xml:space="preserve">Lotyšsko (+4,0 %), z významnějších ekonomik Polsko (+2,5 %), Španělsko (+1,2 %) a Francie (+0,7 %). Naopak nejvyšší pokles postihl Bulharsko </w:t>
            </w:r>
            <w:r>
              <w:rPr>
                <w:color w:val="0D0D0D" w:themeColor="text1" w:themeTint="F2"/>
              </w:rPr>
              <w:br/>
            </w:r>
            <w:r w:rsidRPr="00E357B4">
              <w:rPr>
                <w:color w:val="0D0D0D" w:themeColor="text1" w:themeTint="F2"/>
              </w:rPr>
              <w:t>(−7,3 %, při útlumu energetiky i hutnictví), třetí rok v řadě klesala produkc</w:t>
            </w:r>
            <w:r>
              <w:rPr>
                <w:color w:val="0D0D0D" w:themeColor="text1" w:themeTint="F2"/>
              </w:rPr>
              <w:t>e</w:t>
            </w:r>
            <w:r w:rsidRPr="00E357B4">
              <w:rPr>
                <w:color w:val="0D0D0D" w:themeColor="text1" w:themeTint="F2"/>
              </w:rPr>
              <w:t xml:space="preserve"> také v Maďarsku (loni o 3,6 %, při hlubším poklesu /</w:t>
            </w:r>
            <w:proofErr w:type="spellStart"/>
            <w:r w:rsidRPr="00E357B4">
              <w:rPr>
                <w:color w:val="0D0D0D" w:themeColor="text1" w:themeTint="F2"/>
              </w:rPr>
              <w:t>petro</w:t>
            </w:r>
            <w:proofErr w:type="spellEnd"/>
            <w:r w:rsidRPr="00E357B4">
              <w:rPr>
                <w:color w:val="0D0D0D" w:themeColor="text1" w:themeTint="F2"/>
              </w:rPr>
              <w:t>-/chemického průmyslu, výroby automobilů a dalších investičních oborů a výroby většiny meziproduktů) a dále nastal útlum také na Slovensku (−3,0 %, při citelném propadu výkonu energetiky). Z významných producentů klesl loni výkon průmyslu v Itálii (−0,3 %) a v Německu (−0,9 %</w:t>
            </w:r>
            <w:r w:rsidRPr="00E357B4">
              <w:rPr>
                <w:rStyle w:val="Znakapoznpodarou"/>
                <w:color w:val="0D0D0D" w:themeColor="text1" w:themeTint="F2"/>
              </w:rPr>
              <w:footnoteReference w:id="22"/>
            </w:r>
            <w:r w:rsidRPr="00E357B4">
              <w:rPr>
                <w:color w:val="0D0D0D" w:themeColor="text1" w:themeTint="F2"/>
              </w:rPr>
              <w:t>), kde sice recese tohoto odvětví nebyla tak výrazná jako v letech 2023 i 2024, avšak trvala čtvrtý rok v řadě. Loni se zde projevil hlavně pokles v tradičních exportních oblastech (</w:t>
            </w:r>
            <w:proofErr w:type="spellStart"/>
            <w:r w:rsidRPr="00E357B4">
              <w:rPr>
                <w:color w:val="0D0D0D" w:themeColor="text1" w:themeTint="F2"/>
              </w:rPr>
              <w:t>automotive</w:t>
            </w:r>
            <w:proofErr w:type="spellEnd"/>
            <w:r w:rsidRPr="00E357B4">
              <w:rPr>
                <w:color w:val="0D0D0D" w:themeColor="text1" w:themeTint="F2"/>
              </w:rPr>
              <w:t xml:space="preserve">, strojírenství), navíc kromě energetiky klesala produkce ve všech dalších významných oborech. </w:t>
            </w:r>
          </w:p>
        </w:tc>
      </w:tr>
      <w:tr w:rsidR="00290725" w:rsidRPr="00710F53" w14:paraId="7C66A5CC" w14:textId="77777777" w:rsidTr="00A96D94">
        <w:trPr>
          <w:trHeight w:val="145"/>
        </w:trPr>
        <w:tc>
          <w:tcPr>
            <w:tcW w:w="1788" w:type="dxa"/>
            <w:tcMar>
              <w:left w:w="0" w:type="dxa"/>
            </w:tcMar>
          </w:tcPr>
          <w:p w14:paraId="635BFC53" w14:textId="77777777" w:rsidR="00290725" w:rsidRDefault="00290725" w:rsidP="00A96D94">
            <w:pPr>
              <w:pStyle w:val="Marginlie"/>
              <w:rPr>
                <w:color w:val="0D0D0D" w:themeColor="text1" w:themeTint="F2"/>
                <w:spacing w:val="0"/>
              </w:rPr>
            </w:pPr>
            <w:r>
              <w:rPr>
                <w:color w:val="0D0D0D" w:themeColor="text1" w:themeTint="F2"/>
                <w:spacing w:val="0"/>
              </w:rPr>
              <w:lastRenderedPageBreak/>
              <w:t>Na přelomu roku 2024</w:t>
            </w:r>
            <w:r>
              <w:rPr>
                <w:color w:val="0D0D0D" w:themeColor="text1" w:themeTint="F2"/>
                <w:spacing w:val="0"/>
              </w:rPr>
              <w:br/>
              <w:t>a 2025 došlo k výraznému oživení stavebnictví. Další pokračování svižného rozvoje však může být limitováno přetrvávajícími růstovými bariérami, zejména na trhu práce.</w:t>
            </w:r>
          </w:p>
          <w:p w14:paraId="5AEBF22A" w14:textId="77777777" w:rsidR="00290725" w:rsidRPr="00EE0E68" w:rsidRDefault="00290725" w:rsidP="00A96D94">
            <w:pPr>
              <w:pStyle w:val="Marginlie"/>
              <w:rPr>
                <w:color w:val="0D0D0D" w:themeColor="text1" w:themeTint="F2"/>
                <w:spacing w:val="0"/>
              </w:rPr>
            </w:pPr>
          </w:p>
        </w:tc>
        <w:tc>
          <w:tcPr>
            <w:tcW w:w="147" w:type="dxa"/>
            <w:tcMar>
              <w:left w:w="0" w:type="dxa"/>
            </w:tcMar>
          </w:tcPr>
          <w:p w14:paraId="28B61252" w14:textId="77777777" w:rsidR="00290725" w:rsidRPr="00EE0E68" w:rsidRDefault="00290725" w:rsidP="00A96D94">
            <w:pPr>
              <w:pStyle w:val="Textpoznpodarou"/>
              <w:spacing w:after="240"/>
              <w:jc w:val="both"/>
              <w:rPr>
                <w:color w:val="0D0D0D" w:themeColor="text1" w:themeTint="F2"/>
              </w:rPr>
            </w:pPr>
          </w:p>
        </w:tc>
        <w:tc>
          <w:tcPr>
            <w:tcW w:w="7711" w:type="dxa"/>
            <w:tcMar>
              <w:left w:w="0" w:type="dxa"/>
            </w:tcMar>
          </w:tcPr>
          <w:p w14:paraId="6BE99E31" w14:textId="77777777" w:rsidR="00290725" w:rsidRPr="00E357B4" w:rsidRDefault="00290725" w:rsidP="00A96D94">
            <w:pPr>
              <w:spacing w:after="200"/>
              <w:rPr>
                <w:color w:val="0D0D0D" w:themeColor="text1" w:themeTint="F2"/>
              </w:rPr>
            </w:pPr>
            <w:r w:rsidRPr="00E357B4">
              <w:rPr>
                <w:color w:val="0D0D0D" w:themeColor="text1" w:themeTint="F2"/>
              </w:rPr>
              <w:t>Stavebnictví se loni dařilo. Zřetelné náznaky pozitivního obratu byly patrné již ve druhé polovině roku 2024. Po počátku loňského roku se stavební produkce</w:t>
            </w:r>
            <w:r w:rsidRPr="00E357B4">
              <w:rPr>
                <w:rStyle w:val="Znakapoznpodarou"/>
                <w:color w:val="0D0D0D" w:themeColor="text1" w:themeTint="F2"/>
              </w:rPr>
              <w:footnoteReference w:id="23"/>
            </w:r>
            <w:r w:rsidRPr="00E357B4">
              <w:rPr>
                <w:color w:val="0D0D0D" w:themeColor="text1" w:themeTint="F2"/>
              </w:rPr>
              <w:t xml:space="preserve"> mezikvartálně zvýšila o 6,5 %, když významné oživení nastalo </w:t>
            </w:r>
            <w:r>
              <w:rPr>
                <w:color w:val="0D0D0D" w:themeColor="text1" w:themeTint="F2"/>
              </w:rPr>
              <w:t>v</w:t>
            </w:r>
            <w:r w:rsidRPr="00E357B4">
              <w:rPr>
                <w:color w:val="0D0D0D" w:themeColor="text1" w:themeTint="F2"/>
              </w:rPr>
              <w:t xml:space="preserve">e všech segmentech odvětví. To pokračovalo v nižší intenzitě i v další části roku. Ve 4. čtvrtletí 2025 se ovšem </w:t>
            </w:r>
            <w:proofErr w:type="spellStart"/>
            <w:r w:rsidRPr="00E357B4">
              <w:rPr>
                <w:color w:val="0D0D0D" w:themeColor="text1" w:themeTint="F2"/>
              </w:rPr>
              <w:t>mezikvartální</w:t>
            </w:r>
            <w:proofErr w:type="spellEnd"/>
            <w:r w:rsidRPr="00E357B4">
              <w:rPr>
                <w:color w:val="0D0D0D" w:themeColor="text1" w:themeTint="F2"/>
              </w:rPr>
              <w:t xml:space="preserve"> růst produkce zastavil (−1,4 %) a k mírnému „ochlazení“ došlo v pozemním </w:t>
            </w:r>
            <w:r>
              <w:rPr>
                <w:color w:val="0D0D0D" w:themeColor="text1" w:themeTint="F2"/>
              </w:rPr>
              <w:t>a také</w:t>
            </w:r>
            <w:r w:rsidRPr="00E357B4">
              <w:rPr>
                <w:color w:val="0D0D0D" w:themeColor="text1" w:themeTint="F2"/>
              </w:rPr>
              <w:t xml:space="preserve"> inženýrském stavitelství. Nelze vyloučit, že </w:t>
            </w:r>
            <w:r w:rsidRPr="00E357B4">
              <w:rPr>
                <w:rStyle w:val="normaltextrun"/>
                <w:rFonts w:eastAsiaTheme="majorEastAsia" w:cs="Arial"/>
                <w:szCs w:val="20"/>
              </w:rPr>
              <w:t>stavební trh se po výraznějším zotavení z předchozích čtvrtletí do jisté míry dočasně nasytil a jeho další rozvoj stále více limitovaly přetrvávající bariéry (např. nedostatek pracovníků).</w:t>
            </w:r>
            <w:r w:rsidRPr="00E357B4">
              <w:rPr>
                <w:color w:val="0D0D0D" w:themeColor="text1" w:themeTint="F2"/>
              </w:rPr>
              <w:t xml:space="preserve"> </w:t>
            </w:r>
          </w:p>
        </w:tc>
      </w:tr>
      <w:tr w:rsidR="00290725" w:rsidRPr="00D232BB" w14:paraId="30C92259" w14:textId="77777777" w:rsidTr="00A96D94">
        <w:trPr>
          <w:trHeight w:val="145"/>
        </w:trPr>
        <w:tc>
          <w:tcPr>
            <w:tcW w:w="1788" w:type="dxa"/>
            <w:tcMar>
              <w:left w:w="0" w:type="dxa"/>
            </w:tcMar>
          </w:tcPr>
          <w:p w14:paraId="08F387D0" w14:textId="77777777" w:rsidR="00290725" w:rsidRDefault="00290725" w:rsidP="00A96D94">
            <w:pPr>
              <w:pStyle w:val="Marginlie"/>
              <w:rPr>
                <w:color w:val="0D0D0D" w:themeColor="text1" w:themeTint="F2"/>
                <w:spacing w:val="0"/>
              </w:rPr>
            </w:pPr>
            <w:r>
              <w:rPr>
                <w:color w:val="0D0D0D" w:themeColor="text1" w:themeTint="F2"/>
                <w:spacing w:val="0"/>
              </w:rPr>
              <w:t>M</w:t>
            </w:r>
            <w:r w:rsidRPr="00EE0E68">
              <w:rPr>
                <w:color w:val="0D0D0D" w:themeColor="text1" w:themeTint="F2"/>
                <w:spacing w:val="0"/>
              </w:rPr>
              <w:t xml:space="preserve">eziroční růst </w:t>
            </w:r>
            <w:r>
              <w:rPr>
                <w:color w:val="0D0D0D" w:themeColor="text1" w:themeTint="F2"/>
                <w:spacing w:val="0"/>
              </w:rPr>
              <w:t xml:space="preserve">stavební </w:t>
            </w:r>
            <w:r w:rsidRPr="00EE0E68">
              <w:rPr>
                <w:color w:val="0D0D0D" w:themeColor="text1" w:themeTint="F2"/>
                <w:spacing w:val="0"/>
              </w:rPr>
              <w:t xml:space="preserve">produkce </w:t>
            </w:r>
            <w:r>
              <w:rPr>
                <w:color w:val="0D0D0D" w:themeColor="text1" w:themeTint="F2"/>
                <w:spacing w:val="0"/>
              </w:rPr>
              <w:t xml:space="preserve">byl </w:t>
            </w:r>
            <w:r w:rsidRPr="00EE0E68">
              <w:rPr>
                <w:color w:val="0D0D0D" w:themeColor="text1" w:themeTint="F2"/>
                <w:spacing w:val="0"/>
              </w:rPr>
              <w:t>l</w:t>
            </w:r>
            <w:r>
              <w:rPr>
                <w:color w:val="0D0D0D" w:themeColor="text1" w:themeTint="F2"/>
                <w:spacing w:val="0"/>
              </w:rPr>
              <w:t>oni rekordní.</w:t>
            </w:r>
            <w:r w:rsidRPr="00EE0E68">
              <w:rPr>
                <w:color w:val="0D0D0D" w:themeColor="text1" w:themeTint="F2"/>
                <w:spacing w:val="0"/>
              </w:rPr>
              <w:t xml:space="preserve"> </w:t>
            </w:r>
            <w:r>
              <w:rPr>
                <w:color w:val="0D0D0D" w:themeColor="text1" w:themeTint="F2"/>
                <w:spacing w:val="0"/>
              </w:rPr>
              <w:t>Dvoucifernými tempy rostly</w:t>
            </w:r>
            <w:r w:rsidRPr="00EE0E68">
              <w:rPr>
                <w:color w:val="0D0D0D" w:themeColor="text1" w:themeTint="F2"/>
                <w:spacing w:val="0"/>
              </w:rPr>
              <w:t xml:space="preserve"> všechny segmenty stavebnictví. </w:t>
            </w:r>
          </w:p>
          <w:p w14:paraId="01ADDE0E" w14:textId="77777777" w:rsidR="00290725" w:rsidRDefault="00290725" w:rsidP="00A96D94">
            <w:pPr>
              <w:pStyle w:val="Marginlie"/>
              <w:rPr>
                <w:color w:val="0D0D0D" w:themeColor="text1" w:themeTint="F2"/>
                <w:spacing w:val="0"/>
              </w:rPr>
            </w:pPr>
          </w:p>
          <w:p w14:paraId="062C6800" w14:textId="77777777" w:rsidR="00290725" w:rsidRDefault="00290725" w:rsidP="00A96D94">
            <w:pPr>
              <w:pStyle w:val="Marginlie"/>
              <w:rPr>
                <w:color w:val="0D0D0D" w:themeColor="text1" w:themeTint="F2"/>
                <w:spacing w:val="0"/>
              </w:rPr>
            </w:pPr>
          </w:p>
          <w:p w14:paraId="709E8238" w14:textId="77777777" w:rsidR="00290725" w:rsidRPr="00EE0E68" w:rsidRDefault="00290725" w:rsidP="00A96D94">
            <w:pPr>
              <w:pStyle w:val="Marginlie"/>
              <w:spacing w:after="240"/>
              <w:rPr>
                <w:color w:val="0D0D0D" w:themeColor="text1" w:themeTint="F2"/>
                <w:spacing w:val="0"/>
              </w:rPr>
            </w:pPr>
            <w:r>
              <w:rPr>
                <w:color w:val="0D0D0D" w:themeColor="text1" w:themeTint="F2"/>
                <w:spacing w:val="0"/>
              </w:rPr>
              <w:t>Klesla výstavba rodinných i bytových domů.</w:t>
            </w:r>
            <w:r w:rsidRPr="00EE0E68">
              <w:rPr>
                <w:color w:val="0D0D0D" w:themeColor="text1" w:themeTint="F2"/>
                <w:spacing w:val="0"/>
              </w:rPr>
              <w:t xml:space="preserve"> </w:t>
            </w:r>
            <w:r>
              <w:rPr>
                <w:color w:val="0D0D0D" w:themeColor="text1" w:themeTint="F2"/>
                <w:spacing w:val="0"/>
              </w:rPr>
              <w:t>R</w:t>
            </w:r>
            <w:r w:rsidRPr="00EE0E68">
              <w:rPr>
                <w:color w:val="0D0D0D" w:themeColor="text1" w:themeTint="F2"/>
                <w:spacing w:val="0"/>
              </w:rPr>
              <w:t>ychle se však rozvíjel malý segment konverzí stávajících bytových objektů</w:t>
            </w:r>
            <w:r>
              <w:rPr>
                <w:color w:val="0D0D0D" w:themeColor="text1" w:themeTint="F2"/>
                <w:spacing w:val="0"/>
              </w:rPr>
              <w:t xml:space="preserve"> </w:t>
            </w:r>
            <w:r w:rsidRPr="00EE0E68">
              <w:rPr>
                <w:color w:val="0D0D0D" w:themeColor="text1" w:themeTint="F2"/>
                <w:spacing w:val="0"/>
              </w:rPr>
              <w:t>i nebytových budov.</w:t>
            </w:r>
          </w:p>
        </w:tc>
        <w:tc>
          <w:tcPr>
            <w:tcW w:w="147" w:type="dxa"/>
            <w:tcMar>
              <w:left w:w="0" w:type="dxa"/>
            </w:tcMar>
          </w:tcPr>
          <w:p w14:paraId="0BF6945A" w14:textId="77777777" w:rsidR="00290725" w:rsidRPr="00EE0E68" w:rsidRDefault="00290725" w:rsidP="00A96D94">
            <w:pPr>
              <w:pStyle w:val="Textpoznpodarou"/>
              <w:spacing w:after="240"/>
              <w:jc w:val="both"/>
            </w:pPr>
          </w:p>
        </w:tc>
        <w:tc>
          <w:tcPr>
            <w:tcW w:w="7711" w:type="dxa"/>
            <w:tcMar>
              <w:left w:w="0" w:type="dxa"/>
            </w:tcMar>
          </w:tcPr>
          <w:p w14:paraId="0DA5E830" w14:textId="77777777" w:rsidR="00290725" w:rsidRPr="00E357B4" w:rsidRDefault="00290725" w:rsidP="00A96D94">
            <w:pPr>
              <w:spacing w:after="200"/>
              <w:rPr>
                <w:rFonts w:cs="Arial"/>
              </w:rPr>
            </w:pPr>
            <w:r w:rsidRPr="00E357B4">
              <w:rPr>
                <w:rStyle w:val="normaltextrun"/>
                <w:rFonts w:eastAsiaTheme="majorEastAsia" w:cs="Arial"/>
                <w:szCs w:val="20"/>
              </w:rPr>
              <w:t>Za celý l</w:t>
            </w:r>
            <w:r w:rsidRPr="00E357B4">
              <w:rPr>
                <w:rStyle w:val="normaltextrun"/>
                <w:rFonts w:eastAsiaTheme="majorEastAsia" w:cs="Arial"/>
              </w:rPr>
              <w:t xml:space="preserve">oňský </w:t>
            </w:r>
            <w:r w:rsidRPr="00E357B4">
              <w:rPr>
                <w:rStyle w:val="normaltextrun"/>
                <w:rFonts w:eastAsiaTheme="majorEastAsia" w:cs="Arial"/>
                <w:color w:val="0D0D0D" w:themeColor="text1" w:themeTint="F2"/>
                <w:szCs w:val="20"/>
              </w:rPr>
              <w:t xml:space="preserve">rok </w:t>
            </w:r>
            <w:r w:rsidRPr="00E357B4">
              <w:rPr>
                <w:color w:val="0D0D0D" w:themeColor="text1" w:themeTint="F2"/>
              </w:rPr>
              <w:t>se výkon stavebnictví zvýšil o 10,9 % (nejvíce v dostupné řadě od roku 2001) a objemem produkce současně poprvé překonal úroveň z vrcholu předpandemické konjunktury (rok 2019). Na loňském růstu se téměř ze dvou třetin podílelo pozemní stavitelství, kde dosáhly výrazného oživení jak výstavba budov (+10,2</w:t>
            </w:r>
            <w:r>
              <w:rPr>
                <w:color w:val="0D0D0D" w:themeColor="text1" w:themeTint="F2"/>
              </w:rPr>
              <w:t> </w:t>
            </w:r>
            <w:r w:rsidRPr="00E357B4">
              <w:rPr>
                <w:color w:val="0D0D0D" w:themeColor="text1" w:themeTint="F2"/>
              </w:rPr>
              <w:t xml:space="preserve">%), tak </w:t>
            </w:r>
            <w:r w:rsidRPr="00E357B4">
              <w:rPr>
                <w:rStyle w:val="normaltextrun"/>
                <w:rFonts w:eastAsiaTheme="majorEastAsia" w:cs="Arial"/>
                <w:szCs w:val="20"/>
              </w:rPr>
              <w:t xml:space="preserve">specializované stavební činnosti </w:t>
            </w:r>
            <w:r w:rsidRPr="00E357B4">
              <w:rPr>
                <w:rStyle w:val="normaltextrun"/>
                <w:rFonts w:eastAsiaTheme="majorEastAsia" w:cs="Arial"/>
              </w:rPr>
              <w:t xml:space="preserve">(+10,7 %), jež jsou doménou zpravidla menších podniků a drobných podnikatelů. Projevilo se </w:t>
            </w:r>
            <w:r w:rsidRPr="00E357B4">
              <w:rPr>
                <w:color w:val="0D0D0D" w:themeColor="text1" w:themeTint="F2"/>
              </w:rPr>
              <w:t>částečné zotavení soukromých investic (vlivem posilování růstu ekonomiky i důvěry v ní) a významnou roli zde hrají i cenové vlivy</w:t>
            </w:r>
            <w:r w:rsidRPr="00E357B4">
              <w:rPr>
                <w:rStyle w:val="Znakapoznpodarou"/>
                <w:color w:val="0D0D0D" w:themeColor="text1" w:themeTint="F2"/>
              </w:rPr>
              <w:footnoteReference w:id="24"/>
            </w:r>
            <w:r w:rsidRPr="00E357B4">
              <w:rPr>
                <w:color w:val="0D0D0D" w:themeColor="text1" w:themeTint="F2"/>
              </w:rPr>
              <w:t xml:space="preserve">. Pokračující růst veřejných investic do dopravní infrastruktury se odrazil ve více než 11,5% růstu produkce inženýrského stavitelství. </w:t>
            </w:r>
            <w:r w:rsidRPr="00E357B4">
              <w:rPr>
                <w:rStyle w:val="normaltextrun"/>
                <w:rFonts w:eastAsiaTheme="majorEastAsia" w:cs="Arial"/>
                <w:szCs w:val="20"/>
              </w:rPr>
              <w:t xml:space="preserve">K rozvoji pozemního stavitelství příliš nepomáhala </w:t>
            </w:r>
            <w:r w:rsidRPr="00E357B4">
              <w:rPr>
                <w:color w:val="0D0D0D" w:themeColor="text1" w:themeTint="F2"/>
              </w:rPr>
              <w:t>utlumená</w:t>
            </w:r>
            <w:r w:rsidRPr="00E357B4">
              <w:rPr>
                <w:rStyle w:val="normaltextrun"/>
                <w:rFonts w:eastAsiaTheme="majorEastAsia" w:cs="Arial"/>
                <w:szCs w:val="20"/>
              </w:rPr>
              <w:t xml:space="preserve"> bytová výstavba (více se patrně rozvíjejí jiné oblasti, např. výrobní a skladovací haly, dále třeba i veřejné budovy).</w:t>
            </w:r>
            <w:r w:rsidRPr="00E357B4">
              <w:rPr>
                <w:rStyle w:val="normaltextrun"/>
                <w:rFonts w:cs="Arial"/>
              </w:rPr>
              <w:t xml:space="preserve"> </w:t>
            </w:r>
            <w:r w:rsidRPr="00E357B4">
              <w:rPr>
                <w:rStyle w:val="normaltextrun"/>
                <w:rFonts w:eastAsiaTheme="majorEastAsia" w:cs="Arial"/>
                <w:szCs w:val="20"/>
              </w:rPr>
              <w:t>Počet loni zahájených bytů (35,8 tis.) odpovídal dlouhodobému průměru a meziročně lehce klesl (</w:t>
            </w:r>
            <w:r w:rsidRPr="00E357B4">
              <w:rPr>
                <w:color w:val="0D0D0D" w:themeColor="text1" w:themeTint="F2"/>
              </w:rPr>
              <w:t>−</w:t>
            </w:r>
            <w:r w:rsidRPr="00E357B4">
              <w:rPr>
                <w:rStyle w:val="normaltextrun"/>
                <w:rFonts w:eastAsiaTheme="majorEastAsia" w:cs="Arial"/>
                <w:szCs w:val="20"/>
              </w:rPr>
              <w:t>2,2 %), a to téměř ve všech segmentech (vyjma nástaveb a přístaveb k BD). Dokončeno bylo sice o 10,8 % bytů meziročně více, ale jejich loňský počet (33,6 tis.) byl druhý nejnižší za posledních osm let. Pokračoval pokles dokončování v klíčových segmentech (nové RD</w:t>
            </w:r>
            <w:r w:rsidRPr="00E357B4">
              <w:rPr>
                <w:rStyle w:val="Znakapoznpodarou"/>
                <w:rFonts w:eastAsiaTheme="majorEastAsia"/>
                <w:szCs w:val="20"/>
              </w:rPr>
              <w:footnoteReference w:id="25"/>
            </w:r>
            <w:r w:rsidRPr="00E357B4">
              <w:rPr>
                <w:rStyle w:val="normaltextrun"/>
                <w:rFonts w:eastAsiaTheme="majorEastAsia" w:cs="Arial"/>
                <w:szCs w:val="20"/>
              </w:rPr>
              <w:t>, i BD), naopak na bezmála dvouapůlnásobek vzrostl meziročně počet bytů vzniklých úpravou stávajících RD i BD a také v nebytových budovách. To může souviset s relativně jednodušší administrativní náročností realizací těchto staveb. T</w:t>
            </w:r>
            <w:r w:rsidRPr="00E357B4">
              <w:rPr>
                <w:rStyle w:val="normaltextrun"/>
                <w:rFonts w:eastAsiaTheme="majorEastAsia" w:cs="Arial"/>
              </w:rPr>
              <w:t xml:space="preserve">řetina všech zahájených i dokončených bytů připadala loni </w:t>
            </w:r>
            <w:r>
              <w:rPr>
                <w:rStyle w:val="normaltextrun"/>
                <w:rFonts w:eastAsiaTheme="majorEastAsia" w:cs="Arial"/>
              </w:rPr>
              <w:t>n</w:t>
            </w:r>
            <w:r w:rsidRPr="00E357B4">
              <w:rPr>
                <w:rStyle w:val="normaltextrun"/>
                <w:rFonts w:eastAsiaTheme="majorEastAsia" w:cs="Arial"/>
              </w:rPr>
              <w:t xml:space="preserve">a Prahu a Středočeský kraj. </w:t>
            </w:r>
          </w:p>
        </w:tc>
      </w:tr>
      <w:tr w:rsidR="00290725" w:rsidRPr="00D232BB" w14:paraId="52A274DB" w14:textId="77777777" w:rsidTr="00A96D94">
        <w:trPr>
          <w:trHeight w:val="145"/>
        </w:trPr>
        <w:tc>
          <w:tcPr>
            <w:tcW w:w="1788" w:type="dxa"/>
            <w:tcMar>
              <w:left w:w="0" w:type="dxa"/>
            </w:tcMar>
          </w:tcPr>
          <w:p w14:paraId="2F3790EA" w14:textId="77777777" w:rsidR="00290725" w:rsidRDefault="00290725" w:rsidP="00A96D94">
            <w:pPr>
              <w:pStyle w:val="Marginlie"/>
              <w:rPr>
                <w:color w:val="0D0D0D" w:themeColor="text1" w:themeTint="F2"/>
                <w:spacing w:val="0"/>
              </w:rPr>
            </w:pPr>
            <w:r>
              <w:rPr>
                <w:color w:val="0D0D0D" w:themeColor="text1" w:themeTint="F2"/>
                <w:spacing w:val="0"/>
              </w:rPr>
              <w:t>O</w:t>
            </w:r>
            <w:r>
              <w:rPr>
                <w:color w:val="0D0D0D" w:themeColor="text1" w:themeTint="F2"/>
              </w:rPr>
              <w:t>bjem</w:t>
            </w:r>
            <w:r w:rsidRPr="00EE0E68">
              <w:rPr>
                <w:color w:val="0D0D0D" w:themeColor="text1" w:themeTint="F2"/>
                <w:spacing w:val="0"/>
              </w:rPr>
              <w:t xml:space="preserve"> nových stavebních zakázek</w:t>
            </w:r>
          </w:p>
          <w:p w14:paraId="01BF4005" w14:textId="77777777" w:rsidR="00290725" w:rsidRDefault="00290725" w:rsidP="00A96D94">
            <w:pPr>
              <w:pStyle w:val="Marginlie"/>
              <w:rPr>
                <w:color w:val="0D0D0D" w:themeColor="text1" w:themeTint="F2"/>
              </w:rPr>
            </w:pPr>
            <w:r>
              <w:rPr>
                <w:color w:val="0D0D0D" w:themeColor="text1" w:themeTint="F2"/>
              </w:rPr>
              <w:t>Po většinu loňského roku rostl, byť pomaleji než v roce 2024.</w:t>
            </w:r>
          </w:p>
          <w:p w14:paraId="2107BF95" w14:textId="77777777" w:rsidR="00290725" w:rsidRDefault="00290725" w:rsidP="00A96D94">
            <w:pPr>
              <w:pStyle w:val="Marginlie"/>
              <w:rPr>
                <w:color w:val="0D0D0D" w:themeColor="text1" w:themeTint="F2"/>
              </w:rPr>
            </w:pPr>
          </w:p>
          <w:p w14:paraId="414D80B6" w14:textId="77777777" w:rsidR="00290725" w:rsidRDefault="00290725" w:rsidP="00A96D94">
            <w:pPr>
              <w:pStyle w:val="Marginlie"/>
              <w:rPr>
                <w:color w:val="0D0D0D" w:themeColor="text1" w:themeTint="F2"/>
              </w:rPr>
            </w:pPr>
          </w:p>
          <w:p w14:paraId="554F9ED5" w14:textId="77777777" w:rsidR="00290725" w:rsidRDefault="00290725" w:rsidP="00A96D94">
            <w:pPr>
              <w:pStyle w:val="Marginlie"/>
              <w:rPr>
                <w:color w:val="0D0D0D" w:themeColor="text1" w:themeTint="F2"/>
              </w:rPr>
            </w:pPr>
          </w:p>
          <w:p w14:paraId="6A8D2D9D" w14:textId="77777777" w:rsidR="00290725" w:rsidRDefault="00290725" w:rsidP="00A96D94">
            <w:pPr>
              <w:pStyle w:val="Marginlie"/>
              <w:rPr>
                <w:color w:val="0D0D0D" w:themeColor="text1" w:themeTint="F2"/>
              </w:rPr>
            </w:pPr>
          </w:p>
          <w:p w14:paraId="451BD0E1" w14:textId="77777777" w:rsidR="00290725" w:rsidRPr="00EE0E68" w:rsidRDefault="00290725" w:rsidP="00A96D94">
            <w:pPr>
              <w:pStyle w:val="Marginlie"/>
              <w:rPr>
                <w:color w:val="0D0D0D" w:themeColor="text1" w:themeTint="F2"/>
                <w:spacing w:val="0"/>
              </w:rPr>
            </w:pPr>
            <w:r>
              <w:rPr>
                <w:color w:val="0D0D0D" w:themeColor="text1" w:themeTint="F2"/>
                <w:spacing w:val="0"/>
              </w:rPr>
              <w:t>Hodnota povolených staveb klesla druhým rokem v řadě, loni v drtivé většině kategorií staveb i krajů.</w:t>
            </w:r>
          </w:p>
          <w:p w14:paraId="57291058" w14:textId="77777777" w:rsidR="00290725" w:rsidRPr="00EE0E68" w:rsidRDefault="00290725" w:rsidP="00A96D94">
            <w:pPr>
              <w:pStyle w:val="Marginlie"/>
              <w:rPr>
                <w:color w:val="0D0D0D" w:themeColor="text1" w:themeTint="F2"/>
                <w:spacing w:val="0"/>
              </w:rPr>
            </w:pPr>
          </w:p>
        </w:tc>
        <w:tc>
          <w:tcPr>
            <w:tcW w:w="147" w:type="dxa"/>
            <w:tcMar>
              <w:left w:w="0" w:type="dxa"/>
            </w:tcMar>
          </w:tcPr>
          <w:p w14:paraId="5D64DA2E" w14:textId="77777777" w:rsidR="00290725" w:rsidRPr="00EE0E68" w:rsidRDefault="00290725" w:rsidP="00A96D94">
            <w:pPr>
              <w:pStyle w:val="Textpoznpodarou"/>
              <w:spacing w:after="240"/>
              <w:jc w:val="both"/>
            </w:pPr>
          </w:p>
        </w:tc>
        <w:tc>
          <w:tcPr>
            <w:tcW w:w="7711" w:type="dxa"/>
            <w:tcMar>
              <w:left w:w="0" w:type="dxa"/>
            </w:tcMar>
          </w:tcPr>
          <w:p w14:paraId="01130B3B" w14:textId="77777777" w:rsidR="00290725" w:rsidRPr="00E357B4" w:rsidRDefault="00290725" w:rsidP="00A96D94">
            <w:pPr>
              <w:spacing w:after="200"/>
              <w:rPr>
                <w:rStyle w:val="normaltextrun"/>
                <w:rFonts w:eastAsiaTheme="majorEastAsia" w:cs="Arial"/>
                <w:szCs w:val="20"/>
              </w:rPr>
            </w:pPr>
            <w:r w:rsidRPr="00E357B4">
              <w:rPr>
                <w:rStyle w:val="normaltextrun"/>
                <w:rFonts w:eastAsiaTheme="majorEastAsia"/>
              </w:rPr>
              <w:t xml:space="preserve">Hodnota </w:t>
            </w:r>
            <w:r w:rsidRPr="00E357B4">
              <w:rPr>
                <w:rStyle w:val="normaltextrun"/>
                <w:rFonts w:eastAsiaTheme="majorEastAsia"/>
                <w:color w:val="0D0D0D" w:themeColor="text1" w:themeTint="F2"/>
              </w:rPr>
              <w:t>nově uzavřených stavebních zakázek v Česku</w:t>
            </w:r>
            <w:r w:rsidRPr="00E357B4">
              <w:rPr>
                <w:rStyle w:val="Znakapoznpodarou"/>
                <w:rFonts w:eastAsiaTheme="majorEastAsia"/>
                <w:color w:val="0D0D0D" w:themeColor="text1" w:themeTint="F2"/>
              </w:rPr>
              <w:footnoteReference w:id="26"/>
            </w:r>
            <w:r w:rsidRPr="00E357B4">
              <w:rPr>
                <w:rStyle w:val="normaltextrun"/>
                <w:rFonts w:eastAsiaTheme="majorEastAsia"/>
                <w:color w:val="0D0D0D" w:themeColor="text1" w:themeTint="F2"/>
              </w:rPr>
              <w:t xml:space="preserve"> se loni meziročně zvýšila o 9,8 %. K růstu přispěly oba hlavní segmenty odvětví, přičemž stejně jako v roce 2024 měly rozhodující význam zakázky v inženýrském stavitelství. V samotném 4. čtvrtletí 2025 se ovšem celkový objem zakázek lehce snížil (o 2,6 %), zčásti vlivem vysoké předloňské srovnávací základny v inženýrském stavitelství. </w:t>
            </w:r>
            <w:r w:rsidRPr="00E357B4">
              <w:rPr>
                <w:rStyle w:val="normaltextrun"/>
                <w:rFonts w:eastAsiaTheme="majorEastAsia" w:cs="Arial"/>
                <w:szCs w:val="20"/>
              </w:rPr>
              <w:t>Díky vysokému přílivu zakázek z přechozích kvartálů i dlouhodobějšímu horizontu jejich realizace zůstává celková zásoba práce tuzemských stavebních firem stále vysoká. Hodnota všech dosud nerealizovaných zakázek činil</w:t>
            </w:r>
            <w:r>
              <w:rPr>
                <w:rStyle w:val="normaltextrun"/>
                <w:rFonts w:eastAsiaTheme="majorEastAsia" w:cs="Arial"/>
                <w:szCs w:val="20"/>
              </w:rPr>
              <w:t>a</w:t>
            </w:r>
            <w:r w:rsidRPr="00E357B4">
              <w:rPr>
                <w:rStyle w:val="normaltextrun"/>
                <w:rFonts w:eastAsiaTheme="majorEastAsia" w:cs="Arial"/>
                <w:szCs w:val="20"/>
              </w:rPr>
              <w:t xml:space="preserve"> na konci loňského roku 401 mld. korun (z toho 68 % od veřejných zadavatelů </w:t>
            </w:r>
            <w:r>
              <w:rPr>
                <w:rStyle w:val="normaltextrun"/>
                <w:rFonts w:eastAsiaTheme="majorEastAsia" w:cs="Arial"/>
                <w:szCs w:val="20"/>
              </w:rPr>
              <w:t>v</w:t>
            </w:r>
            <w:r>
              <w:rPr>
                <w:rStyle w:val="normaltextrun"/>
                <w:rFonts w:eastAsiaTheme="majorEastAsia" w:cs="Arial"/>
              </w:rPr>
              <w:t xml:space="preserve"> </w:t>
            </w:r>
            <w:r w:rsidRPr="00E357B4">
              <w:rPr>
                <w:rStyle w:val="normaltextrun"/>
                <w:rFonts w:eastAsiaTheme="majorEastAsia" w:cs="Arial"/>
                <w:szCs w:val="20"/>
              </w:rPr>
              <w:t xml:space="preserve">tuzemsku a 2 % všech zakázek v zahraničí) a meziročně byl vyšší o více než pětinu (podobně u veřejných i soukromých tuzemských zakázek). Podle jiného předstihového ukazatele jsou vyhlídky stavebnictví horší. </w:t>
            </w:r>
            <w:r w:rsidRPr="00E357B4">
              <w:rPr>
                <w:rStyle w:val="normaltextrun"/>
                <w:rFonts w:eastAsiaTheme="majorEastAsia"/>
                <w:color w:val="0D0D0D" w:themeColor="text1" w:themeTint="F2"/>
              </w:rPr>
              <w:t xml:space="preserve">Orientační hodnota staveb, na které bylo </w:t>
            </w:r>
            <w:r w:rsidRPr="00E357B4">
              <w:rPr>
                <w:rStyle w:val="normaltextrun"/>
                <w:rFonts w:eastAsiaTheme="majorEastAsia"/>
              </w:rPr>
              <w:t>loni vydáno stavební povolení, se totiž meziročně snížila o 13,3</w:t>
            </w:r>
            <w:r>
              <w:rPr>
                <w:rStyle w:val="normaltextrun"/>
                <w:rFonts w:eastAsiaTheme="majorEastAsia"/>
              </w:rPr>
              <w:t> </w:t>
            </w:r>
            <w:r w:rsidRPr="00E357B4">
              <w:rPr>
                <w:rStyle w:val="normaltextrun"/>
                <w:rFonts w:eastAsiaTheme="majorEastAsia"/>
              </w:rPr>
              <w:t>%</w:t>
            </w:r>
            <w:r w:rsidRPr="00E357B4">
              <w:rPr>
                <w:rStyle w:val="Znakapoznpodarou"/>
                <w:rFonts w:eastAsiaTheme="majorEastAsia"/>
              </w:rPr>
              <w:footnoteReference w:id="27"/>
            </w:r>
            <w:r w:rsidRPr="00E357B4">
              <w:rPr>
                <w:rStyle w:val="normaltextrun"/>
                <w:rFonts w:eastAsiaTheme="majorEastAsia"/>
              </w:rPr>
              <w:t xml:space="preserve"> a prohloubila pokles z předchozího roku. Hodnota povolení klesala, vyjma 3. čtvrtletí, po celý loňský rok. K celoročnímu poklesu přispěly hlavně nové inženýrské stavby (dopravní i ostatní) a nebytové budovy. Oproti tomu loni významněji rostly jen modernizace či rekonstrukce dopravních staveb (+40 %). Na celkovém úbytku se </w:t>
            </w:r>
            <w:r w:rsidRPr="00E357B4">
              <w:rPr>
                <w:rStyle w:val="normaltextrun"/>
                <w:rFonts w:eastAsiaTheme="majorEastAsia"/>
              </w:rPr>
              <w:lastRenderedPageBreak/>
              <w:t>nejvíce podílely Moravskoslezský a Středočeský kraj, hodnota všech povolení naopak vzrostla pouze v Ústeckém kraji.</w:t>
            </w:r>
          </w:p>
        </w:tc>
      </w:tr>
      <w:tr w:rsidR="00290725" w:rsidRPr="00D232BB" w14:paraId="703D91CF" w14:textId="77777777" w:rsidTr="00A96D94">
        <w:trPr>
          <w:trHeight w:val="145"/>
        </w:trPr>
        <w:tc>
          <w:tcPr>
            <w:tcW w:w="1788" w:type="dxa"/>
            <w:tcMar>
              <w:left w:w="0" w:type="dxa"/>
            </w:tcMar>
          </w:tcPr>
          <w:p w14:paraId="3D69C5A9" w14:textId="77777777" w:rsidR="00290725" w:rsidRDefault="00290725" w:rsidP="00A96D94">
            <w:pPr>
              <w:pStyle w:val="Marginlie"/>
              <w:rPr>
                <w:spacing w:val="0"/>
              </w:rPr>
            </w:pPr>
            <w:r w:rsidRPr="00EE0E68">
              <w:rPr>
                <w:spacing w:val="0"/>
              </w:rPr>
              <w:lastRenderedPageBreak/>
              <w:t>Saldo důvěry podnikatelů ve stavebnictví se</w:t>
            </w:r>
            <w:r>
              <w:rPr>
                <w:spacing w:val="0"/>
              </w:rPr>
              <w:t xml:space="preserve"> po většinu roku zvyšovalo. </w:t>
            </w:r>
            <w:r w:rsidRPr="00EE0E68">
              <w:rPr>
                <w:spacing w:val="0"/>
              </w:rPr>
              <w:t>Zlepšilo se hodnocení poptávky</w:t>
            </w:r>
            <w:r>
              <w:rPr>
                <w:spacing w:val="0"/>
              </w:rPr>
              <w:t>,</w:t>
            </w:r>
            <w:r w:rsidRPr="00EE0E68">
              <w:rPr>
                <w:spacing w:val="0"/>
              </w:rPr>
              <w:t xml:space="preserve"> výhled</w:t>
            </w:r>
            <w:r>
              <w:rPr>
                <w:spacing w:val="0"/>
              </w:rPr>
              <w:t>y i</w:t>
            </w:r>
            <w:r>
              <w:rPr>
                <w:color w:val="0D0D0D" w:themeColor="text1" w:themeTint="F2"/>
                <w:spacing w:val="0"/>
              </w:rPr>
              <w:t> </w:t>
            </w:r>
            <w:r>
              <w:rPr>
                <w:spacing w:val="0"/>
              </w:rPr>
              <w:t xml:space="preserve">reálný stav </w:t>
            </w:r>
            <w:r w:rsidRPr="00EE0E68">
              <w:rPr>
                <w:spacing w:val="0"/>
              </w:rPr>
              <w:t xml:space="preserve">zaměstnanosti. </w:t>
            </w:r>
          </w:p>
          <w:p w14:paraId="1DD0AA01" w14:textId="77777777" w:rsidR="00290725" w:rsidRDefault="00290725" w:rsidP="00A96D94">
            <w:pPr>
              <w:pStyle w:val="Marginlie"/>
              <w:rPr>
                <w:spacing w:val="0"/>
              </w:rPr>
            </w:pPr>
          </w:p>
          <w:p w14:paraId="6916B862" w14:textId="77777777" w:rsidR="00290725" w:rsidRDefault="00290725" w:rsidP="00A96D94">
            <w:pPr>
              <w:pStyle w:val="Marginlie"/>
              <w:rPr>
                <w:spacing w:val="0"/>
              </w:rPr>
            </w:pPr>
          </w:p>
          <w:p w14:paraId="27AC8782" w14:textId="77777777" w:rsidR="00290725" w:rsidRPr="00EE0E68" w:rsidRDefault="00290725" w:rsidP="00A96D94">
            <w:pPr>
              <w:pStyle w:val="Marginlie"/>
              <w:rPr>
                <w:color w:val="0D0D0D" w:themeColor="text1" w:themeTint="F2"/>
                <w:spacing w:val="0"/>
              </w:rPr>
            </w:pPr>
            <w:r>
              <w:rPr>
                <w:spacing w:val="0"/>
              </w:rPr>
              <w:t>Nejvíce růstových bariér odvětví přetrvává v segmentu výstavby budov.</w:t>
            </w:r>
          </w:p>
        </w:tc>
        <w:tc>
          <w:tcPr>
            <w:tcW w:w="147" w:type="dxa"/>
            <w:tcMar>
              <w:left w:w="0" w:type="dxa"/>
            </w:tcMar>
          </w:tcPr>
          <w:p w14:paraId="20D73C07" w14:textId="77777777" w:rsidR="00290725" w:rsidRPr="00EE0E68" w:rsidRDefault="00290725" w:rsidP="00A96D94">
            <w:pPr>
              <w:pStyle w:val="Textpoznpodarou"/>
              <w:spacing w:after="240"/>
              <w:jc w:val="both"/>
            </w:pPr>
          </w:p>
        </w:tc>
        <w:tc>
          <w:tcPr>
            <w:tcW w:w="7711" w:type="dxa"/>
            <w:tcMar>
              <w:left w:w="0" w:type="dxa"/>
            </w:tcMar>
          </w:tcPr>
          <w:p w14:paraId="7C269C0D" w14:textId="77777777" w:rsidR="00290725" w:rsidRPr="00E357B4" w:rsidRDefault="00290725" w:rsidP="00A96D94">
            <w:pPr>
              <w:spacing w:after="200"/>
              <w:rPr>
                <w:rStyle w:val="normaltextrun"/>
                <w:rFonts w:eastAsiaTheme="majorEastAsia" w:cs="Arial"/>
                <w:szCs w:val="20"/>
              </w:rPr>
            </w:pPr>
            <w:r w:rsidRPr="00E357B4">
              <w:rPr>
                <w:color w:val="0D0D0D" w:themeColor="text1" w:themeTint="F2"/>
              </w:rPr>
              <w:t>P</w:t>
            </w:r>
            <w:r w:rsidRPr="00E357B4">
              <w:rPr>
                <w:rStyle w:val="normaltextrun"/>
                <w:rFonts w:eastAsiaTheme="majorEastAsia" w:cs="Arial"/>
                <w:color w:val="0D0D0D" w:themeColor="text1" w:themeTint="F2"/>
                <w:szCs w:val="20"/>
              </w:rPr>
              <w:t xml:space="preserve">esimismus ve stavebnictví se od podzimu </w:t>
            </w:r>
            <w:r w:rsidRPr="00E357B4">
              <w:rPr>
                <w:rStyle w:val="normaltextrun"/>
                <w:rFonts w:eastAsiaTheme="majorEastAsia" w:cs="Arial"/>
                <w:szCs w:val="20"/>
              </w:rPr>
              <w:t xml:space="preserve">2024 zmírňoval a loni v červnu se saldo důvěry firem po více než třech letech vrátilo do kladného pásma. Na přelomu roku 2025 a 2026 sice došlo k mírné korekci, když saldo důvěry dosáhlo v únoru </w:t>
            </w:r>
            <w:r w:rsidRPr="00E357B4">
              <w:rPr>
                <w:color w:val="000000" w:themeColor="text1"/>
              </w:rPr>
              <w:t>−2</w:t>
            </w:r>
            <w:r w:rsidRPr="00E357B4">
              <w:rPr>
                <w:rStyle w:val="normaltextrun"/>
                <w:rFonts w:eastAsiaTheme="majorEastAsia" w:cs="Arial"/>
                <w:szCs w:val="20"/>
              </w:rPr>
              <w:t xml:space="preserve">,0 bodu, v meziročním pohledu bylo však stále mírně příznivější a současně výrazněji převyšovalo dlouhodobý průměr. </w:t>
            </w:r>
            <w:r w:rsidRPr="00E357B4">
              <w:rPr>
                <w:rStyle w:val="normaltextrun"/>
                <w:rFonts w:eastAsia="MS Gothic" w:cs="Arial"/>
                <w:szCs w:val="20"/>
              </w:rPr>
              <w:t>Mírně pozitivní očekávání nejbližšího vývoje stavební činnosti (s výhledem na letošní jarní měsíce) se odrazila v plánech na nábor pracovníků</w:t>
            </w:r>
            <w:r w:rsidRPr="00E357B4">
              <w:rPr>
                <w:rStyle w:val="Znakapoznpodarou"/>
                <w:rFonts w:eastAsia="MS Gothic"/>
                <w:szCs w:val="20"/>
              </w:rPr>
              <w:footnoteReference w:id="28"/>
            </w:r>
            <w:r w:rsidRPr="00E357B4">
              <w:rPr>
                <w:rStyle w:val="normaltextrun"/>
                <w:rFonts w:eastAsia="MS Gothic" w:cs="Arial"/>
                <w:szCs w:val="20"/>
              </w:rPr>
              <w:t xml:space="preserve">. Příznivě hodnotilo aktuálně svou finanční situaci 35 % firem (nepříznivě jen 3 %), v půlročním výhledu zde očekává zlepšení každý čtvrtý podnik (zhoršení jen každý dvacátý). Současnou poptávku ovšem stále nepříznivě vnímá pětina firem. </w:t>
            </w:r>
            <w:r w:rsidRPr="00E357B4">
              <w:rPr>
                <w:rStyle w:val="normaltextrun"/>
                <w:rFonts w:eastAsia="MS Gothic"/>
              </w:rPr>
              <w:t>Výkon celého odvětví limitují chronické růstové bariéry</w:t>
            </w:r>
            <w:r w:rsidRPr="00E357B4">
              <w:rPr>
                <w:rStyle w:val="Znakapoznpodarou"/>
                <w:rFonts w:eastAsia="MS Gothic"/>
              </w:rPr>
              <w:footnoteReference w:id="29"/>
            </w:r>
            <w:r w:rsidRPr="00E357B4">
              <w:rPr>
                <w:rStyle w:val="normaltextrun"/>
                <w:rFonts w:eastAsia="MS Gothic"/>
              </w:rPr>
              <w:t>. Fakticky již více než sedm let v řadě je tou nejvýznamnější nedostatek (zejména kvalifikovaných) zaměstnanců. J</w:t>
            </w:r>
            <w:r w:rsidRPr="00E357B4">
              <w:rPr>
                <w:rStyle w:val="normaltextrun"/>
                <w:rFonts w:eastAsiaTheme="majorEastAsia" w:cs="Arial"/>
                <w:szCs w:val="20"/>
              </w:rPr>
              <w:t xml:space="preserve">ako jednu </w:t>
            </w:r>
            <w:r w:rsidRPr="00191AE2">
              <w:rPr>
                <w:rStyle w:val="normaltextrun"/>
                <w:rFonts w:eastAsiaTheme="majorEastAsia" w:cs="Arial"/>
                <w:spacing w:val="-2"/>
                <w:szCs w:val="20"/>
              </w:rPr>
              <w:t>z bariér ji uvedlo okolo 50 % firem, obdobně jako na počátku loňského roku)</w:t>
            </w:r>
            <w:r w:rsidRPr="00191AE2">
              <w:rPr>
                <w:rStyle w:val="normaltextrun"/>
                <w:rFonts w:eastAsia="MS Gothic"/>
                <w:spacing w:val="-2"/>
              </w:rPr>
              <w:t>. Nedostatečná</w:t>
            </w:r>
            <w:r w:rsidRPr="00E357B4">
              <w:rPr>
                <w:rStyle w:val="normaltextrun"/>
                <w:rFonts w:eastAsia="MS Gothic"/>
              </w:rPr>
              <w:t xml:space="preserve"> poptávka sužovala </w:t>
            </w:r>
            <w:r>
              <w:rPr>
                <w:rStyle w:val="normaltextrun"/>
                <w:rFonts w:eastAsia="MS Gothic"/>
              </w:rPr>
              <w:t>skoro</w:t>
            </w:r>
            <w:r w:rsidRPr="00E357B4">
              <w:rPr>
                <w:rStyle w:val="normaltextrun"/>
                <w:rFonts w:eastAsia="MS Gothic"/>
              </w:rPr>
              <w:t xml:space="preserve"> třetinu firem</w:t>
            </w:r>
            <w:r w:rsidRPr="00E357B4">
              <w:rPr>
                <w:rStyle w:val="Znakapoznpodarou"/>
                <w:rFonts w:eastAsia="MS Gothic"/>
              </w:rPr>
              <w:footnoteReference w:id="30"/>
            </w:r>
            <w:r w:rsidRPr="00E357B4">
              <w:rPr>
                <w:rStyle w:val="normaltextrun"/>
                <w:rFonts w:eastAsia="MS Gothic"/>
              </w:rPr>
              <w:t xml:space="preserve"> a tento podíl se meziročně mírně zvýšil. Příznivé naopak je, že problém s nedostatkem materiálu či vybavení, který byl palčivý v letech 2021 až 2024, již během loňska z velké části vymizel. To přispělo ke stabilizaci cen stavebních materiálů i </w:t>
            </w:r>
            <w:r w:rsidRPr="00E357B4">
              <w:rPr>
                <w:rStyle w:val="normaltextrun"/>
                <w:rFonts w:eastAsiaTheme="majorEastAsia"/>
              </w:rPr>
              <w:t>zmírnění o</w:t>
            </w:r>
            <w:r w:rsidRPr="00E357B4">
              <w:rPr>
                <w:rStyle w:val="normaltextrun"/>
                <w:rFonts w:eastAsia="MS Gothic"/>
              </w:rPr>
              <w:t>čekávaného růstu cen celkové stavební produkce</w:t>
            </w:r>
            <w:r w:rsidRPr="00E357B4">
              <w:rPr>
                <w:rStyle w:val="Znakapoznpodarou"/>
                <w:rFonts w:eastAsia="MS Gothic"/>
              </w:rPr>
              <w:footnoteReference w:id="31"/>
            </w:r>
            <w:r w:rsidRPr="00E357B4">
              <w:rPr>
                <w:rStyle w:val="normaltextrun"/>
                <w:rFonts w:eastAsia="MS Gothic"/>
              </w:rPr>
              <w:t>.</w:t>
            </w:r>
          </w:p>
        </w:tc>
      </w:tr>
      <w:tr w:rsidR="00290725" w:rsidRPr="00D232BB" w14:paraId="00079982" w14:textId="77777777" w:rsidTr="00A96D94">
        <w:trPr>
          <w:trHeight w:val="145"/>
        </w:trPr>
        <w:tc>
          <w:tcPr>
            <w:tcW w:w="1788" w:type="dxa"/>
            <w:tcMar>
              <w:left w:w="0" w:type="dxa"/>
            </w:tcMar>
          </w:tcPr>
          <w:p w14:paraId="050FB268" w14:textId="77777777" w:rsidR="00290725" w:rsidRPr="00EE0E68" w:rsidRDefault="00290725" w:rsidP="00A96D94">
            <w:pPr>
              <w:pStyle w:val="Marginlie"/>
              <w:spacing w:after="240"/>
              <w:rPr>
                <w:color w:val="0D0D0D" w:themeColor="text1" w:themeTint="F2"/>
                <w:spacing w:val="0"/>
              </w:rPr>
            </w:pPr>
          </w:p>
        </w:tc>
        <w:tc>
          <w:tcPr>
            <w:tcW w:w="147" w:type="dxa"/>
            <w:tcMar>
              <w:left w:w="0" w:type="dxa"/>
            </w:tcMar>
          </w:tcPr>
          <w:p w14:paraId="463BEB2A" w14:textId="77777777" w:rsidR="00290725" w:rsidRPr="00EE0E68" w:rsidRDefault="00290725" w:rsidP="00A96D94">
            <w:pPr>
              <w:pStyle w:val="Textpoznpodarou"/>
              <w:spacing w:after="240"/>
              <w:jc w:val="both"/>
            </w:pPr>
          </w:p>
        </w:tc>
        <w:tc>
          <w:tcPr>
            <w:tcW w:w="7711" w:type="dxa"/>
            <w:tcMar>
              <w:left w:w="0" w:type="dxa"/>
            </w:tcMar>
          </w:tcPr>
          <w:p w14:paraId="03B98A9F" w14:textId="77777777" w:rsidR="00290725" w:rsidRPr="00E357B4" w:rsidRDefault="00290725" w:rsidP="00A96D94">
            <w:pPr>
              <w:spacing w:after="40"/>
              <w:rPr>
                <w:color w:val="0D0D0D" w:themeColor="text1" w:themeTint="F2"/>
              </w:rPr>
            </w:pPr>
            <w:r w:rsidRPr="00E357B4">
              <w:rPr>
                <w:b/>
                <w:color w:val="0D0D0D" w:themeColor="text1" w:themeTint="F2"/>
              </w:rPr>
              <w:t>Graf č. 6 Příspěvky odvětví k meziroční změně stavební produkce (reálně, v p. b.),</w:t>
            </w:r>
            <w:r w:rsidRPr="00E357B4">
              <w:rPr>
                <w:b/>
                <w:color w:val="0D0D0D" w:themeColor="text1" w:themeTint="F2"/>
              </w:rPr>
              <w:br/>
              <w:t>nové stavební zakázky</w:t>
            </w:r>
            <w:r w:rsidRPr="00E357B4">
              <w:rPr>
                <w:color w:val="0D0D0D" w:themeColor="text1" w:themeTint="F2"/>
              </w:rPr>
              <w:t xml:space="preserve"> (nominálně, meziročně, v %), </w:t>
            </w:r>
            <w:r w:rsidRPr="00E357B4">
              <w:rPr>
                <w:b/>
                <w:color w:val="0D0D0D" w:themeColor="text1" w:themeTint="F2"/>
              </w:rPr>
              <w:t>saldo důvěry podnikatelů ve stavebnictví*</w:t>
            </w:r>
            <w:r w:rsidRPr="00E357B4">
              <w:rPr>
                <w:color w:val="0D0D0D" w:themeColor="text1" w:themeTint="F2"/>
              </w:rPr>
              <w:t xml:space="preserve"> (v p. b., pravá osa) </w:t>
            </w:r>
            <w:r w:rsidRPr="00E357B4">
              <w:rPr>
                <w:b/>
                <w:color w:val="0D0D0D" w:themeColor="text1" w:themeTint="F2"/>
              </w:rPr>
              <w:t>a vybrané bariéry růstu*</w:t>
            </w:r>
            <w:r w:rsidRPr="00E357B4">
              <w:rPr>
                <w:color w:val="0D0D0D" w:themeColor="text1" w:themeTint="F2"/>
              </w:rPr>
              <w:t xml:space="preserve"> (v %, pravá osa)</w:t>
            </w:r>
          </w:p>
        </w:tc>
      </w:tr>
      <w:tr w:rsidR="00290725" w:rsidRPr="0067514E" w14:paraId="4BE78179" w14:textId="77777777" w:rsidTr="00A96D94">
        <w:tblPrEx>
          <w:tblCellMar>
            <w:left w:w="70" w:type="dxa"/>
            <w:right w:w="70" w:type="dxa"/>
          </w:tblCellMar>
        </w:tblPrEx>
        <w:trPr>
          <w:trHeight w:val="145"/>
        </w:trPr>
        <w:tc>
          <w:tcPr>
            <w:tcW w:w="1788" w:type="dxa"/>
          </w:tcPr>
          <w:p w14:paraId="3E98B5FE" w14:textId="77777777" w:rsidR="00290725" w:rsidRPr="00EE0E68" w:rsidRDefault="00290725" w:rsidP="00A96D94">
            <w:pPr>
              <w:pStyle w:val="Marginlie"/>
              <w:spacing w:after="240"/>
              <w:rPr>
                <w:color w:val="0D0D0D" w:themeColor="text1" w:themeTint="F2"/>
                <w:spacing w:val="0"/>
              </w:rPr>
            </w:pPr>
          </w:p>
        </w:tc>
        <w:tc>
          <w:tcPr>
            <w:tcW w:w="147" w:type="dxa"/>
          </w:tcPr>
          <w:p w14:paraId="038A99BC" w14:textId="77777777" w:rsidR="00290725" w:rsidRPr="00EE0E68" w:rsidRDefault="00290725" w:rsidP="00A96D94">
            <w:pPr>
              <w:pStyle w:val="Textpoznpodarou"/>
              <w:spacing w:after="240"/>
              <w:jc w:val="both"/>
            </w:pPr>
          </w:p>
        </w:tc>
        <w:tc>
          <w:tcPr>
            <w:tcW w:w="7711" w:type="dxa"/>
          </w:tcPr>
          <w:p w14:paraId="773874D8" w14:textId="77777777" w:rsidR="00290725" w:rsidRPr="00E357B4" w:rsidRDefault="00290725" w:rsidP="00A96D94">
            <w:pPr>
              <w:spacing w:before="40" w:after="40"/>
              <w:rPr>
                <w:color w:val="0D0D0D" w:themeColor="text1" w:themeTint="F2"/>
              </w:rPr>
            </w:pPr>
            <w:r w:rsidRPr="00E357B4">
              <w:rPr>
                <w:noProof/>
              </w:rPr>
              <w:drawing>
                <wp:inline distT="0" distB="0" distL="0" distR="0" wp14:anchorId="1B481E60" wp14:editId="38C21514">
                  <wp:extent cx="4724400" cy="3484245"/>
                  <wp:effectExtent l="0" t="0" r="0" b="1905"/>
                  <wp:docPr id="1538283329" name="Graf 1">
                    <a:extLst xmlns:a="http://schemas.openxmlformats.org/drawingml/2006/main">
                      <a:ext uri="{FF2B5EF4-FFF2-40B4-BE49-F238E27FC236}">
                        <a16:creationId xmlns:a16="http://schemas.microsoft.com/office/drawing/2014/main" id="{00000000-0008-0000-0E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290725" w:rsidRPr="00EC434A" w14:paraId="3A10CB7A" w14:textId="77777777" w:rsidTr="00A96D94">
        <w:trPr>
          <w:trHeight w:val="145"/>
        </w:trPr>
        <w:tc>
          <w:tcPr>
            <w:tcW w:w="1788" w:type="dxa"/>
            <w:tcMar>
              <w:left w:w="0" w:type="dxa"/>
            </w:tcMar>
          </w:tcPr>
          <w:p w14:paraId="0B5ED44E" w14:textId="77777777" w:rsidR="00290725" w:rsidRPr="00EE0E68" w:rsidRDefault="00290725" w:rsidP="00A96D94">
            <w:pPr>
              <w:pStyle w:val="Marginlie"/>
              <w:spacing w:after="240"/>
              <w:rPr>
                <w:color w:val="0D0D0D" w:themeColor="text1" w:themeTint="F2"/>
                <w:spacing w:val="0"/>
              </w:rPr>
            </w:pPr>
          </w:p>
        </w:tc>
        <w:tc>
          <w:tcPr>
            <w:tcW w:w="147" w:type="dxa"/>
            <w:tcMar>
              <w:left w:w="0" w:type="dxa"/>
            </w:tcMar>
          </w:tcPr>
          <w:p w14:paraId="5003638A" w14:textId="77777777" w:rsidR="00290725" w:rsidRPr="00EE0E68" w:rsidRDefault="00290725" w:rsidP="00A96D94">
            <w:pPr>
              <w:pStyle w:val="Textpoznpodarou"/>
              <w:spacing w:after="240"/>
              <w:jc w:val="both"/>
            </w:pPr>
          </w:p>
        </w:tc>
        <w:tc>
          <w:tcPr>
            <w:tcW w:w="7711" w:type="dxa"/>
            <w:tcMar>
              <w:left w:w="0" w:type="dxa"/>
            </w:tcMar>
          </w:tcPr>
          <w:p w14:paraId="2D0E8F9B" w14:textId="77777777" w:rsidR="00290725" w:rsidRPr="00E357B4" w:rsidRDefault="00290725" w:rsidP="00A96D94">
            <w:pPr>
              <w:spacing w:after="0"/>
              <w:rPr>
                <w:color w:val="0D0D0D" w:themeColor="text1" w:themeTint="F2"/>
                <w:sz w:val="14"/>
                <w:szCs w:val="14"/>
              </w:rPr>
            </w:pPr>
            <w:r w:rsidRPr="00E357B4">
              <w:rPr>
                <w:color w:val="0D0D0D" w:themeColor="text1" w:themeTint="F2"/>
                <w:sz w:val="14"/>
                <w:szCs w:val="14"/>
              </w:rPr>
              <w:t>Poznámka: Údaje o stavební produkci jsou očištěny o kalendářní vlivy.</w:t>
            </w:r>
          </w:p>
          <w:p w14:paraId="22A80B6C" w14:textId="77777777" w:rsidR="00290725" w:rsidRPr="00E357B4" w:rsidRDefault="00290725" w:rsidP="00A96D94">
            <w:pPr>
              <w:spacing w:after="0"/>
              <w:rPr>
                <w:color w:val="0D0D0D" w:themeColor="text1" w:themeTint="F2"/>
                <w:sz w:val="14"/>
                <w:szCs w:val="14"/>
              </w:rPr>
            </w:pPr>
            <w:r w:rsidRPr="00E357B4">
              <w:rPr>
                <w:color w:val="0D0D0D" w:themeColor="text1" w:themeTint="F2"/>
                <w:sz w:val="14"/>
                <w:szCs w:val="14"/>
              </w:rPr>
              <w:t>*Saldo důvěry podnikatelů i bariéry růstu jsou sezónně očištěny a vyjadřují stav ve druhém měsíci daného čtvrtletí. Podniky mohly uvést více hlavních bariér současně.</w:t>
            </w:r>
          </w:p>
          <w:p w14:paraId="23CAE71B" w14:textId="77777777" w:rsidR="00290725" w:rsidRPr="00E357B4" w:rsidRDefault="00290725" w:rsidP="00A96D94">
            <w:pPr>
              <w:spacing w:after="200"/>
              <w:rPr>
                <w:color w:val="0D0D0D" w:themeColor="text1" w:themeTint="F2"/>
                <w:sz w:val="16"/>
                <w:szCs w:val="16"/>
              </w:rPr>
            </w:pPr>
            <w:r w:rsidRPr="00E357B4">
              <w:rPr>
                <w:color w:val="0D0D0D" w:themeColor="text1" w:themeTint="F2"/>
                <w:sz w:val="14"/>
                <w:szCs w:val="14"/>
              </w:rPr>
              <w:t xml:space="preserve">Zdroj: ČSÚ, </w:t>
            </w:r>
            <w:proofErr w:type="spellStart"/>
            <w:r w:rsidRPr="00E357B4">
              <w:rPr>
                <w:color w:val="0D0D0D" w:themeColor="text1" w:themeTint="F2"/>
                <w:sz w:val="14"/>
                <w:szCs w:val="14"/>
              </w:rPr>
              <w:t>Eurostat</w:t>
            </w:r>
            <w:proofErr w:type="spellEnd"/>
          </w:p>
        </w:tc>
      </w:tr>
      <w:tr w:rsidR="00290725" w14:paraId="7A6763C2" w14:textId="77777777" w:rsidTr="00A96D94">
        <w:trPr>
          <w:trHeight w:val="170"/>
        </w:trPr>
        <w:tc>
          <w:tcPr>
            <w:tcW w:w="1788" w:type="dxa"/>
            <w:tcMar>
              <w:left w:w="0" w:type="dxa"/>
            </w:tcMar>
          </w:tcPr>
          <w:p w14:paraId="315AEAE7" w14:textId="77777777" w:rsidR="00290725" w:rsidRPr="00EE0E68" w:rsidRDefault="00290725" w:rsidP="00A96D94">
            <w:pPr>
              <w:pStyle w:val="Marginlie"/>
              <w:rPr>
                <w:spacing w:val="0"/>
              </w:rPr>
            </w:pPr>
            <w:r>
              <w:rPr>
                <w:spacing w:val="0"/>
              </w:rPr>
              <w:lastRenderedPageBreak/>
              <w:t xml:space="preserve">Mírný růst poptávky po službách loni </w:t>
            </w:r>
            <w:r w:rsidRPr="000F21D6">
              <w:rPr>
                <w:color w:val="0D0D0D" w:themeColor="text1" w:themeTint="F2"/>
                <w:spacing w:val="0"/>
              </w:rPr>
              <w:t>p</w:t>
            </w:r>
            <w:r>
              <w:rPr>
                <w:color w:val="0D0D0D" w:themeColor="text1" w:themeTint="F2"/>
                <w:spacing w:val="0"/>
              </w:rPr>
              <w:t>řetrval.</w:t>
            </w:r>
            <w:r w:rsidRPr="000F21D6">
              <w:rPr>
                <w:color w:val="0D0D0D" w:themeColor="text1" w:themeTint="F2"/>
                <w:spacing w:val="0"/>
              </w:rPr>
              <w:t xml:space="preserve"> </w:t>
            </w:r>
            <w:proofErr w:type="spellStart"/>
            <w:r w:rsidRPr="000F21D6">
              <w:rPr>
                <w:color w:val="0D0D0D" w:themeColor="text1" w:themeTint="F2"/>
                <w:spacing w:val="0"/>
              </w:rPr>
              <w:t>Mezikvartální</w:t>
            </w:r>
            <w:proofErr w:type="spellEnd"/>
            <w:r w:rsidRPr="000F21D6">
              <w:rPr>
                <w:color w:val="0D0D0D" w:themeColor="text1" w:themeTint="F2"/>
                <w:spacing w:val="0"/>
              </w:rPr>
              <w:t xml:space="preserve"> vývoj tržeb byl ovlivněn kolísavým vývojem </w:t>
            </w:r>
            <w:r w:rsidRPr="000F21D6">
              <w:rPr>
                <w:color w:val="0D0D0D" w:themeColor="text1" w:themeTint="F2"/>
                <w:spacing w:val="-4"/>
              </w:rPr>
              <w:t>v odvětvích vázaných na situaci v průmyslu.</w:t>
            </w:r>
          </w:p>
        </w:tc>
        <w:tc>
          <w:tcPr>
            <w:tcW w:w="147" w:type="dxa"/>
            <w:tcMar>
              <w:left w:w="0" w:type="dxa"/>
            </w:tcMar>
          </w:tcPr>
          <w:p w14:paraId="07F262C2" w14:textId="77777777" w:rsidR="00290725" w:rsidRPr="00EE0E68" w:rsidRDefault="00290725" w:rsidP="00A96D94">
            <w:pPr>
              <w:pStyle w:val="Textpoznpodarou"/>
              <w:jc w:val="both"/>
            </w:pPr>
          </w:p>
        </w:tc>
        <w:tc>
          <w:tcPr>
            <w:tcW w:w="7711" w:type="dxa"/>
            <w:tcMar>
              <w:left w:w="0" w:type="dxa"/>
            </w:tcMar>
          </w:tcPr>
          <w:p w14:paraId="78C360D9" w14:textId="77777777" w:rsidR="00290725" w:rsidRPr="00E357B4" w:rsidRDefault="00290725" w:rsidP="00A96D94">
            <w:pPr>
              <w:spacing w:after="200"/>
              <w:rPr>
                <w:rStyle w:val="normaltextrun"/>
                <w:rFonts w:eastAsiaTheme="majorEastAsia"/>
              </w:rPr>
            </w:pPr>
            <w:r w:rsidRPr="00E357B4">
              <w:rPr>
                <w:rStyle w:val="normaltextrun"/>
                <w:rFonts w:eastAsiaTheme="majorEastAsia"/>
              </w:rPr>
              <w:t xml:space="preserve">Služby loni navázaly na </w:t>
            </w:r>
            <w:r w:rsidRPr="00E357B4">
              <w:rPr>
                <w:rStyle w:val="normaltextrun"/>
                <w:rFonts w:eastAsiaTheme="majorEastAsia"/>
                <w:color w:val="0D0D0D" w:themeColor="text1" w:themeTint="F2"/>
              </w:rPr>
              <w:t xml:space="preserve">mírné oživení z roku 2024. </w:t>
            </w:r>
            <w:r w:rsidRPr="00E357B4">
              <w:rPr>
                <w:color w:val="0D0D0D" w:themeColor="text1" w:themeTint="F2"/>
              </w:rPr>
              <w:t>Stabilizace hladiny spotřebitelských cen pomohla znovu</w:t>
            </w:r>
            <w:r>
              <w:rPr>
                <w:color w:val="0D0D0D" w:themeColor="text1" w:themeTint="F2"/>
              </w:rPr>
              <w:t xml:space="preserve"> </w:t>
            </w:r>
            <w:r w:rsidRPr="00E357B4">
              <w:rPr>
                <w:color w:val="0D0D0D" w:themeColor="text1" w:themeTint="F2"/>
              </w:rPr>
              <w:t xml:space="preserve">nastartovat růst reálných mezd zaměstnanců, což se odrazilo v příznivější finanční situaci domácností a následně </w:t>
            </w:r>
            <w:r>
              <w:rPr>
                <w:color w:val="0D0D0D" w:themeColor="text1" w:themeTint="F2"/>
              </w:rPr>
              <w:t xml:space="preserve">to </w:t>
            </w:r>
            <w:r w:rsidRPr="00E357B4">
              <w:rPr>
                <w:color w:val="0D0D0D" w:themeColor="text1" w:themeTint="F2"/>
              </w:rPr>
              <w:t>stimulovalo jejich spotřebu. Na služby působila pozitivně i</w:t>
            </w:r>
            <w:r w:rsidRPr="00E357B4">
              <w:rPr>
                <w:rStyle w:val="normaltextrun"/>
                <w:rFonts w:eastAsia="MS Gothic"/>
                <w:color w:val="0D0D0D" w:themeColor="text1" w:themeTint="F2"/>
              </w:rPr>
              <w:t> </w:t>
            </w:r>
            <w:r w:rsidRPr="00E357B4">
              <w:rPr>
                <w:color w:val="0D0D0D" w:themeColor="text1" w:themeTint="F2"/>
              </w:rPr>
              <w:t xml:space="preserve">mírně rostoucí podniková poptávka. </w:t>
            </w:r>
            <w:proofErr w:type="spellStart"/>
            <w:r w:rsidRPr="00E357B4">
              <w:rPr>
                <w:color w:val="0D0D0D" w:themeColor="text1" w:themeTint="F2"/>
              </w:rPr>
              <w:t>Mezikvartální</w:t>
            </w:r>
            <w:proofErr w:type="spellEnd"/>
            <w:r w:rsidRPr="00E357B4">
              <w:rPr>
                <w:color w:val="0D0D0D" w:themeColor="text1" w:themeTint="F2"/>
              </w:rPr>
              <w:t xml:space="preserve"> růst </w:t>
            </w:r>
            <w:r w:rsidRPr="00E357B4">
              <w:rPr>
                <w:rFonts w:cs="Arial"/>
                <w:color w:val="0D0D0D" w:themeColor="text1" w:themeTint="F2"/>
              </w:rPr>
              <w:t>tržeb ve službách</w:t>
            </w:r>
            <w:r w:rsidRPr="00E357B4">
              <w:rPr>
                <w:color w:val="0D0D0D" w:themeColor="text1" w:themeTint="F2"/>
                <w:vertAlign w:val="superscript"/>
              </w:rPr>
              <w:footnoteReference w:id="32"/>
            </w:r>
            <w:r w:rsidRPr="00E357B4">
              <w:rPr>
                <w:rFonts w:cs="Arial"/>
                <w:color w:val="0D0D0D" w:themeColor="text1" w:themeTint="F2"/>
              </w:rPr>
              <w:t xml:space="preserve"> na počátku loňského roku proto zrychlil (na 1,5 %) hlavně zásluhou profesních, vědeckých a technických činností. Ve 2. i 3. čtvrtletí se však celkový růst zastavil, neboť se projevila slabší poptávka v dopravě a skladování, která reagovala na kolísavou situaci v průmyslu. Na samém konci roku došlo vlivem významnějšího posílení investiční aktivity firem v ekonomice k růstu poptávky v průmyslu i </w:t>
            </w:r>
            <w:r>
              <w:rPr>
                <w:rFonts w:cs="Arial"/>
                <w:color w:val="0D0D0D" w:themeColor="text1" w:themeTint="F2"/>
              </w:rPr>
              <w:t xml:space="preserve">v </w:t>
            </w:r>
            <w:r w:rsidRPr="00E357B4">
              <w:rPr>
                <w:rFonts w:cs="Arial"/>
                <w:color w:val="0D0D0D" w:themeColor="text1" w:themeTint="F2"/>
              </w:rPr>
              <w:t>návazných odvětví</w:t>
            </w:r>
            <w:r>
              <w:rPr>
                <w:rFonts w:cs="Arial"/>
                <w:color w:val="0D0D0D" w:themeColor="text1" w:themeTint="F2"/>
              </w:rPr>
              <w:t xml:space="preserve">ch </w:t>
            </w:r>
            <w:r w:rsidRPr="00E357B4">
              <w:rPr>
                <w:rFonts w:cs="Arial"/>
                <w:color w:val="0D0D0D" w:themeColor="text1" w:themeTint="F2"/>
              </w:rPr>
              <w:t>služeb. To vedlo k posílení dopravy a skladování, tržby však rostly ve všech hlavních odvětvích služeb (vyjma činností v oblast</w:t>
            </w:r>
            <w:r>
              <w:rPr>
                <w:rFonts w:cs="Arial"/>
                <w:color w:val="0D0D0D" w:themeColor="text1" w:themeTint="F2"/>
              </w:rPr>
              <w:t>i</w:t>
            </w:r>
            <w:r w:rsidRPr="00E357B4">
              <w:rPr>
                <w:rFonts w:cs="Arial"/>
                <w:color w:val="0D0D0D" w:themeColor="text1" w:themeTint="F2"/>
              </w:rPr>
              <w:t xml:space="preserve"> nemovitostí). Celkové tržby ve službách se </w:t>
            </w:r>
            <w:r>
              <w:rPr>
                <w:rFonts w:cs="Arial"/>
                <w:color w:val="0D0D0D" w:themeColor="text1" w:themeTint="F2"/>
              </w:rPr>
              <w:t>tak</w:t>
            </w:r>
            <w:r w:rsidRPr="00E357B4">
              <w:rPr>
                <w:rFonts w:cs="Arial"/>
                <w:color w:val="0D0D0D" w:themeColor="text1" w:themeTint="F2"/>
              </w:rPr>
              <w:t xml:space="preserve"> nacházely mírně nad úrovní z vrcholu předpandemické konju</w:t>
            </w:r>
            <w:r>
              <w:rPr>
                <w:rFonts w:cs="Arial"/>
                <w:color w:val="0D0D0D" w:themeColor="text1" w:themeTint="F2"/>
              </w:rPr>
              <w:t>n</w:t>
            </w:r>
            <w:r w:rsidRPr="00E357B4">
              <w:rPr>
                <w:rFonts w:cs="Arial"/>
                <w:color w:val="0D0D0D" w:themeColor="text1" w:themeTint="F2"/>
              </w:rPr>
              <w:t>ktury</w:t>
            </w:r>
            <w:r w:rsidRPr="00E357B4">
              <w:rPr>
                <w:rStyle w:val="Znakapoznpodarou"/>
                <w:color w:val="0D0D0D" w:themeColor="text1" w:themeTint="F2"/>
              </w:rPr>
              <w:footnoteReference w:id="33"/>
            </w:r>
            <w:r w:rsidRPr="00E357B4">
              <w:rPr>
                <w:rFonts w:cs="Arial"/>
                <w:color w:val="0D0D0D" w:themeColor="text1" w:themeTint="F2"/>
              </w:rPr>
              <w:t>.</w:t>
            </w:r>
          </w:p>
        </w:tc>
      </w:tr>
      <w:tr w:rsidR="00290725" w:rsidRPr="006B7463" w14:paraId="2A3806F2" w14:textId="77777777" w:rsidTr="00A96D94">
        <w:trPr>
          <w:trHeight w:val="170"/>
        </w:trPr>
        <w:tc>
          <w:tcPr>
            <w:tcW w:w="1788" w:type="dxa"/>
            <w:tcMar>
              <w:left w:w="0" w:type="dxa"/>
            </w:tcMar>
          </w:tcPr>
          <w:p w14:paraId="6B6AFE4A" w14:textId="77777777" w:rsidR="00290725" w:rsidRDefault="00290725" w:rsidP="00A96D94">
            <w:pPr>
              <w:pStyle w:val="Marginlie"/>
            </w:pPr>
            <w:r>
              <w:t xml:space="preserve">K meziročnímu růstu tržeb ve službách přispívaly loni nejvíce vyspělé podnikové služby tažené vyšší poptávkou po inženýrských </w:t>
            </w:r>
            <w:r>
              <w:br/>
              <w:t>a architektonických činnostech.</w:t>
            </w:r>
          </w:p>
        </w:tc>
        <w:tc>
          <w:tcPr>
            <w:tcW w:w="0" w:type="auto"/>
            <w:tcMar>
              <w:left w:w="0" w:type="dxa"/>
            </w:tcMar>
          </w:tcPr>
          <w:p w14:paraId="02AA3D9F" w14:textId="77777777" w:rsidR="00290725" w:rsidRPr="006B7463" w:rsidRDefault="00290725" w:rsidP="00A96D94">
            <w:pPr>
              <w:pStyle w:val="Textpoznpodarou"/>
              <w:jc w:val="both"/>
              <w:rPr>
                <w:color w:val="0D0D0D" w:themeColor="text1" w:themeTint="F2"/>
                <w:spacing w:val="-4"/>
              </w:rPr>
            </w:pPr>
          </w:p>
        </w:tc>
        <w:tc>
          <w:tcPr>
            <w:tcW w:w="7711" w:type="dxa"/>
            <w:tcMar>
              <w:left w:w="0" w:type="dxa"/>
            </w:tcMar>
          </w:tcPr>
          <w:p w14:paraId="580A9D0E" w14:textId="77777777" w:rsidR="00290725" w:rsidRPr="00E357B4" w:rsidRDefault="00290725" w:rsidP="00A96D94">
            <w:pPr>
              <w:spacing w:after="200"/>
              <w:rPr>
                <w:color w:val="0D0D0D" w:themeColor="text1" w:themeTint="F2"/>
              </w:rPr>
            </w:pPr>
            <w:r w:rsidRPr="00E357B4">
              <w:rPr>
                <w:bCs/>
                <w:color w:val="0D0D0D" w:themeColor="text1" w:themeTint="F2"/>
              </w:rPr>
              <w:t>Za celý rok 2025 se</w:t>
            </w:r>
            <w:r w:rsidRPr="00E357B4">
              <w:rPr>
                <w:color w:val="0D0D0D" w:themeColor="text1" w:themeTint="F2"/>
              </w:rPr>
              <w:t xml:space="preserve"> tržby ve službách zvýšily meziročně o 1,9 %. Ve srovnání s předloňským tempem šlo o velmi mírn</w:t>
            </w:r>
            <w:r>
              <w:rPr>
                <w:color w:val="0D0D0D" w:themeColor="text1" w:themeTint="F2"/>
              </w:rPr>
              <w:t>é</w:t>
            </w:r>
            <w:r w:rsidRPr="00E357B4">
              <w:rPr>
                <w:color w:val="0D0D0D" w:themeColor="text1" w:themeTint="F2"/>
              </w:rPr>
              <w:t xml:space="preserve"> zpomalení (související s kolísavým vývojem poptávky v dopravě a skladování). Na loňském růstu se více než třetinou podílely </w:t>
            </w:r>
            <w:r w:rsidRPr="00E357B4">
              <w:rPr>
                <w:rFonts w:cs="Arial"/>
                <w:color w:val="0D0D0D" w:themeColor="text1" w:themeTint="F2"/>
                <w:szCs w:val="20"/>
              </w:rPr>
              <w:t>profesní, vědecké a technické činnost</w:t>
            </w:r>
            <w:r>
              <w:rPr>
                <w:rFonts w:cs="Arial"/>
                <w:color w:val="0D0D0D" w:themeColor="text1" w:themeTint="F2"/>
                <w:szCs w:val="20"/>
              </w:rPr>
              <w:t>i</w:t>
            </w:r>
            <w:r w:rsidRPr="00E357B4">
              <w:rPr>
                <w:rFonts w:cs="Arial"/>
                <w:color w:val="0D0D0D" w:themeColor="text1" w:themeTint="F2"/>
                <w:szCs w:val="20"/>
              </w:rPr>
              <w:t>. Vyjma reklamních činností (jejichž výkon stagnoval)</w:t>
            </w:r>
            <w:r w:rsidRPr="00E357B4">
              <w:rPr>
                <w:rStyle w:val="Znakapoznpodarou"/>
                <w:color w:val="0D0D0D" w:themeColor="text1" w:themeTint="F2"/>
                <w:szCs w:val="20"/>
              </w:rPr>
              <w:footnoteReference w:id="34"/>
            </w:r>
            <w:r w:rsidRPr="00E357B4">
              <w:rPr>
                <w:rFonts w:cs="Arial"/>
                <w:color w:val="0D0D0D" w:themeColor="text1" w:themeTint="F2"/>
                <w:szCs w:val="20"/>
              </w:rPr>
              <w:t xml:space="preserve"> se zde tržby zvýšily všem dílčím oborům. Rozvoj celého odvětví byl tažen architektonickými a inženýrskými činnostmi, kde růst vlivem svižně se rozvíjejícího odvětví stavebnictví zrychlil (na 3,3 %). Dařilo se i činnostem vedení podniků a</w:t>
            </w:r>
            <w:r>
              <w:rPr>
                <w:rFonts w:cs="Arial"/>
                <w:color w:val="0D0D0D" w:themeColor="text1" w:themeTint="F2"/>
                <w:szCs w:val="20"/>
              </w:rPr>
              <w:t> </w:t>
            </w:r>
            <w:r w:rsidRPr="00E357B4">
              <w:rPr>
                <w:rFonts w:cs="Arial"/>
                <w:color w:val="0D0D0D" w:themeColor="text1" w:themeTint="F2"/>
                <w:szCs w:val="20"/>
              </w:rPr>
              <w:t xml:space="preserve">poradenství v oblasti řízení (+6,2 %, čtyřleté maximum) i právnickým a účetnickým činnostem, v nichž tržby převýšily úroveň z předkrizového roku 2019 již téměř o pětinu. Dynamičtější růst poptávky pokračoval druhým rokem v diverzifikovaném segmentu </w:t>
            </w:r>
            <w:r w:rsidRPr="00E357B4">
              <w:t>ostatních profesních, vědeckých a technických činností (+4,9</w:t>
            </w:r>
            <w:r w:rsidRPr="00E357B4">
              <w:rPr>
                <w:rFonts w:cs="Arial"/>
                <w:color w:val="0D0D0D" w:themeColor="text1" w:themeTint="F2"/>
                <w:szCs w:val="20"/>
              </w:rPr>
              <w:t> </w:t>
            </w:r>
            <w:r w:rsidRPr="00E357B4">
              <w:t>%)</w:t>
            </w:r>
            <w:r w:rsidRPr="00E357B4">
              <w:rPr>
                <w:rStyle w:val="Znakapoznpodarou"/>
              </w:rPr>
              <w:footnoteReference w:id="35"/>
            </w:r>
            <w:r w:rsidRPr="00E357B4">
              <w:t xml:space="preserve"> a tržby se zde poprvé loni dorovnaly úrovni z roku 2019.</w:t>
            </w:r>
          </w:p>
        </w:tc>
      </w:tr>
      <w:tr w:rsidR="00290725" w:rsidRPr="006B7463" w14:paraId="0D652FAE" w14:textId="77777777" w:rsidTr="00A96D94">
        <w:trPr>
          <w:trHeight w:val="170"/>
        </w:trPr>
        <w:tc>
          <w:tcPr>
            <w:tcW w:w="1788" w:type="dxa"/>
            <w:tcMar>
              <w:left w:w="0" w:type="dxa"/>
            </w:tcMar>
          </w:tcPr>
          <w:p w14:paraId="426F28C3" w14:textId="77777777" w:rsidR="00290725" w:rsidRPr="000C02DA" w:rsidRDefault="00290725" w:rsidP="00A96D94">
            <w:pPr>
              <w:pStyle w:val="Marginlie"/>
              <w:rPr>
                <w:spacing w:val="-4"/>
              </w:rPr>
            </w:pPr>
            <w:r w:rsidRPr="000C02DA">
              <w:rPr>
                <w:spacing w:val="-4"/>
              </w:rPr>
              <w:t>Tržby v oblasti ICT rostly hlavně díky dynamickému segmentu telekomunikací.</w:t>
            </w:r>
            <w:r>
              <w:rPr>
                <w:spacing w:val="-4"/>
              </w:rPr>
              <w:t xml:space="preserve"> K oživení poptávky došlo v informačních činnostech.</w:t>
            </w:r>
          </w:p>
        </w:tc>
        <w:tc>
          <w:tcPr>
            <w:tcW w:w="0" w:type="auto"/>
            <w:tcMar>
              <w:left w:w="0" w:type="dxa"/>
            </w:tcMar>
          </w:tcPr>
          <w:p w14:paraId="3D7B992E" w14:textId="77777777" w:rsidR="00290725" w:rsidRPr="006B7463" w:rsidRDefault="00290725" w:rsidP="00A96D94">
            <w:pPr>
              <w:pStyle w:val="Textpoznpodarou"/>
              <w:jc w:val="both"/>
              <w:rPr>
                <w:color w:val="0D0D0D" w:themeColor="text1" w:themeTint="F2"/>
                <w:spacing w:val="-4"/>
              </w:rPr>
            </w:pPr>
          </w:p>
        </w:tc>
        <w:tc>
          <w:tcPr>
            <w:tcW w:w="7711" w:type="dxa"/>
            <w:tcMar>
              <w:left w:w="0" w:type="dxa"/>
            </w:tcMar>
          </w:tcPr>
          <w:p w14:paraId="49B05978" w14:textId="77777777" w:rsidR="00290725" w:rsidRPr="00E357B4" w:rsidRDefault="00290725" w:rsidP="00A96D94">
            <w:pPr>
              <w:spacing w:after="0"/>
              <w:rPr>
                <w:rFonts w:cs="Arial"/>
                <w:color w:val="0D0D0D" w:themeColor="text1" w:themeTint="F2"/>
                <w:szCs w:val="20"/>
              </w:rPr>
            </w:pPr>
            <w:r w:rsidRPr="00E357B4">
              <w:rPr>
                <w:rFonts w:cs="Arial"/>
                <w:color w:val="0D0D0D" w:themeColor="text1" w:themeTint="F2"/>
                <w:szCs w:val="20"/>
              </w:rPr>
              <w:t xml:space="preserve">Rozvoj služeb významně podporovaly také </w:t>
            </w:r>
            <w:r w:rsidRPr="00E357B4">
              <w:rPr>
                <w:color w:val="0D0D0D" w:themeColor="text1" w:themeTint="F2"/>
              </w:rPr>
              <w:t xml:space="preserve">informační a komunikační činnosti (ICT), jimž tržby loni vzrostly o 2,7 % (nejvíce za poslední tři roky). Oblast ICT těžila hlavně z výrazného posílení výkonu telekomunikací (na +5,8 %, nejvyššího po roce 2007), svižně se ovšem zvyšovaly také tržby </w:t>
            </w:r>
            <w:r w:rsidRPr="00E357B4">
              <w:rPr>
                <w:rFonts w:cs="Arial"/>
                <w:color w:val="0D0D0D" w:themeColor="text1" w:themeTint="F2"/>
              </w:rPr>
              <w:t>informačním činnostem</w:t>
            </w:r>
            <w:r w:rsidRPr="00E357B4">
              <w:rPr>
                <w:rStyle w:val="Znakapoznpodarou"/>
                <w:color w:val="0D0D0D" w:themeColor="text1" w:themeTint="F2"/>
              </w:rPr>
              <w:footnoteReference w:id="36"/>
            </w:r>
            <w:r w:rsidRPr="00E357B4">
              <w:rPr>
                <w:rFonts w:cs="Arial"/>
                <w:color w:val="0D0D0D" w:themeColor="text1" w:themeTint="F2"/>
              </w:rPr>
              <w:t>, v nichž se dříve dynamický růst poptávky v předchozích třech letech fakticky zastavil. V dlouhodobě silně se rozvíjejících činnostech v oblasti IT</w:t>
            </w:r>
            <w:r w:rsidRPr="00E357B4">
              <w:rPr>
                <w:rStyle w:val="Znakapoznpodarou"/>
                <w:color w:val="0D0D0D" w:themeColor="text1" w:themeTint="F2"/>
              </w:rPr>
              <w:footnoteReference w:id="37"/>
            </w:r>
            <w:r w:rsidRPr="00E357B4">
              <w:rPr>
                <w:rFonts w:cs="Arial"/>
                <w:color w:val="0D0D0D" w:themeColor="text1" w:themeTint="F2"/>
              </w:rPr>
              <w:t xml:space="preserve"> rostly loni tržby mírněji (+2,3 %, zhruba o</w:t>
            </w:r>
            <w:r>
              <w:rPr>
                <w:rFonts w:cs="Arial"/>
                <w:color w:val="0D0D0D" w:themeColor="text1" w:themeTint="F2"/>
              </w:rPr>
              <w:t> </w:t>
            </w:r>
            <w:r w:rsidRPr="00E357B4">
              <w:rPr>
                <w:rFonts w:cs="Arial"/>
                <w:color w:val="0D0D0D" w:themeColor="text1" w:themeTint="F2"/>
              </w:rPr>
              <w:t xml:space="preserve">polovinu méně než v roce 2024). Naopak po útlumu v letech 2023 i 2024 velmi mírně ožily </w:t>
            </w:r>
            <w:r w:rsidRPr="00E357B4">
              <w:rPr>
                <w:color w:val="0D0D0D" w:themeColor="text1" w:themeTint="F2"/>
              </w:rPr>
              <w:t xml:space="preserve">vydavatelské činnosti (nejvíce v oblasti SW). </w:t>
            </w:r>
            <w:r w:rsidRPr="00E357B4">
              <w:rPr>
                <w:rFonts w:cs="Arial"/>
                <w:color w:val="0D0D0D" w:themeColor="text1" w:themeTint="F2"/>
              </w:rPr>
              <w:t>V malém segmentu ICT – filmovém a</w:t>
            </w:r>
            <w:r>
              <w:rPr>
                <w:rFonts w:cs="Arial"/>
                <w:color w:val="0D0D0D" w:themeColor="text1" w:themeTint="F2"/>
              </w:rPr>
              <w:t> </w:t>
            </w:r>
            <w:r w:rsidRPr="00E357B4">
              <w:rPr>
                <w:rFonts w:cs="Arial"/>
                <w:color w:val="0D0D0D" w:themeColor="text1" w:themeTint="F2"/>
              </w:rPr>
              <w:t>hudebním průmyslu – se tržby po propadu v předchozích dvou letech</w:t>
            </w:r>
            <w:r w:rsidRPr="00E357B4">
              <w:rPr>
                <w:rStyle w:val="Znakapoznpodarou"/>
                <w:color w:val="0D0D0D" w:themeColor="text1" w:themeTint="F2"/>
              </w:rPr>
              <w:footnoteReference w:id="38"/>
            </w:r>
            <w:r w:rsidRPr="00E357B4">
              <w:rPr>
                <w:rFonts w:cs="Arial"/>
                <w:color w:val="0D0D0D" w:themeColor="text1" w:themeTint="F2"/>
              </w:rPr>
              <w:t xml:space="preserve"> stabilizovaly (+3,4 %</w:t>
            </w:r>
            <w:r w:rsidRPr="00E357B4">
              <w:rPr>
                <w:rStyle w:val="Znakapoznpodarou"/>
                <w:color w:val="0D0D0D" w:themeColor="text1" w:themeTint="F2"/>
              </w:rPr>
              <w:footnoteReference w:id="39"/>
            </w:r>
            <w:r w:rsidRPr="00E357B4">
              <w:rPr>
                <w:rFonts w:cs="Arial"/>
                <w:color w:val="0D0D0D" w:themeColor="text1" w:themeTint="F2"/>
              </w:rPr>
              <w:t>) a oproti roku 2019 byly nižší o 29 %. V tvorbě televizních a rozhlasových programů, ve které jako</w:t>
            </w:r>
            <w:r>
              <w:rPr>
                <w:rFonts w:cs="Arial"/>
                <w:color w:val="0D0D0D" w:themeColor="text1" w:themeTint="F2"/>
              </w:rPr>
              <w:t xml:space="preserve"> v</w:t>
            </w:r>
            <w:r w:rsidRPr="00E357B4">
              <w:rPr>
                <w:rFonts w:cs="Arial"/>
                <w:color w:val="0D0D0D" w:themeColor="text1" w:themeTint="F2"/>
              </w:rPr>
              <w:t xml:space="preserve"> jednom z mála dílčích odvětví služeb výrazněji neklesla poptávka během „pandemického roku“ 2020, se loni tržby propad</w:t>
            </w:r>
            <w:r>
              <w:rPr>
                <w:rFonts w:cs="Arial"/>
                <w:color w:val="0D0D0D" w:themeColor="text1" w:themeTint="F2"/>
              </w:rPr>
              <w:t>l</w:t>
            </w:r>
            <w:r w:rsidRPr="00E357B4">
              <w:rPr>
                <w:rFonts w:cs="Arial"/>
                <w:color w:val="0D0D0D" w:themeColor="text1" w:themeTint="F2"/>
              </w:rPr>
              <w:t>y o 13,5 %</w:t>
            </w:r>
            <w:r w:rsidRPr="00E357B4">
              <w:rPr>
                <w:rStyle w:val="Znakapoznpodarou"/>
                <w:color w:val="0D0D0D" w:themeColor="text1" w:themeTint="F2"/>
              </w:rPr>
              <w:footnoteReference w:id="40"/>
            </w:r>
            <w:r w:rsidRPr="00E357B4">
              <w:rPr>
                <w:rFonts w:cs="Arial"/>
                <w:color w:val="0D0D0D" w:themeColor="text1" w:themeTint="F2"/>
              </w:rPr>
              <w:t>, což bylo nejvíce po roce 2009.</w:t>
            </w:r>
          </w:p>
        </w:tc>
      </w:tr>
      <w:tr w:rsidR="00290725" w:rsidRPr="00A05E70" w14:paraId="015C6006" w14:textId="77777777" w:rsidTr="00A96D94">
        <w:trPr>
          <w:trHeight w:val="170"/>
        </w:trPr>
        <w:tc>
          <w:tcPr>
            <w:tcW w:w="1788" w:type="dxa"/>
            <w:tcMar>
              <w:left w:w="0" w:type="dxa"/>
            </w:tcMar>
          </w:tcPr>
          <w:p w14:paraId="7DE2ECF1" w14:textId="77777777" w:rsidR="00290725" w:rsidRDefault="00290725" w:rsidP="00A96D94">
            <w:pPr>
              <w:pStyle w:val="Marginlie"/>
            </w:pPr>
            <w:r>
              <w:lastRenderedPageBreak/>
              <w:t xml:space="preserve">K mírnému růstu tržeb v dopravě a skladování přispěly loni všechny dílčí obory vyjma letecké dopravy. </w:t>
            </w:r>
          </w:p>
        </w:tc>
        <w:tc>
          <w:tcPr>
            <w:tcW w:w="0" w:type="auto"/>
            <w:tcMar>
              <w:left w:w="0" w:type="dxa"/>
            </w:tcMar>
          </w:tcPr>
          <w:p w14:paraId="05A8C560" w14:textId="77777777" w:rsidR="00290725" w:rsidRPr="006B7463" w:rsidRDefault="00290725" w:rsidP="00A96D94">
            <w:pPr>
              <w:pStyle w:val="Textpoznpodarou"/>
              <w:jc w:val="both"/>
              <w:rPr>
                <w:color w:val="0D0D0D" w:themeColor="text1" w:themeTint="F2"/>
                <w:spacing w:val="-4"/>
              </w:rPr>
            </w:pPr>
          </w:p>
        </w:tc>
        <w:tc>
          <w:tcPr>
            <w:tcW w:w="7711" w:type="dxa"/>
            <w:tcMar>
              <w:left w:w="0" w:type="dxa"/>
            </w:tcMar>
          </w:tcPr>
          <w:p w14:paraId="36A8B60A" w14:textId="77777777" w:rsidR="00290725" w:rsidRPr="00E357B4" w:rsidRDefault="00290725" w:rsidP="00A96D94">
            <w:pPr>
              <w:spacing w:after="200"/>
              <w:rPr>
                <w:rFonts w:cs="Arial"/>
                <w:color w:val="0D0D0D" w:themeColor="text1" w:themeTint="F2"/>
                <w:szCs w:val="20"/>
              </w:rPr>
            </w:pPr>
            <w:r w:rsidRPr="00E357B4">
              <w:rPr>
                <w:rFonts w:cs="Arial"/>
                <w:color w:val="0D0D0D" w:themeColor="text1" w:themeTint="F2"/>
                <w:szCs w:val="20"/>
              </w:rPr>
              <w:t>Posledním odvětvím, jež loni významněji podpořilo růst služeb, byla doprava a</w:t>
            </w:r>
            <w:r>
              <w:rPr>
                <w:rFonts w:cs="Arial"/>
                <w:color w:val="0D0D0D" w:themeColor="text1" w:themeTint="F2"/>
                <w:szCs w:val="20"/>
              </w:rPr>
              <w:t> </w:t>
            </w:r>
            <w:r w:rsidRPr="00E357B4">
              <w:rPr>
                <w:rFonts w:cs="Arial"/>
                <w:color w:val="0D0D0D" w:themeColor="text1" w:themeTint="F2"/>
                <w:szCs w:val="20"/>
              </w:rPr>
              <w:t>skladování, kde tržby meziročně posílily o 1,5 % a k růstu služeb přispěly 0,</w:t>
            </w:r>
            <w:r>
              <w:rPr>
                <w:rFonts w:cs="Arial"/>
                <w:color w:val="0D0D0D" w:themeColor="text1" w:themeTint="F2"/>
                <w:szCs w:val="20"/>
              </w:rPr>
              <w:t>4</w:t>
            </w:r>
            <w:r w:rsidRPr="00E357B4">
              <w:rPr>
                <w:rFonts w:cs="Arial"/>
                <w:color w:val="0D0D0D" w:themeColor="text1" w:themeTint="F2"/>
                <w:szCs w:val="20"/>
              </w:rPr>
              <w:t xml:space="preserve"> p. b. (za relativně slabším tempem stálo zejména 3. čtvrtletí 2025, kdy se růst tržeb v tomto odvětví poprvé od konce roku 2023 zastavil). Zatímco v roce 2024 přispíval k růstu odvětví hlavně váhově významný segment skladování (vč. vedlejších činností v dopravě), loni tuto roli převzala pozemní doprava. Mírný loňský růst tržeb (+1,8 %) zde odrážel vyšší přepravní výkony v osobní i nákladní dopravě</w:t>
            </w:r>
            <w:r w:rsidRPr="00E357B4">
              <w:rPr>
                <w:rStyle w:val="Znakapoznpodarou"/>
                <w:color w:val="0D0D0D" w:themeColor="text1" w:themeTint="F2"/>
                <w:szCs w:val="20"/>
              </w:rPr>
              <w:footnoteReference w:id="41"/>
            </w:r>
            <w:r w:rsidRPr="00E357B4">
              <w:rPr>
                <w:rFonts w:cs="Arial"/>
                <w:color w:val="0D0D0D" w:themeColor="text1" w:themeTint="F2"/>
                <w:szCs w:val="20"/>
              </w:rPr>
              <w:t>. Ve skladování růst tržeb zvolnil, i tak se však reálně nacházely bezmála šestinu nad úrovní z roku 2019. Podobně na tom z dlouhodobějšího pohledu byly i poštovní a kurýrní činnosti. Jejich tržby ovšem loni i přes pokračující svižný rozvoj internetového prodeje rostly jen mírně (+2,0 %). Ve váhově okrajovém segmentu letecké dopravy rychlé zotavování poptávky z předchozích let již nepokračovalo a tržby tuzemských přepravců se loni meziročně mírně snížily (o</w:t>
            </w:r>
            <w:r>
              <w:rPr>
                <w:rFonts w:cs="Arial"/>
                <w:color w:val="0D0D0D" w:themeColor="text1" w:themeTint="F2"/>
                <w:szCs w:val="20"/>
              </w:rPr>
              <w:t> </w:t>
            </w:r>
            <w:r w:rsidRPr="00E357B4">
              <w:rPr>
                <w:rFonts w:cs="Arial"/>
                <w:color w:val="0D0D0D" w:themeColor="text1" w:themeTint="F2"/>
                <w:szCs w:val="20"/>
              </w:rPr>
              <w:t>3,0 %)</w:t>
            </w:r>
            <w:r w:rsidRPr="00E357B4">
              <w:rPr>
                <w:rStyle w:val="Znakapoznpodarou"/>
                <w:color w:val="0D0D0D" w:themeColor="text1" w:themeTint="F2"/>
                <w:szCs w:val="20"/>
              </w:rPr>
              <w:footnoteReference w:id="42"/>
            </w:r>
            <w:r w:rsidRPr="00E357B4">
              <w:rPr>
                <w:rFonts w:cs="Arial"/>
                <w:color w:val="0D0D0D" w:themeColor="text1" w:themeTint="F2"/>
                <w:szCs w:val="20"/>
              </w:rPr>
              <w:t>. V samotném 4. čtvrtletí se ovšem tržby zvýšily o 12,2</w:t>
            </w:r>
            <w:r w:rsidRPr="00E357B4">
              <w:rPr>
                <w:rFonts w:cs="Arial"/>
                <w:color w:val="0D0D0D" w:themeColor="text1" w:themeTint="F2"/>
              </w:rPr>
              <w:t> </w:t>
            </w:r>
            <w:r w:rsidRPr="00E357B4">
              <w:rPr>
                <w:rFonts w:cs="Arial"/>
                <w:color w:val="0D0D0D" w:themeColor="text1" w:themeTint="F2"/>
                <w:szCs w:val="20"/>
              </w:rPr>
              <w:t>% a po sezonním očištění poprvé dorovnaly maximální úroveň z minulé dekády (2. čtvrtletí 2019). Naopak tržby ve vodní dopravě i přes loňské oživení (+7,2 %) stále za rokem 2019 zhruba o</w:t>
            </w:r>
            <w:r>
              <w:rPr>
                <w:rFonts w:cs="Arial"/>
                <w:color w:val="0D0D0D" w:themeColor="text1" w:themeTint="F2"/>
                <w:szCs w:val="20"/>
              </w:rPr>
              <w:t> </w:t>
            </w:r>
            <w:r w:rsidRPr="00E357B4">
              <w:rPr>
                <w:rFonts w:cs="Arial"/>
                <w:color w:val="0D0D0D" w:themeColor="text1" w:themeTint="F2"/>
                <w:szCs w:val="20"/>
              </w:rPr>
              <w:t>desetinu zaostávaly.</w:t>
            </w:r>
          </w:p>
        </w:tc>
      </w:tr>
      <w:tr w:rsidR="00290725" w14:paraId="5B940133" w14:textId="77777777" w:rsidTr="00A96D94">
        <w:trPr>
          <w:trHeight w:val="170"/>
        </w:trPr>
        <w:tc>
          <w:tcPr>
            <w:tcW w:w="1788" w:type="dxa"/>
            <w:tcMar>
              <w:left w:w="0" w:type="dxa"/>
            </w:tcMar>
          </w:tcPr>
          <w:p w14:paraId="4FDC771B" w14:textId="77777777" w:rsidR="00290725" w:rsidRDefault="00290725" w:rsidP="00A96D94">
            <w:pPr>
              <w:pStyle w:val="Marginlie"/>
            </w:pPr>
            <w:r>
              <w:t>Tržby v ubytování, stravování a pohostinství posílily jen mírně. Proti vyššímu růstu poptávky působilo horší letní počasí a dlouhodoběji také svižný cenový růst v těchto službách.</w:t>
            </w:r>
          </w:p>
        </w:tc>
        <w:tc>
          <w:tcPr>
            <w:tcW w:w="0" w:type="auto"/>
            <w:tcMar>
              <w:left w:w="0" w:type="dxa"/>
            </w:tcMar>
          </w:tcPr>
          <w:p w14:paraId="57D2381A" w14:textId="77777777" w:rsidR="00290725" w:rsidRPr="006B7463" w:rsidRDefault="00290725" w:rsidP="00A96D94">
            <w:pPr>
              <w:pStyle w:val="Textpoznpodarou"/>
              <w:jc w:val="both"/>
              <w:rPr>
                <w:color w:val="0D0D0D" w:themeColor="text1" w:themeTint="F2"/>
                <w:spacing w:val="-4"/>
              </w:rPr>
            </w:pPr>
          </w:p>
        </w:tc>
        <w:tc>
          <w:tcPr>
            <w:tcW w:w="7711" w:type="dxa"/>
            <w:tcMar>
              <w:left w:w="0" w:type="dxa"/>
            </w:tcMar>
          </w:tcPr>
          <w:p w14:paraId="36BF14F6" w14:textId="77777777" w:rsidR="00290725" w:rsidRPr="00E357B4" w:rsidRDefault="00290725" w:rsidP="00A96D94">
            <w:pPr>
              <w:spacing w:after="200"/>
              <w:rPr>
                <w:bCs/>
              </w:rPr>
            </w:pPr>
            <w:r w:rsidRPr="00E357B4">
              <w:rPr>
                <w:bCs/>
              </w:rPr>
              <w:t>V odvětví ubytování, stravování a pohostinství se za loňský rok tržby zvýšily o 1,3 % (a</w:t>
            </w:r>
            <w:r>
              <w:rPr>
                <w:bCs/>
              </w:rPr>
              <w:t> </w:t>
            </w:r>
            <w:r w:rsidRPr="00E357B4">
              <w:rPr>
                <w:bCs/>
              </w:rPr>
              <w:t xml:space="preserve">potřetí v řadě byl tak jejich růst utlumený). Stalo se tak navzdory relativně svižně rostoucí kupní síle tuzemských domácností i pokračujícímu rozvoji příjezdového cestovního ruchu. To může souviset i s rychlým růstem cen těchto </w:t>
            </w:r>
            <w:r w:rsidRPr="00E357B4">
              <w:rPr>
                <w:bCs/>
                <w:color w:val="0D0D0D" w:themeColor="text1" w:themeTint="F2"/>
              </w:rPr>
              <w:t>služeb</w:t>
            </w:r>
            <w:r w:rsidRPr="00E357B4">
              <w:rPr>
                <w:rStyle w:val="Znakapoznpodarou"/>
                <w:color w:val="0D0D0D" w:themeColor="text1" w:themeTint="F2"/>
              </w:rPr>
              <w:footnoteReference w:id="43"/>
            </w:r>
            <w:r w:rsidRPr="00E357B4">
              <w:rPr>
                <w:bCs/>
                <w:color w:val="0D0D0D" w:themeColor="text1" w:themeTint="F2"/>
              </w:rPr>
              <w:t xml:space="preserve">. </w:t>
            </w:r>
            <w:r w:rsidRPr="00E357B4">
              <w:rPr>
                <w:rFonts w:cs="Arial"/>
                <w:color w:val="0D0D0D" w:themeColor="text1" w:themeTint="F2"/>
              </w:rPr>
              <w:t xml:space="preserve">Naturální ukazatele v oblasti příjezdového cestovního ruchu naznačují oproti reálným tržbám nepatrně lepší výsledky. </w:t>
            </w:r>
            <w:r w:rsidRPr="00E357B4">
              <w:rPr>
                <w:rFonts w:eastAsia="Arial" w:cs="Arial"/>
                <w:szCs w:val="20"/>
              </w:rPr>
              <w:t>Tuzemští poskytovatelé hromadného ubytov</w:t>
            </w:r>
            <w:r>
              <w:rPr>
                <w:rFonts w:eastAsia="Arial" w:cs="Arial"/>
                <w:szCs w:val="20"/>
              </w:rPr>
              <w:t>á</w:t>
            </w:r>
            <w:r w:rsidRPr="00E357B4">
              <w:rPr>
                <w:rFonts w:eastAsia="Arial" w:cs="Arial"/>
                <w:szCs w:val="20"/>
              </w:rPr>
              <w:t xml:space="preserve">ní (HUZ) registrovali loni 23,55 mil. hostů (z toho 12,64 </w:t>
            </w:r>
            <w:r>
              <w:rPr>
                <w:rFonts w:eastAsia="Arial" w:cs="Arial"/>
                <w:szCs w:val="20"/>
              </w:rPr>
              <w:t xml:space="preserve">mil. </w:t>
            </w:r>
            <w:r w:rsidRPr="00E357B4">
              <w:rPr>
                <w:rFonts w:eastAsia="Arial" w:cs="Arial"/>
                <w:szCs w:val="20"/>
              </w:rPr>
              <w:t>z tuzemska) při průměrném počtu 2,51</w:t>
            </w:r>
            <w:r>
              <w:rPr>
                <w:rFonts w:eastAsia="Arial" w:cs="Arial"/>
                <w:szCs w:val="20"/>
              </w:rPr>
              <w:t> </w:t>
            </w:r>
            <w:r w:rsidRPr="00E357B4">
              <w:rPr>
                <w:rFonts w:eastAsia="Arial" w:cs="Arial"/>
                <w:szCs w:val="20"/>
              </w:rPr>
              <w:t>nocí na hosta. Počet přenocování se meziročně zvýšil o 3,3 % a na</w:t>
            </w:r>
            <w:r>
              <w:rPr>
                <w:rFonts w:eastAsia="Arial" w:cs="Arial"/>
                <w:szCs w:val="20"/>
              </w:rPr>
              <w:t xml:space="preserve"> </w:t>
            </w:r>
            <w:r w:rsidRPr="00E357B4">
              <w:rPr>
                <w:rFonts w:eastAsia="Arial" w:cs="Arial"/>
                <w:szCs w:val="20"/>
              </w:rPr>
              <w:t>rozdíl od počtu hostů (jenž loni rostl obdobně) se jeho růstové tempo ve srovnání s rokem 2024 (2,5 %) lehce zvýšilo. Rychleji rostla loni poptávka nerezidentů (+5,0 %), přenocování domácích hostů přibylo jen o 2,0 %. Letní sezónu opět poznamenalo horší počasí – zatímco předloni šlo výhradně o zářijové povodně, loni o dlouhodobě proměnlivější počasí s vyšší četností srážek a relativně mírně podprůměrnými teplotami v červenci a září. To se odrazilo v nižší poptávce tuzemských hostů, zejména v kempech</w:t>
            </w:r>
            <w:r w:rsidRPr="00E357B4">
              <w:rPr>
                <w:rStyle w:val="Znakapoznpodarou"/>
                <w:rFonts w:eastAsia="Arial"/>
                <w:szCs w:val="20"/>
              </w:rPr>
              <w:footnoteReference w:id="44"/>
            </w:r>
            <w:r w:rsidRPr="00E357B4">
              <w:rPr>
                <w:rFonts w:eastAsia="Arial" w:cs="Arial"/>
                <w:szCs w:val="20"/>
              </w:rPr>
              <w:t xml:space="preserve">. Již druhým rokem v řadě byla celoroční návštěvnost v HUZ nad úrovní </w:t>
            </w:r>
            <w:proofErr w:type="spellStart"/>
            <w:r w:rsidRPr="00E357B4">
              <w:rPr>
                <w:rFonts w:eastAsia="Arial" w:cs="Arial"/>
                <w:szCs w:val="20"/>
              </w:rPr>
              <w:t>předcovidového</w:t>
            </w:r>
            <w:proofErr w:type="spellEnd"/>
            <w:r w:rsidRPr="00E357B4">
              <w:rPr>
                <w:rFonts w:eastAsia="Arial" w:cs="Arial"/>
                <w:szCs w:val="20"/>
              </w:rPr>
              <w:t xml:space="preserve"> roku 2019, a to jak v počtech ubytovaných hostů (+7,1 %)</w:t>
            </w:r>
            <w:r>
              <w:rPr>
                <w:rFonts w:eastAsia="Arial" w:cs="Arial"/>
                <w:szCs w:val="20"/>
              </w:rPr>
              <w:t>, tak</w:t>
            </w:r>
            <w:r w:rsidRPr="00E357B4">
              <w:rPr>
                <w:rFonts w:eastAsia="Arial" w:cs="Arial"/>
                <w:szCs w:val="20"/>
              </w:rPr>
              <w:t xml:space="preserve"> i v přenocováních (+3,7 %)</w:t>
            </w:r>
            <w:r w:rsidRPr="00E357B4">
              <w:rPr>
                <w:rStyle w:val="Znakapoznpodarou"/>
                <w:rFonts w:eastAsia="Arial"/>
                <w:szCs w:val="20"/>
              </w:rPr>
              <w:footnoteReference w:id="45"/>
            </w:r>
            <w:r w:rsidRPr="00E357B4">
              <w:rPr>
                <w:rFonts w:eastAsia="Arial" w:cs="Arial"/>
                <w:szCs w:val="20"/>
              </w:rPr>
              <w:t xml:space="preserve">. </w:t>
            </w:r>
          </w:p>
        </w:tc>
      </w:tr>
      <w:tr w:rsidR="00290725" w14:paraId="1C121C5E" w14:textId="77777777" w:rsidTr="00A96D94">
        <w:trPr>
          <w:trHeight w:val="170"/>
        </w:trPr>
        <w:tc>
          <w:tcPr>
            <w:tcW w:w="1788" w:type="dxa"/>
            <w:tcMar>
              <w:left w:w="0" w:type="dxa"/>
            </w:tcMar>
          </w:tcPr>
          <w:p w14:paraId="57FEE794" w14:textId="77777777" w:rsidR="00290725" w:rsidRDefault="00290725" w:rsidP="00A96D94">
            <w:pPr>
              <w:pStyle w:val="Marginlie"/>
            </w:pPr>
            <w:r>
              <w:t xml:space="preserve">Ve většině segmentů administrativních </w:t>
            </w:r>
            <w:r>
              <w:br/>
              <w:t xml:space="preserve">a podpůrných činností pokračoval pokles poptávky vlivem proměny </w:t>
            </w:r>
            <w:r>
              <w:lastRenderedPageBreak/>
              <w:t xml:space="preserve">trhu práce i postupující digitalizace. </w:t>
            </w:r>
          </w:p>
          <w:p w14:paraId="690701BD" w14:textId="77777777" w:rsidR="00290725" w:rsidRDefault="00290725" w:rsidP="00A96D94">
            <w:pPr>
              <w:pStyle w:val="Marginlie"/>
            </w:pPr>
          </w:p>
          <w:p w14:paraId="4CDA9BDB" w14:textId="77777777" w:rsidR="00290725" w:rsidRDefault="00290725" w:rsidP="00A96D94">
            <w:pPr>
              <w:pStyle w:val="Marginlie"/>
            </w:pPr>
          </w:p>
          <w:p w14:paraId="799A057C" w14:textId="77777777" w:rsidR="00290725" w:rsidRDefault="00290725" w:rsidP="00A96D94">
            <w:pPr>
              <w:pStyle w:val="Marginlie"/>
            </w:pPr>
            <w:r>
              <w:t xml:space="preserve">Stabilní poptávku si udržoval pronájem </w:t>
            </w:r>
            <w:r>
              <w:br/>
              <w:t>a operativní leasing.</w:t>
            </w:r>
          </w:p>
          <w:p w14:paraId="24D15997" w14:textId="77777777" w:rsidR="00290725" w:rsidRDefault="00290725" w:rsidP="00A96D94">
            <w:pPr>
              <w:pStyle w:val="Marginlie"/>
            </w:pPr>
          </w:p>
        </w:tc>
        <w:tc>
          <w:tcPr>
            <w:tcW w:w="0" w:type="auto"/>
            <w:tcMar>
              <w:left w:w="0" w:type="dxa"/>
            </w:tcMar>
          </w:tcPr>
          <w:p w14:paraId="0E66ACEE" w14:textId="77777777" w:rsidR="00290725" w:rsidRPr="006B7463" w:rsidRDefault="00290725" w:rsidP="00A96D94">
            <w:pPr>
              <w:pStyle w:val="Textpoznpodarou"/>
              <w:jc w:val="both"/>
              <w:rPr>
                <w:color w:val="0D0D0D" w:themeColor="text1" w:themeTint="F2"/>
                <w:spacing w:val="-4"/>
              </w:rPr>
            </w:pPr>
          </w:p>
        </w:tc>
        <w:tc>
          <w:tcPr>
            <w:tcW w:w="7711" w:type="dxa"/>
            <w:tcMar>
              <w:left w:w="0" w:type="dxa"/>
            </w:tcMar>
          </w:tcPr>
          <w:p w14:paraId="1404ED59" w14:textId="049A048A" w:rsidR="00290725" w:rsidRPr="00E357B4" w:rsidRDefault="00290725" w:rsidP="00A96D94">
            <w:pPr>
              <w:spacing w:after="200"/>
              <w:rPr>
                <w:bCs/>
              </w:rPr>
            </w:pPr>
            <w:r w:rsidRPr="00E357B4">
              <w:rPr>
                <w:bCs/>
              </w:rPr>
              <w:t xml:space="preserve">V činnostech v oblasti nemovitostí vzrostly loni tržby meziročně jen velmi mírně (+0,6 %) a navázaly tak na nevýrazné výsledky z </w:t>
            </w:r>
            <w:r w:rsidRPr="00E357B4">
              <w:rPr>
                <w:bCs/>
                <w:color w:val="0D0D0D" w:themeColor="text1" w:themeTint="F2"/>
              </w:rPr>
              <w:t xml:space="preserve">roku 2024. V odvětví </w:t>
            </w:r>
            <w:r w:rsidRPr="00E357B4">
              <w:rPr>
                <w:color w:val="0D0D0D" w:themeColor="text1" w:themeTint="F2"/>
              </w:rPr>
              <w:t>administrativních a</w:t>
            </w:r>
            <w:r>
              <w:rPr>
                <w:color w:val="0D0D0D" w:themeColor="text1" w:themeTint="F2"/>
              </w:rPr>
              <w:t> </w:t>
            </w:r>
            <w:r w:rsidRPr="00E357B4">
              <w:rPr>
                <w:color w:val="0D0D0D" w:themeColor="text1" w:themeTint="F2"/>
              </w:rPr>
              <w:t>podpůrných činností, poskytující</w:t>
            </w:r>
            <w:r>
              <w:rPr>
                <w:color w:val="0D0D0D" w:themeColor="text1" w:themeTint="F2"/>
              </w:rPr>
              <w:t>ch</w:t>
            </w:r>
            <w:r w:rsidRPr="00E357B4">
              <w:rPr>
                <w:color w:val="0D0D0D" w:themeColor="text1" w:themeTint="F2"/>
              </w:rPr>
              <w:t xml:space="preserve"> především podnikům zpravidla služby s nižší přidanou hodnotou, loni tržby fakticky stagnovaly (+0,1 %), což byl nejhorší výsledek za poslední pětiletí). K nepatrnému růstu nejvíce přispěl</w:t>
            </w:r>
            <w:r>
              <w:rPr>
                <w:color w:val="0D0D0D" w:themeColor="text1" w:themeTint="F2"/>
              </w:rPr>
              <w:t>y</w:t>
            </w:r>
            <w:r w:rsidRPr="00E357B4">
              <w:rPr>
                <w:color w:val="0D0D0D" w:themeColor="text1" w:themeTint="F2"/>
              </w:rPr>
              <w:t xml:space="preserve"> vyšší tržby </w:t>
            </w:r>
            <w:r>
              <w:rPr>
                <w:color w:val="0D0D0D" w:themeColor="text1" w:themeTint="F2"/>
              </w:rPr>
              <w:t xml:space="preserve">v </w:t>
            </w:r>
            <w:r w:rsidRPr="00E357B4">
              <w:rPr>
                <w:color w:val="0D0D0D" w:themeColor="text1" w:themeTint="F2"/>
              </w:rPr>
              <w:t xml:space="preserve">administrativních, </w:t>
            </w:r>
            <w:r w:rsidRPr="00E357B4">
              <w:rPr>
                <w:color w:val="0D0D0D" w:themeColor="text1" w:themeTint="F2"/>
              </w:rPr>
              <w:lastRenderedPageBreak/>
              <w:t>kancelářských a jin</w:t>
            </w:r>
            <w:r>
              <w:rPr>
                <w:color w:val="0D0D0D" w:themeColor="text1" w:themeTint="F2"/>
              </w:rPr>
              <w:t>ých</w:t>
            </w:r>
            <w:r w:rsidRPr="00E357B4">
              <w:rPr>
                <w:color w:val="0D0D0D" w:themeColor="text1" w:themeTint="F2"/>
              </w:rPr>
              <w:t xml:space="preserve"> podpůrných činnostech pro podnikání (+6,8 %)</w:t>
            </w:r>
            <w:r w:rsidRPr="00E357B4">
              <w:rPr>
                <w:rStyle w:val="Znakapoznpodarou"/>
                <w:color w:val="0D0D0D" w:themeColor="text1" w:themeTint="F2"/>
              </w:rPr>
              <w:footnoteReference w:id="46"/>
            </w:r>
            <w:r w:rsidRPr="00E357B4">
              <w:rPr>
                <w:color w:val="0D0D0D" w:themeColor="text1" w:themeTint="F2"/>
              </w:rPr>
              <w:t>. Vyšší poptávka domácností i podniků se promítla do růstu tržeb za pronájem a operativní leasing (+4,8 %</w:t>
            </w:r>
            <w:r w:rsidRPr="00E357B4">
              <w:rPr>
                <w:rStyle w:val="Znakapoznpodarou"/>
                <w:color w:val="0D0D0D" w:themeColor="text1" w:themeTint="F2"/>
              </w:rPr>
              <w:footnoteReference w:id="47"/>
            </w:r>
            <w:r w:rsidRPr="00E357B4">
              <w:rPr>
                <w:color w:val="0D0D0D" w:themeColor="text1" w:themeTint="F2"/>
              </w:rPr>
              <w:t>), jenž tak navázal na předloňské oživení. Naopak čtvrtý rok pokračoval hlubší pokles tržeb pracovních agentur, loni o 8,7 %</w:t>
            </w:r>
            <w:r w:rsidRPr="00E357B4">
              <w:rPr>
                <w:rStyle w:val="Znakapoznpodarou"/>
                <w:color w:val="0D0D0D" w:themeColor="text1" w:themeTint="F2"/>
              </w:rPr>
              <w:footnoteReference w:id="48"/>
            </w:r>
            <w:r w:rsidRPr="00E357B4">
              <w:rPr>
                <w:color w:val="0D0D0D" w:themeColor="text1" w:themeTint="F2"/>
              </w:rPr>
              <w:t>. Tlak na snižování nákladů spojený s</w:t>
            </w:r>
            <w:r w:rsidR="00FE470B">
              <w:rPr>
                <w:color w:val="0D0D0D" w:themeColor="text1" w:themeTint="F2"/>
              </w:rPr>
              <w:t> </w:t>
            </w:r>
            <w:r w:rsidRPr="00E357B4">
              <w:rPr>
                <w:color w:val="0D0D0D" w:themeColor="text1" w:themeTint="F2"/>
              </w:rPr>
              <w:t>rozvojem digitalizace se odrazil v poklesu tržeb bezpečnostních a pátracích činností. Ten trvá již třetí rok a loni se prohloubil na 7,6 % (srovnatelně naposledy v roce 2009). Poprvé od ústupu pandemie covid</w:t>
            </w:r>
            <w:r>
              <w:rPr>
                <w:color w:val="0D0D0D" w:themeColor="text1" w:themeTint="F2"/>
              </w:rPr>
              <w:t>u</w:t>
            </w:r>
            <w:r w:rsidRPr="00E357B4">
              <w:rPr>
                <w:color w:val="0D0D0D" w:themeColor="text1" w:themeTint="F2"/>
              </w:rPr>
              <w:t xml:space="preserve">-19 se loni zastavil růst poptávky po službách cestovních agentur a kanceláří (tržby zde ale úroveň z roku 2019 již o 5 % překonávaly). </w:t>
            </w:r>
          </w:p>
        </w:tc>
      </w:tr>
      <w:tr w:rsidR="00290725" w:rsidRPr="00C32591" w14:paraId="467E88D5" w14:textId="77777777" w:rsidTr="00A96D94">
        <w:trPr>
          <w:trHeight w:val="170"/>
        </w:trPr>
        <w:tc>
          <w:tcPr>
            <w:tcW w:w="1788" w:type="dxa"/>
            <w:tcMar>
              <w:left w:w="0" w:type="dxa"/>
            </w:tcMar>
          </w:tcPr>
          <w:p w14:paraId="7DD6FBFD" w14:textId="77777777" w:rsidR="00290725" w:rsidRDefault="00290725" w:rsidP="00A96D94">
            <w:pPr>
              <w:pStyle w:val="Marginlie"/>
            </w:pPr>
          </w:p>
        </w:tc>
        <w:tc>
          <w:tcPr>
            <w:tcW w:w="0" w:type="auto"/>
            <w:tcMar>
              <w:left w:w="0" w:type="dxa"/>
            </w:tcMar>
          </w:tcPr>
          <w:p w14:paraId="3B8E21CE" w14:textId="77777777" w:rsidR="00290725" w:rsidRDefault="00290725" w:rsidP="00A96D94">
            <w:pPr>
              <w:pStyle w:val="Textpoznpodarou"/>
              <w:jc w:val="both"/>
              <w:rPr>
                <w:spacing w:val="-4"/>
              </w:rPr>
            </w:pPr>
          </w:p>
        </w:tc>
        <w:tc>
          <w:tcPr>
            <w:tcW w:w="7711" w:type="dxa"/>
            <w:tcMar>
              <w:left w:w="0" w:type="dxa"/>
            </w:tcMar>
          </w:tcPr>
          <w:p w14:paraId="56B3B047" w14:textId="77777777" w:rsidR="00290725" w:rsidRPr="00E357B4" w:rsidRDefault="00290725" w:rsidP="00A96D94">
            <w:pPr>
              <w:spacing w:after="40"/>
              <w:rPr>
                <w:b/>
              </w:rPr>
            </w:pPr>
            <w:r w:rsidRPr="00E357B4">
              <w:rPr>
                <w:b/>
              </w:rPr>
              <w:t xml:space="preserve">Graf č. 7 </w:t>
            </w:r>
            <w:r w:rsidRPr="00E357B4">
              <w:rPr>
                <w:b/>
                <w:bCs/>
              </w:rPr>
              <w:t>Příspěvky dílčích odvětví k meziroční změně tržeb ve službách*</w:t>
            </w:r>
            <w:r w:rsidRPr="00E357B4">
              <w:rPr>
                <w:b/>
              </w:rPr>
              <w:br/>
            </w:r>
            <w:r w:rsidRPr="00E357B4">
              <w:t>(reálně, v p. b),</w:t>
            </w:r>
            <w:r w:rsidRPr="00E357B4">
              <w:rPr>
                <w:b/>
              </w:rPr>
              <w:t xml:space="preserve"> </w:t>
            </w:r>
            <w:r w:rsidRPr="00E357B4">
              <w:rPr>
                <w:b/>
                <w:bCs/>
              </w:rPr>
              <w:t xml:space="preserve">celkové tržby ve službách* </w:t>
            </w:r>
            <w:r w:rsidRPr="00E357B4">
              <w:t>(báze 2021=100, pravá osa),</w:t>
            </w:r>
            <w:r w:rsidRPr="00E357B4">
              <w:rPr>
                <w:b/>
              </w:rPr>
              <w:t xml:space="preserve"> </w:t>
            </w:r>
            <w:r w:rsidRPr="00E357B4">
              <w:rPr>
                <w:b/>
                <w:bCs/>
              </w:rPr>
              <w:t>saldo důvěry podnikatelů ve službách**</w:t>
            </w:r>
            <w:r w:rsidRPr="00E357B4">
              <w:rPr>
                <w:b/>
              </w:rPr>
              <w:t xml:space="preserve"> </w:t>
            </w:r>
            <w:r w:rsidRPr="00E357B4">
              <w:t>(v p. b., pravá osa)</w:t>
            </w:r>
            <w:r w:rsidRPr="00E357B4">
              <w:rPr>
                <w:b/>
                <w:bCs/>
              </w:rPr>
              <w:t xml:space="preserve"> a bariéry růstu**</w:t>
            </w:r>
            <w:r w:rsidRPr="00E357B4">
              <w:rPr>
                <w:b/>
              </w:rPr>
              <w:t xml:space="preserve"> </w:t>
            </w:r>
            <w:r w:rsidRPr="00E357B4">
              <w:t xml:space="preserve">(v %, pravá osa) </w:t>
            </w:r>
          </w:p>
        </w:tc>
      </w:tr>
      <w:tr w:rsidR="00290725" w:rsidRPr="004C1143" w14:paraId="26F960E7" w14:textId="77777777" w:rsidTr="00A96D94">
        <w:tblPrEx>
          <w:tblCellMar>
            <w:left w:w="70" w:type="dxa"/>
            <w:right w:w="70" w:type="dxa"/>
          </w:tblCellMar>
        </w:tblPrEx>
        <w:trPr>
          <w:trHeight w:val="170"/>
        </w:trPr>
        <w:tc>
          <w:tcPr>
            <w:tcW w:w="1788" w:type="dxa"/>
          </w:tcPr>
          <w:p w14:paraId="7F542293" w14:textId="77777777" w:rsidR="00290725" w:rsidRDefault="00290725" w:rsidP="00A96D94">
            <w:pPr>
              <w:pStyle w:val="Marginlie"/>
            </w:pPr>
          </w:p>
        </w:tc>
        <w:tc>
          <w:tcPr>
            <w:tcW w:w="147" w:type="dxa"/>
          </w:tcPr>
          <w:p w14:paraId="59BF6161" w14:textId="77777777" w:rsidR="00290725" w:rsidRDefault="00290725" w:rsidP="00A96D94">
            <w:pPr>
              <w:pStyle w:val="Textpoznpodarou"/>
              <w:jc w:val="both"/>
              <w:rPr>
                <w:spacing w:val="-4"/>
              </w:rPr>
            </w:pPr>
          </w:p>
        </w:tc>
        <w:tc>
          <w:tcPr>
            <w:tcW w:w="7711" w:type="dxa"/>
          </w:tcPr>
          <w:p w14:paraId="1E07A95F" w14:textId="77777777" w:rsidR="00290725" w:rsidRPr="00E357B4" w:rsidRDefault="00290725" w:rsidP="00A96D94">
            <w:pPr>
              <w:spacing w:before="40" w:after="40"/>
              <w:rPr>
                <w:rFonts w:cs="Arial"/>
                <w:sz w:val="14"/>
                <w:szCs w:val="14"/>
              </w:rPr>
            </w:pPr>
            <w:r w:rsidRPr="00E357B4">
              <w:rPr>
                <w:noProof/>
              </w:rPr>
              <w:drawing>
                <wp:inline distT="0" distB="0" distL="0" distR="0" wp14:anchorId="08AF6FB1" wp14:editId="4D5CA175">
                  <wp:extent cx="4794250" cy="3409950"/>
                  <wp:effectExtent l="0" t="0" r="6350" b="0"/>
                  <wp:docPr id="157795172" name="Graf 1">
                    <a:extLst xmlns:a="http://schemas.openxmlformats.org/drawingml/2006/main">
                      <a:ext uri="{FF2B5EF4-FFF2-40B4-BE49-F238E27FC236}">
                        <a16:creationId xmlns:a16="http://schemas.microsoft.com/office/drawing/2014/main" id="{CB80320E-451A-4FD4-B128-C587F6B59D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290725" w:rsidRPr="004C1143" w14:paraId="1FDA9FEF" w14:textId="77777777" w:rsidTr="00A96D94">
        <w:trPr>
          <w:trHeight w:val="170"/>
        </w:trPr>
        <w:tc>
          <w:tcPr>
            <w:tcW w:w="1788" w:type="dxa"/>
            <w:tcMar>
              <w:left w:w="0" w:type="dxa"/>
            </w:tcMar>
          </w:tcPr>
          <w:p w14:paraId="48074B05" w14:textId="77777777" w:rsidR="00290725" w:rsidRDefault="00290725" w:rsidP="00A96D94">
            <w:pPr>
              <w:pStyle w:val="Marginlie"/>
            </w:pPr>
          </w:p>
        </w:tc>
        <w:tc>
          <w:tcPr>
            <w:tcW w:w="0" w:type="auto"/>
            <w:tcMar>
              <w:left w:w="0" w:type="dxa"/>
            </w:tcMar>
          </w:tcPr>
          <w:p w14:paraId="5AD5D522" w14:textId="77777777" w:rsidR="00290725" w:rsidRDefault="00290725" w:rsidP="00A96D94">
            <w:pPr>
              <w:pStyle w:val="Textpoznpodarou"/>
              <w:jc w:val="both"/>
              <w:rPr>
                <w:spacing w:val="-4"/>
              </w:rPr>
            </w:pPr>
          </w:p>
        </w:tc>
        <w:tc>
          <w:tcPr>
            <w:tcW w:w="7711" w:type="dxa"/>
            <w:tcMar>
              <w:left w:w="0" w:type="dxa"/>
            </w:tcMar>
          </w:tcPr>
          <w:p w14:paraId="585E5CC8" w14:textId="77777777" w:rsidR="00290725" w:rsidRPr="00E357B4" w:rsidRDefault="00290725" w:rsidP="00A96D94">
            <w:pPr>
              <w:spacing w:after="0" w:line="240" w:lineRule="auto"/>
              <w:rPr>
                <w:rFonts w:cs="Arial"/>
                <w:sz w:val="14"/>
                <w:szCs w:val="14"/>
              </w:rPr>
            </w:pPr>
            <w:r w:rsidRPr="00E357B4">
              <w:rPr>
                <w:rFonts w:cs="Arial"/>
                <w:sz w:val="14"/>
                <w:szCs w:val="14"/>
              </w:rPr>
              <w:t>Poznámka: všechny údaje jsou sezónně očištěny, pouze příspěvky dílčích odvětví k růstu tržeb jsou očištěny jen o kalendářní vlivy.</w:t>
            </w:r>
          </w:p>
          <w:p w14:paraId="371A3FEB" w14:textId="77777777" w:rsidR="00290725" w:rsidRPr="00E357B4" w:rsidRDefault="00290725" w:rsidP="00A96D94">
            <w:pPr>
              <w:spacing w:after="0" w:line="240" w:lineRule="auto"/>
              <w:rPr>
                <w:rFonts w:cs="Arial"/>
                <w:sz w:val="14"/>
                <w:szCs w:val="14"/>
              </w:rPr>
            </w:pPr>
            <w:r w:rsidRPr="00E357B4">
              <w:rPr>
                <w:rFonts w:cs="Arial"/>
                <w:sz w:val="14"/>
                <w:szCs w:val="14"/>
              </w:rPr>
              <w:t>*Bez odvětví obchodu, peněžnictví, pojišťovnictví, vědy, výzkumu a veřejných služeb.</w:t>
            </w:r>
          </w:p>
          <w:p w14:paraId="0512FD5B" w14:textId="77777777" w:rsidR="00290725" w:rsidRPr="00E357B4" w:rsidRDefault="00290725" w:rsidP="00A96D94">
            <w:pPr>
              <w:spacing w:after="0" w:line="240" w:lineRule="auto"/>
              <w:rPr>
                <w:rFonts w:cs="Arial"/>
                <w:sz w:val="14"/>
                <w:szCs w:val="14"/>
              </w:rPr>
            </w:pPr>
            <w:r w:rsidRPr="00E357B4">
              <w:rPr>
                <w:rFonts w:cs="Arial"/>
                <w:sz w:val="14"/>
                <w:szCs w:val="14"/>
              </w:rPr>
              <w:t xml:space="preserve">.**Zahrnuje i finanční sektor. Bariéry růstu vyjadřují stav k prvnímu měsíci daného čtvrtletí, saldo důvěry podnikatelů pak ke druhému měsíci. Podniky mohly uvést více hlavních bariér současně.                                                   </w:t>
            </w:r>
          </w:p>
          <w:p w14:paraId="448E3D83" w14:textId="77777777" w:rsidR="00290725" w:rsidRPr="00E357B4" w:rsidRDefault="00290725" w:rsidP="00A96D94">
            <w:pPr>
              <w:spacing w:line="240" w:lineRule="auto"/>
              <w:rPr>
                <w:rFonts w:cs="Arial"/>
                <w:sz w:val="14"/>
                <w:szCs w:val="14"/>
              </w:rPr>
            </w:pPr>
            <w:r w:rsidRPr="00E357B4">
              <w:rPr>
                <w:rFonts w:cs="Arial"/>
                <w:sz w:val="14"/>
                <w:szCs w:val="14"/>
              </w:rPr>
              <w:t xml:space="preserve">Zdroj: ČSÚ, </w:t>
            </w:r>
            <w:proofErr w:type="spellStart"/>
            <w:r w:rsidRPr="00E357B4">
              <w:rPr>
                <w:rFonts w:cs="Arial"/>
                <w:sz w:val="14"/>
                <w:szCs w:val="14"/>
              </w:rPr>
              <w:t>Eurostat</w:t>
            </w:r>
            <w:proofErr w:type="spellEnd"/>
          </w:p>
        </w:tc>
      </w:tr>
      <w:tr w:rsidR="00290725" w:rsidRPr="009027C4" w14:paraId="24534875" w14:textId="77777777" w:rsidTr="00A96D94">
        <w:trPr>
          <w:trHeight w:val="155"/>
        </w:trPr>
        <w:tc>
          <w:tcPr>
            <w:tcW w:w="1788" w:type="dxa"/>
            <w:tcMar>
              <w:left w:w="0" w:type="dxa"/>
            </w:tcMar>
          </w:tcPr>
          <w:p w14:paraId="21366965" w14:textId="77777777" w:rsidR="00290725" w:rsidRDefault="00290725" w:rsidP="00A96D94">
            <w:pPr>
              <w:pStyle w:val="Marginlie"/>
            </w:pPr>
            <w:r>
              <w:t xml:space="preserve">Rozvoj maloobchodu loni pokračoval. </w:t>
            </w:r>
            <w:proofErr w:type="spellStart"/>
            <w:r>
              <w:t>Mezikvartální</w:t>
            </w:r>
            <w:proofErr w:type="spellEnd"/>
            <w:r>
              <w:t xml:space="preserve"> tempa tržeb ale naznačovala možné zvolňování růstu. </w:t>
            </w:r>
          </w:p>
          <w:p w14:paraId="3F760BCD" w14:textId="77777777" w:rsidR="00290725" w:rsidRDefault="00290725" w:rsidP="00A96D94">
            <w:pPr>
              <w:pStyle w:val="Marginlie"/>
            </w:pPr>
          </w:p>
        </w:tc>
        <w:tc>
          <w:tcPr>
            <w:tcW w:w="0" w:type="auto"/>
            <w:tcMar>
              <w:left w:w="0" w:type="dxa"/>
            </w:tcMar>
          </w:tcPr>
          <w:p w14:paraId="2EAF9595" w14:textId="77777777" w:rsidR="00290725" w:rsidRDefault="00290725" w:rsidP="00A96D94">
            <w:pPr>
              <w:pStyle w:val="Textpoznpodarou"/>
              <w:jc w:val="both"/>
              <w:rPr>
                <w:spacing w:val="-4"/>
              </w:rPr>
            </w:pPr>
          </w:p>
        </w:tc>
        <w:tc>
          <w:tcPr>
            <w:tcW w:w="7711" w:type="dxa"/>
            <w:tcMar>
              <w:left w:w="0" w:type="dxa"/>
            </w:tcMar>
          </w:tcPr>
          <w:p w14:paraId="210A545D" w14:textId="77777777" w:rsidR="00290725" w:rsidRPr="00E357B4" w:rsidRDefault="00290725" w:rsidP="00A96D94">
            <w:pPr>
              <w:spacing w:after="200"/>
              <w:rPr>
                <w:rFonts w:cs="Arial"/>
                <w:color w:val="0D0D0D" w:themeColor="text1" w:themeTint="F2"/>
                <w:szCs w:val="20"/>
              </w:rPr>
            </w:pPr>
            <w:r w:rsidRPr="00E357B4">
              <w:rPr>
                <w:rFonts w:cs="Arial"/>
                <w:color w:val="0D0D0D" w:themeColor="text1" w:themeTint="F2"/>
                <w:szCs w:val="20"/>
              </w:rPr>
              <w:t>Rozvoj maloobchodu v roce 2025 pokračoval, neboť těžil z rostoucí důvěry domácností v ekonomiku</w:t>
            </w:r>
            <w:r w:rsidRPr="00E357B4">
              <w:rPr>
                <w:rStyle w:val="Znakapoznpodarou"/>
                <w:color w:val="0D0D0D" w:themeColor="text1" w:themeTint="F2"/>
                <w:szCs w:val="20"/>
              </w:rPr>
              <w:footnoteReference w:id="49"/>
            </w:r>
            <w:r w:rsidRPr="00E357B4">
              <w:rPr>
                <w:rFonts w:cs="Arial"/>
                <w:color w:val="0D0D0D" w:themeColor="text1" w:themeTint="F2"/>
                <w:szCs w:val="20"/>
              </w:rPr>
              <w:t xml:space="preserve"> podpořenou příznivým vývojem na trhu práce. </w:t>
            </w:r>
            <w:proofErr w:type="spellStart"/>
            <w:r w:rsidRPr="00E357B4">
              <w:rPr>
                <w:rFonts w:cs="Arial"/>
                <w:color w:val="0D0D0D" w:themeColor="text1" w:themeTint="F2"/>
                <w:szCs w:val="20"/>
              </w:rPr>
              <w:t>Mezikvartální</w:t>
            </w:r>
            <w:proofErr w:type="spellEnd"/>
            <w:r w:rsidRPr="00E357B4">
              <w:rPr>
                <w:rFonts w:cs="Arial"/>
                <w:color w:val="0D0D0D" w:themeColor="text1" w:themeTint="F2"/>
                <w:szCs w:val="20"/>
              </w:rPr>
              <w:t xml:space="preserve"> tempa tržeb v maloobchodu</w:t>
            </w:r>
            <w:r w:rsidRPr="00E357B4">
              <w:rPr>
                <w:rStyle w:val="Znakapoznpodarou"/>
                <w:color w:val="0D0D0D" w:themeColor="text1" w:themeTint="F2"/>
              </w:rPr>
              <w:footnoteReference w:id="50"/>
            </w:r>
            <w:r w:rsidRPr="00E357B4">
              <w:rPr>
                <w:rFonts w:cs="Arial"/>
                <w:color w:val="0D0D0D" w:themeColor="text1" w:themeTint="F2"/>
                <w:szCs w:val="20"/>
              </w:rPr>
              <w:t xml:space="preserve"> nicméně naznačovala ve 2. pololetí tendenci k mírnému zvolňování růstu.   Přestože hodnocení vlastní finanční situace domácnostmi (i její výhledy na rok 2026) se postupně zlepšovaly, ochota lidí k větším nákupům (zejména investic a zboží dlouhodobé spotřeby) se příliš nezvyšovala a současně přetrvával vyšší sklon </w:t>
            </w:r>
            <w:r w:rsidRPr="00E357B4">
              <w:rPr>
                <w:rFonts w:cs="Arial"/>
                <w:color w:val="0D0D0D" w:themeColor="text1" w:themeTint="F2"/>
                <w:szCs w:val="20"/>
              </w:rPr>
              <w:lastRenderedPageBreak/>
              <w:t>k vytváření finančních úspor. Výkon maloobchodu se loni ve 4. čtvrtletí sice nacházel mírně nad vrcholem předpandemické konjunktury (+1,6 %), avšak útlum z let 2023 i</w:t>
            </w:r>
            <w:r>
              <w:rPr>
                <w:rFonts w:cs="Arial"/>
                <w:color w:val="0D0D0D" w:themeColor="text1" w:themeTint="F2"/>
                <w:szCs w:val="20"/>
              </w:rPr>
              <w:t> </w:t>
            </w:r>
            <w:r w:rsidRPr="00E357B4">
              <w:rPr>
                <w:rFonts w:cs="Arial"/>
                <w:color w:val="0D0D0D" w:themeColor="text1" w:themeTint="F2"/>
                <w:szCs w:val="20"/>
              </w:rPr>
              <w:t>2024 (spojený s propadem reálných mezd) zatím plně nevykompenzoval.</w:t>
            </w:r>
          </w:p>
        </w:tc>
      </w:tr>
      <w:tr w:rsidR="00290725" w:rsidRPr="009027C4" w14:paraId="04CBBDAC" w14:textId="77777777" w:rsidTr="00A96D94">
        <w:trPr>
          <w:trHeight w:val="155"/>
        </w:trPr>
        <w:tc>
          <w:tcPr>
            <w:tcW w:w="1788" w:type="dxa"/>
            <w:tcMar>
              <w:left w:w="0" w:type="dxa"/>
            </w:tcMar>
          </w:tcPr>
          <w:p w14:paraId="2A0F6DB9" w14:textId="77777777" w:rsidR="00290725" w:rsidRDefault="00290725" w:rsidP="00A96D94">
            <w:pPr>
              <w:pStyle w:val="Marginlie"/>
              <w:rPr>
                <w:spacing w:val="-4"/>
              </w:rPr>
            </w:pPr>
            <w:r>
              <w:rPr>
                <w:spacing w:val="-4"/>
              </w:rPr>
              <w:lastRenderedPageBreak/>
              <w:t xml:space="preserve">K meziročnímu růstu maloobchodu přispívaly zejména internetové prodeje a také vyšší poptávka po pohonných hmotách stimulovaná příznivým loňským cenovým vývojem. </w:t>
            </w:r>
          </w:p>
          <w:p w14:paraId="2CF1150B" w14:textId="77777777" w:rsidR="00290725" w:rsidRDefault="00290725" w:rsidP="00A96D94">
            <w:pPr>
              <w:pStyle w:val="Marginlie"/>
              <w:rPr>
                <w:spacing w:val="-4"/>
              </w:rPr>
            </w:pPr>
          </w:p>
          <w:p w14:paraId="37C121BC" w14:textId="77777777" w:rsidR="00290725" w:rsidRDefault="00290725" w:rsidP="00A96D94">
            <w:pPr>
              <w:pStyle w:val="Marginlie"/>
              <w:rPr>
                <w:spacing w:val="-4"/>
              </w:rPr>
            </w:pPr>
          </w:p>
          <w:p w14:paraId="073801DE" w14:textId="77777777" w:rsidR="00290725" w:rsidRDefault="00290725" w:rsidP="00A96D94">
            <w:pPr>
              <w:pStyle w:val="Marginlie"/>
              <w:rPr>
                <w:spacing w:val="-4"/>
              </w:rPr>
            </w:pPr>
          </w:p>
          <w:p w14:paraId="0AAC4997" w14:textId="77777777" w:rsidR="00290725" w:rsidRDefault="00290725" w:rsidP="00A96D94">
            <w:pPr>
              <w:pStyle w:val="Marginlie"/>
              <w:rPr>
                <w:spacing w:val="-4"/>
              </w:rPr>
            </w:pPr>
          </w:p>
          <w:p w14:paraId="0E8FD237" w14:textId="77777777" w:rsidR="00290725" w:rsidRDefault="00290725" w:rsidP="00A96D94">
            <w:pPr>
              <w:pStyle w:val="Marginlie"/>
              <w:rPr>
                <w:spacing w:val="-4"/>
              </w:rPr>
            </w:pPr>
          </w:p>
          <w:p w14:paraId="3E804FD6" w14:textId="77777777" w:rsidR="00290725" w:rsidRDefault="00290725" w:rsidP="00A96D94">
            <w:pPr>
              <w:pStyle w:val="Marginlie"/>
              <w:rPr>
                <w:spacing w:val="-4"/>
              </w:rPr>
            </w:pPr>
          </w:p>
          <w:p w14:paraId="5B83A5FF" w14:textId="77777777" w:rsidR="00290725" w:rsidRDefault="00290725" w:rsidP="00A96D94">
            <w:pPr>
              <w:pStyle w:val="Marginlie"/>
              <w:rPr>
                <w:spacing w:val="-4"/>
              </w:rPr>
            </w:pPr>
          </w:p>
          <w:p w14:paraId="64841EFF" w14:textId="77777777" w:rsidR="00290725" w:rsidRDefault="00290725" w:rsidP="00A96D94">
            <w:pPr>
              <w:pStyle w:val="Marginlie"/>
              <w:rPr>
                <w:spacing w:val="-4"/>
              </w:rPr>
            </w:pPr>
          </w:p>
          <w:p w14:paraId="3BA6040A" w14:textId="77777777" w:rsidR="00290725" w:rsidRDefault="00290725" w:rsidP="00A96D94">
            <w:pPr>
              <w:pStyle w:val="Marginlie"/>
              <w:rPr>
                <w:spacing w:val="-4"/>
              </w:rPr>
            </w:pPr>
            <w:r>
              <w:rPr>
                <w:spacing w:val="-4"/>
              </w:rPr>
              <w:t xml:space="preserve">Růst tržeb za prodej potravin loni zvolnil. Domácnosti patrně omezily spotřebu některých potravin </w:t>
            </w:r>
            <w:r>
              <w:rPr>
                <w:spacing w:val="-4"/>
              </w:rPr>
              <w:br/>
              <w:t>i z důvodu jejich cenového růstu.</w:t>
            </w:r>
          </w:p>
          <w:p w14:paraId="6AF5C095" w14:textId="77777777" w:rsidR="00290725" w:rsidRDefault="00290725" w:rsidP="00A96D94">
            <w:pPr>
              <w:pStyle w:val="Marginlie"/>
              <w:rPr>
                <w:spacing w:val="-4"/>
              </w:rPr>
            </w:pPr>
          </w:p>
        </w:tc>
        <w:tc>
          <w:tcPr>
            <w:tcW w:w="0" w:type="auto"/>
            <w:tcMar>
              <w:left w:w="0" w:type="dxa"/>
            </w:tcMar>
          </w:tcPr>
          <w:p w14:paraId="70EA02DF" w14:textId="77777777" w:rsidR="00290725" w:rsidRDefault="00290725" w:rsidP="00A96D94">
            <w:pPr>
              <w:pStyle w:val="Textpoznpodarou"/>
              <w:jc w:val="both"/>
              <w:rPr>
                <w:spacing w:val="-4"/>
              </w:rPr>
            </w:pPr>
          </w:p>
        </w:tc>
        <w:tc>
          <w:tcPr>
            <w:tcW w:w="7711" w:type="dxa"/>
            <w:tcMar>
              <w:left w:w="0" w:type="dxa"/>
            </w:tcMar>
          </w:tcPr>
          <w:p w14:paraId="5C7D10D5" w14:textId="77777777" w:rsidR="00290725" w:rsidRPr="00E357B4" w:rsidRDefault="00290725" w:rsidP="00A96D94">
            <w:pPr>
              <w:spacing w:after="0"/>
              <w:rPr>
                <w:rFonts w:cs="Arial"/>
                <w:color w:val="0D0D0D" w:themeColor="text1" w:themeTint="F2"/>
                <w:szCs w:val="20"/>
              </w:rPr>
            </w:pPr>
            <w:r w:rsidRPr="00E357B4">
              <w:rPr>
                <w:rFonts w:cs="Arial"/>
                <w:color w:val="0D0D0D" w:themeColor="text1" w:themeTint="F2"/>
                <w:szCs w:val="20"/>
              </w:rPr>
              <w:t>Za celý loňský rok se maloobchodní tržby zvýšily o 3,3 % (a proti roku 2024 tempo lehce zvolnilo). Dominantní vliv si stále udržovala vyšší poptávka po nepotravinářském zboží (růst o 4,2 %, příspěvek k růstu celého maloobchodu +2,2 p. b.), do níž zásadně promlouvaly tržby v oblasti prodeje prostřednictvím internetu nebo zásilkové služby, jež posílily bezmála o desetinu a stejně jako v roce 2024 představovaly nejdynamičtější segment celého maloobchodu. V rámci specializovaných prodejen</w:t>
            </w:r>
            <w:r w:rsidRPr="00E357B4">
              <w:rPr>
                <w:rStyle w:val="Znakapoznpodarou"/>
                <w:color w:val="0D0D0D" w:themeColor="text1" w:themeTint="F2"/>
                <w:szCs w:val="20"/>
              </w:rPr>
              <w:footnoteReference w:id="51"/>
            </w:r>
            <w:r w:rsidRPr="00E357B4">
              <w:rPr>
                <w:rFonts w:cs="Arial"/>
                <w:color w:val="0D0D0D" w:themeColor="text1" w:themeTint="F2"/>
                <w:szCs w:val="20"/>
              </w:rPr>
              <w:t xml:space="preserve"> se nadále nejvíce zvyšovaly tržby za kosmetické a toaletní výrobky (+9,2 %), dařilo se i prodeji farmaceutického a zdravotnického zboží (+5,4 %)</w:t>
            </w:r>
            <w:r w:rsidRPr="00E357B4">
              <w:rPr>
                <w:rStyle w:val="Znakapoznpodarou"/>
                <w:color w:val="0D0D0D" w:themeColor="text1" w:themeTint="F2"/>
                <w:szCs w:val="20"/>
              </w:rPr>
              <w:footnoteReference w:id="52"/>
            </w:r>
            <w:r w:rsidRPr="00E357B4">
              <w:rPr>
                <w:rFonts w:cs="Arial"/>
                <w:color w:val="0D0D0D" w:themeColor="text1" w:themeTint="F2"/>
                <w:szCs w:val="20"/>
              </w:rPr>
              <w:t>. Sílila poptávka po pohonných hmotách, jež pramenila hlavně z jejich příznivého cenového vývoje</w:t>
            </w:r>
            <w:r w:rsidRPr="00E357B4">
              <w:rPr>
                <w:rStyle w:val="Znakapoznpodarou"/>
                <w:color w:val="0D0D0D" w:themeColor="text1" w:themeTint="F2"/>
                <w:szCs w:val="20"/>
              </w:rPr>
              <w:footnoteReference w:id="53"/>
            </w:r>
            <w:r w:rsidRPr="00E357B4">
              <w:rPr>
                <w:rFonts w:cs="Arial"/>
                <w:color w:val="0D0D0D" w:themeColor="text1" w:themeTint="F2"/>
                <w:szCs w:val="20"/>
              </w:rPr>
              <w:t>. Meziroční růst tržeb za jejich prodej dosáhl 8,0 %</w:t>
            </w:r>
            <w:r w:rsidRPr="00E357B4">
              <w:rPr>
                <w:rStyle w:val="Znakapoznpodarou"/>
                <w:color w:val="0D0D0D" w:themeColor="text1" w:themeTint="F2"/>
                <w:szCs w:val="20"/>
              </w:rPr>
              <w:footnoteReference w:id="54"/>
            </w:r>
            <w:r w:rsidRPr="00E357B4">
              <w:rPr>
                <w:rFonts w:cs="Arial"/>
                <w:color w:val="0D0D0D" w:themeColor="text1" w:themeTint="F2"/>
                <w:szCs w:val="20"/>
              </w:rPr>
              <w:t xml:space="preserve"> (nejvyšší tempo po roce 2008) a k růstu celého maloobchodu loni přispěl 1,0 p. b. K pozitivnímu obratu došlo v maloobchodu s výrobky pro kulturu a rekreaci, kde loni tržby po třech letech poklesů vzrostly o 3,2 %, především díky vyšší poptávce po sportovním vybavení. Ke změně poptávky naopak i přes příznivý cenový vývoj nedošlo u oděvů, obuvi a koženého zboží a tržby zde druhý rok v řadě rostly jen mírně (a proti roku 2019 byly stále nižší skoro o čtvrtinu). Tržby v některých sortimentních skupinách obchodů navíc loni nadále klesaly – ve spíše okrajovém segmentu prodejen s počítačovým a komunikačním zařízením o 2,5 %</w:t>
            </w:r>
            <w:r w:rsidRPr="00E357B4">
              <w:rPr>
                <w:rStyle w:val="Znakapoznpodarou"/>
                <w:color w:val="0D0D0D" w:themeColor="text1" w:themeTint="F2"/>
                <w:szCs w:val="20"/>
              </w:rPr>
              <w:footnoteReference w:id="55"/>
            </w:r>
            <w:r w:rsidRPr="00E357B4">
              <w:rPr>
                <w:rFonts w:cs="Arial"/>
                <w:color w:val="0D0D0D" w:themeColor="text1" w:themeTint="F2"/>
                <w:szCs w:val="20"/>
              </w:rPr>
              <w:t>, s výrobky převážně pro domácnost</w:t>
            </w:r>
            <w:r w:rsidRPr="00E357B4">
              <w:rPr>
                <w:rStyle w:val="Znakapoznpodarou"/>
                <w:color w:val="0D0D0D" w:themeColor="text1" w:themeTint="F2"/>
                <w:szCs w:val="20"/>
              </w:rPr>
              <w:footnoteReference w:id="56"/>
            </w:r>
            <w:r w:rsidRPr="00E357B4">
              <w:rPr>
                <w:rFonts w:cs="Arial"/>
                <w:color w:val="0D0D0D" w:themeColor="text1" w:themeTint="F2"/>
                <w:szCs w:val="20"/>
              </w:rPr>
              <w:t xml:space="preserve"> o 0,3 %. V maloobchodu s potravinami se tržby zvýšily jen velmi mírně (+0,4 %, příspěvek k růstu celého maloobchodu +0,2 p. b.), když téměř identickým tempem rostly u velkých řetězců</w:t>
            </w:r>
            <w:r w:rsidRPr="00E357B4">
              <w:rPr>
                <w:rStyle w:val="Znakapoznpodarou"/>
                <w:color w:val="0D0D0D" w:themeColor="text1" w:themeTint="F2"/>
                <w:szCs w:val="20"/>
              </w:rPr>
              <w:footnoteReference w:id="57"/>
            </w:r>
            <w:r>
              <w:rPr>
                <w:rFonts w:cs="Arial"/>
                <w:color w:val="0D0D0D" w:themeColor="text1" w:themeTint="F2"/>
                <w:szCs w:val="20"/>
              </w:rPr>
              <w:t>.</w:t>
            </w:r>
            <w:r w:rsidRPr="00E357B4">
              <w:rPr>
                <w:rFonts w:cs="Arial"/>
                <w:color w:val="0D0D0D" w:themeColor="text1" w:themeTint="F2"/>
                <w:szCs w:val="20"/>
              </w:rPr>
              <w:t xml:space="preserve"> </w:t>
            </w:r>
            <w:r>
              <w:rPr>
                <w:rFonts w:cs="Arial"/>
                <w:color w:val="0D0D0D" w:themeColor="text1" w:themeTint="F2"/>
                <w:szCs w:val="20"/>
              </w:rPr>
              <w:t>U</w:t>
            </w:r>
            <w:r w:rsidRPr="00E357B4">
              <w:rPr>
                <w:rFonts w:cs="Arial"/>
                <w:color w:val="0D0D0D" w:themeColor="text1" w:themeTint="F2"/>
                <w:szCs w:val="20"/>
              </w:rPr>
              <w:t xml:space="preserve"> specializovaných (zpravidla malých) prodejen</w:t>
            </w:r>
            <w:r w:rsidRPr="00E357B4">
              <w:rPr>
                <w:rStyle w:val="Znakapoznpodarou"/>
                <w:color w:val="0D0D0D" w:themeColor="text1" w:themeTint="F2"/>
                <w:szCs w:val="20"/>
              </w:rPr>
              <w:footnoteReference w:id="58"/>
            </w:r>
            <w:r>
              <w:rPr>
                <w:rFonts w:cs="Arial"/>
                <w:color w:val="0D0D0D" w:themeColor="text1" w:themeTint="F2"/>
                <w:szCs w:val="20"/>
              </w:rPr>
              <w:t xml:space="preserve"> neparně klesly</w:t>
            </w:r>
            <w:r w:rsidRPr="00E357B4">
              <w:rPr>
                <w:rFonts w:cs="Arial"/>
                <w:color w:val="0D0D0D" w:themeColor="text1" w:themeTint="F2"/>
                <w:szCs w:val="20"/>
              </w:rPr>
              <w:t>. Zatímco u řetězců loni růst poptávky proti tempu z roku 2024 (+2,8</w:t>
            </w:r>
            <w:r>
              <w:rPr>
                <w:rFonts w:cs="Arial"/>
                <w:color w:val="0D0D0D" w:themeColor="text1" w:themeTint="F2"/>
                <w:szCs w:val="20"/>
              </w:rPr>
              <w:t> </w:t>
            </w:r>
            <w:r w:rsidRPr="00E357B4">
              <w:rPr>
                <w:rFonts w:cs="Arial"/>
                <w:color w:val="0D0D0D" w:themeColor="text1" w:themeTint="F2"/>
                <w:szCs w:val="20"/>
              </w:rPr>
              <w:t xml:space="preserve">%) zmírnil (na +0,5 %), u specializovaných prodejen </w:t>
            </w:r>
            <w:r>
              <w:rPr>
                <w:rFonts w:cs="Arial"/>
                <w:color w:val="0D0D0D" w:themeColor="text1" w:themeTint="F2"/>
                <w:szCs w:val="20"/>
              </w:rPr>
              <w:t xml:space="preserve">s potravinami </w:t>
            </w:r>
            <w:r w:rsidRPr="00E357B4">
              <w:rPr>
                <w:rFonts w:cs="Arial"/>
                <w:color w:val="0D0D0D" w:themeColor="text1" w:themeTint="F2"/>
                <w:szCs w:val="20"/>
              </w:rPr>
              <w:t>pokračoval pokles poptávky sedmým rokem v řadě (</w:t>
            </w:r>
            <w:r w:rsidRPr="00E357B4">
              <w:rPr>
                <w:rFonts w:cs="Arial"/>
                <w:color w:val="0D0D0D" w:themeColor="text1" w:themeTint="F2"/>
              </w:rPr>
              <w:t xml:space="preserve">loni o </w:t>
            </w:r>
            <w:r w:rsidRPr="00E357B4">
              <w:rPr>
                <w:rFonts w:cs="Arial"/>
                <w:color w:val="0D0D0D" w:themeColor="text1" w:themeTint="F2"/>
                <w:szCs w:val="20"/>
              </w:rPr>
              <w:t xml:space="preserve">0,2 %). </w:t>
            </w:r>
          </w:p>
          <w:p w14:paraId="44FBA3E7" w14:textId="77777777" w:rsidR="00290725" w:rsidRPr="00E357B4" w:rsidRDefault="00290725" w:rsidP="00A96D94">
            <w:pPr>
              <w:spacing w:after="0"/>
              <w:rPr>
                <w:rFonts w:cs="Arial"/>
                <w:color w:val="0D0D0D" w:themeColor="text1" w:themeTint="F2"/>
                <w:szCs w:val="20"/>
              </w:rPr>
            </w:pPr>
          </w:p>
        </w:tc>
      </w:tr>
      <w:tr w:rsidR="00290725" w:rsidRPr="009027C4" w14:paraId="0E357384" w14:textId="77777777" w:rsidTr="00A96D94">
        <w:trPr>
          <w:trHeight w:val="155"/>
        </w:trPr>
        <w:tc>
          <w:tcPr>
            <w:tcW w:w="1788" w:type="dxa"/>
            <w:tcMar>
              <w:left w:w="0" w:type="dxa"/>
            </w:tcMar>
          </w:tcPr>
          <w:p w14:paraId="1738206A" w14:textId="77777777" w:rsidR="00290725" w:rsidRDefault="00290725" w:rsidP="00A96D94">
            <w:pPr>
              <w:pStyle w:val="Marginlie"/>
            </w:pPr>
            <w:r>
              <w:rPr>
                <w:spacing w:val="-4"/>
              </w:rPr>
              <w:t>Růst tržeb za prodej motorových vozidel zrychlil. Poptávka po dílech a příslušenství pro vozidla ale dále klesala.</w:t>
            </w:r>
          </w:p>
        </w:tc>
        <w:tc>
          <w:tcPr>
            <w:tcW w:w="0" w:type="auto"/>
            <w:tcMar>
              <w:left w:w="0" w:type="dxa"/>
            </w:tcMar>
          </w:tcPr>
          <w:p w14:paraId="5F404D6F" w14:textId="77777777" w:rsidR="00290725" w:rsidRDefault="00290725" w:rsidP="00A96D94">
            <w:pPr>
              <w:pStyle w:val="Textpoznpodarou"/>
              <w:jc w:val="both"/>
              <w:rPr>
                <w:spacing w:val="-4"/>
              </w:rPr>
            </w:pPr>
          </w:p>
        </w:tc>
        <w:tc>
          <w:tcPr>
            <w:tcW w:w="7711" w:type="dxa"/>
            <w:tcMar>
              <w:left w:w="0" w:type="dxa"/>
            </w:tcMar>
          </w:tcPr>
          <w:p w14:paraId="40E78DBD" w14:textId="77777777" w:rsidR="00290725" w:rsidRPr="00E357B4" w:rsidRDefault="00290725" w:rsidP="00A96D94">
            <w:pPr>
              <w:spacing w:after="0"/>
              <w:rPr>
                <w:rFonts w:cs="Arial"/>
                <w:color w:val="0D0D0D" w:themeColor="text1" w:themeTint="F2"/>
                <w:szCs w:val="20"/>
              </w:rPr>
            </w:pPr>
            <w:r w:rsidRPr="00E357B4">
              <w:rPr>
                <w:rFonts w:cs="Arial"/>
                <w:color w:val="0D0D0D" w:themeColor="text1" w:themeTint="F2"/>
                <w:szCs w:val="20"/>
              </w:rPr>
              <w:t>V motoristickém segmentu obchodu se loni poptávka zvyšovala třetí rok v řadě, když tržby posílily o 2,5 %. Zrychlil růst v klíčovém segmentu obchodu s motorovými vozidly (k</w:t>
            </w:r>
            <w:r>
              <w:rPr>
                <w:rFonts w:cs="Arial"/>
                <w:color w:val="0D0D0D" w:themeColor="text1" w:themeTint="F2"/>
                <w:szCs w:val="20"/>
              </w:rPr>
              <w:t>ro</w:t>
            </w:r>
            <w:r w:rsidRPr="00E357B4">
              <w:rPr>
                <w:rFonts w:cs="Arial"/>
                <w:color w:val="0D0D0D" w:themeColor="text1" w:themeTint="F2"/>
                <w:szCs w:val="20"/>
              </w:rPr>
              <w:t>mě motocyklů), a to na 3,9 %. Projevila se zde především vyšší firemní poptávka, jež je pro tento segment obchodu určující. Mírnějším, ale stabilnějším tempem rostly i</w:t>
            </w:r>
            <w:r>
              <w:rPr>
                <w:rFonts w:cs="Arial"/>
                <w:color w:val="0D0D0D" w:themeColor="text1" w:themeTint="F2"/>
                <w:szCs w:val="20"/>
              </w:rPr>
              <w:t> </w:t>
            </w:r>
            <w:r w:rsidRPr="00E357B4">
              <w:rPr>
                <w:rFonts w:cs="Arial"/>
                <w:color w:val="0D0D0D" w:themeColor="text1" w:themeTint="F2"/>
                <w:szCs w:val="20"/>
              </w:rPr>
              <w:t>tržby za opravy a údržbu motorových vozidel. Oproti tomu v obchodu s díly a</w:t>
            </w:r>
            <w:r>
              <w:rPr>
                <w:rFonts w:cs="Arial"/>
                <w:color w:val="0D0D0D" w:themeColor="text1" w:themeTint="F2"/>
                <w:szCs w:val="20"/>
              </w:rPr>
              <w:t> </w:t>
            </w:r>
            <w:r w:rsidRPr="00E357B4">
              <w:rPr>
                <w:rFonts w:cs="Arial"/>
                <w:color w:val="0D0D0D" w:themeColor="text1" w:themeTint="F2"/>
                <w:szCs w:val="20"/>
              </w:rPr>
              <w:t xml:space="preserve">příslušenstvím pro motorová vozidla se tržby snížily o 1,5 %, poptávka zde mírně klesala čtvrtý rok v řadě a ve srovnání s rokem 2019 byla nižší o </w:t>
            </w:r>
            <w:r>
              <w:rPr>
                <w:rFonts w:cs="Arial"/>
                <w:color w:val="0D0D0D" w:themeColor="text1" w:themeTint="F2"/>
                <w:szCs w:val="20"/>
              </w:rPr>
              <w:t xml:space="preserve">více než </w:t>
            </w:r>
            <w:r w:rsidRPr="00E357B4">
              <w:rPr>
                <w:rFonts w:cs="Arial"/>
                <w:color w:val="0D0D0D" w:themeColor="text1" w:themeTint="F2"/>
                <w:szCs w:val="20"/>
              </w:rPr>
              <w:t xml:space="preserve">15 % (v celém motoristickém segmentu obchodu o </w:t>
            </w:r>
            <w:r>
              <w:rPr>
                <w:rFonts w:cs="Arial"/>
                <w:color w:val="0D0D0D" w:themeColor="text1" w:themeTint="F2"/>
                <w:szCs w:val="20"/>
              </w:rPr>
              <w:t xml:space="preserve">téměř </w:t>
            </w:r>
            <w:r w:rsidRPr="00E357B4">
              <w:rPr>
                <w:rFonts w:cs="Arial"/>
                <w:color w:val="0D0D0D" w:themeColor="text1" w:themeTint="F2"/>
                <w:szCs w:val="20"/>
              </w:rPr>
              <w:t>5 %).</w:t>
            </w:r>
          </w:p>
        </w:tc>
      </w:tr>
      <w:tr w:rsidR="00290725" w:rsidRPr="00832E72" w14:paraId="7D3FFE32" w14:textId="77777777" w:rsidTr="00A96D94">
        <w:trPr>
          <w:trHeight w:val="155"/>
        </w:trPr>
        <w:tc>
          <w:tcPr>
            <w:tcW w:w="1788" w:type="dxa"/>
            <w:vMerge w:val="restart"/>
            <w:tcMar>
              <w:left w:w="0" w:type="dxa"/>
            </w:tcMar>
          </w:tcPr>
          <w:p w14:paraId="339D38FD" w14:textId="77777777" w:rsidR="00290725" w:rsidRDefault="00290725" w:rsidP="00A96D94">
            <w:pPr>
              <w:pStyle w:val="Marginlie"/>
            </w:pPr>
          </w:p>
        </w:tc>
        <w:tc>
          <w:tcPr>
            <w:tcW w:w="0" w:type="auto"/>
            <w:vMerge w:val="restart"/>
            <w:tcMar>
              <w:left w:w="0" w:type="dxa"/>
            </w:tcMar>
          </w:tcPr>
          <w:p w14:paraId="31A017EE" w14:textId="77777777" w:rsidR="00290725" w:rsidRDefault="00290725" w:rsidP="00A96D94">
            <w:pPr>
              <w:pStyle w:val="Textpoznpodarou"/>
              <w:jc w:val="both"/>
              <w:rPr>
                <w:spacing w:val="-4"/>
              </w:rPr>
            </w:pPr>
          </w:p>
        </w:tc>
        <w:tc>
          <w:tcPr>
            <w:tcW w:w="7711" w:type="dxa"/>
            <w:tcMar>
              <w:left w:w="0" w:type="dxa"/>
            </w:tcMar>
          </w:tcPr>
          <w:p w14:paraId="65C2CD04" w14:textId="77777777" w:rsidR="00290725" w:rsidRPr="00832E72" w:rsidRDefault="00290725" w:rsidP="00A96D94">
            <w:pPr>
              <w:spacing w:after="0"/>
              <w:rPr>
                <w:rFonts w:cs="Arial"/>
                <w:color w:val="0D0D0D" w:themeColor="text1" w:themeTint="F2"/>
                <w:spacing w:val="-4"/>
                <w:szCs w:val="20"/>
              </w:rPr>
            </w:pPr>
            <w:r w:rsidRPr="00107EB3">
              <w:rPr>
                <w:b/>
                <w:spacing w:val="-2"/>
              </w:rPr>
              <w:t xml:space="preserve">Graf č. 8 </w:t>
            </w:r>
            <w:r w:rsidRPr="00107EB3">
              <w:rPr>
                <w:rFonts w:cs="Arial"/>
                <w:b/>
                <w:bCs/>
                <w:color w:val="0D0D0D" w:themeColor="text1" w:themeTint="F2"/>
                <w:spacing w:val="-2"/>
              </w:rPr>
              <w:t xml:space="preserve">Příspěvky dílčích odvětví k meziroční změně tržeb v maloobchodu* </w:t>
            </w:r>
            <w:r w:rsidRPr="00107EB3">
              <w:rPr>
                <w:rFonts w:cs="Arial"/>
                <w:color w:val="0D0D0D" w:themeColor="text1" w:themeTint="F2"/>
                <w:spacing w:val="-2"/>
              </w:rPr>
              <w:t>(reálně, v p. b.),</w:t>
            </w:r>
            <w:r w:rsidRPr="004405E2">
              <w:rPr>
                <w:rFonts w:cs="Arial"/>
                <w:color w:val="0D0D0D" w:themeColor="text1" w:themeTint="F2"/>
                <w:spacing w:val="-6"/>
              </w:rPr>
              <w:t xml:space="preserve"> </w:t>
            </w:r>
            <w:r w:rsidRPr="004405E2">
              <w:rPr>
                <w:rFonts w:cs="Arial"/>
                <w:b/>
                <w:bCs/>
                <w:color w:val="0D0D0D" w:themeColor="text1" w:themeTint="F2"/>
                <w:spacing w:val="-6"/>
              </w:rPr>
              <w:t xml:space="preserve">tržby v maloobchodu a v motoristickém segmentu obchodu** </w:t>
            </w:r>
            <w:r w:rsidRPr="004405E2">
              <w:rPr>
                <w:rFonts w:cs="Arial"/>
                <w:color w:val="0D0D0D" w:themeColor="text1" w:themeTint="F2"/>
                <w:spacing w:val="-6"/>
              </w:rPr>
              <w:t>(reálně, ú</w:t>
            </w:r>
            <w:r>
              <w:rPr>
                <w:rFonts w:cs="Arial"/>
                <w:color w:val="0D0D0D" w:themeColor="text1" w:themeTint="F2"/>
                <w:spacing w:val="-6"/>
              </w:rPr>
              <w:t xml:space="preserve">roveň roku </w:t>
            </w:r>
            <w:r w:rsidRPr="00107EB3">
              <w:rPr>
                <w:rFonts w:cs="Arial"/>
                <w:color w:val="0D0D0D" w:themeColor="text1" w:themeTint="F2"/>
                <w:spacing w:val="-2"/>
              </w:rPr>
              <w:t xml:space="preserve">2021=100, pravá osa), </w:t>
            </w:r>
            <w:r w:rsidRPr="00107EB3">
              <w:rPr>
                <w:rFonts w:cs="Arial"/>
                <w:b/>
                <w:bCs/>
                <w:color w:val="0D0D0D" w:themeColor="text1" w:themeTint="F2"/>
                <w:spacing w:val="-2"/>
              </w:rPr>
              <w:t xml:space="preserve">saldo důvěry spotřebitelů i obchodníků*** </w:t>
            </w:r>
            <w:r>
              <w:rPr>
                <w:rFonts w:cs="Arial"/>
                <w:color w:val="0D0D0D" w:themeColor="text1" w:themeTint="F2"/>
                <w:spacing w:val="-2"/>
              </w:rPr>
              <w:t xml:space="preserve">(v p. b., </w:t>
            </w:r>
            <w:proofErr w:type="spellStart"/>
            <w:r>
              <w:rPr>
                <w:rFonts w:cs="Arial"/>
                <w:color w:val="0D0D0D" w:themeColor="text1" w:themeTint="F2"/>
                <w:spacing w:val="-2"/>
              </w:rPr>
              <w:t>pr</w:t>
            </w:r>
            <w:proofErr w:type="spellEnd"/>
            <w:r>
              <w:rPr>
                <w:rFonts w:cs="Arial"/>
                <w:color w:val="0D0D0D" w:themeColor="text1" w:themeTint="F2"/>
                <w:spacing w:val="-2"/>
              </w:rPr>
              <w:t xml:space="preserve">. </w:t>
            </w:r>
            <w:r w:rsidRPr="00107EB3">
              <w:rPr>
                <w:rFonts w:cs="Arial"/>
                <w:color w:val="0D0D0D" w:themeColor="text1" w:themeTint="F2"/>
                <w:spacing w:val="-2"/>
              </w:rPr>
              <w:t>osa)</w:t>
            </w:r>
          </w:p>
        </w:tc>
      </w:tr>
      <w:tr w:rsidR="00290725" w:rsidRPr="00832E72" w14:paraId="6EE5E002" w14:textId="77777777" w:rsidTr="00A96D94">
        <w:tblPrEx>
          <w:tblCellMar>
            <w:left w:w="70" w:type="dxa"/>
            <w:right w:w="70" w:type="dxa"/>
          </w:tblCellMar>
        </w:tblPrEx>
        <w:trPr>
          <w:trHeight w:val="155"/>
        </w:trPr>
        <w:tc>
          <w:tcPr>
            <w:tcW w:w="1788" w:type="dxa"/>
            <w:vMerge/>
          </w:tcPr>
          <w:p w14:paraId="1B07CC03" w14:textId="77777777" w:rsidR="00290725" w:rsidRDefault="00290725" w:rsidP="00A96D94">
            <w:pPr>
              <w:pStyle w:val="Marginlie"/>
            </w:pPr>
          </w:p>
        </w:tc>
        <w:tc>
          <w:tcPr>
            <w:tcW w:w="147" w:type="dxa"/>
            <w:vMerge/>
          </w:tcPr>
          <w:p w14:paraId="152A4EB5" w14:textId="77777777" w:rsidR="00290725" w:rsidRDefault="00290725" w:rsidP="00A96D94">
            <w:pPr>
              <w:pStyle w:val="Textpoznpodarou"/>
              <w:jc w:val="both"/>
              <w:rPr>
                <w:spacing w:val="-4"/>
              </w:rPr>
            </w:pPr>
          </w:p>
        </w:tc>
        <w:tc>
          <w:tcPr>
            <w:tcW w:w="7711" w:type="dxa"/>
          </w:tcPr>
          <w:p w14:paraId="131A3166" w14:textId="77777777" w:rsidR="00290725" w:rsidRPr="00832E72" w:rsidRDefault="00290725" w:rsidP="00A96D94">
            <w:pPr>
              <w:spacing w:before="40" w:after="40"/>
              <w:rPr>
                <w:rFonts w:cs="Arial"/>
                <w:color w:val="0D0D0D" w:themeColor="text1" w:themeTint="F2"/>
                <w:spacing w:val="-4"/>
                <w:szCs w:val="20"/>
              </w:rPr>
            </w:pPr>
            <w:r>
              <w:rPr>
                <w:noProof/>
              </w:rPr>
              <w:drawing>
                <wp:inline distT="0" distB="0" distL="0" distR="0" wp14:anchorId="75AADC45" wp14:editId="36D129F2">
                  <wp:extent cx="4756785" cy="3491865"/>
                  <wp:effectExtent l="0" t="0" r="5715" b="0"/>
                  <wp:docPr id="1823326539" name="Graf 1">
                    <a:extLst xmlns:a="http://schemas.openxmlformats.org/drawingml/2006/main">
                      <a:ext uri="{FF2B5EF4-FFF2-40B4-BE49-F238E27FC236}">
                        <a16:creationId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290725" w:rsidRPr="00832E72" w14:paraId="113D139B" w14:textId="77777777" w:rsidTr="00A96D94">
        <w:trPr>
          <w:trHeight w:val="155"/>
        </w:trPr>
        <w:tc>
          <w:tcPr>
            <w:tcW w:w="1788" w:type="dxa"/>
            <w:vMerge/>
            <w:tcMar>
              <w:left w:w="0" w:type="dxa"/>
            </w:tcMar>
          </w:tcPr>
          <w:p w14:paraId="03CF9149" w14:textId="77777777" w:rsidR="00290725" w:rsidRDefault="00290725" w:rsidP="00A96D94">
            <w:pPr>
              <w:pStyle w:val="Marginlie"/>
            </w:pPr>
          </w:p>
        </w:tc>
        <w:tc>
          <w:tcPr>
            <w:tcW w:w="0" w:type="auto"/>
            <w:vMerge/>
            <w:tcMar>
              <w:left w:w="0" w:type="dxa"/>
            </w:tcMar>
          </w:tcPr>
          <w:p w14:paraId="4D054801" w14:textId="77777777" w:rsidR="00290725" w:rsidRDefault="00290725" w:rsidP="00A96D94">
            <w:pPr>
              <w:pStyle w:val="Textpoznpodarou"/>
              <w:jc w:val="both"/>
              <w:rPr>
                <w:spacing w:val="-4"/>
              </w:rPr>
            </w:pPr>
          </w:p>
        </w:tc>
        <w:tc>
          <w:tcPr>
            <w:tcW w:w="7711" w:type="dxa"/>
            <w:tcMar>
              <w:left w:w="0" w:type="dxa"/>
            </w:tcMar>
          </w:tcPr>
          <w:p w14:paraId="5EA827D3" w14:textId="77777777" w:rsidR="00290725" w:rsidRPr="00052ADA" w:rsidRDefault="00290725" w:rsidP="00A96D94">
            <w:pPr>
              <w:spacing w:after="0" w:line="240" w:lineRule="auto"/>
              <w:rPr>
                <w:rFonts w:cs="Arial"/>
                <w:sz w:val="14"/>
                <w:szCs w:val="14"/>
              </w:rPr>
            </w:pPr>
            <w:r>
              <w:rPr>
                <w:rFonts w:cs="Arial"/>
                <w:color w:val="0D0D0D" w:themeColor="text1" w:themeTint="F2"/>
                <w:spacing w:val="-6"/>
              </w:rPr>
              <w:t>*</w:t>
            </w:r>
            <w:r w:rsidRPr="00052ADA">
              <w:rPr>
                <w:rFonts w:cs="Arial"/>
                <w:sz w:val="14"/>
                <w:szCs w:val="14"/>
              </w:rPr>
              <w:t xml:space="preserve"> Tržby jsou očištěny o kalendářní vlivy.       ** Tržby jsou sezónně i kalendářně očištěny.</w:t>
            </w:r>
          </w:p>
          <w:p w14:paraId="740CC535" w14:textId="77777777" w:rsidR="00290725" w:rsidRDefault="00290725" w:rsidP="00A96D94">
            <w:pPr>
              <w:spacing w:after="0"/>
              <w:rPr>
                <w:rFonts w:cs="Arial"/>
                <w:color w:val="0D0D0D" w:themeColor="text1" w:themeTint="F2"/>
                <w:spacing w:val="-4"/>
                <w:sz w:val="14"/>
                <w:szCs w:val="14"/>
              </w:rPr>
            </w:pPr>
            <w:r>
              <w:rPr>
                <w:rFonts w:cs="Arial"/>
                <w:color w:val="0D0D0D" w:themeColor="text1" w:themeTint="F2"/>
                <w:spacing w:val="-4"/>
                <w:sz w:val="14"/>
                <w:szCs w:val="14"/>
              </w:rPr>
              <w:t>*** Salda důvěry jsou sezónně očištěna a vyjadřují</w:t>
            </w:r>
            <w:r w:rsidRPr="00052ADA">
              <w:rPr>
                <w:rFonts w:cs="Arial"/>
                <w:color w:val="0D0D0D" w:themeColor="text1" w:themeTint="F2"/>
                <w:spacing w:val="-4"/>
                <w:sz w:val="14"/>
                <w:szCs w:val="14"/>
              </w:rPr>
              <w:t xml:space="preserve"> stav ve druhém měs</w:t>
            </w:r>
            <w:r>
              <w:rPr>
                <w:rFonts w:cs="Arial"/>
                <w:color w:val="0D0D0D" w:themeColor="text1" w:themeTint="F2"/>
                <w:spacing w:val="-4"/>
                <w:sz w:val="14"/>
                <w:szCs w:val="14"/>
              </w:rPr>
              <w:t>íci daného čtvrtletí.</w:t>
            </w:r>
          </w:p>
          <w:p w14:paraId="28F67040" w14:textId="77777777" w:rsidR="00290725" w:rsidRPr="00832E72" w:rsidRDefault="00290725" w:rsidP="00A96D94">
            <w:pPr>
              <w:spacing w:after="0"/>
              <w:rPr>
                <w:rFonts w:cs="Arial"/>
                <w:color w:val="0D0D0D" w:themeColor="text1" w:themeTint="F2"/>
                <w:spacing w:val="-4"/>
                <w:szCs w:val="20"/>
              </w:rPr>
            </w:pPr>
            <w:r w:rsidRPr="00052ADA">
              <w:rPr>
                <w:rFonts w:cs="Arial"/>
                <w:color w:val="0D0D0D" w:themeColor="text1" w:themeTint="F2"/>
                <w:spacing w:val="-4"/>
                <w:sz w:val="14"/>
                <w:szCs w:val="14"/>
              </w:rPr>
              <w:t>Zdroj: ČSÚ</w:t>
            </w:r>
          </w:p>
        </w:tc>
      </w:tr>
    </w:tbl>
    <w:p w14:paraId="6F25D84E" w14:textId="77777777" w:rsidR="00290725" w:rsidRPr="000546C1" w:rsidRDefault="00290725" w:rsidP="00290725">
      <w:pPr>
        <w:spacing w:after="0" w:line="240" w:lineRule="auto"/>
        <w:jc w:val="left"/>
        <w:rPr>
          <w:rFonts w:eastAsia="MS Gothic"/>
          <w:b/>
          <w:bCs/>
          <w:color w:val="86BF5E"/>
          <w:sz w:val="6"/>
          <w:szCs w:val="6"/>
        </w:rPr>
      </w:pPr>
    </w:p>
    <w:p w14:paraId="19E80E9E" w14:textId="77777777" w:rsidR="00290725" w:rsidRPr="000546C1" w:rsidRDefault="00290725" w:rsidP="00290725">
      <w:pPr>
        <w:spacing w:after="0" w:line="240" w:lineRule="auto"/>
        <w:jc w:val="left"/>
        <w:rPr>
          <w:rFonts w:eastAsia="MS Gothic"/>
          <w:b/>
          <w:bCs/>
          <w:color w:val="86BF5E"/>
          <w:sz w:val="6"/>
          <w:szCs w:val="6"/>
        </w:rPr>
      </w:pPr>
    </w:p>
    <w:p w14:paraId="306C1DDE" w14:textId="0EA363C9" w:rsidR="00290725" w:rsidRDefault="00290725">
      <w:pPr>
        <w:spacing w:after="0" w:line="240" w:lineRule="auto"/>
        <w:jc w:val="left"/>
        <w:rPr>
          <w:rFonts w:eastAsia="MS Gothic"/>
          <w:b/>
          <w:bCs/>
          <w:color w:val="86BF5E"/>
          <w:sz w:val="32"/>
          <w:szCs w:val="28"/>
        </w:rPr>
      </w:pPr>
    </w:p>
    <w:sectPr w:rsidR="00290725" w:rsidSect="008D30DF">
      <w:headerReference w:type="even" r:id="rId16"/>
      <w:headerReference w:type="default" r:id="rId17"/>
      <w:footerReference w:type="even" r:id="rId18"/>
      <w:footerReference w:type="default" r:id="rId19"/>
      <w:pgSz w:w="11906" w:h="16838" w:code="9"/>
      <w:pgMar w:top="1134" w:right="1134" w:bottom="1418" w:left="1134" w:header="680" w:footer="680"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7AAC" w14:textId="77777777" w:rsidR="00411299" w:rsidRDefault="00411299" w:rsidP="00E71A58">
      <w:r>
        <w:separator/>
      </w:r>
    </w:p>
  </w:endnote>
  <w:endnote w:type="continuationSeparator" w:id="0">
    <w:p w14:paraId="4BA8F912" w14:textId="77777777" w:rsidR="00411299" w:rsidRDefault="00411299"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62E7" w14:textId="6A50CB90" w:rsidR="004C456F" w:rsidRPr="00932443" w:rsidRDefault="004C456F" w:rsidP="00A418BC">
    <w:pPr>
      <w:pStyle w:val="Zpat"/>
      <w:rPr>
        <w:szCs w:val="16"/>
      </w:rPr>
    </w:pPr>
    <w:r>
      <w:rPr>
        <w:szCs w:val="16"/>
        <w:lang w:eastAsia="cs-CZ"/>
      </w:rPr>
      <w:drawing>
        <wp:anchor distT="0" distB="0" distL="114300" distR="114300" simplePos="0" relativeHeight="251658240"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233D05">
      <w:rPr>
        <w:szCs w:val="16"/>
      </w:rPr>
      <w:t>50</w:t>
    </w:r>
    <w:r w:rsidRPr="00932443">
      <w:rPr>
        <w:szCs w:val="16"/>
      </w:rPr>
      <w:fldChar w:fldCharType="end"/>
    </w:r>
    <w:r w:rsidRPr="00932443">
      <w:rPr>
        <w:szCs w:val="16"/>
      </w:rPr>
      <w:tab/>
    </w:r>
    <w:r w:rsidR="00F25B4A">
      <w:rPr>
        <w:szCs w:val="16"/>
      </w:rPr>
      <w:t>rok</w:t>
    </w:r>
    <w:r w:rsidR="00C5418A">
      <w:rPr>
        <w:szCs w:val="16"/>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3DCC68EF" w:rsidR="004C456F" w:rsidRPr="00932443" w:rsidRDefault="004C456F" w:rsidP="00A418BC">
    <w:pPr>
      <w:pStyle w:val="Zpat"/>
      <w:rPr>
        <w:szCs w:val="16"/>
      </w:rPr>
    </w:pPr>
    <w:r>
      <w:rPr>
        <w:szCs w:val="16"/>
        <w:lang w:eastAsia="cs-CZ"/>
      </w:rPr>
      <w:drawing>
        <wp:anchor distT="0" distB="0" distL="114300" distR="114300" simplePos="0" relativeHeight="251657216" behindDoc="0" locked="0" layoutInCell="1" allowOverlap="1" wp14:anchorId="2143298C" wp14:editId="2143298D">
          <wp:simplePos x="0" y="0"/>
          <wp:positionH relativeFrom="column">
            <wp:align>left</wp:align>
          </wp:positionH>
          <wp:positionV relativeFrom="paragraph">
            <wp:posOffset>-122555</wp:posOffset>
          </wp:positionV>
          <wp:extent cx="510540" cy="272415"/>
          <wp:effectExtent l="0" t="0" r="0" b="6985"/>
          <wp:wrapNone/>
          <wp:docPr id="22"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sidR="00F25B4A">
      <w:rPr>
        <w:szCs w:val="16"/>
      </w:rPr>
      <w:t>rok</w:t>
    </w:r>
    <w:r>
      <w:rPr>
        <w:szCs w:val="16"/>
      </w:rPr>
      <w:t xml:space="preserve"> 2025</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233D05">
      <w:rPr>
        <w:rStyle w:val="ZpatChar"/>
        <w:szCs w:val="16"/>
      </w:rPr>
      <w:t>49</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D56FE" w14:textId="77777777" w:rsidR="00411299" w:rsidRDefault="00411299" w:rsidP="00EA4302">
      <w:pPr>
        <w:spacing w:after="0"/>
      </w:pPr>
      <w:r>
        <w:separator/>
      </w:r>
    </w:p>
  </w:footnote>
  <w:footnote w:type="continuationSeparator" w:id="0">
    <w:p w14:paraId="4A023BFB" w14:textId="77777777" w:rsidR="00411299" w:rsidRDefault="00411299" w:rsidP="00E71A58">
      <w:r>
        <w:continuationSeparator/>
      </w:r>
    </w:p>
  </w:footnote>
  <w:footnote w:id="1">
    <w:p w14:paraId="1142EB87" w14:textId="77777777" w:rsidR="00290725" w:rsidRPr="00187AA3" w:rsidRDefault="00290725" w:rsidP="00290725">
      <w:pPr>
        <w:pStyle w:val="Textpoznpodarou"/>
        <w:rPr>
          <w:rFonts w:cs="Arial"/>
          <w:color w:val="0D0D0D" w:themeColor="text1" w:themeTint="F2"/>
          <w:spacing w:val="-2"/>
          <w:sz w:val="16"/>
          <w:szCs w:val="16"/>
        </w:rPr>
      </w:pPr>
      <w:r w:rsidRPr="007163BD">
        <w:rPr>
          <w:rStyle w:val="Znakapoznpodarou"/>
          <w:rFonts w:cs="Arial"/>
          <w:color w:val="0D0D0D" w:themeColor="text1" w:themeTint="F2"/>
          <w:spacing w:val="-2"/>
          <w:sz w:val="16"/>
          <w:szCs w:val="16"/>
        </w:rPr>
        <w:footnoteRef/>
      </w:r>
      <w:r w:rsidRPr="007163BD">
        <w:rPr>
          <w:rFonts w:cs="Arial"/>
          <w:color w:val="0D0D0D" w:themeColor="text1" w:themeTint="F2"/>
          <w:spacing w:val="-2"/>
          <w:sz w:val="16"/>
          <w:szCs w:val="16"/>
        </w:rPr>
        <w:t xml:space="preserve"> </w:t>
      </w:r>
      <w:r w:rsidRPr="00187AA3">
        <w:rPr>
          <w:rFonts w:cs="Arial"/>
          <w:color w:val="0D0D0D" w:themeColor="text1" w:themeTint="F2"/>
          <w:spacing w:val="-2"/>
          <w:sz w:val="16"/>
          <w:szCs w:val="16"/>
        </w:rPr>
        <w:t>Údaje o HPH jsou vyjádřeny ve stálých cenách a v očištění o sezónní a kalendářní vlivy.</w:t>
      </w:r>
    </w:p>
  </w:footnote>
  <w:footnote w:id="2">
    <w:p w14:paraId="4F525FE0" w14:textId="77777777" w:rsidR="00290725" w:rsidRPr="00187AA3" w:rsidRDefault="00290725" w:rsidP="00290725">
      <w:pPr>
        <w:pStyle w:val="Textpoznpodarou"/>
        <w:rPr>
          <w:spacing w:val="-2"/>
          <w:sz w:val="16"/>
          <w:szCs w:val="16"/>
        </w:rPr>
      </w:pPr>
      <w:r w:rsidRPr="00187AA3">
        <w:rPr>
          <w:rStyle w:val="Znakapoznpodarou"/>
          <w:spacing w:val="-2"/>
          <w:sz w:val="16"/>
          <w:szCs w:val="16"/>
        </w:rPr>
        <w:footnoteRef/>
      </w:r>
      <w:r w:rsidRPr="00187AA3">
        <w:rPr>
          <w:spacing w:val="-2"/>
          <w:sz w:val="16"/>
          <w:szCs w:val="16"/>
        </w:rPr>
        <w:t xml:space="preserve"> V informačních a komunikačních činnostech převýšila HPH předkrizovou úroveň již o 47 %, v peněžnictví a pojišťovnictví o 20 %</w:t>
      </w:r>
      <w:r>
        <w:rPr>
          <w:spacing w:val="-2"/>
          <w:sz w:val="16"/>
          <w:szCs w:val="16"/>
        </w:rPr>
        <w:t>,</w:t>
      </w:r>
      <w:r w:rsidRPr="00187AA3">
        <w:rPr>
          <w:spacing w:val="-2"/>
          <w:sz w:val="16"/>
          <w:szCs w:val="16"/>
        </w:rPr>
        <w:t xml:space="preserve"> v podnikových službách (profesní, vědecké, technické a administrativní činnosti) o 17 % a v uskupení</w:t>
      </w:r>
      <w:r w:rsidRPr="00187AA3">
        <w:rPr>
          <w:spacing w:val="-2"/>
        </w:rPr>
        <w:t xml:space="preserve"> </w:t>
      </w:r>
      <w:r w:rsidRPr="00187AA3">
        <w:rPr>
          <w:spacing w:val="-2"/>
          <w:sz w:val="16"/>
          <w:szCs w:val="16"/>
        </w:rPr>
        <w:t>veřejná správa a obrana, vzdělávání, zdravotní a sociální péče o 9 %. Příznivě na tom bylo zemědělství a lesnictví (+15 %), naopak výkon ve stavebnictví za 4.</w:t>
      </w:r>
      <w:r w:rsidRPr="00187AA3">
        <w:rPr>
          <w:rFonts w:cs="Arial"/>
          <w:color w:val="0D0D0D" w:themeColor="text1" w:themeTint="F2"/>
          <w:spacing w:val="-2"/>
          <w:sz w:val="16"/>
          <w:szCs w:val="16"/>
        </w:rPr>
        <w:t> </w:t>
      </w:r>
      <w:r w:rsidRPr="00187AA3">
        <w:rPr>
          <w:spacing w:val="-2"/>
          <w:sz w:val="16"/>
          <w:szCs w:val="16"/>
        </w:rPr>
        <w:t>čtvrtletím 2019 zaostal o 8 % a v průmyslu o 3 % (v jeho zpracovatelské části se však nad předkrizovou úroveň, po dvouleté odmlce, opět vrátil (+1 %)</w:t>
      </w:r>
      <w:r>
        <w:rPr>
          <w:spacing w:val="-2"/>
          <w:sz w:val="16"/>
          <w:szCs w:val="16"/>
        </w:rPr>
        <w:t>)</w:t>
      </w:r>
      <w:r w:rsidRPr="00187AA3">
        <w:rPr>
          <w:spacing w:val="-2"/>
          <w:sz w:val="16"/>
          <w:szCs w:val="16"/>
        </w:rPr>
        <w:t>.</w:t>
      </w:r>
    </w:p>
  </w:footnote>
  <w:footnote w:id="3">
    <w:p w14:paraId="2634F94E" w14:textId="77777777" w:rsidR="00290725" w:rsidRPr="00187AA3" w:rsidRDefault="00290725" w:rsidP="00290725">
      <w:pPr>
        <w:pStyle w:val="Textpoznpodarou"/>
        <w:rPr>
          <w:spacing w:val="-2"/>
          <w:sz w:val="16"/>
          <w:szCs w:val="16"/>
        </w:rPr>
      </w:pPr>
      <w:r w:rsidRPr="00187AA3">
        <w:rPr>
          <w:rStyle w:val="Znakapoznpodarou"/>
          <w:spacing w:val="-2"/>
          <w:sz w:val="16"/>
          <w:szCs w:val="16"/>
        </w:rPr>
        <w:footnoteRef/>
      </w:r>
      <w:r w:rsidRPr="00187AA3">
        <w:rPr>
          <w:spacing w:val="-2"/>
          <w:sz w:val="16"/>
          <w:szCs w:val="16"/>
        </w:rPr>
        <w:t xml:space="preserve"> Všechny níže uvedené zemědělské údaje vychází z produkce či přidané hodnoty vyjádřené ve stálých cenách. </w:t>
      </w:r>
    </w:p>
  </w:footnote>
  <w:footnote w:id="4">
    <w:p w14:paraId="594CF283" w14:textId="77777777" w:rsidR="00290725" w:rsidRPr="000E66F9" w:rsidRDefault="00290725" w:rsidP="00290725">
      <w:pPr>
        <w:pStyle w:val="Textpoznpodarou"/>
        <w:rPr>
          <w:sz w:val="16"/>
          <w:szCs w:val="16"/>
        </w:rPr>
      </w:pPr>
      <w:r w:rsidRPr="00187AA3">
        <w:rPr>
          <w:rStyle w:val="Znakapoznpodarou"/>
          <w:spacing w:val="-2"/>
          <w:sz w:val="16"/>
          <w:szCs w:val="16"/>
        </w:rPr>
        <w:footnoteRef/>
      </w:r>
      <w:r w:rsidRPr="00187AA3">
        <w:rPr>
          <w:spacing w:val="-2"/>
          <w:sz w:val="16"/>
          <w:szCs w:val="16"/>
        </w:rPr>
        <w:t xml:space="preserve"> </w:t>
      </w:r>
      <w:r w:rsidRPr="008D35FF">
        <w:rPr>
          <w:spacing w:val="-3"/>
          <w:sz w:val="16"/>
          <w:szCs w:val="16"/>
        </w:rPr>
        <w:t>Sklizeň obilovin loni meziročně vzrostla o 13 % a dosáhla 8,5 mil. tun (nejvíce za posledních devět let). Vyšší byla i úroda luskovin (+15 %), brambor (+12 %), kukuřice na zeleno (+12 %), chmele (+6 %), vinných hroznů (+37 %) a vzrostla i u olejnin (+9 %), ta však na rozdíl od všech výše uvedených plodin zaostala za dlouhodobým průměrem (proti období 2015 až 2024 byla nižší o desetinu). Z významnějších skupin plodin</w:t>
      </w:r>
      <w:r w:rsidRPr="008D35FF">
        <w:rPr>
          <w:color w:val="0D0D0D" w:themeColor="text1" w:themeTint="F2"/>
          <w:spacing w:val="-3"/>
          <w:sz w:val="16"/>
          <w:szCs w:val="16"/>
        </w:rPr>
        <w:t xml:space="preserve"> </w:t>
      </w:r>
      <w:r w:rsidRPr="008D35FF">
        <w:rPr>
          <w:color w:val="0D0D0D" w:themeColor="text1" w:themeTint="F2"/>
          <w:spacing w:val="-4"/>
          <w:sz w:val="16"/>
          <w:szCs w:val="16"/>
        </w:rPr>
        <w:t xml:space="preserve">meziročně klesla jen úroda cukrové řepy (o 14 %, ale proti dlouhodobému průměru </w:t>
      </w:r>
      <w:r>
        <w:rPr>
          <w:color w:val="0D0D0D" w:themeColor="text1" w:themeTint="F2"/>
          <w:spacing w:val="-4"/>
          <w:sz w:val="16"/>
          <w:szCs w:val="16"/>
        </w:rPr>
        <w:t xml:space="preserve">téměř </w:t>
      </w:r>
      <w:r w:rsidRPr="008D35FF">
        <w:rPr>
          <w:color w:val="0D0D0D" w:themeColor="text1" w:themeTint="F2"/>
          <w:spacing w:val="-4"/>
          <w:sz w:val="16"/>
          <w:szCs w:val="16"/>
        </w:rPr>
        <w:t>nezaostávala) a některých pícnin: jetele a vojtěšky (o</w:t>
      </w:r>
      <w:r>
        <w:rPr>
          <w:color w:val="0D0D0D" w:themeColor="text1" w:themeTint="F2"/>
          <w:spacing w:val="-4"/>
          <w:sz w:val="16"/>
          <w:szCs w:val="16"/>
        </w:rPr>
        <w:t>kolo</w:t>
      </w:r>
      <w:r w:rsidRPr="008D35FF">
        <w:rPr>
          <w:color w:val="0D0D0D" w:themeColor="text1" w:themeTint="F2"/>
          <w:spacing w:val="-4"/>
          <w:sz w:val="16"/>
          <w:szCs w:val="16"/>
        </w:rPr>
        <w:t xml:space="preserve"> 10 %).</w:t>
      </w:r>
    </w:p>
  </w:footnote>
  <w:footnote w:id="5">
    <w:p w14:paraId="780068DF" w14:textId="77777777" w:rsidR="00290725" w:rsidRPr="00A90547" w:rsidRDefault="00290725" w:rsidP="00290725">
      <w:pPr>
        <w:spacing w:after="0" w:line="240" w:lineRule="auto"/>
        <w:jc w:val="left"/>
        <w:rPr>
          <w:rFonts w:eastAsia="Arial" w:cs="Arial"/>
          <w:szCs w:val="20"/>
        </w:rPr>
      </w:pPr>
      <w:r w:rsidRPr="007717EC">
        <w:rPr>
          <w:rStyle w:val="Znakapoznpodarou"/>
          <w:sz w:val="16"/>
          <w:szCs w:val="16"/>
        </w:rPr>
        <w:footnoteRef/>
      </w:r>
      <w:r w:rsidRPr="00A90547">
        <w:rPr>
          <w:sz w:val="16"/>
          <w:szCs w:val="16"/>
        </w:rPr>
        <w:t xml:space="preserve"> Z p</w:t>
      </w:r>
      <w:r w:rsidRPr="00187AA3">
        <w:rPr>
          <w:spacing w:val="-2"/>
          <w:sz w:val="16"/>
          <w:szCs w:val="16"/>
        </w:rPr>
        <w:t>odrobnějších podnikových šetření plyne, že loni rostla fyzická produkce masa (+4,5 %). Jestliže v roce 2024 přispívalo k</w:t>
      </w:r>
      <w:r>
        <w:rPr>
          <w:spacing w:val="-2"/>
          <w:sz w:val="16"/>
          <w:szCs w:val="16"/>
        </w:rPr>
        <w:t> </w:t>
      </w:r>
      <w:r w:rsidRPr="00187AA3">
        <w:rPr>
          <w:spacing w:val="-2"/>
          <w:sz w:val="16"/>
          <w:szCs w:val="16"/>
        </w:rPr>
        <w:t xml:space="preserve">růstu výroby masa (na tuzemských jatkách) nejvíce vepřové, loni tuto roli plnilo drůbeží maso, jehož produkce (185 tis. tun) byla nejvyšší po roce 2010. Naopak výroba hovězího masa </w:t>
      </w:r>
      <w:r>
        <w:rPr>
          <w:spacing w:val="-2"/>
          <w:sz w:val="16"/>
          <w:szCs w:val="16"/>
        </w:rPr>
        <w:t xml:space="preserve">se </w:t>
      </w:r>
      <w:r w:rsidRPr="00187AA3">
        <w:rPr>
          <w:spacing w:val="-2"/>
          <w:sz w:val="16"/>
          <w:szCs w:val="16"/>
        </w:rPr>
        <w:t>druhý rok v řadě snížila (shodně o 2 %). Hrubá tuzemsk</w:t>
      </w:r>
      <w:r>
        <w:rPr>
          <w:spacing w:val="-2"/>
          <w:sz w:val="16"/>
          <w:szCs w:val="16"/>
        </w:rPr>
        <w:t>á</w:t>
      </w:r>
      <w:r w:rsidRPr="00187AA3">
        <w:rPr>
          <w:spacing w:val="-2"/>
          <w:sz w:val="16"/>
          <w:szCs w:val="16"/>
        </w:rPr>
        <w:t xml:space="preserve"> produkce, vyjadřující v naturálním množství dodávky z českých chovů na domácí i zahraniční jatka, se </w:t>
      </w:r>
      <w:r>
        <w:rPr>
          <w:spacing w:val="-2"/>
          <w:sz w:val="16"/>
          <w:szCs w:val="16"/>
        </w:rPr>
        <w:t xml:space="preserve">za </w:t>
      </w:r>
      <w:r w:rsidRPr="00187AA3">
        <w:rPr>
          <w:spacing w:val="-2"/>
          <w:sz w:val="16"/>
          <w:szCs w:val="16"/>
        </w:rPr>
        <w:t xml:space="preserve">celý loňský rok meziročně zvýšila díky nárůstu u drůbežího masa (+11,4 %) </w:t>
      </w:r>
      <w:r>
        <w:rPr>
          <w:spacing w:val="-2"/>
          <w:sz w:val="16"/>
          <w:szCs w:val="16"/>
        </w:rPr>
        <w:br/>
      </w:r>
      <w:r w:rsidRPr="00187AA3">
        <w:rPr>
          <w:spacing w:val="-2"/>
          <w:sz w:val="16"/>
          <w:szCs w:val="16"/>
        </w:rPr>
        <w:t>a vepřového (+3,2 %); naopak dodávky hovězího mírně poklesly (</w:t>
      </w:r>
      <w:r>
        <w:rPr>
          <w:spacing w:val="-2"/>
          <w:sz w:val="16"/>
          <w:szCs w:val="16"/>
        </w:rPr>
        <w:t>−</w:t>
      </w:r>
      <w:r w:rsidRPr="00187AA3">
        <w:rPr>
          <w:spacing w:val="-2"/>
          <w:sz w:val="16"/>
          <w:szCs w:val="16"/>
        </w:rPr>
        <w:t xml:space="preserve">0,8 %). Ve všech třech hlavních druzích rostl export živých zvířat </w:t>
      </w:r>
      <w:r>
        <w:rPr>
          <w:spacing w:val="-2"/>
          <w:sz w:val="16"/>
          <w:szCs w:val="16"/>
        </w:rPr>
        <w:br/>
      </w:r>
      <w:r w:rsidRPr="00187AA3">
        <w:rPr>
          <w:spacing w:val="-2"/>
          <w:sz w:val="16"/>
          <w:szCs w:val="16"/>
        </w:rPr>
        <w:t>k porážce – nejvíce u drůbeže (+10,3 %), nejméně u skotu (+3,5 %), kde však jde dlouhodobě o váhově významnou část tuzemské produkce (k porážce do zahraničí se loni vyvezlo 8</w:t>
      </w:r>
      <w:r>
        <w:rPr>
          <w:spacing w:val="-2"/>
          <w:sz w:val="16"/>
          <w:szCs w:val="16"/>
        </w:rPr>
        <w:t>5</w:t>
      </w:r>
      <w:r w:rsidRPr="00187AA3">
        <w:rPr>
          <w:spacing w:val="-2"/>
          <w:sz w:val="16"/>
          <w:szCs w:val="16"/>
        </w:rPr>
        <w:t xml:space="preserve"> tis. ks skotu, tj. více než čtvrtina zvířat vykrmených v Česku). U obchodu s masem byl loni vývoj dle hlavních kategorií odlišný. Obrat obchodu s hovězím (v naturálním vyjádření) klesal – vývoz byl nižší o 7,8 %, dovoz, i díky slabé poptávce tuzemských spotřebitelů, dokonce o 22,3 %. Naopak u vepřového rostl jak dovoz (+4,8 %, na 296 tis, tun), tak vývoz </w:t>
      </w:r>
      <w:r>
        <w:rPr>
          <w:spacing w:val="-2"/>
          <w:sz w:val="16"/>
          <w:szCs w:val="16"/>
        </w:rPr>
        <w:br/>
      </w:r>
      <w:r w:rsidRPr="00187AA3">
        <w:rPr>
          <w:spacing w:val="-2"/>
          <w:sz w:val="16"/>
          <w:szCs w:val="16"/>
        </w:rPr>
        <w:t xml:space="preserve">(+2,6 %, na </w:t>
      </w:r>
      <w:r w:rsidRPr="008D35FF">
        <w:rPr>
          <w:spacing w:val="-3"/>
          <w:sz w:val="16"/>
          <w:szCs w:val="16"/>
        </w:rPr>
        <w:t xml:space="preserve">31 tis. tun). U drůbežího masa se více dařilo exportérům (+6,5 %, </w:t>
      </w:r>
      <w:r>
        <w:rPr>
          <w:spacing w:val="-3"/>
          <w:sz w:val="16"/>
          <w:szCs w:val="16"/>
        </w:rPr>
        <w:t xml:space="preserve">na </w:t>
      </w:r>
      <w:r w:rsidRPr="008D35FF">
        <w:rPr>
          <w:spacing w:val="-3"/>
          <w:sz w:val="16"/>
          <w:szCs w:val="16"/>
        </w:rPr>
        <w:t>23 tis. tun), neboť dovoz meziročně posílil jen mírně (+0,9</w:t>
      </w:r>
      <w:r w:rsidRPr="00187AA3">
        <w:rPr>
          <w:spacing w:val="-2"/>
          <w:sz w:val="16"/>
          <w:szCs w:val="16"/>
        </w:rPr>
        <w:t> </w:t>
      </w:r>
      <w:r w:rsidRPr="008D35FF">
        <w:rPr>
          <w:spacing w:val="-3"/>
          <w:sz w:val="16"/>
          <w:szCs w:val="16"/>
        </w:rPr>
        <w:t>%</w:t>
      </w:r>
      <w:r>
        <w:rPr>
          <w:spacing w:val="-3"/>
          <w:sz w:val="16"/>
          <w:szCs w:val="16"/>
        </w:rPr>
        <w:t xml:space="preserve">, na </w:t>
      </w:r>
      <w:r w:rsidRPr="008D35FF">
        <w:rPr>
          <w:spacing w:val="-3"/>
          <w:sz w:val="16"/>
          <w:szCs w:val="16"/>
        </w:rPr>
        <w:t>136 tis. tun).</w:t>
      </w:r>
    </w:p>
  </w:footnote>
  <w:footnote w:id="6">
    <w:p w14:paraId="42C438AF" w14:textId="77777777" w:rsidR="00290725" w:rsidRPr="00AD4480" w:rsidRDefault="00290725" w:rsidP="00290725">
      <w:pPr>
        <w:spacing w:after="0" w:line="240" w:lineRule="auto"/>
        <w:jc w:val="left"/>
        <w:rPr>
          <w:rFonts w:cs="Arial"/>
          <w:color w:val="0D0D0D" w:themeColor="text1" w:themeTint="F2"/>
          <w:spacing w:val="-3"/>
          <w:sz w:val="16"/>
          <w:szCs w:val="16"/>
        </w:rPr>
      </w:pPr>
      <w:r w:rsidRPr="00705395">
        <w:rPr>
          <w:rStyle w:val="Znakapoznpodarou"/>
          <w:spacing w:val="-4"/>
          <w:sz w:val="16"/>
          <w:szCs w:val="16"/>
        </w:rPr>
        <w:footnoteRef/>
      </w:r>
      <w:r w:rsidRPr="00705395">
        <w:rPr>
          <w:spacing w:val="-4"/>
          <w:sz w:val="16"/>
          <w:szCs w:val="16"/>
        </w:rPr>
        <w:t xml:space="preserve"> </w:t>
      </w:r>
      <w:r w:rsidRPr="00AD4480">
        <w:rPr>
          <w:rFonts w:cs="Arial"/>
          <w:color w:val="0D0D0D" w:themeColor="text1" w:themeTint="F2"/>
          <w:spacing w:val="-3"/>
          <w:sz w:val="16"/>
          <w:szCs w:val="16"/>
        </w:rPr>
        <w:t>Zahrnuje odvětví těžby a dobývání, zpracovatelského průmyslu a též energetiky (zde pojímané jako odvětví výroby a rozvodu elektřiny, plynu, tepla a klimatizovaného vzduchu). Všechna meziroční tempa produkce jsou očištěna o kalendářní vlivy, mezičtvrtletní tempa i o vliv sezónnosti.</w:t>
      </w:r>
    </w:p>
  </w:footnote>
  <w:footnote w:id="7">
    <w:p w14:paraId="7CBF6D35" w14:textId="77777777" w:rsidR="00290725" w:rsidRPr="004D5215" w:rsidRDefault="00290725" w:rsidP="00290725">
      <w:pPr>
        <w:pStyle w:val="Textpoznpodarou"/>
        <w:rPr>
          <w:color w:val="0D0D0D" w:themeColor="text1" w:themeTint="F2"/>
          <w:spacing w:val="-4"/>
          <w:sz w:val="16"/>
          <w:szCs w:val="16"/>
        </w:rPr>
      </w:pPr>
      <w:r w:rsidRPr="00AD4480">
        <w:rPr>
          <w:rStyle w:val="Znakapoznpodarou"/>
          <w:color w:val="0D0D0D" w:themeColor="text1" w:themeTint="F2"/>
          <w:spacing w:val="-3"/>
          <w:sz w:val="16"/>
          <w:szCs w:val="16"/>
        </w:rPr>
        <w:footnoteRef/>
      </w:r>
      <w:r w:rsidRPr="00AD4480">
        <w:rPr>
          <w:color w:val="0D0D0D" w:themeColor="text1" w:themeTint="F2"/>
          <w:spacing w:val="-3"/>
          <w:sz w:val="16"/>
          <w:szCs w:val="16"/>
        </w:rPr>
        <w:t xml:space="preserve"> </w:t>
      </w:r>
      <w:r w:rsidRPr="00AD4480">
        <w:rPr>
          <w:color w:val="0D0D0D" w:themeColor="text1" w:themeTint="F2"/>
          <w:spacing w:val="-2"/>
          <w:sz w:val="16"/>
          <w:szCs w:val="16"/>
        </w:rPr>
        <w:t xml:space="preserve">Za svým vrcholem z období let 2015 až 2019 loni ve 4. čtvrtletí však stále zaostaly </w:t>
      </w:r>
      <w:r>
        <w:rPr>
          <w:color w:val="0D0D0D" w:themeColor="text1" w:themeTint="F2"/>
          <w:spacing w:val="-2"/>
          <w:sz w:val="16"/>
          <w:szCs w:val="16"/>
        </w:rPr>
        <w:t>skoro dvě třetiny</w:t>
      </w:r>
      <w:r w:rsidRPr="00AD4480">
        <w:rPr>
          <w:color w:val="0D0D0D" w:themeColor="text1" w:themeTint="F2"/>
          <w:spacing w:val="-2"/>
          <w:sz w:val="16"/>
          <w:szCs w:val="16"/>
        </w:rPr>
        <w:t xml:space="preserve"> hlavních průmyslových oborů. Šlo v prvé řadě </w:t>
      </w:r>
      <w:r w:rsidRPr="00AD4480">
        <w:rPr>
          <w:color w:val="0D0D0D" w:themeColor="text1" w:themeTint="F2"/>
          <w:spacing w:val="-5"/>
          <w:sz w:val="16"/>
          <w:szCs w:val="16"/>
        </w:rPr>
        <w:t>o těžbu uhlí (</w:t>
      </w:r>
      <w:r w:rsidRPr="00AD4480">
        <w:rPr>
          <w:rFonts w:cs="Arial"/>
          <w:color w:val="0D0D0D" w:themeColor="text1" w:themeTint="F2"/>
          <w:spacing w:val="-5"/>
          <w:sz w:val="16"/>
          <w:szCs w:val="16"/>
        </w:rPr>
        <w:t>o </w:t>
      </w:r>
      <w:r w:rsidRPr="00AD4480">
        <w:rPr>
          <w:color w:val="0D0D0D" w:themeColor="text1" w:themeTint="F2"/>
          <w:spacing w:val="-5"/>
          <w:sz w:val="16"/>
          <w:szCs w:val="16"/>
        </w:rPr>
        <w:t>61</w:t>
      </w:r>
      <w:r w:rsidRPr="00AD4480">
        <w:rPr>
          <w:rFonts w:cs="Arial"/>
          <w:color w:val="0D0D0D" w:themeColor="text1" w:themeTint="F2"/>
          <w:spacing w:val="-5"/>
          <w:sz w:val="16"/>
          <w:szCs w:val="16"/>
        </w:rPr>
        <w:t> </w:t>
      </w:r>
      <w:r w:rsidRPr="00AD4480">
        <w:rPr>
          <w:color w:val="0D0D0D" w:themeColor="text1" w:themeTint="F2"/>
          <w:spacing w:val="-5"/>
          <w:sz w:val="16"/>
          <w:szCs w:val="16"/>
        </w:rPr>
        <w:t xml:space="preserve">%), výrobu kovů, hutnictví </w:t>
      </w:r>
      <w:r>
        <w:rPr>
          <w:color w:val="0D0D0D" w:themeColor="text1" w:themeTint="F2"/>
          <w:spacing w:val="-5"/>
          <w:sz w:val="16"/>
          <w:szCs w:val="16"/>
        </w:rPr>
        <w:t>a</w:t>
      </w:r>
      <w:r w:rsidRPr="00AD4480">
        <w:rPr>
          <w:color w:val="0D0D0D" w:themeColor="text1" w:themeTint="F2"/>
          <w:spacing w:val="-5"/>
          <w:sz w:val="16"/>
          <w:szCs w:val="16"/>
        </w:rPr>
        <w:t xml:space="preserve"> slévárenství (−2</w:t>
      </w:r>
      <w:r>
        <w:rPr>
          <w:color w:val="0D0D0D" w:themeColor="text1" w:themeTint="F2"/>
          <w:spacing w:val="-5"/>
          <w:sz w:val="16"/>
          <w:szCs w:val="16"/>
        </w:rPr>
        <w:t>7</w:t>
      </w:r>
      <w:r w:rsidRPr="00AD4480">
        <w:rPr>
          <w:color w:val="0D0D0D" w:themeColor="text1" w:themeTint="F2"/>
          <w:spacing w:val="-5"/>
          <w:sz w:val="16"/>
          <w:szCs w:val="16"/>
        </w:rPr>
        <w:t xml:space="preserve"> %), těžbu stavebních materiálů (−2</w:t>
      </w:r>
      <w:r>
        <w:rPr>
          <w:color w:val="0D0D0D" w:themeColor="text1" w:themeTint="F2"/>
          <w:spacing w:val="-5"/>
          <w:sz w:val="16"/>
          <w:szCs w:val="16"/>
        </w:rPr>
        <w:t>7</w:t>
      </w:r>
      <w:r w:rsidRPr="00AD4480">
        <w:rPr>
          <w:color w:val="0D0D0D" w:themeColor="text1" w:themeTint="F2"/>
          <w:spacing w:val="-5"/>
          <w:sz w:val="16"/>
          <w:szCs w:val="16"/>
        </w:rPr>
        <w:t xml:space="preserve"> %),</w:t>
      </w:r>
      <w:r w:rsidRPr="00AD4480">
        <w:rPr>
          <w:color w:val="0D0D0D" w:themeColor="text1" w:themeTint="F2"/>
          <w:spacing w:val="-2"/>
          <w:sz w:val="16"/>
          <w:szCs w:val="16"/>
        </w:rPr>
        <w:t xml:space="preserve"> </w:t>
      </w:r>
      <w:r w:rsidRPr="00AD4480">
        <w:rPr>
          <w:color w:val="0D0D0D" w:themeColor="text1" w:themeTint="F2"/>
          <w:spacing w:val="-5"/>
          <w:sz w:val="16"/>
          <w:szCs w:val="16"/>
        </w:rPr>
        <w:t>obuvnický a kožedělný průmysl (−2</w:t>
      </w:r>
      <w:r>
        <w:rPr>
          <w:color w:val="0D0D0D" w:themeColor="text1" w:themeTint="F2"/>
          <w:spacing w:val="-5"/>
          <w:sz w:val="16"/>
          <w:szCs w:val="16"/>
        </w:rPr>
        <w:t>6</w:t>
      </w:r>
      <w:r w:rsidRPr="00AD4480">
        <w:rPr>
          <w:rFonts w:cs="Arial"/>
          <w:color w:val="0D0D0D" w:themeColor="text1" w:themeTint="F2"/>
          <w:spacing w:val="-5"/>
          <w:sz w:val="16"/>
          <w:szCs w:val="16"/>
        </w:rPr>
        <w:t> </w:t>
      </w:r>
      <w:r w:rsidRPr="00AD4480">
        <w:rPr>
          <w:color w:val="0D0D0D" w:themeColor="text1" w:themeTint="F2"/>
          <w:spacing w:val="-5"/>
          <w:sz w:val="16"/>
          <w:szCs w:val="16"/>
        </w:rPr>
        <w:t xml:space="preserve">%), </w:t>
      </w:r>
      <w:r w:rsidRPr="00AD4480">
        <w:rPr>
          <w:color w:val="0D0D0D" w:themeColor="text1" w:themeTint="F2"/>
          <w:spacing w:val="-2"/>
          <w:sz w:val="16"/>
          <w:szCs w:val="16"/>
        </w:rPr>
        <w:t>textilní průmysl (−2</w:t>
      </w:r>
      <w:r>
        <w:rPr>
          <w:color w:val="0D0D0D" w:themeColor="text1" w:themeTint="F2"/>
          <w:spacing w:val="-2"/>
          <w:sz w:val="16"/>
          <w:szCs w:val="16"/>
        </w:rPr>
        <w:t>4</w:t>
      </w:r>
      <w:r w:rsidRPr="00AD4480">
        <w:rPr>
          <w:color w:val="0D0D0D" w:themeColor="text1" w:themeTint="F2"/>
          <w:spacing w:val="-2"/>
          <w:sz w:val="16"/>
          <w:szCs w:val="16"/>
        </w:rPr>
        <w:t> %), tiskárenství (−22 %). Z větších oborů šlo dále o energetiku (−19</w:t>
      </w:r>
      <w:r w:rsidRPr="00AD4480">
        <w:rPr>
          <w:rFonts w:cs="Arial"/>
          <w:color w:val="0D0D0D" w:themeColor="text1" w:themeTint="F2"/>
          <w:spacing w:val="-2"/>
          <w:sz w:val="16"/>
          <w:szCs w:val="16"/>
        </w:rPr>
        <w:t> </w:t>
      </w:r>
      <w:r w:rsidRPr="00AD4480">
        <w:rPr>
          <w:color w:val="0D0D0D" w:themeColor="text1" w:themeTint="F2"/>
          <w:spacing w:val="-2"/>
          <w:sz w:val="16"/>
          <w:szCs w:val="16"/>
        </w:rPr>
        <w:t>%), výrobu stavebních materiálů</w:t>
      </w:r>
      <w:r>
        <w:rPr>
          <w:color w:val="0D0D0D" w:themeColor="text1" w:themeTint="F2"/>
          <w:spacing w:val="-2"/>
          <w:sz w:val="16"/>
          <w:szCs w:val="16"/>
        </w:rPr>
        <w:t xml:space="preserve"> </w:t>
      </w:r>
      <w:r w:rsidRPr="00AD4480">
        <w:rPr>
          <w:color w:val="0D0D0D" w:themeColor="text1" w:themeTint="F2"/>
          <w:spacing w:val="-2"/>
          <w:sz w:val="16"/>
          <w:szCs w:val="16"/>
        </w:rPr>
        <w:t>(−1</w:t>
      </w:r>
      <w:r>
        <w:rPr>
          <w:color w:val="0D0D0D" w:themeColor="text1" w:themeTint="F2"/>
          <w:spacing w:val="-2"/>
          <w:sz w:val="16"/>
          <w:szCs w:val="16"/>
        </w:rPr>
        <w:t>0</w:t>
      </w:r>
      <w:r w:rsidRPr="00AD4480">
        <w:rPr>
          <w:rFonts w:cs="Arial"/>
          <w:color w:val="0D0D0D" w:themeColor="text1" w:themeTint="F2"/>
          <w:spacing w:val="-2"/>
          <w:sz w:val="16"/>
          <w:szCs w:val="16"/>
        </w:rPr>
        <w:t> </w:t>
      </w:r>
      <w:r w:rsidRPr="00AD4480">
        <w:rPr>
          <w:color w:val="0D0D0D" w:themeColor="text1" w:themeTint="F2"/>
          <w:spacing w:val="-2"/>
          <w:sz w:val="16"/>
          <w:szCs w:val="16"/>
        </w:rPr>
        <w:t xml:space="preserve">%), chemický </w:t>
      </w:r>
      <w:r>
        <w:rPr>
          <w:color w:val="0D0D0D" w:themeColor="text1" w:themeTint="F2"/>
          <w:spacing w:val="-2"/>
          <w:sz w:val="16"/>
          <w:szCs w:val="16"/>
        </w:rPr>
        <w:t xml:space="preserve">a strojírenský průmysl </w:t>
      </w:r>
      <w:r w:rsidRPr="00AD4480">
        <w:rPr>
          <w:color w:val="0D0D0D" w:themeColor="text1" w:themeTint="F2"/>
          <w:spacing w:val="-2"/>
          <w:sz w:val="16"/>
          <w:szCs w:val="16"/>
        </w:rPr>
        <w:t>(−9 %) a elektronický průmysl (−</w:t>
      </w:r>
      <w:r>
        <w:rPr>
          <w:color w:val="0D0D0D" w:themeColor="text1" w:themeTint="F2"/>
          <w:spacing w:val="-2"/>
          <w:sz w:val="16"/>
          <w:szCs w:val="16"/>
        </w:rPr>
        <w:t>6</w:t>
      </w:r>
      <w:r w:rsidRPr="00AD4480">
        <w:rPr>
          <w:color w:val="0D0D0D" w:themeColor="text1" w:themeTint="F2"/>
          <w:spacing w:val="-2"/>
          <w:sz w:val="16"/>
          <w:szCs w:val="16"/>
        </w:rPr>
        <w:t xml:space="preserve"> %). Naopak nad předkrizovou úrovní produkce se nacházely obory vyrábějící investiční produkty a produkty krátkodobé spotřeby. Z dílčích oborů se jednalo hlavně o výrobu ostatních dopravních prostředků (+</w:t>
      </w:r>
      <w:r>
        <w:rPr>
          <w:color w:val="0D0D0D" w:themeColor="text1" w:themeTint="F2"/>
          <w:spacing w:val="-2"/>
          <w:sz w:val="16"/>
          <w:szCs w:val="16"/>
        </w:rPr>
        <w:t>35</w:t>
      </w:r>
      <w:r w:rsidRPr="00AD4480">
        <w:rPr>
          <w:color w:val="0D0D0D" w:themeColor="text1" w:themeTint="F2"/>
          <w:spacing w:val="-2"/>
          <w:sz w:val="16"/>
          <w:szCs w:val="16"/>
        </w:rPr>
        <w:t xml:space="preserve"> %), výrobu motorových vozidel (+1</w:t>
      </w:r>
      <w:r>
        <w:rPr>
          <w:color w:val="0D0D0D" w:themeColor="text1" w:themeTint="F2"/>
          <w:spacing w:val="-2"/>
          <w:sz w:val="16"/>
          <w:szCs w:val="16"/>
        </w:rPr>
        <w:t>8</w:t>
      </w:r>
      <w:r w:rsidRPr="00AD4480">
        <w:rPr>
          <w:color w:val="0D0D0D" w:themeColor="text1" w:themeTint="F2"/>
          <w:spacing w:val="-2"/>
          <w:sz w:val="16"/>
          <w:szCs w:val="16"/>
        </w:rPr>
        <w:t xml:space="preserve"> %), ostatní zpracovatelský průmysl </w:t>
      </w:r>
      <w:r>
        <w:rPr>
          <w:color w:val="0D0D0D" w:themeColor="text1" w:themeTint="F2"/>
          <w:spacing w:val="-2"/>
          <w:sz w:val="16"/>
          <w:szCs w:val="16"/>
        </w:rPr>
        <w:t xml:space="preserve">a farmacie </w:t>
      </w:r>
      <w:r w:rsidRPr="00AD4480">
        <w:rPr>
          <w:color w:val="0D0D0D" w:themeColor="text1" w:themeTint="F2"/>
          <w:spacing w:val="-2"/>
          <w:sz w:val="16"/>
          <w:szCs w:val="16"/>
        </w:rPr>
        <w:t>(</w:t>
      </w:r>
      <w:r>
        <w:rPr>
          <w:color w:val="0D0D0D" w:themeColor="text1" w:themeTint="F2"/>
          <w:spacing w:val="-2"/>
          <w:sz w:val="16"/>
          <w:szCs w:val="16"/>
        </w:rPr>
        <w:t xml:space="preserve">shodně </w:t>
      </w:r>
      <w:r w:rsidRPr="00AD4480">
        <w:rPr>
          <w:color w:val="0D0D0D" w:themeColor="text1" w:themeTint="F2"/>
          <w:spacing w:val="-2"/>
          <w:sz w:val="16"/>
          <w:szCs w:val="16"/>
        </w:rPr>
        <w:t>+16 %), papírenství (+13 %), elektrotechniku (+1</w:t>
      </w:r>
      <w:r>
        <w:rPr>
          <w:color w:val="0D0D0D" w:themeColor="text1" w:themeTint="F2"/>
          <w:spacing w:val="-2"/>
          <w:sz w:val="16"/>
          <w:szCs w:val="16"/>
        </w:rPr>
        <w:t>2</w:t>
      </w:r>
      <w:r w:rsidRPr="00AD4480">
        <w:rPr>
          <w:color w:val="0D0D0D" w:themeColor="text1" w:themeTint="F2"/>
          <w:spacing w:val="-2"/>
          <w:sz w:val="16"/>
          <w:szCs w:val="16"/>
        </w:rPr>
        <w:t xml:space="preserve"> %)</w:t>
      </w:r>
      <w:r>
        <w:rPr>
          <w:color w:val="0D0D0D" w:themeColor="text1" w:themeTint="F2"/>
          <w:spacing w:val="-2"/>
          <w:sz w:val="16"/>
          <w:szCs w:val="16"/>
        </w:rPr>
        <w:t>,</w:t>
      </w:r>
      <w:r w:rsidRPr="00AD4480">
        <w:rPr>
          <w:color w:val="0D0D0D" w:themeColor="text1" w:themeTint="F2"/>
          <w:spacing w:val="-2"/>
          <w:sz w:val="16"/>
          <w:szCs w:val="16"/>
        </w:rPr>
        <w:t xml:space="preserve"> potravinářství (+</w:t>
      </w:r>
      <w:r>
        <w:rPr>
          <w:color w:val="0D0D0D" w:themeColor="text1" w:themeTint="F2"/>
          <w:spacing w:val="-2"/>
          <w:sz w:val="16"/>
          <w:szCs w:val="16"/>
        </w:rPr>
        <w:t>9</w:t>
      </w:r>
      <w:r w:rsidRPr="00AD4480">
        <w:rPr>
          <w:color w:val="0D0D0D" w:themeColor="text1" w:themeTint="F2"/>
          <w:spacing w:val="-2"/>
          <w:sz w:val="16"/>
          <w:szCs w:val="16"/>
        </w:rPr>
        <w:t xml:space="preserve"> %)</w:t>
      </w:r>
      <w:r>
        <w:rPr>
          <w:color w:val="0D0D0D" w:themeColor="text1" w:themeTint="F2"/>
          <w:spacing w:val="-2"/>
          <w:sz w:val="16"/>
          <w:szCs w:val="16"/>
        </w:rPr>
        <w:t>,</w:t>
      </w:r>
      <w:r w:rsidRPr="00AD4480">
        <w:rPr>
          <w:color w:val="0D0D0D" w:themeColor="text1" w:themeTint="F2"/>
          <w:spacing w:val="-2"/>
          <w:sz w:val="16"/>
          <w:szCs w:val="16"/>
        </w:rPr>
        <w:t xml:space="preserve"> kovodělný průmysl (+</w:t>
      </w:r>
      <w:r>
        <w:rPr>
          <w:color w:val="0D0D0D" w:themeColor="text1" w:themeTint="F2"/>
          <w:spacing w:val="-2"/>
          <w:sz w:val="16"/>
          <w:szCs w:val="16"/>
        </w:rPr>
        <w:t>8</w:t>
      </w:r>
      <w:r w:rsidRPr="00AD4480">
        <w:rPr>
          <w:color w:val="0D0D0D" w:themeColor="text1" w:themeTint="F2"/>
          <w:spacing w:val="-2"/>
          <w:sz w:val="16"/>
          <w:szCs w:val="16"/>
        </w:rPr>
        <w:t xml:space="preserve"> %)</w:t>
      </w:r>
      <w:r>
        <w:rPr>
          <w:color w:val="0D0D0D" w:themeColor="text1" w:themeTint="F2"/>
          <w:spacing w:val="-2"/>
          <w:sz w:val="16"/>
          <w:szCs w:val="16"/>
        </w:rPr>
        <w:t xml:space="preserve"> a opravy strojů a zařízení (+6 %).</w:t>
      </w:r>
    </w:p>
  </w:footnote>
  <w:footnote w:id="8">
    <w:p w14:paraId="56CD9013" w14:textId="77777777" w:rsidR="00290725" w:rsidRPr="004D5215" w:rsidRDefault="00290725" w:rsidP="00290725">
      <w:pPr>
        <w:pStyle w:val="Textpoznpodarou"/>
        <w:rPr>
          <w:color w:val="0D0D0D" w:themeColor="text1" w:themeTint="F2"/>
          <w:spacing w:val="-4"/>
          <w:sz w:val="16"/>
          <w:szCs w:val="16"/>
        </w:rPr>
      </w:pPr>
      <w:r w:rsidRPr="004D5215">
        <w:rPr>
          <w:rStyle w:val="Znakapoznpodarou"/>
          <w:color w:val="0D0D0D" w:themeColor="text1" w:themeTint="F2"/>
          <w:spacing w:val="-4"/>
          <w:sz w:val="16"/>
          <w:szCs w:val="16"/>
        </w:rPr>
        <w:footnoteRef/>
      </w:r>
      <w:r w:rsidRPr="004D5215">
        <w:rPr>
          <w:color w:val="0D0D0D" w:themeColor="text1" w:themeTint="F2"/>
          <w:spacing w:val="-4"/>
          <w:sz w:val="16"/>
          <w:szCs w:val="16"/>
        </w:rPr>
        <w:t xml:space="preserve"> </w:t>
      </w:r>
      <w:r w:rsidRPr="004D5215">
        <w:rPr>
          <w:i/>
          <w:iCs/>
          <w:color w:val="0D0D0D" w:themeColor="text1" w:themeTint="F2"/>
          <w:spacing w:val="-4"/>
          <w:sz w:val="16"/>
          <w:szCs w:val="16"/>
        </w:rPr>
        <w:t>Celková čistá výroba elektřiny</w:t>
      </w:r>
      <w:r w:rsidRPr="004D5215">
        <w:rPr>
          <w:color w:val="0D0D0D" w:themeColor="text1" w:themeTint="F2"/>
          <w:spacing w:val="-4"/>
          <w:sz w:val="16"/>
          <w:szCs w:val="16"/>
        </w:rPr>
        <w:t xml:space="preserve"> (tj. bez </w:t>
      </w:r>
      <w:proofErr w:type="spellStart"/>
      <w:r w:rsidRPr="004D5215">
        <w:rPr>
          <w:color w:val="0D0D0D" w:themeColor="text1" w:themeTint="F2"/>
          <w:spacing w:val="-4"/>
          <w:sz w:val="16"/>
          <w:szCs w:val="16"/>
        </w:rPr>
        <w:t>mezispotřeby</w:t>
      </w:r>
      <w:proofErr w:type="spellEnd"/>
      <w:r w:rsidRPr="004D5215">
        <w:rPr>
          <w:color w:val="0D0D0D" w:themeColor="text1" w:themeTint="F2"/>
          <w:spacing w:val="-4"/>
          <w:sz w:val="16"/>
          <w:szCs w:val="16"/>
        </w:rPr>
        <w:t xml:space="preserve">, vč. ztrát při výrobě) </w:t>
      </w:r>
      <w:r>
        <w:rPr>
          <w:color w:val="0D0D0D" w:themeColor="text1" w:themeTint="F2"/>
          <w:spacing w:val="-4"/>
          <w:sz w:val="16"/>
          <w:szCs w:val="16"/>
        </w:rPr>
        <w:t xml:space="preserve">se </w:t>
      </w:r>
      <w:r w:rsidRPr="004D5215">
        <w:rPr>
          <w:color w:val="0D0D0D" w:themeColor="text1" w:themeTint="F2"/>
          <w:spacing w:val="-4"/>
          <w:sz w:val="16"/>
          <w:szCs w:val="16"/>
        </w:rPr>
        <w:t xml:space="preserve">dle předběžných údajů Energetického regulačního úřadu loni v Česku meziročně zvýšila o 3,2 % a činila 71,2 </w:t>
      </w:r>
      <w:proofErr w:type="spellStart"/>
      <w:r w:rsidRPr="004D5215">
        <w:rPr>
          <w:color w:val="0D0D0D" w:themeColor="text1" w:themeTint="F2"/>
          <w:spacing w:val="-4"/>
          <w:sz w:val="16"/>
          <w:szCs w:val="16"/>
        </w:rPr>
        <w:t>TWh</w:t>
      </w:r>
      <w:proofErr w:type="spellEnd"/>
      <w:r w:rsidRPr="004D5215">
        <w:rPr>
          <w:color w:val="0D0D0D" w:themeColor="text1" w:themeTint="F2"/>
          <w:spacing w:val="-4"/>
          <w:sz w:val="16"/>
          <w:szCs w:val="16"/>
        </w:rPr>
        <w:t xml:space="preserve"> (druhý nejnižší objem po roce 2002). K růstu výroby přispěly z drtivé části jaderné elektrárny, jež díky prodloužení palivových cyklů a dalších modernizačních opatření loni dosáhly rekordní výroby (pokrývající již polovinu celkové čisté spotřeby elektřiny v Česku). Třetí rok v řadě svižně rostla produkce z fotovoltaických elektráren (loni </w:t>
      </w:r>
      <w:r>
        <w:rPr>
          <w:color w:val="0D0D0D" w:themeColor="text1" w:themeTint="F2"/>
          <w:spacing w:val="-4"/>
          <w:sz w:val="16"/>
          <w:szCs w:val="16"/>
        </w:rPr>
        <w:br/>
      </w:r>
      <w:r w:rsidRPr="004D5215">
        <w:rPr>
          <w:color w:val="0D0D0D" w:themeColor="text1" w:themeTint="F2"/>
          <w:spacing w:val="-4"/>
          <w:sz w:val="16"/>
          <w:szCs w:val="16"/>
        </w:rPr>
        <w:t xml:space="preserve">o 19 %), avšak na celkové výrobě elektřiny se podílela stále spíše okrajově (6 %). Kvůli nedostatku srážek naopak klesla výroba ve vodních elektrárnách (−40 %) a méně dodaly i větrné elektrárny (−7 %). </w:t>
      </w:r>
      <w:r w:rsidRPr="004D5215">
        <w:rPr>
          <w:i/>
          <w:iCs/>
          <w:color w:val="0D0D0D" w:themeColor="text1" w:themeTint="F2"/>
          <w:spacing w:val="-4"/>
          <w:sz w:val="16"/>
          <w:szCs w:val="16"/>
        </w:rPr>
        <w:t>Celková tuzemská čistá spotřeba elektřiny</w:t>
      </w:r>
      <w:r w:rsidRPr="004D5215">
        <w:rPr>
          <w:color w:val="0D0D0D" w:themeColor="text1" w:themeTint="F2"/>
          <w:spacing w:val="-4"/>
          <w:sz w:val="16"/>
          <w:szCs w:val="16"/>
        </w:rPr>
        <w:t xml:space="preserve"> činila loni 59,0 </w:t>
      </w:r>
      <w:proofErr w:type="spellStart"/>
      <w:r w:rsidRPr="004D5215">
        <w:rPr>
          <w:color w:val="0D0D0D" w:themeColor="text1" w:themeTint="F2"/>
          <w:spacing w:val="-4"/>
          <w:sz w:val="16"/>
          <w:szCs w:val="16"/>
        </w:rPr>
        <w:t>TWh</w:t>
      </w:r>
      <w:proofErr w:type="spellEnd"/>
      <w:r w:rsidRPr="004D5215">
        <w:rPr>
          <w:color w:val="0D0D0D" w:themeColor="text1" w:themeTint="F2"/>
          <w:spacing w:val="-4"/>
          <w:sz w:val="16"/>
          <w:szCs w:val="16"/>
        </w:rPr>
        <w:t>. Její tři roky trvající meziroční pokles se zastavil (+1,8 %). K tomu z drtivé části přispěla vyšší spotřeba domácností (+6,5 %), vzrostla i poptávka od drobných podnikatelů (+1,9 %), spotřeba velkoodběratelů se naopak mírně snížila, zejména v největších podnicích (– 2,9 %). Oproti roku 2019, kdy se celková čistá spotřeba nacházela blízko dlouhodobého maxima, loni souhrnná spotřeba elektřiny klesla o 5,2 %, hlavně vlivem velkoodběratelů (−8,2 %), naopak rostla jen poptávka domácnost</w:t>
      </w:r>
      <w:r>
        <w:rPr>
          <w:color w:val="0D0D0D" w:themeColor="text1" w:themeTint="F2"/>
          <w:spacing w:val="-4"/>
          <w:sz w:val="16"/>
          <w:szCs w:val="16"/>
        </w:rPr>
        <w:t>í</w:t>
      </w:r>
      <w:r w:rsidRPr="004D5215">
        <w:rPr>
          <w:color w:val="0D0D0D" w:themeColor="text1" w:themeTint="F2"/>
          <w:spacing w:val="-4"/>
          <w:sz w:val="16"/>
          <w:szCs w:val="16"/>
        </w:rPr>
        <w:t>, jež odebraly o 9,2 % více. Česko i vloni zůstalo čistým exportérem elektřiny. Přeshraniční saldo, tedy rozdíl mezi vývozem a dovozem, meziročně stoupl</w:t>
      </w:r>
      <w:r>
        <w:rPr>
          <w:color w:val="0D0D0D" w:themeColor="text1" w:themeTint="F2"/>
          <w:spacing w:val="-4"/>
          <w:sz w:val="16"/>
          <w:szCs w:val="16"/>
        </w:rPr>
        <w:t>o z</w:t>
      </w:r>
      <w:r w:rsidRPr="004D5215">
        <w:rPr>
          <w:color w:val="0D0D0D" w:themeColor="text1" w:themeTint="F2"/>
          <w:spacing w:val="-4"/>
          <w:sz w:val="16"/>
          <w:szCs w:val="16"/>
        </w:rPr>
        <w:t xml:space="preserve"> 0,8 </w:t>
      </w:r>
      <w:proofErr w:type="spellStart"/>
      <w:r w:rsidRPr="004D5215">
        <w:rPr>
          <w:color w:val="0D0D0D" w:themeColor="text1" w:themeTint="F2"/>
          <w:spacing w:val="-4"/>
          <w:sz w:val="16"/>
          <w:szCs w:val="16"/>
        </w:rPr>
        <w:t>TWh</w:t>
      </w:r>
      <w:proofErr w:type="spellEnd"/>
      <w:r w:rsidRPr="004D5215">
        <w:rPr>
          <w:color w:val="0D0D0D" w:themeColor="text1" w:themeTint="F2"/>
          <w:spacing w:val="-4"/>
          <w:sz w:val="16"/>
          <w:szCs w:val="16"/>
        </w:rPr>
        <w:t xml:space="preserve"> na 7,4 </w:t>
      </w:r>
      <w:proofErr w:type="spellStart"/>
      <w:r w:rsidRPr="004D5215">
        <w:rPr>
          <w:color w:val="0D0D0D" w:themeColor="text1" w:themeTint="F2"/>
          <w:spacing w:val="-4"/>
          <w:sz w:val="16"/>
          <w:szCs w:val="16"/>
        </w:rPr>
        <w:t>TWh</w:t>
      </w:r>
      <w:proofErr w:type="spellEnd"/>
      <w:r w:rsidRPr="004D5215">
        <w:rPr>
          <w:color w:val="0D0D0D" w:themeColor="text1" w:themeTint="F2"/>
          <w:spacing w:val="-4"/>
          <w:sz w:val="16"/>
          <w:szCs w:val="16"/>
        </w:rPr>
        <w:t>.</w:t>
      </w:r>
    </w:p>
  </w:footnote>
  <w:footnote w:id="9">
    <w:p w14:paraId="271D12A1" w14:textId="77777777" w:rsidR="00290725" w:rsidRPr="004D5215" w:rsidRDefault="00290725" w:rsidP="00290725">
      <w:pPr>
        <w:pStyle w:val="Bezmezer"/>
        <w:jc w:val="left"/>
        <w:rPr>
          <w:color w:val="0D0D0D" w:themeColor="text1" w:themeTint="F2"/>
          <w:spacing w:val="-2"/>
        </w:rPr>
      </w:pPr>
      <w:r w:rsidRPr="004D5215">
        <w:rPr>
          <w:rStyle w:val="Znakapoznpodarou"/>
          <w:color w:val="0D0D0D" w:themeColor="text1" w:themeTint="F2"/>
          <w:spacing w:val="-4"/>
          <w:sz w:val="16"/>
          <w:szCs w:val="16"/>
        </w:rPr>
        <w:footnoteRef/>
      </w:r>
      <w:r w:rsidRPr="004D5215">
        <w:rPr>
          <w:rStyle w:val="Znakapoznpodarou"/>
          <w:color w:val="0D0D0D" w:themeColor="text1" w:themeTint="F2"/>
          <w:spacing w:val="-4"/>
          <w:sz w:val="16"/>
          <w:szCs w:val="16"/>
        </w:rPr>
        <w:t xml:space="preserve"> </w:t>
      </w:r>
      <w:r w:rsidRPr="004D5215">
        <w:rPr>
          <w:color w:val="0D0D0D" w:themeColor="text1" w:themeTint="F2"/>
          <w:spacing w:val="-4"/>
          <w:sz w:val="16"/>
          <w:szCs w:val="16"/>
        </w:rPr>
        <w:t xml:space="preserve">Spotřeba plynu dosáhla loni 7,21 mld. </w:t>
      </w:r>
      <w:r w:rsidRPr="004D5215">
        <w:rPr>
          <w:rFonts w:cs="Arial"/>
          <w:color w:val="0D0D0D" w:themeColor="text1" w:themeTint="F2"/>
          <w:spacing w:val="-4"/>
          <w:sz w:val="16"/>
          <w:szCs w:val="16"/>
          <w:shd w:val="clear" w:color="auto" w:fill="FFFFFF"/>
        </w:rPr>
        <w:t>m</w:t>
      </w:r>
      <w:r w:rsidRPr="004D5215">
        <w:rPr>
          <w:rFonts w:cs="Arial"/>
          <w:color w:val="0D0D0D" w:themeColor="text1" w:themeTint="F2"/>
          <w:spacing w:val="-4"/>
          <w:sz w:val="16"/>
          <w:szCs w:val="16"/>
          <w:shd w:val="clear" w:color="auto" w:fill="FFFFFF"/>
          <w:vertAlign w:val="superscript"/>
        </w:rPr>
        <w:t>3</w:t>
      </w:r>
      <w:r w:rsidRPr="004D5215">
        <w:rPr>
          <w:color w:val="0D0D0D" w:themeColor="text1" w:themeTint="F2"/>
          <w:spacing w:val="-4"/>
          <w:sz w:val="16"/>
          <w:szCs w:val="16"/>
        </w:rPr>
        <w:t xml:space="preserve">, meziročně byla vyšší o 6,5 % (po přepočtení spotřeby na dlouhodobý teplotní normál činil růst ale jen 0,5 %, tato spotřeba tak mírně rostla druhý rok v řadě, v letech 2022 a 2023 se ale v úhrnu propadla o téměř čtvrtinu). Skutečná spotřeba </w:t>
      </w:r>
      <w:r>
        <w:rPr>
          <w:color w:val="0D0D0D" w:themeColor="text1" w:themeTint="F2"/>
          <w:spacing w:val="-4"/>
          <w:sz w:val="16"/>
          <w:szCs w:val="16"/>
        </w:rPr>
        <w:t xml:space="preserve">se </w:t>
      </w:r>
      <w:r w:rsidRPr="004D5215">
        <w:rPr>
          <w:color w:val="0D0D0D" w:themeColor="text1" w:themeTint="F2"/>
          <w:spacing w:val="-4"/>
          <w:sz w:val="16"/>
          <w:szCs w:val="16"/>
        </w:rPr>
        <w:t xml:space="preserve">loni </w:t>
      </w:r>
      <w:r>
        <w:rPr>
          <w:color w:val="0D0D0D" w:themeColor="text1" w:themeTint="F2"/>
          <w:spacing w:val="-4"/>
          <w:sz w:val="16"/>
          <w:szCs w:val="16"/>
        </w:rPr>
        <w:t>zvýšil</w:t>
      </w:r>
      <w:r w:rsidRPr="004D5215">
        <w:rPr>
          <w:color w:val="0D0D0D" w:themeColor="text1" w:themeTint="F2"/>
          <w:spacing w:val="-4"/>
          <w:sz w:val="16"/>
          <w:szCs w:val="16"/>
        </w:rPr>
        <w:t>a u všech kategorií odběratelů – zejména domácností (+9,9 %) a maloodběratelů z řad podnikatelů (+9,3 %). Oproti roku 2016, je</w:t>
      </w:r>
      <w:r>
        <w:rPr>
          <w:color w:val="0D0D0D" w:themeColor="text1" w:themeTint="F2"/>
          <w:spacing w:val="-4"/>
          <w:sz w:val="16"/>
          <w:szCs w:val="16"/>
        </w:rPr>
        <w:t>n</w:t>
      </w:r>
      <w:r w:rsidRPr="004D5215">
        <w:rPr>
          <w:color w:val="0D0D0D" w:themeColor="text1" w:themeTint="F2"/>
          <w:spacing w:val="-4"/>
          <w:sz w:val="16"/>
          <w:szCs w:val="16"/>
        </w:rPr>
        <w:t xml:space="preserve">ž byl teplotně srovnatelný </w:t>
      </w:r>
      <w:r>
        <w:rPr>
          <w:color w:val="0D0D0D" w:themeColor="text1" w:themeTint="F2"/>
          <w:spacing w:val="-4"/>
          <w:sz w:val="16"/>
          <w:szCs w:val="16"/>
        </w:rPr>
        <w:t xml:space="preserve">s </w:t>
      </w:r>
      <w:r w:rsidRPr="004D5215">
        <w:rPr>
          <w:color w:val="0D0D0D" w:themeColor="text1" w:themeTint="F2"/>
          <w:spacing w:val="-4"/>
          <w:sz w:val="16"/>
          <w:szCs w:val="16"/>
        </w:rPr>
        <w:t>loňský</w:t>
      </w:r>
      <w:r>
        <w:rPr>
          <w:color w:val="0D0D0D" w:themeColor="text1" w:themeTint="F2"/>
          <w:spacing w:val="-4"/>
          <w:sz w:val="16"/>
          <w:szCs w:val="16"/>
        </w:rPr>
        <w:t>m</w:t>
      </w:r>
      <w:r w:rsidRPr="004D5215">
        <w:rPr>
          <w:color w:val="0D0D0D" w:themeColor="text1" w:themeTint="F2"/>
          <w:spacing w:val="-4"/>
          <w:sz w:val="16"/>
          <w:szCs w:val="16"/>
        </w:rPr>
        <w:t xml:space="preserve">, je ovšem aktuální celková spotřeba nižší o 13 % (z toho domácností o 20 %). Zčásti se na tom podílí </w:t>
      </w:r>
      <w:r w:rsidRPr="004D5215">
        <w:rPr>
          <w:color w:val="0D0D0D" w:themeColor="text1" w:themeTint="F2"/>
          <w:spacing w:val="-4"/>
          <w:sz w:val="16"/>
          <w:szCs w:val="16"/>
        </w:rPr>
        <w:br/>
        <w:t xml:space="preserve">i snížený počet zákazníků (−5 %), patrný </w:t>
      </w:r>
      <w:r>
        <w:rPr>
          <w:color w:val="0D0D0D" w:themeColor="text1" w:themeTint="F2"/>
          <w:spacing w:val="-4"/>
          <w:sz w:val="16"/>
          <w:szCs w:val="16"/>
        </w:rPr>
        <w:t xml:space="preserve">u </w:t>
      </w:r>
      <w:r w:rsidRPr="004D5215">
        <w:rPr>
          <w:color w:val="0D0D0D" w:themeColor="text1" w:themeTint="F2"/>
          <w:spacing w:val="-4"/>
          <w:sz w:val="16"/>
          <w:szCs w:val="16"/>
        </w:rPr>
        <w:t>všech kategorií odběratelů, vyjma drobných podnikatelů, jejichž počet byl na stejné úrovni.</w:t>
      </w:r>
    </w:p>
  </w:footnote>
  <w:footnote w:id="10">
    <w:p w14:paraId="21606948" w14:textId="77777777" w:rsidR="00290725" w:rsidRPr="00FE030A" w:rsidRDefault="00290725" w:rsidP="00290725">
      <w:pPr>
        <w:pStyle w:val="Textpoznpodarou"/>
        <w:rPr>
          <w:sz w:val="16"/>
          <w:szCs w:val="16"/>
        </w:rPr>
      </w:pPr>
      <w:r w:rsidRPr="00FE030A">
        <w:rPr>
          <w:rStyle w:val="Znakapoznpodarou"/>
          <w:color w:val="0D0D0D" w:themeColor="text1" w:themeTint="F2"/>
          <w:spacing w:val="-2"/>
          <w:sz w:val="16"/>
          <w:szCs w:val="16"/>
        </w:rPr>
        <w:footnoteRef/>
      </w:r>
      <w:r w:rsidRPr="00FE030A">
        <w:rPr>
          <w:color w:val="0D0D0D" w:themeColor="text1" w:themeTint="F2"/>
          <w:sz w:val="16"/>
          <w:szCs w:val="16"/>
        </w:rPr>
        <w:t xml:space="preserve"> Celkov</w:t>
      </w:r>
      <w:r>
        <w:rPr>
          <w:color w:val="0D0D0D" w:themeColor="text1" w:themeTint="F2"/>
          <w:sz w:val="16"/>
          <w:szCs w:val="16"/>
        </w:rPr>
        <w:t>á</w:t>
      </w:r>
      <w:r w:rsidRPr="00FE030A">
        <w:rPr>
          <w:color w:val="0D0D0D" w:themeColor="text1" w:themeTint="F2"/>
          <w:sz w:val="16"/>
          <w:szCs w:val="16"/>
        </w:rPr>
        <w:t xml:space="preserve"> výroba tepla za loňský rok vzrostla o 3,1 %</w:t>
      </w:r>
      <w:r>
        <w:rPr>
          <w:color w:val="0D0D0D" w:themeColor="text1" w:themeTint="F2"/>
          <w:sz w:val="16"/>
          <w:szCs w:val="16"/>
        </w:rPr>
        <w:t xml:space="preserve"> (na 137 PJ)</w:t>
      </w:r>
      <w:r w:rsidRPr="00FE030A">
        <w:rPr>
          <w:color w:val="0D0D0D" w:themeColor="text1" w:themeTint="F2"/>
          <w:sz w:val="16"/>
          <w:szCs w:val="16"/>
        </w:rPr>
        <w:t xml:space="preserve"> </w:t>
      </w:r>
      <w:r>
        <w:rPr>
          <w:color w:val="0D0D0D" w:themeColor="text1" w:themeTint="F2"/>
          <w:sz w:val="16"/>
          <w:szCs w:val="16"/>
        </w:rPr>
        <w:t>a zastavil se tak její hlubší pokles z předchozích tří let (v úhrnu o</w:t>
      </w:r>
      <w:r w:rsidRPr="004D5215">
        <w:rPr>
          <w:color w:val="0D0D0D" w:themeColor="text1" w:themeTint="F2"/>
          <w:spacing w:val="-4"/>
          <w:sz w:val="16"/>
          <w:szCs w:val="16"/>
        </w:rPr>
        <w:t> </w:t>
      </w:r>
      <w:r>
        <w:rPr>
          <w:color w:val="0D0D0D" w:themeColor="text1" w:themeTint="F2"/>
          <w:sz w:val="16"/>
          <w:szCs w:val="16"/>
        </w:rPr>
        <w:t>17,9</w:t>
      </w:r>
      <w:r w:rsidRPr="004D5215">
        <w:rPr>
          <w:color w:val="0D0D0D" w:themeColor="text1" w:themeTint="F2"/>
          <w:spacing w:val="-4"/>
          <w:sz w:val="16"/>
          <w:szCs w:val="16"/>
        </w:rPr>
        <w:t> </w:t>
      </w:r>
      <w:r>
        <w:rPr>
          <w:color w:val="0D0D0D" w:themeColor="text1" w:themeTint="F2"/>
          <w:sz w:val="16"/>
          <w:szCs w:val="16"/>
        </w:rPr>
        <w:t xml:space="preserve">%). Meziročně více energie se loni vyrobilo ze </w:t>
      </w:r>
      <w:r w:rsidRPr="00622721">
        <w:rPr>
          <w:color w:val="0D0D0D" w:themeColor="text1" w:themeTint="F2"/>
          <w:sz w:val="16"/>
          <w:szCs w:val="16"/>
        </w:rPr>
        <w:t>zemního plynu (+8 %) a z biomasy (+</w:t>
      </w:r>
      <w:r>
        <w:rPr>
          <w:color w:val="0D0D0D" w:themeColor="text1" w:themeTint="F2"/>
          <w:sz w:val="16"/>
          <w:szCs w:val="16"/>
        </w:rPr>
        <w:t>1</w:t>
      </w:r>
      <w:r w:rsidRPr="00622721">
        <w:rPr>
          <w:color w:val="0D0D0D" w:themeColor="text1" w:themeTint="F2"/>
          <w:sz w:val="16"/>
          <w:szCs w:val="16"/>
        </w:rPr>
        <w:t xml:space="preserve">1, %), </w:t>
      </w:r>
      <w:r>
        <w:rPr>
          <w:color w:val="0D0D0D" w:themeColor="text1" w:themeTint="F2"/>
          <w:sz w:val="16"/>
          <w:szCs w:val="16"/>
        </w:rPr>
        <w:t>jež</w:t>
      </w:r>
      <w:r w:rsidRPr="00622721">
        <w:rPr>
          <w:color w:val="0D0D0D" w:themeColor="text1" w:themeTint="F2"/>
          <w:sz w:val="16"/>
          <w:szCs w:val="16"/>
        </w:rPr>
        <w:t xml:space="preserve"> jsou při výrobě tepla druhým </w:t>
      </w:r>
      <w:r>
        <w:rPr>
          <w:color w:val="0D0D0D" w:themeColor="text1" w:themeTint="F2"/>
          <w:sz w:val="16"/>
          <w:szCs w:val="16"/>
        </w:rPr>
        <w:br/>
      </w:r>
      <w:r w:rsidRPr="00622721">
        <w:rPr>
          <w:color w:val="0D0D0D" w:themeColor="text1" w:themeTint="F2"/>
          <w:sz w:val="16"/>
          <w:szCs w:val="16"/>
        </w:rPr>
        <w:t>a třetím nejčastěji využívaným palivem. Třetina tepla se loni vyrobila z hnědého uhlí, jehož využití meziročně mírně kleslo (</w:t>
      </w:r>
      <w:r w:rsidRPr="004D5215">
        <w:rPr>
          <w:color w:val="0D0D0D" w:themeColor="text1" w:themeTint="F2"/>
          <w:spacing w:val="-4"/>
          <w:sz w:val="16"/>
          <w:szCs w:val="16"/>
        </w:rPr>
        <w:t>–</w:t>
      </w:r>
      <w:r w:rsidRPr="00622721">
        <w:rPr>
          <w:color w:val="0D0D0D" w:themeColor="text1" w:themeTint="F2"/>
          <w:sz w:val="16"/>
          <w:szCs w:val="16"/>
        </w:rPr>
        <w:t>0,6 %)</w:t>
      </w:r>
      <w:r>
        <w:rPr>
          <w:color w:val="0D0D0D" w:themeColor="text1" w:themeTint="F2"/>
          <w:sz w:val="16"/>
          <w:szCs w:val="16"/>
        </w:rPr>
        <w:t>. S</w:t>
      </w:r>
      <w:r w:rsidRPr="00622721">
        <w:rPr>
          <w:color w:val="0D0D0D" w:themeColor="text1" w:themeTint="F2"/>
          <w:sz w:val="16"/>
          <w:szCs w:val="16"/>
        </w:rPr>
        <w:t xml:space="preserve">potřeba tepelné energie </w:t>
      </w:r>
      <w:r>
        <w:rPr>
          <w:color w:val="0D0D0D" w:themeColor="text1" w:themeTint="F2"/>
          <w:sz w:val="16"/>
          <w:szCs w:val="16"/>
        </w:rPr>
        <w:t>(</w:t>
      </w:r>
      <w:r w:rsidRPr="00622721">
        <w:rPr>
          <w:color w:val="0D0D0D" w:themeColor="text1" w:themeTint="F2"/>
          <w:sz w:val="16"/>
          <w:szCs w:val="16"/>
        </w:rPr>
        <w:t>v soustavách centrálního zásobování</w:t>
      </w:r>
      <w:r>
        <w:rPr>
          <w:color w:val="0D0D0D" w:themeColor="text1" w:themeTint="F2"/>
          <w:sz w:val="16"/>
          <w:szCs w:val="16"/>
        </w:rPr>
        <w:t>)</w:t>
      </w:r>
      <w:r w:rsidRPr="00622721">
        <w:rPr>
          <w:color w:val="0D0D0D" w:themeColor="text1" w:themeTint="F2"/>
          <w:sz w:val="16"/>
          <w:szCs w:val="16"/>
        </w:rPr>
        <w:t xml:space="preserve"> </w:t>
      </w:r>
      <w:r>
        <w:rPr>
          <w:color w:val="0D0D0D" w:themeColor="text1" w:themeTint="F2"/>
          <w:sz w:val="16"/>
          <w:szCs w:val="16"/>
        </w:rPr>
        <w:t xml:space="preserve">loni </w:t>
      </w:r>
      <w:r w:rsidRPr="00622721">
        <w:rPr>
          <w:color w:val="0D0D0D" w:themeColor="text1" w:themeTint="F2"/>
          <w:sz w:val="16"/>
          <w:szCs w:val="16"/>
        </w:rPr>
        <w:t xml:space="preserve">meziročně </w:t>
      </w:r>
      <w:r>
        <w:rPr>
          <w:color w:val="0D0D0D" w:themeColor="text1" w:themeTint="F2"/>
          <w:sz w:val="16"/>
          <w:szCs w:val="16"/>
        </w:rPr>
        <w:t>posílila</w:t>
      </w:r>
      <w:r w:rsidRPr="00622721">
        <w:rPr>
          <w:color w:val="0D0D0D" w:themeColor="text1" w:themeTint="F2"/>
          <w:sz w:val="16"/>
          <w:szCs w:val="16"/>
        </w:rPr>
        <w:t xml:space="preserve"> </w:t>
      </w:r>
      <w:r>
        <w:rPr>
          <w:color w:val="0D0D0D" w:themeColor="text1" w:themeTint="F2"/>
          <w:sz w:val="16"/>
          <w:szCs w:val="16"/>
        </w:rPr>
        <w:t>(+</w:t>
      </w:r>
      <w:r w:rsidRPr="00622721">
        <w:rPr>
          <w:color w:val="0D0D0D" w:themeColor="text1" w:themeTint="F2"/>
          <w:sz w:val="16"/>
          <w:szCs w:val="16"/>
        </w:rPr>
        <w:t>3,4 %</w:t>
      </w:r>
      <w:r>
        <w:rPr>
          <w:color w:val="0D0D0D" w:themeColor="text1" w:themeTint="F2"/>
          <w:sz w:val="16"/>
          <w:szCs w:val="16"/>
        </w:rPr>
        <w:t xml:space="preserve">, </w:t>
      </w:r>
      <w:r w:rsidRPr="00622721">
        <w:rPr>
          <w:color w:val="0D0D0D" w:themeColor="text1" w:themeTint="F2"/>
          <w:sz w:val="16"/>
          <w:szCs w:val="16"/>
        </w:rPr>
        <w:t xml:space="preserve">na 68,2 PJ). Růst táhly zejména sektor obchodu, služeb, školství a zdravotnictví (+8,1 %) a domácnosti (+5,5 %). Naopak spotřeba v průmyslu </w:t>
      </w:r>
      <w:r>
        <w:rPr>
          <w:color w:val="0D0D0D" w:themeColor="text1" w:themeTint="F2"/>
          <w:sz w:val="16"/>
          <w:szCs w:val="16"/>
        </w:rPr>
        <w:t>stagnovala.</w:t>
      </w:r>
    </w:p>
  </w:footnote>
  <w:footnote w:id="11">
    <w:p w14:paraId="0AB3AAE1" w14:textId="77777777" w:rsidR="00290725" w:rsidRDefault="00290725" w:rsidP="00290725">
      <w:pPr>
        <w:pStyle w:val="Textpoznpodarou"/>
      </w:pPr>
      <w:r w:rsidRPr="004E2B2A">
        <w:rPr>
          <w:rStyle w:val="Znakapoznpodarou"/>
          <w:sz w:val="16"/>
          <w:szCs w:val="16"/>
        </w:rPr>
        <w:footnoteRef/>
      </w:r>
      <w:r w:rsidRPr="004E2B2A">
        <w:rPr>
          <w:sz w:val="16"/>
          <w:szCs w:val="16"/>
        </w:rPr>
        <w:t xml:space="preserve"> </w:t>
      </w:r>
      <w:r w:rsidRPr="004D4FDB">
        <w:rPr>
          <w:color w:val="0D0D0D" w:themeColor="text1" w:themeTint="F2"/>
          <w:sz w:val="16"/>
          <w:szCs w:val="16"/>
        </w:rPr>
        <w:t xml:space="preserve">Dle údajů </w:t>
      </w:r>
      <w:r w:rsidRPr="004D4FDB">
        <w:rPr>
          <w:color w:val="0D0D0D" w:themeColor="text1" w:themeTint="F2"/>
          <w:spacing w:val="-3"/>
          <w:sz w:val="16"/>
          <w:szCs w:val="16"/>
        </w:rPr>
        <w:t>Sdružení</w:t>
      </w:r>
      <w:r w:rsidRPr="004D4FDB">
        <w:rPr>
          <w:color w:val="0D0D0D" w:themeColor="text1" w:themeTint="F2"/>
          <w:sz w:val="16"/>
          <w:szCs w:val="16"/>
        </w:rPr>
        <w:t xml:space="preserve"> automobilového průmyslu </w:t>
      </w:r>
      <w:r>
        <w:rPr>
          <w:color w:val="0D0D0D" w:themeColor="text1" w:themeTint="F2"/>
          <w:sz w:val="16"/>
          <w:szCs w:val="16"/>
        </w:rPr>
        <w:t>se v roce 2025 v tuzemsku vyrobilo 1,45 mil</w:t>
      </w:r>
      <w:r w:rsidRPr="004D4FDB">
        <w:rPr>
          <w:color w:val="0D0D0D" w:themeColor="text1" w:themeTint="F2"/>
          <w:sz w:val="16"/>
          <w:szCs w:val="16"/>
        </w:rPr>
        <w:t>. osobních auto</w:t>
      </w:r>
      <w:r>
        <w:rPr>
          <w:color w:val="0D0D0D" w:themeColor="text1" w:themeTint="F2"/>
          <w:sz w:val="16"/>
          <w:szCs w:val="16"/>
        </w:rPr>
        <w:t xml:space="preserve">mobilů, což bylo ve srovnání s rekordním výsledkem z předloňského roku o 0,5 % méně. Negativně se projevil slabší rozjezd výroby na počátku roku (kvůli horšímu odbytu v zahraničí zavedli někteří výrobci krátkodobá omezení výroby), naopak na jaře se situace postupně zlepšovala a červnová </w:t>
      </w:r>
      <w:r>
        <w:rPr>
          <w:color w:val="0D0D0D" w:themeColor="text1" w:themeTint="F2"/>
          <w:sz w:val="16"/>
          <w:szCs w:val="16"/>
        </w:rPr>
        <w:br/>
        <w:t xml:space="preserve">i zářijová výroba (shodně 136 tis. vozidel) již byla meziročně znatelně vyšší a dvojciferný růst přinesl i prosinec. </w:t>
      </w:r>
      <w:r>
        <w:rPr>
          <w:sz w:val="16"/>
          <w:szCs w:val="16"/>
        </w:rPr>
        <w:t xml:space="preserve">Po poklesu v roce 2024 loni výrazně ožil segment výroby </w:t>
      </w:r>
      <w:r w:rsidRPr="004D4FDB">
        <w:rPr>
          <w:color w:val="0D0D0D" w:themeColor="text1" w:themeTint="F2"/>
          <w:spacing w:val="-3"/>
          <w:sz w:val="16"/>
          <w:szCs w:val="16"/>
        </w:rPr>
        <w:t>e</w:t>
      </w:r>
      <w:r>
        <w:rPr>
          <w:color w:val="0D0D0D" w:themeColor="text1" w:themeTint="F2"/>
          <w:spacing w:val="-3"/>
          <w:sz w:val="16"/>
          <w:szCs w:val="16"/>
        </w:rPr>
        <w:t>lektrických vozidel (vč. vozů s</w:t>
      </w:r>
      <w:r w:rsidRPr="00224C0C">
        <w:rPr>
          <w:sz w:val="16"/>
          <w:szCs w:val="16"/>
        </w:rPr>
        <w:t> </w:t>
      </w:r>
      <w:r>
        <w:rPr>
          <w:color w:val="0D0D0D" w:themeColor="text1" w:themeTint="F2"/>
          <w:spacing w:val="-3"/>
          <w:sz w:val="16"/>
          <w:szCs w:val="16"/>
        </w:rPr>
        <w:t xml:space="preserve">hybridním pohonem), který docílil nárůstu výroby na dvojnásobek a na celkové produkci automobilů se podílel téměř šestinou. Vedle osobních aut zaznamenala loni pokles celkové výroby i většina producentů ostatních druhů motorových vozidel. </w:t>
      </w:r>
    </w:p>
  </w:footnote>
  <w:footnote w:id="12">
    <w:p w14:paraId="29AF244D" w14:textId="77777777" w:rsidR="00290725" w:rsidRPr="00C045CA" w:rsidRDefault="00290725" w:rsidP="00290725">
      <w:pPr>
        <w:pStyle w:val="Textpoznpodarou"/>
        <w:rPr>
          <w:sz w:val="16"/>
          <w:szCs w:val="16"/>
        </w:rPr>
      </w:pPr>
      <w:r w:rsidRPr="00C045CA">
        <w:rPr>
          <w:rStyle w:val="Znakapoznpodarou"/>
          <w:sz w:val="16"/>
          <w:szCs w:val="16"/>
        </w:rPr>
        <w:footnoteRef/>
      </w:r>
      <w:r w:rsidRPr="00C045CA">
        <w:rPr>
          <w:sz w:val="16"/>
          <w:szCs w:val="16"/>
        </w:rPr>
        <w:t xml:space="preserve"> Ten zahrnuje v posledních letech již velmi okrajový segment výroby obuvi.</w:t>
      </w:r>
    </w:p>
  </w:footnote>
  <w:footnote w:id="13">
    <w:p w14:paraId="3F10580B" w14:textId="77777777" w:rsidR="00290725" w:rsidRPr="00A20181" w:rsidRDefault="00290725" w:rsidP="00290725">
      <w:pPr>
        <w:pStyle w:val="Textpoznpodarou"/>
        <w:rPr>
          <w:sz w:val="16"/>
          <w:szCs w:val="16"/>
        </w:rPr>
      </w:pPr>
      <w:r w:rsidRPr="00A20181">
        <w:rPr>
          <w:rStyle w:val="Znakapoznpodarou"/>
          <w:sz w:val="16"/>
          <w:szCs w:val="16"/>
        </w:rPr>
        <w:footnoteRef/>
      </w:r>
      <w:r w:rsidRPr="00A20181">
        <w:rPr>
          <w:sz w:val="16"/>
          <w:szCs w:val="16"/>
        </w:rPr>
        <w:t xml:space="preserve"> </w:t>
      </w:r>
      <w:r w:rsidRPr="00A20181">
        <w:rPr>
          <w:color w:val="000000" w:themeColor="text1"/>
          <w:sz w:val="16"/>
          <w:szCs w:val="16"/>
        </w:rPr>
        <w:t xml:space="preserve">Patrně se zde projevil i dopad relativně chladnějšího a deštivějšího loňského léta. Ve 3. čtvrtletí </w:t>
      </w:r>
      <w:r>
        <w:rPr>
          <w:color w:val="000000" w:themeColor="text1"/>
          <w:sz w:val="16"/>
          <w:szCs w:val="16"/>
        </w:rPr>
        <w:t xml:space="preserve">totiž </w:t>
      </w:r>
      <w:r w:rsidRPr="00A20181">
        <w:rPr>
          <w:color w:val="000000" w:themeColor="text1"/>
          <w:sz w:val="16"/>
          <w:szCs w:val="16"/>
        </w:rPr>
        <w:t xml:space="preserve">produkce nápojů meziročně propadla o </w:t>
      </w:r>
      <w:r>
        <w:rPr>
          <w:color w:val="000000" w:themeColor="text1"/>
          <w:sz w:val="16"/>
          <w:szCs w:val="16"/>
        </w:rPr>
        <w:t>6,5</w:t>
      </w:r>
      <w:r w:rsidRPr="00A20181">
        <w:rPr>
          <w:color w:val="000000" w:themeColor="text1"/>
          <w:sz w:val="16"/>
          <w:szCs w:val="16"/>
        </w:rPr>
        <w:t xml:space="preserve"> %, nejvíce od počátku roku 2021 (kdy byla poptávka zásadně ovlivněna protipandemickými restrikcemi). </w:t>
      </w:r>
    </w:p>
  </w:footnote>
  <w:footnote w:id="14">
    <w:p w14:paraId="710E6F11" w14:textId="77777777" w:rsidR="00290725" w:rsidRDefault="00290725" w:rsidP="00290725">
      <w:pPr>
        <w:pStyle w:val="Textpoznpodarou"/>
        <w:rPr>
          <w:rFonts w:cs="Arial"/>
          <w:color w:val="0D0D0D" w:themeColor="text1" w:themeTint="F2"/>
          <w:spacing w:val="-2"/>
          <w:sz w:val="16"/>
          <w:szCs w:val="16"/>
        </w:rPr>
      </w:pPr>
      <w:r>
        <w:rPr>
          <w:rStyle w:val="Znakapoznpodarou"/>
          <w:rFonts w:cs="Arial"/>
          <w:color w:val="0D0D0D" w:themeColor="text1" w:themeTint="F2"/>
          <w:spacing w:val="-2"/>
          <w:sz w:val="16"/>
          <w:szCs w:val="16"/>
        </w:rPr>
        <w:footnoteRef/>
      </w:r>
      <w:r>
        <w:rPr>
          <w:rFonts w:cs="Arial"/>
          <w:color w:val="0D0D0D" w:themeColor="text1" w:themeTint="F2"/>
          <w:spacing w:val="-2"/>
          <w:sz w:val="16"/>
          <w:szCs w:val="16"/>
        </w:rPr>
        <w:t xml:space="preserve"> Zjišťování zakázek probíhá ve 12 zpracovatelských odvětvích vyrábějících převážně na zakázku, s dlouhodobějším výrobním cyklem a s většími zásobami zakázek. Meziroční tempa zakázek jsou očištěna o kalendářní vlivy, </w:t>
      </w:r>
      <w:proofErr w:type="spellStart"/>
      <w:r>
        <w:rPr>
          <w:rFonts w:cs="Arial"/>
          <w:color w:val="0D0D0D" w:themeColor="text1" w:themeTint="F2"/>
          <w:spacing w:val="-2"/>
          <w:sz w:val="16"/>
          <w:szCs w:val="16"/>
        </w:rPr>
        <w:t>mezikvartální</w:t>
      </w:r>
      <w:proofErr w:type="spellEnd"/>
      <w:r>
        <w:rPr>
          <w:rFonts w:cs="Arial"/>
          <w:color w:val="0D0D0D" w:themeColor="text1" w:themeTint="F2"/>
          <w:spacing w:val="-2"/>
          <w:sz w:val="16"/>
          <w:szCs w:val="16"/>
        </w:rPr>
        <w:t xml:space="preserve"> tempa také o vliv sezónnosti.</w:t>
      </w:r>
    </w:p>
  </w:footnote>
  <w:footnote w:id="15">
    <w:p w14:paraId="51C7CD8B" w14:textId="77777777" w:rsidR="00290725" w:rsidRPr="0010257E" w:rsidRDefault="00290725" w:rsidP="00290725">
      <w:pPr>
        <w:pStyle w:val="Textpoznpodarou"/>
        <w:rPr>
          <w:sz w:val="16"/>
          <w:szCs w:val="16"/>
        </w:rPr>
      </w:pPr>
      <w:r w:rsidRPr="0010257E">
        <w:rPr>
          <w:rStyle w:val="Znakapoznpodarou"/>
          <w:sz w:val="16"/>
          <w:szCs w:val="16"/>
        </w:rPr>
        <w:footnoteRef/>
      </w:r>
      <w:r w:rsidRPr="0010257E">
        <w:rPr>
          <w:sz w:val="16"/>
          <w:szCs w:val="16"/>
        </w:rPr>
        <w:t xml:space="preserve"> </w:t>
      </w:r>
      <w:r w:rsidRPr="0010257E">
        <w:rPr>
          <w:color w:val="0D0D0D" w:themeColor="text1" w:themeTint="F2"/>
          <w:sz w:val="16"/>
          <w:szCs w:val="16"/>
        </w:rPr>
        <w:t xml:space="preserve">Silný růstový impuls se týkal </w:t>
      </w:r>
      <w:r>
        <w:rPr>
          <w:color w:val="0D0D0D" w:themeColor="text1" w:themeTint="F2"/>
          <w:sz w:val="16"/>
          <w:szCs w:val="16"/>
        </w:rPr>
        <w:t xml:space="preserve">hlavně </w:t>
      </w:r>
      <w:r w:rsidRPr="0010257E">
        <w:rPr>
          <w:color w:val="0D0D0D" w:themeColor="text1" w:themeTint="F2"/>
          <w:sz w:val="16"/>
          <w:szCs w:val="16"/>
        </w:rPr>
        <w:t>modernizace veřejné dopravy a armády.</w:t>
      </w:r>
    </w:p>
  </w:footnote>
  <w:footnote w:id="16">
    <w:p w14:paraId="79253CC3" w14:textId="77777777" w:rsidR="00290725" w:rsidRPr="00F753A0" w:rsidRDefault="00290725" w:rsidP="00290725">
      <w:pPr>
        <w:pStyle w:val="Textpoznpodarou"/>
        <w:rPr>
          <w:sz w:val="16"/>
          <w:szCs w:val="16"/>
        </w:rPr>
      </w:pPr>
      <w:r w:rsidRPr="00F753A0">
        <w:rPr>
          <w:rStyle w:val="Znakapoznpodarou"/>
          <w:sz w:val="16"/>
          <w:szCs w:val="16"/>
        </w:rPr>
        <w:footnoteRef/>
      </w:r>
      <w:r w:rsidRPr="00F753A0">
        <w:rPr>
          <w:sz w:val="16"/>
          <w:szCs w:val="16"/>
        </w:rPr>
        <w:t xml:space="preserve"> Srovnatelně vysoký celoroční růst registrovaly v tomto oboru naposledy v letech 2007 a 2009.</w:t>
      </w:r>
    </w:p>
  </w:footnote>
  <w:footnote w:id="17">
    <w:p w14:paraId="2498FAEE" w14:textId="77777777" w:rsidR="00290725" w:rsidRPr="000F0EF4" w:rsidRDefault="00290725" w:rsidP="00290725">
      <w:pPr>
        <w:pStyle w:val="Textpoznpodarou"/>
        <w:rPr>
          <w:sz w:val="16"/>
          <w:szCs w:val="16"/>
        </w:rPr>
      </w:pPr>
      <w:r w:rsidRPr="000F0EF4">
        <w:rPr>
          <w:rStyle w:val="Znakapoznpodarou"/>
          <w:sz w:val="16"/>
          <w:szCs w:val="16"/>
        </w:rPr>
        <w:footnoteRef/>
      </w:r>
      <w:r w:rsidRPr="000F0EF4">
        <w:rPr>
          <w:sz w:val="16"/>
          <w:szCs w:val="16"/>
        </w:rPr>
        <w:t xml:space="preserve"> Tento počet (v průmyslových podnicích s 50 a více pracovníky) se za celý loňský rok snížil o 1,8 %, z toho v prosinci se meziroční pokles zmírnil na 1,2 %. </w:t>
      </w:r>
    </w:p>
  </w:footnote>
  <w:footnote w:id="18">
    <w:p w14:paraId="1BDF3A21" w14:textId="77777777" w:rsidR="00290725" w:rsidRPr="00AE5078" w:rsidRDefault="00290725" w:rsidP="00290725">
      <w:pPr>
        <w:pStyle w:val="Textpoznpodarou"/>
        <w:rPr>
          <w:spacing w:val="-2"/>
          <w:sz w:val="16"/>
          <w:szCs w:val="16"/>
        </w:rPr>
      </w:pPr>
      <w:r w:rsidRPr="00AE5078">
        <w:rPr>
          <w:rStyle w:val="Znakapoznpodarou"/>
          <w:spacing w:val="-2"/>
          <w:sz w:val="16"/>
          <w:szCs w:val="16"/>
        </w:rPr>
        <w:footnoteRef/>
      </w:r>
      <w:r w:rsidRPr="00AE5078">
        <w:rPr>
          <w:spacing w:val="-2"/>
          <w:sz w:val="16"/>
          <w:szCs w:val="16"/>
        </w:rPr>
        <w:t xml:space="preserve"> Dle šetření z února 2026 předpokládalo v půlročním horizontu zlepšení vlastní ekonomické situace 14 % podniků, zhoršení pouhá 3 %.</w:t>
      </w:r>
    </w:p>
  </w:footnote>
  <w:footnote w:id="19">
    <w:p w14:paraId="5DC5CA45" w14:textId="77777777" w:rsidR="00290725" w:rsidRPr="005A2F0C" w:rsidRDefault="00290725" w:rsidP="00290725">
      <w:pPr>
        <w:pStyle w:val="Textpoznpodarou"/>
        <w:rPr>
          <w:sz w:val="16"/>
          <w:szCs w:val="16"/>
        </w:rPr>
      </w:pPr>
      <w:r w:rsidRPr="005A2F0C">
        <w:rPr>
          <w:rStyle w:val="Znakapoznpodarou"/>
          <w:sz w:val="16"/>
          <w:szCs w:val="16"/>
        </w:rPr>
        <w:footnoteRef/>
      </w:r>
      <w:r w:rsidRPr="005A2F0C">
        <w:rPr>
          <w:sz w:val="16"/>
          <w:szCs w:val="16"/>
        </w:rPr>
        <w:t xml:space="preserve"> Podniky mohly uvést více bariér současně.</w:t>
      </w:r>
    </w:p>
  </w:footnote>
  <w:footnote w:id="20">
    <w:p w14:paraId="07EDA172" w14:textId="77777777" w:rsidR="00290725" w:rsidRPr="00830C93" w:rsidRDefault="00290725" w:rsidP="00290725">
      <w:pPr>
        <w:pStyle w:val="Textpoznpodarou"/>
        <w:rPr>
          <w:sz w:val="16"/>
          <w:szCs w:val="16"/>
        </w:rPr>
      </w:pPr>
      <w:r w:rsidRPr="00830C93">
        <w:rPr>
          <w:rStyle w:val="Znakapoznpodarou"/>
          <w:sz w:val="16"/>
          <w:szCs w:val="16"/>
        </w:rPr>
        <w:footnoteRef/>
      </w:r>
      <w:r w:rsidRPr="00830C93">
        <w:rPr>
          <w:sz w:val="16"/>
          <w:szCs w:val="16"/>
        </w:rPr>
        <w:t xml:space="preserve"> Z jednotlivých zpracovatelských oborů vykázaly aktuálně vyšší využití kapacit (nad 88 %) také kožedělný, petrochemický, farmaceutický průmysl, </w:t>
      </w:r>
      <w:proofErr w:type="spellStart"/>
      <w:r w:rsidRPr="00830C93">
        <w:rPr>
          <w:sz w:val="16"/>
          <w:szCs w:val="16"/>
        </w:rPr>
        <w:t>plastikářství</w:t>
      </w:r>
      <w:proofErr w:type="spellEnd"/>
      <w:r w:rsidRPr="00830C93">
        <w:rPr>
          <w:sz w:val="16"/>
          <w:szCs w:val="16"/>
        </w:rPr>
        <w:t xml:space="preserve"> a gumárenství, opravy strojů a zařízení a také výroba ostatních dopravních prostředků. Naopak slabší využití (mezi 60 a 70 %) </w:t>
      </w:r>
      <w:r>
        <w:rPr>
          <w:sz w:val="16"/>
          <w:szCs w:val="16"/>
        </w:rPr>
        <w:t>zaznamenaly elektronický, nápojový a strojírenský průmysl.</w:t>
      </w:r>
    </w:p>
  </w:footnote>
  <w:footnote w:id="21">
    <w:p w14:paraId="425746DD" w14:textId="77777777" w:rsidR="00290725" w:rsidRPr="00995E90" w:rsidRDefault="00290725" w:rsidP="00290725">
      <w:pPr>
        <w:pStyle w:val="Textpoznpodarou"/>
        <w:rPr>
          <w:spacing w:val="-2"/>
          <w:sz w:val="16"/>
          <w:szCs w:val="16"/>
        </w:rPr>
      </w:pPr>
      <w:r w:rsidRPr="00995E90">
        <w:rPr>
          <w:rStyle w:val="Znakapoznpodarou"/>
          <w:color w:val="0D0D0D" w:themeColor="text1" w:themeTint="F2"/>
          <w:spacing w:val="-2"/>
          <w:sz w:val="16"/>
          <w:szCs w:val="16"/>
        </w:rPr>
        <w:footnoteRef/>
      </w:r>
      <w:r w:rsidRPr="00995E90">
        <w:rPr>
          <w:color w:val="0D0D0D" w:themeColor="text1" w:themeTint="F2"/>
          <w:spacing w:val="-2"/>
          <w:sz w:val="16"/>
          <w:szCs w:val="16"/>
        </w:rPr>
        <w:t xml:space="preserve"> To mohlo zčásti souviset s daňovou optimalizací některých nadnárodních firem, neboť zaměstnanost v Irsku loni meziročně stoupla jen </w:t>
      </w:r>
      <w:r>
        <w:rPr>
          <w:color w:val="0D0D0D" w:themeColor="text1" w:themeTint="F2"/>
          <w:spacing w:val="-2"/>
          <w:sz w:val="16"/>
          <w:szCs w:val="16"/>
        </w:rPr>
        <w:br/>
      </w:r>
      <w:r w:rsidRPr="00995E90">
        <w:rPr>
          <w:color w:val="0D0D0D" w:themeColor="text1" w:themeTint="F2"/>
          <w:spacing w:val="-2"/>
          <w:sz w:val="16"/>
          <w:szCs w:val="16"/>
        </w:rPr>
        <w:t xml:space="preserve">o </w:t>
      </w:r>
      <w:r>
        <w:rPr>
          <w:color w:val="0D0D0D" w:themeColor="text1" w:themeTint="F2"/>
          <w:spacing w:val="-2"/>
          <w:sz w:val="16"/>
          <w:szCs w:val="16"/>
        </w:rPr>
        <w:t>3,1</w:t>
      </w:r>
      <w:r w:rsidRPr="00995E90">
        <w:rPr>
          <w:color w:val="0D0D0D" w:themeColor="text1" w:themeTint="F2"/>
          <w:spacing w:val="-2"/>
          <w:sz w:val="16"/>
          <w:szCs w:val="16"/>
        </w:rPr>
        <w:t xml:space="preserve"> % a v rámci států EU významně nevybočovala (v celé Unii došlo k poklesu o 0,</w:t>
      </w:r>
      <w:r>
        <w:rPr>
          <w:color w:val="0D0D0D" w:themeColor="text1" w:themeTint="F2"/>
          <w:spacing w:val="-2"/>
          <w:sz w:val="16"/>
          <w:szCs w:val="16"/>
        </w:rPr>
        <w:t>5</w:t>
      </w:r>
      <w:r w:rsidRPr="00995E90">
        <w:rPr>
          <w:color w:val="0D0D0D" w:themeColor="text1" w:themeTint="F2"/>
          <w:spacing w:val="-2"/>
          <w:sz w:val="16"/>
          <w:szCs w:val="16"/>
        </w:rPr>
        <w:t xml:space="preserve"> %, </w:t>
      </w:r>
      <w:r>
        <w:rPr>
          <w:color w:val="0D0D0D" w:themeColor="text1" w:themeTint="F2"/>
          <w:spacing w:val="-2"/>
          <w:sz w:val="16"/>
          <w:szCs w:val="16"/>
        </w:rPr>
        <w:t>zaměstnanců přibylo nejvíce</w:t>
      </w:r>
      <w:r w:rsidRPr="00995E90">
        <w:rPr>
          <w:color w:val="0D0D0D" w:themeColor="text1" w:themeTint="F2"/>
          <w:spacing w:val="-2"/>
          <w:sz w:val="16"/>
          <w:szCs w:val="16"/>
        </w:rPr>
        <w:t xml:space="preserve"> ve Španělsku </w:t>
      </w:r>
      <w:r>
        <w:rPr>
          <w:color w:val="0D0D0D" w:themeColor="text1" w:themeTint="F2"/>
          <w:spacing w:val="-2"/>
          <w:sz w:val="16"/>
          <w:szCs w:val="16"/>
        </w:rPr>
        <w:br/>
      </w:r>
      <w:r w:rsidRPr="00995E90">
        <w:rPr>
          <w:color w:val="0D0D0D" w:themeColor="text1" w:themeTint="F2"/>
          <w:spacing w:val="-2"/>
          <w:sz w:val="16"/>
          <w:szCs w:val="16"/>
        </w:rPr>
        <w:t>(+</w:t>
      </w:r>
      <w:r>
        <w:rPr>
          <w:color w:val="0D0D0D" w:themeColor="text1" w:themeTint="F2"/>
          <w:spacing w:val="-2"/>
          <w:sz w:val="16"/>
          <w:szCs w:val="16"/>
        </w:rPr>
        <w:t>3,8</w:t>
      </w:r>
      <w:r w:rsidRPr="00995E90">
        <w:rPr>
          <w:color w:val="0D0D0D" w:themeColor="text1" w:themeTint="F2"/>
          <w:spacing w:val="-2"/>
          <w:sz w:val="16"/>
          <w:szCs w:val="16"/>
        </w:rPr>
        <w:t xml:space="preserve"> %).</w:t>
      </w:r>
    </w:p>
  </w:footnote>
  <w:footnote w:id="22">
    <w:p w14:paraId="29466BD2" w14:textId="77777777" w:rsidR="00290725" w:rsidRPr="00BA7970" w:rsidRDefault="00290725" w:rsidP="00290725">
      <w:pPr>
        <w:pStyle w:val="Textpoznpodarou"/>
        <w:rPr>
          <w:sz w:val="16"/>
          <w:szCs w:val="16"/>
        </w:rPr>
      </w:pPr>
      <w:r w:rsidRPr="00995E90">
        <w:rPr>
          <w:rStyle w:val="Znakapoznpodarou"/>
          <w:spacing w:val="-2"/>
          <w:sz w:val="16"/>
          <w:szCs w:val="16"/>
        </w:rPr>
        <w:footnoteRef/>
      </w:r>
      <w:r w:rsidRPr="00995E90">
        <w:rPr>
          <w:spacing w:val="-2"/>
          <w:sz w:val="16"/>
          <w:szCs w:val="16"/>
        </w:rPr>
        <w:t xml:space="preserve"> V samotném 4. čtvrtletí 2025 se ovšem výkon německého průmyslu mírně zvýšil </w:t>
      </w:r>
      <w:r>
        <w:rPr>
          <w:spacing w:val="-2"/>
          <w:sz w:val="16"/>
          <w:szCs w:val="16"/>
        </w:rPr>
        <w:t>(+</w:t>
      </w:r>
      <w:r w:rsidRPr="00995E90">
        <w:rPr>
          <w:spacing w:val="-2"/>
          <w:sz w:val="16"/>
          <w:szCs w:val="16"/>
        </w:rPr>
        <w:t>0,</w:t>
      </w:r>
      <w:r>
        <w:rPr>
          <w:spacing w:val="-2"/>
          <w:sz w:val="16"/>
          <w:szCs w:val="16"/>
        </w:rPr>
        <w:t>9</w:t>
      </w:r>
      <w:r w:rsidRPr="00995E90">
        <w:rPr>
          <w:spacing w:val="-2"/>
          <w:sz w:val="16"/>
          <w:szCs w:val="16"/>
        </w:rPr>
        <w:t xml:space="preserve"> %, k lehkému oživení došlo i ve výrobě motorových vozidel</w:t>
      </w:r>
      <w:r>
        <w:rPr>
          <w:spacing w:val="-2"/>
          <w:sz w:val="16"/>
          <w:szCs w:val="16"/>
        </w:rPr>
        <w:t>, pokles celkového počtu zaměstnanců v průmyslu se však dále mírně prohluboval)</w:t>
      </w:r>
      <w:r w:rsidRPr="00995E90">
        <w:rPr>
          <w:spacing w:val="-2"/>
          <w:sz w:val="16"/>
          <w:szCs w:val="16"/>
        </w:rPr>
        <w:t>. To souviselo s celkovým oživením průmyslu v EU (+2,</w:t>
      </w:r>
      <w:r>
        <w:rPr>
          <w:spacing w:val="-2"/>
          <w:sz w:val="16"/>
          <w:szCs w:val="16"/>
        </w:rPr>
        <w:t>1</w:t>
      </w:r>
      <w:r w:rsidRPr="00995E90">
        <w:rPr>
          <w:spacing w:val="-2"/>
          <w:sz w:val="16"/>
          <w:szCs w:val="16"/>
        </w:rPr>
        <w:t> %), v Česku došlo k vyšší akceleraci (+</w:t>
      </w:r>
      <w:r>
        <w:rPr>
          <w:spacing w:val="-2"/>
          <w:sz w:val="16"/>
          <w:szCs w:val="16"/>
        </w:rPr>
        <w:t>4,2</w:t>
      </w:r>
      <w:r w:rsidRPr="00995E90">
        <w:rPr>
          <w:spacing w:val="-2"/>
          <w:sz w:val="16"/>
          <w:szCs w:val="16"/>
        </w:rPr>
        <w:t xml:space="preserve"> %) vlivem svižného růstu poptávky po meziproduktech a v</w:t>
      </w:r>
      <w:r>
        <w:rPr>
          <w:spacing w:val="-2"/>
          <w:sz w:val="16"/>
          <w:szCs w:val="16"/>
        </w:rPr>
        <w:t> </w:t>
      </w:r>
      <w:r w:rsidRPr="00995E90">
        <w:rPr>
          <w:spacing w:val="-2"/>
          <w:sz w:val="16"/>
          <w:szCs w:val="16"/>
        </w:rPr>
        <w:t>oblasti</w:t>
      </w:r>
      <w:r>
        <w:rPr>
          <w:spacing w:val="-2"/>
          <w:sz w:val="16"/>
          <w:szCs w:val="16"/>
        </w:rPr>
        <w:t xml:space="preserve"> investic</w:t>
      </w:r>
      <w:r w:rsidRPr="00995E90">
        <w:rPr>
          <w:spacing w:val="-2"/>
          <w:sz w:val="16"/>
          <w:szCs w:val="16"/>
        </w:rPr>
        <w:t>, vč. modernizace armády.</w:t>
      </w:r>
    </w:p>
  </w:footnote>
  <w:footnote w:id="23">
    <w:p w14:paraId="0DA32179" w14:textId="77777777" w:rsidR="00290725" w:rsidRPr="005847F5" w:rsidRDefault="00290725" w:rsidP="00290725">
      <w:pPr>
        <w:pStyle w:val="Textpoznpodarou"/>
        <w:rPr>
          <w:spacing w:val="-2"/>
          <w:sz w:val="16"/>
          <w:szCs w:val="16"/>
        </w:rPr>
      </w:pPr>
      <w:r w:rsidRPr="005847F5">
        <w:rPr>
          <w:rStyle w:val="Znakapoznpodarou"/>
          <w:rFonts w:cs="Arial"/>
          <w:color w:val="0D0D0D" w:themeColor="text1" w:themeTint="F2"/>
          <w:spacing w:val="-2"/>
          <w:sz w:val="16"/>
          <w:szCs w:val="16"/>
        </w:rPr>
        <w:footnoteRef/>
      </w:r>
      <w:r w:rsidRPr="005847F5">
        <w:rPr>
          <w:rFonts w:cs="Arial"/>
          <w:color w:val="0D0D0D" w:themeColor="text1" w:themeTint="F2"/>
          <w:spacing w:val="-2"/>
          <w:sz w:val="16"/>
          <w:szCs w:val="16"/>
        </w:rPr>
        <w:t xml:space="preserve"> Údaje o stavební produkci jsou ve stálých cenách, meziroční tempa jsou očištěna o kalendářní vlivy, mezičtvrtletní též o vliv sezónnosti.</w:t>
      </w:r>
    </w:p>
  </w:footnote>
  <w:footnote w:id="24">
    <w:p w14:paraId="4647CBB0" w14:textId="77777777" w:rsidR="00290725" w:rsidRPr="005A5AB9" w:rsidRDefault="00290725" w:rsidP="00290725">
      <w:pPr>
        <w:pStyle w:val="Textpoznpodarou"/>
        <w:rPr>
          <w:sz w:val="16"/>
          <w:szCs w:val="16"/>
        </w:rPr>
      </w:pPr>
      <w:r w:rsidRPr="005847F5">
        <w:rPr>
          <w:rStyle w:val="Znakapoznpodarou"/>
          <w:spacing w:val="-2"/>
          <w:sz w:val="16"/>
          <w:szCs w:val="16"/>
        </w:rPr>
        <w:footnoteRef/>
      </w:r>
      <w:r w:rsidRPr="005847F5">
        <w:rPr>
          <w:spacing w:val="-2"/>
          <w:sz w:val="16"/>
          <w:szCs w:val="16"/>
        </w:rPr>
        <w:t xml:space="preserve"> </w:t>
      </w:r>
      <w:r>
        <w:rPr>
          <w:spacing w:val="-2"/>
          <w:sz w:val="16"/>
          <w:szCs w:val="16"/>
        </w:rPr>
        <w:t xml:space="preserve">Již v roce 2024 </w:t>
      </w:r>
      <w:r>
        <w:rPr>
          <w:color w:val="0D0D0D" w:themeColor="text1" w:themeTint="F2"/>
          <w:spacing w:val="-2"/>
          <w:sz w:val="16"/>
          <w:szCs w:val="16"/>
        </w:rPr>
        <w:t>d</w:t>
      </w:r>
      <w:r w:rsidRPr="005847F5">
        <w:rPr>
          <w:color w:val="0D0D0D" w:themeColor="text1" w:themeTint="F2"/>
          <w:spacing w:val="-2"/>
          <w:sz w:val="16"/>
          <w:szCs w:val="16"/>
        </w:rPr>
        <w:t>ošlo k dílčímu zmírnění nákladových tlaků (vlivem příznivějšího vývoje cen některých energií a také většiny stavebních materiálů), současně ale výrazně posiloval růst cen nemovitostí (vlivem zvýšené poptávky ze strany domácností, k níž docház</w:t>
      </w:r>
      <w:r>
        <w:rPr>
          <w:color w:val="0D0D0D" w:themeColor="text1" w:themeTint="F2"/>
          <w:spacing w:val="-2"/>
          <w:sz w:val="16"/>
          <w:szCs w:val="16"/>
        </w:rPr>
        <w:t>elo</w:t>
      </w:r>
      <w:r w:rsidRPr="005847F5">
        <w:rPr>
          <w:color w:val="0D0D0D" w:themeColor="text1" w:themeTint="F2"/>
          <w:spacing w:val="-2"/>
          <w:sz w:val="16"/>
          <w:szCs w:val="16"/>
        </w:rPr>
        <w:t xml:space="preserve"> i při relativně vysokých a neměnných hypotečních sazbách), což částečně limitovalo zřetelnější a plošnější růst poptávky po rezidenčních nemovitostech.</w:t>
      </w:r>
      <w:r>
        <w:rPr>
          <w:color w:val="0D0D0D" w:themeColor="text1" w:themeTint="F2"/>
          <w:sz w:val="16"/>
          <w:szCs w:val="16"/>
        </w:rPr>
        <w:t xml:space="preserve">  </w:t>
      </w:r>
    </w:p>
  </w:footnote>
  <w:footnote w:id="25">
    <w:p w14:paraId="4B5E09A3" w14:textId="77777777" w:rsidR="00290725" w:rsidRPr="00B82E88" w:rsidRDefault="00290725" w:rsidP="00290725">
      <w:pPr>
        <w:pStyle w:val="Textpoznpodarou"/>
        <w:rPr>
          <w:sz w:val="16"/>
          <w:szCs w:val="16"/>
        </w:rPr>
      </w:pPr>
      <w:r w:rsidRPr="00B82E88">
        <w:rPr>
          <w:rStyle w:val="Znakapoznpodarou"/>
          <w:sz w:val="16"/>
          <w:szCs w:val="16"/>
        </w:rPr>
        <w:footnoteRef/>
      </w:r>
      <w:r w:rsidRPr="00B82E88">
        <w:rPr>
          <w:sz w:val="16"/>
          <w:szCs w:val="16"/>
        </w:rPr>
        <w:t xml:space="preserve"> Loňský počet dokončených bytů v rodinných domech (13,</w:t>
      </w:r>
      <w:r>
        <w:rPr>
          <w:sz w:val="16"/>
          <w:szCs w:val="16"/>
        </w:rPr>
        <w:t>9</w:t>
      </w:r>
      <w:r w:rsidRPr="00B82E88">
        <w:rPr>
          <w:sz w:val="16"/>
          <w:szCs w:val="16"/>
        </w:rPr>
        <w:t xml:space="preserve"> tis.) byl nejnižší za posledních devatenáct let.</w:t>
      </w:r>
    </w:p>
  </w:footnote>
  <w:footnote w:id="26">
    <w:p w14:paraId="71A47EDD" w14:textId="77777777" w:rsidR="00290725" w:rsidRPr="000A60E7" w:rsidRDefault="00290725" w:rsidP="00290725">
      <w:pPr>
        <w:pStyle w:val="Textpoznpodarou"/>
        <w:rPr>
          <w:sz w:val="16"/>
          <w:szCs w:val="16"/>
        </w:rPr>
      </w:pPr>
      <w:r w:rsidRPr="000A60E7">
        <w:rPr>
          <w:rStyle w:val="Znakapoznpodarou"/>
          <w:sz w:val="16"/>
          <w:szCs w:val="16"/>
        </w:rPr>
        <w:footnoteRef/>
      </w:r>
      <w:r w:rsidRPr="000A60E7">
        <w:rPr>
          <w:sz w:val="16"/>
          <w:szCs w:val="16"/>
        </w:rPr>
        <w:t xml:space="preserve"> Zakázky jsou uvedeny </w:t>
      </w:r>
      <w:r w:rsidRPr="000A60E7">
        <w:rPr>
          <w:rStyle w:val="normaltextrun"/>
          <w:rFonts w:eastAsiaTheme="majorEastAsia"/>
          <w:color w:val="0D0D0D" w:themeColor="text1" w:themeTint="F2"/>
          <w:sz w:val="16"/>
          <w:szCs w:val="16"/>
        </w:rPr>
        <w:t>v běžných cenách a pokrývají pouze podniky nad 50 zaměstnanců.</w:t>
      </w:r>
    </w:p>
  </w:footnote>
  <w:footnote w:id="27">
    <w:p w14:paraId="4EA3DD85" w14:textId="77777777" w:rsidR="00290725" w:rsidRPr="00B94DA4" w:rsidRDefault="00290725" w:rsidP="00290725">
      <w:pPr>
        <w:pStyle w:val="Textpoznpodarou"/>
        <w:rPr>
          <w:sz w:val="16"/>
          <w:szCs w:val="16"/>
        </w:rPr>
      </w:pPr>
      <w:r w:rsidRPr="00B94DA4">
        <w:rPr>
          <w:rStyle w:val="Znakapoznpodarou"/>
          <w:sz w:val="16"/>
          <w:szCs w:val="16"/>
        </w:rPr>
        <w:footnoteRef/>
      </w:r>
      <w:r w:rsidRPr="00B94DA4">
        <w:rPr>
          <w:sz w:val="16"/>
          <w:szCs w:val="16"/>
        </w:rPr>
        <w:t xml:space="preserve"> Na tento pokles neměl významnější vliv ani fakt, že počet velkých povolených staveb (s rozpočtem nad 1 mld. korun) se meziročně mírně zvýšil (ze 44 v roce 2024 na 51 loni). </w:t>
      </w:r>
    </w:p>
  </w:footnote>
  <w:footnote w:id="28">
    <w:p w14:paraId="7F760D41" w14:textId="77777777" w:rsidR="00290725" w:rsidRPr="00B74018" w:rsidRDefault="00290725" w:rsidP="00290725">
      <w:pPr>
        <w:pStyle w:val="Textpoznpodarou"/>
        <w:rPr>
          <w:sz w:val="16"/>
          <w:szCs w:val="16"/>
        </w:rPr>
      </w:pPr>
      <w:r w:rsidRPr="00B74018">
        <w:rPr>
          <w:rStyle w:val="Znakapoznpodarou"/>
          <w:sz w:val="16"/>
          <w:szCs w:val="16"/>
        </w:rPr>
        <w:footnoteRef/>
      </w:r>
      <w:r w:rsidRPr="00B74018">
        <w:rPr>
          <w:sz w:val="16"/>
          <w:szCs w:val="16"/>
        </w:rPr>
        <w:t xml:space="preserve"> Evidenční počet zaměstnanců (ve stavebních podnicích nad 50 pracovníků) se l</w:t>
      </w:r>
      <w:r>
        <w:rPr>
          <w:sz w:val="16"/>
          <w:szCs w:val="16"/>
        </w:rPr>
        <w:t>oni</w:t>
      </w:r>
      <w:r w:rsidRPr="00B74018">
        <w:rPr>
          <w:sz w:val="16"/>
          <w:szCs w:val="16"/>
        </w:rPr>
        <w:t xml:space="preserve"> v </w:t>
      </w:r>
      <w:r>
        <w:rPr>
          <w:sz w:val="16"/>
          <w:szCs w:val="16"/>
        </w:rPr>
        <w:t>prosinci</w:t>
      </w:r>
      <w:r w:rsidRPr="00B74018">
        <w:rPr>
          <w:sz w:val="16"/>
          <w:szCs w:val="16"/>
        </w:rPr>
        <w:t xml:space="preserve"> meziročně zvýšil</w:t>
      </w:r>
      <w:r>
        <w:rPr>
          <w:sz w:val="16"/>
          <w:szCs w:val="16"/>
        </w:rPr>
        <w:t xml:space="preserve"> již o 2,7 </w:t>
      </w:r>
      <w:r w:rsidRPr="00B74018">
        <w:rPr>
          <w:sz w:val="16"/>
          <w:szCs w:val="16"/>
        </w:rPr>
        <w:t>%</w:t>
      </w:r>
      <w:r>
        <w:rPr>
          <w:sz w:val="16"/>
          <w:szCs w:val="16"/>
        </w:rPr>
        <w:t xml:space="preserve"> a za celý rok o 1,1 %</w:t>
      </w:r>
      <w:r w:rsidRPr="00B74018">
        <w:rPr>
          <w:sz w:val="16"/>
          <w:szCs w:val="16"/>
        </w:rPr>
        <w:t xml:space="preserve">. Jde o významný posun, neboť v úhrnu za rok </w:t>
      </w:r>
      <w:r>
        <w:rPr>
          <w:sz w:val="16"/>
          <w:szCs w:val="16"/>
        </w:rPr>
        <w:t xml:space="preserve">2024 </w:t>
      </w:r>
      <w:r w:rsidRPr="00B74018">
        <w:rPr>
          <w:sz w:val="16"/>
          <w:szCs w:val="16"/>
        </w:rPr>
        <w:t xml:space="preserve">se </w:t>
      </w:r>
      <w:r>
        <w:rPr>
          <w:sz w:val="16"/>
          <w:szCs w:val="16"/>
        </w:rPr>
        <w:t xml:space="preserve">stavy zaměstnanců </w:t>
      </w:r>
      <w:r w:rsidRPr="00B74018">
        <w:rPr>
          <w:sz w:val="16"/>
          <w:szCs w:val="16"/>
        </w:rPr>
        <w:t>snížily o 1,6 %.</w:t>
      </w:r>
    </w:p>
  </w:footnote>
  <w:footnote w:id="29">
    <w:p w14:paraId="6EE783ED" w14:textId="77777777" w:rsidR="00290725" w:rsidRPr="002C5568" w:rsidRDefault="00290725" w:rsidP="00290725">
      <w:pPr>
        <w:pStyle w:val="Textpoznpodarou"/>
        <w:rPr>
          <w:spacing w:val="-4"/>
          <w:sz w:val="16"/>
          <w:szCs w:val="16"/>
        </w:rPr>
      </w:pPr>
      <w:r w:rsidRPr="002C5568">
        <w:rPr>
          <w:rStyle w:val="Znakapoznpodarou"/>
          <w:spacing w:val="-4"/>
          <w:sz w:val="16"/>
          <w:szCs w:val="16"/>
        </w:rPr>
        <w:footnoteRef/>
      </w:r>
      <w:r w:rsidRPr="002C5568">
        <w:rPr>
          <w:spacing w:val="-4"/>
          <w:sz w:val="16"/>
          <w:szCs w:val="16"/>
        </w:rPr>
        <w:t xml:space="preserve"> Pouze pětina </w:t>
      </w:r>
      <w:r>
        <w:rPr>
          <w:spacing w:val="-4"/>
          <w:sz w:val="16"/>
          <w:szCs w:val="16"/>
        </w:rPr>
        <w:t xml:space="preserve">stavebních </w:t>
      </w:r>
      <w:r w:rsidRPr="002C5568">
        <w:rPr>
          <w:spacing w:val="-4"/>
          <w:sz w:val="16"/>
          <w:szCs w:val="16"/>
        </w:rPr>
        <w:t xml:space="preserve">firem </w:t>
      </w:r>
      <w:r>
        <w:rPr>
          <w:spacing w:val="-4"/>
          <w:sz w:val="16"/>
          <w:szCs w:val="16"/>
        </w:rPr>
        <w:t xml:space="preserve">letos v únoru </w:t>
      </w:r>
      <w:r w:rsidRPr="002C5568">
        <w:rPr>
          <w:spacing w:val="-4"/>
          <w:sz w:val="16"/>
          <w:szCs w:val="16"/>
        </w:rPr>
        <w:t>žádnou z možných růstových bariér neuvedla. Tento podíl, který je o polovinu nižší než v EU či eurozóně, zůstává v Česku v posledních osmi letech v zásadě neměnný.</w:t>
      </w:r>
    </w:p>
  </w:footnote>
  <w:footnote w:id="30">
    <w:p w14:paraId="42BD0B1E" w14:textId="77777777" w:rsidR="00290725" w:rsidRPr="002C5568" w:rsidRDefault="00290725" w:rsidP="00290725">
      <w:pPr>
        <w:pStyle w:val="Textpoznpodarou"/>
        <w:rPr>
          <w:spacing w:val="-4"/>
          <w:sz w:val="16"/>
          <w:szCs w:val="16"/>
        </w:rPr>
      </w:pPr>
      <w:r w:rsidRPr="002C5568">
        <w:rPr>
          <w:rStyle w:val="Znakapoznpodarou"/>
          <w:spacing w:val="-4"/>
          <w:sz w:val="16"/>
          <w:szCs w:val="16"/>
        </w:rPr>
        <w:footnoteRef/>
      </w:r>
      <w:r w:rsidRPr="002C5568">
        <w:rPr>
          <w:spacing w:val="-4"/>
          <w:sz w:val="16"/>
          <w:szCs w:val="16"/>
        </w:rPr>
        <w:t xml:space="preserve"> </w:t>
      </w:r>
      <w:r w:rsidRPr="00FF74BC">
        <w:rPr>
          <w:rStyle w:val="normaltextrun"/>
          <w:rFonts w:eastAsiaTheme="majorEastAsia" w:cs="Arial"/>
          <w:spacing w:val="-2"/>
          <w:sz w:val="16"/>
          <w:szCs w:val="16"/>
        </w:rPr>
        <w:t>Stejně jako u nedostatku pracovníků sužovala nedostatečná poptávka nejvíce podniky v segmentu výstavby budov</w:t>
      </w:r>
      <w:r>
        <w:rPr>
          <w:rStyle w:val="normaltextrun"/>
          <w:rFonts w:eastAsiaTheme="majorEastAsia" w:cs="Arial"/>
          <w:spacing w:val="-2"/>
          <w:sz w:val="16"/>
          <w:szCs w:val="16"/>
        </w:rPr>
        <w:t xml:space="preserve"> (a nejméně naopak v inženýrském stavitelství). Nedostatek pracovníků představuje klíčovou růstovou bariéru ve všech třech hlavních segmentech stavebnictví.</w:t>
      </w:r>
    </w:p>
  </w:footnote>
  <w:footnote w:id="31">
    <w:p w14:paraId="696046A7" w14:textId="77777777" w:rsidR="00290725" w:rsidRPr="002C5568" w:rsidRDefault="00290725" w:rsidP="00290725">
      <w:pPr>
        <w:pStyle w:val="Textpoznpodarou"/>
        <w:rPr>
          <w:spacing w:val="-4"/>
          <w:sz w:val="16"/>
          <w:szCs w:val="16"/>
        </w:rPr>
      </w:pPr>
      <w:r w:rsidRPr="002C5568">
        <w:rPr>
          <w:rStyle w:val="Znakapoznpodarou"/>
          <w:spacing w:val="-4"/>
          <w:sz w:val="16"/>
          <w:szCs w:val="16"/>
        </w:rPr>
        <w:footnoteRef/>
      </w:r>
      <w:r w:rsidRPr="002C5568">
        <w:rPr>
          <w:spacing w:val="-4"/>
          <w:sz w:val="16"/>
          <w:szCs w:val="16"/>
        </w:rPr>
        <w:t xml:space="preserve"> V</w:t>
      </w:r>
      <w:r>
        <w:rPr>
          <w:spacing w:val="-4"/>
          <w:sz w:val="16"/>
          <w:szCs w:val="16"/>
        </w:rPr>
        <w:t xml:space="preserve"> únoru 2026 </w:t>
      </w:r>
      <w:r w:rsidRPr="002C5568">
        <w:rPr>
          <w:spacing w:val="-4"/>
          <w:sz w:val="16"/>
          <w:szCs w:val="16"/>
        </w:rPr>
        <w:t>předpokládal</w:t>
      </w:r>
      <w:r>
        <w:rPr>
          <w:spacing w:val="-4"/>
          <w:sz w:val="16"/>
          <w:szCs w:val="16"/>
        </w:rPr>
        <w:t>a</w:t>
      </w:r>
      <w:r w:rsidRPr="002C5568">
        <w:rPr>
          <w:spacing w:val="-4"/>
          <w:sz w:val="16"/>
          <w:szCs w:val="16"/>
        </w:rPr>
        <w:t xml:space="preserve"> (v tříměsíčním výhledu) zvyšování cen vlastní produkce </w:t>
      </w:r>
      <w:r>
        <w:rPr>
          <w:spacing w:val="-4"/>
          <w:sz w:val="16"/>
          <w:szCs w:val="16"/>
        </w:rPr>
        <w:t>čtvrtina</w:t>
      </w:r>
      <w:r w:rsidRPr="002C5568">
        <w:rPr>
          <w:spacing w:val="-4"/>
          <w:sz w:val="16"/>
          <w:szCs w:val="16"/>
        </w:rPr>
        <w:t xml:space="preserve"> stavebních firem, </w:t>
      </w:r>
      <w:r>
        <w:rPr>
          <w:spacing w:val="-4"/>
          <w:sz w:val="16"/>
          <w:szCs w:val="16"/>
        </w:rPr>
        <w:t>což se výrazně neodchylovalo od dlouhodobému průměru.</w:t>
      </w:r>
    </w:p>
  </w:footnote>
  <w:footnote w:id="32">
    <w:p w14:paraId="2D835CD2" w14:textId="77777777" w:rsidR="00290725" w:rsidRPr="00E62461" w:rsidRDefault="00290725" w:rsidP="00290725">
      <w:pPr>
        <w:spacing w:after="0" w:line="240" w:lineRule="auto"/>
        <w:jc w:val="left"/>
        <w:rPr>
          <w:spacing w:val="-2"/>
        </w:rPr>
      </w:pPr>
      <w:r w:rsidRPr="00E62461">
        <w:rPr>
          <w:rStyle w:val="Znakapoznpodarou"/>
          <w:color w:val="0D0D0D" w:themeColor="text1" w:themeTint="F2"/>
          <w:spacing w:val="-2"/>
          <w:sz w:val="16"/>
          <w:szCs w:val="16"/>
        </w:rPr>
        <w:footnoteRef/>
      </w:r>
      <w:r w:rsidRPr="00E62461">
        <w:rPr>
          <w:color w:val="0D0D0D" w:themeColor="text1" w:themeTint="F2"/>
          <w:spacing w:val="-2"/>
          <w:sz w:val="16"/>
          <w:szCs w:val="16"/>
        </w:rPr>
        <w:t xml:space="preserve"> Bez obchodu, peněžnictví, pojišťovnictví, vědy, výzkumu a veřejných služeb. Všechny údaje za tržby ve službách jsou ve stálých cenách, meziroční data jsou očištěna o kalendářní vlivy, mezičtvrtletní jsou očištěna o sezónní vlivy (včetně vlivu počtu pracovních dnů).</w:t>
      </w:r>
    </w:p>
  </w:footnote>
  <w:footnote w:id="33">
    <w:p w14:paraId="238CAA33" w14:textId="77777777" w:rsidR="00290725" w:rsidRPr="006E752E" w:rsidRDefault="00290725" w:rsidP="00290725">
      <w:pPr>
        <w:pStyle w:val="Textpoznpodarou"/>
        <w:rPr>
          <w:sz w:val="16"/>
          <w:szCs w:val="16"/>
        </w:rPr>
      </w:pPr>
      <w:r w:rsidRPr="006E752E">
        <w:rPr>
          <w:rStyle w:val="Znakapoznpodarou"/>
          <w:sz w:val="16"/>
          <w:szCs w:val="16"/>
        </w:rPr>
        <w:footnoteRef/>
      </w:r>
      <w:r w:rsidRPr="006E752E">
        <w:rPr>
          <w:sz w:val="16"/>
          <w:szCs w:val="16"/>
        </w:rPr>
        <w:t xml:space="preserve"> Oproti 2. čtvrtletí 2019 byly celkové tržby</w:t>
      </w:r>
      <w:r>
        <w:rPr>
          <w:sz w:val="16"/>
          <w:szCs w:val="16"/>
        </w:rPr>
        <w:t xml:space="preserve"> (po sezónním očištění)</w:t>
      </w:r>
      <w:r w:rsidRPr="006E752E">
        <w:rPr>
          <w:sz w:val="16"/>
          <w:szCs w:val="16"/>
        </w:rPr>
        <w:t xml:space="preserve"> </w:t>
      </w:r>
      <w:r>
        <w:rPr>
          <w:sz w:val="16"/>
          <w:szCs w:val="16"/>
        </w:rPr>
        <w:t>ve 4. čtvrtletí 2025</w:t>
      </w:r>
      <w:r w:rsidRPr="006E752E">
        <w:rPr>
          <w:sz w:val="16"/>
          <w:szCs w:val="16"/>
        </w:rPr>
        <w:t xml:space="preserve"> vyšší o </w:t>
      </w:r>
      <w:r>
        <w:rPr>
          <w:sz w:val="16"/>
          <w:szCs w:val="16"/>
        </w:rPr>
        <w:t>4</w:t>
      </w:r>
      <w:r w:rsidRPr="006E752E">
        <w:rPr>
          <w:sz w:val="16"/>
          <w:szCs w:val="16"/>
        </w:rPr>
        <w:t>,</w:t>
      </w:r>
      <w:r>
        <w:rPr>
          <w:sz w:val="16"/>
          <w:szCs w:val="16"/>
        </w:rPr>
        <w:t>8</w:t>
      </w:r>
      <w:r w:rsidRPr="006E752E">
        <w:rPr>
          <w:sz w:val="16"/>
          <w:szCs w:val="16"/>
        </w:rPr>
        <w:t xml:space="preserve"> %. Z hlavních odvětví služeb tuto úroveň překonaly zejména informační a komunikační činnosti (+1</w:t>
      </w:r>
      <w:r>
        <w:rPr>
          <w:sz w:val="16"/>
          <w:szCs w:val="16"/>
        </w:rPr>
        <w:t>6,4</w:t>
      </w:r>
      <w:r w:rsidRPr="006E752E">
        <w:rPr>
          <w:sz w:val="16"/>
          <w:szCs w:val="16"/>
        </w:rPr>
        <w:t xml:space="preserve"> %)</w:t>
      </w:r>
      <w:r>
        <w:rPr>
          <w:sz w:val="16"/>
          <w:szCs w:val="16"/>
        </w:rPr>
        <w:t xml:space="preserve"> a</w:t>
      </w:r>
      <w:r w:rsidRPr="006E752E">
        <w:rPr>
          <w:sz w:val="16"/>
          <w:szCs w:val="16"/>
        </w:rPr>
        <w:t xml:space="preserve"> profesní, vědecké a technické činnosti (+</w:t>
      </w:r>
      <w:r>
        <w:rPr>
          <w:sz w:val="16"/>
          <w:szCs w:val="16"/>
        </w:rPr>
        <w:t xml:space="preserve">8,0 </w:t>
      </w:r>
      <w:r w:rsidRPr="006E752E">
        <w:rPr>
          <w:sz w:val="16"/>
          <w:szCs w:val="16"/>
        </w:rPr>
        <w:t>%)</w:t>
      </w:r>
      <w:r>
        <w:rPr>
          <w:sz w:val="16"/>
          <w:szCs w:val="16"/>
        </w:rPr>
        <w:t xml:space="preserve"> a doprava </w:t>
      </w:r>
      <w:r>
        <w:rPr>
          <w:sz w:val="16"/>
          <w:szCs w:val="16"/>
        </w:rPr>
        <w:br/>
        <w:t>a skladování (+4,5 %).</w:t>
      </w:r>
      <w:r w:rsidRPr="006E752E">
        <w:rPr>
          <w:sz w:val="16"/>
          <w:szCs w:val="16"/>
        </w:rPr>
        <w:t xml:space="preserve"> Naopak </w:t>
      </w:r>
      <w:r>
        <w:rPr>
          <w:sz w:val="16"/>
          <w:szCs w:val="16"/>
        </w:rPr>
        <w:t xml:space="preserve">tržby </w:t>
      </w:r>
      <w:r w:rsidRPr="006E752E">
        <w:rPr>
          <w:sz w:val="16"/>
          <w:szCs w:val="16"/>
        </w:rPr>
        <w:t>stále nejvíce zaostávaly</w:t>
      </w:r>
      <w:r>
        <w:rPr>
          <w:sz w:val="16"/>
          <w:szCs w:val="16"/>
        </w:rPr>
        <w:t xml:space="preserve"> v</w:t>
      </w:r>
      <w:r w:rsidRPr="006E752E">
        <w:rPr>
          <w:sz w:val="16"/>
          <w:szCs w:val="16"/>
        </w:rPr>
        <w:t xml:space="preserve"> ubytování, stravování a pohostinství (</w:t>
      </w:r>
      <w:r w:rsidRPr="006E752E">
        <w:rPr>
          <w:color w:val="0D0D0D" w:themeColor="text1" w:themeTint="F2"/>
          <w:spacing w:val="-5"/>
          <w:sz w:val="16"/>
          <w:szCs w:val="16"/>
        </w:rPr>
        <w:t>−</w:t>
      </w:r>
      <w:r w:rsidRPr="006E752E">
        <w:rPr>
          <w:sz w:val="16"/>
          <w:szCs w:val="16"/>
        </w:rPr>
        <w:t>1</w:t>
      </w:r>
      <w:r>
        <w:rPr>
          <w:sz w:val="16"/>
          <w:szCs w:val="16"/>
        </w:rPr>
        <w:t>3,3</w:t>
      </w:r>
      <w:r w:rsidRPr="006E752E">
        <w:rPr>
          <w:sz w:val="16"/>
          <w:szCs w:val="16"/>
        </w:rPr>
        <w:t xml:space="preserve"> %) a </w:t>
      </w:r>
      <w:r>
        <w:rPr>
          <w:sz w:val="16"/>
          <w:szCs w:val="16"/>
        </w:rPr>
        <w:t xml:space="preserve">v </w:t>
      </w:r>
      <w:r w:rsidRPr="006E752E">
        <w:rPr>
          <w:sz w:val="16"/>
          <w:szCs w:val="16"/>
        </w:rPr>
        <w:t>administrativní</w:t>
      </w:r>
      <w:r>
        <w:rPr>
          <w:sz w:val="16"/>
          <w:szCs w:val="16"/>
        </w:rPr>
        <w:t xml:space="preserve">ch </w:t>
      </w:r>
      <w:r>
        <w:rPr>
          <w:sz w:val="16"/>
          <w:szCs w:val="16"/>
        </w:rPr>
        <w:br/>
        <w:t>a podpůrných činnostech</w:t>
      </w:r>
      <w:r w:rsidRPr="006E752E">
        <w:rPr>
          <w:sz w:val="16"/>
          <w:szCs w:val="16"/>
        </w:rPr>
        <w:t xml:space="preserve"> (</w:t>
      </w:r>
      <w:r w:rsidRPr="006E752E">
        <w:rPr>
          <w:color w:val="0D0D0D" w:themeColor="text1" w:themeTint="F2"/>
          <w:spacing w:val="-5"/>
          <w:sz w:val="16"/>
          <w:szCs w:val="16"/>
        </w:rPr>
        <w:t>−</w:t>
      </w:r>
      <w:r>
        <w:rPr>
          <w:sz w:val="16"/>
          <w:szCs w:val="16"/>
        </w:rPr>
        <w:t>5</w:t>
      </w:r>
      <w:r w:rsidRPr="006E752E">
        <w:rPr>
          <w:sz w:val="16"/>
          <w:szCs w:val="16"/>
        </w:rPr>
        <w:t>,</w:t>
      </w:r>
      <w:r>
        <w:rPr>
          <w:sz w:val="16"/>
          <w:szCs w:val="16"/>
        </w:rPr>
        <w:t>9</w:t>
      </w:r>
      <w:r w:rsidRPr="006E752E">
        <w:rPr>
          <w:sz w:val="16"/>
          <w:szCs w:val="16"/>
        </w:rPr>
        <w:t xml:space="preserve"> %)</w:t>
      </w:r>
      <w:r>
        <w:rPr>
          <w:sz w:val="16"/>
          <w:szCs w:val="16"/>
        </w:rPr>
        <w:t>.</w:t>
      </w:r>
    </w:p>
  </w:footnote>
  <w:footnote w:id="34">
    <w:p w14:paraId="666A2C0F" w14:textId="77777777" w:rsidR="00290725" w:rsidRPr="001D74A1" w:rsidRDefault="00290725" w:rsidP="00290725">
      <w:pPr>
        <w:pStyle w:val="Textpoznpodarou"/>
        <w:rPr>
          <w:sz w:val="16"/>
          <w:szCs w:val="16"/>
        </w:rPr>
      </w:pPr>
      <w:r w:rsidRPr="001D74A1">
        <w:rPr>
          <w:rStyle w:val="Znakapoznpodarou"/>
          <w:sz w:val="16"/>
          <w:szCs w:val="16"/>
        </w:rPr>
        <w:footnoteRef/>
      </w:r>
      <w:r w:rsidRPr="001D74A1">
        <w:rPr>
          <w:sz w:val="16"/>
          <w:szCs w:val="16"/>
        </w:rPr>
        <w:t xml:space="preserve"> </w:t>
      </w:r>
      <w:r>
        <w:rPr>
          <w:sz w:val="16"/>
          <w:szCs w:val="16"/>
        </w:rPr>
        <w:t>Neočištěné t</w:t>
      </w:r>
      <w:r w:rsidRPr="001D74A1">
        <w:rPr>
          <w:sz w:val="16"/>
          <w:szCs w:val="16"/>
        </w:rPr>
        <w:t xml:space="preserve">ržby </w:t>
      </w:r>
      <w:r>
        <w:rPr>
          <w:sz w:val="16"/>
          <w:szCs w:val="16"/>
        </w:rPr>
        <w:t>za reklamu</w:t>
      </w:r>
      <w:r w:rsidRPr="001D74A1">
        <w:rPr>
          <w:sz w:val="16"/>
          <w:szCs w:val="16"/>
        </w:rPr>
        <w:t xml:space="preserve"> </w:t>
      </w:r>
      <w:r>
        <w:rPr>
          <w:sz w:val="16"/>
          <w:szCs w:val="16"/>
        </w:rPr>
        <w:t xml:space="preserve">se </w:t>
      </w:r>
      <w:r w:rsidRPr="001D74A1">
        <w:rPr>
          <w:sz w:val="16"/>
          <w:szCs w:val="16"/>
        </w:rPr>
        <w:t>l</w:t>
      </w:r>
      <w:r>
        <w:rPr>
          <w:sz w:val="16"/>
          <w:szCs w:val="16"/>
        </w:rPr>
        <w:t>oni</w:t>
      </w:r>
      <w:r w:rsidRPr="001D74A1">
        <w:rPr>
          <w:sz w:val="16"/>
          <w:szCs w:val="16"/>
        </w:rPr>
        <w:t xml:space="preserve"> meziročně </w:t>
      </w:r>
      <w:r>
        <w:rPr>
          <w:sz w:val="16"/>
          <w:szCs w:val="16"/>
        </w:rPr>
        <w:t>snížily</w:t>
      </w:r>
      <w:r w:rsidRPr="001D74A1">
        <w:rPr>
          <w:sz w:val="16"/>
          <w:szCs w:val="16"/>
        </w:rPr>
        <w:t xml:space="preserve"> o </w:t>
      </w:r>
      <w:r>
        <w:rPr>
          <w:sz w:val="16"/>
          <w:szCs w:val="16"/>
        </w:rPr>
        <w:t>0,3</w:t>
      </w:r>
      <w:r w:rsidRPr="001D74A1">
        <w:rPr>
          <w:sz w:val="16"/>
          <w:szCs w:val="16"/>
        </w:rPr>
        <w:t xml:space="preserve"> % (</w:t>
      </w:r>
      <w:r>
        <w:rPr>
          <w:sz w:val="16"/>
          <w:szCs w:val="16"/>
        </w:rPr>
        <w:t>a reálně tak klesaly druhý rok v řadě</w:t>
      </w:r>
      <w:r w:rsidRPr="001D74A1">
        <w:rPr>
          <w:sz w:val="16"/>
          <w:szCs w:val="16"/>
        </w:rPr>
        <w:t xml:space="preserve">). </w:t>
      </w:r>
      <w:r>
        <w:rPr>
          <w:sz w:val="16"/>
          <w:szCs w:val="16"/>
        </w:rPr>
        <w:t>Naopak tržby za průzkum trhu a veřejného mínění lehce vzrostly (o 2,4 % nejvíce za poslední čtyři roky).</w:t>
      </w:r>
    </w:p>
  </w:footnote>
  <w:footnote w:id="35">
    <w:p w14:paraId="12292ADF" w14:textId="77777777" w:rsidR="00290725" w:rsidRPr="00F34E27" w:rsidRDefault="00290725" w:rsidP="00290725">
      <w:pPr>
        <w:pStyle w:val="Textpoznpodarou"/>
        <w:rPr>
          <w:sz w:val="16"/>
          <w:szCs w:val="16"/>
        </w:rPr>
      </w:pPr>
      <w:r w:rsidRPr="00F34E27">
        <w:rPr>
          <w:rStyle w:val="Znakapoznpodarou"/>
          <w:sz w:val="16"/>
          <w:szCs w:val="16"/>
        </w:rPr>
        <w:footnoteRef/>
      </w:r>
      <w:r w:rsidRPr="00F34E27">
        <w:rPr>
          <w:sz w:val="16"/>
          <w:szCs w:val="16"/>
        </w:rPr>
        <w:t xml:space="preserve"> Toto dílčí odvětví, v němž hrají významnou roli drobní podnikatelé, zahrnuje především zprostředkovatelské činnosti, návrhářské, překladatelské a fotografické služby </w:t>
      </w:r>
      <w:r>
        <w:rPr>
          <w:sz w:val="16"/>
          <w:szCs w:val="16"/>
        </w:rPr>
        <w:t>nebo činnosti stavebního dozoru.</w:t>
      </w:r>
    </w:p>
  </w:footnote>
  <w:footnote w:id="36">
    <w:p w14:paraId="505E644F" w14:textId="77777777" w:rsidR="00290725" w:rsidRDefault="00290725" w:rsidP="00290725">
      <w:pPr>
        <w:pStyle w:val="Textpoznpodarou"/>
      </w:pPr>
      <w:r w:rsidRPr="007A5123">
        <w:rPr>
          <w:rStyle w:val="Znakapoznpodarou"/>
          <w:sz w:val="16"/>
          <w:szCs w:val="16"/>
        </w:rPr>
        <w:footnoteRef/>
      </w:r>
      <w:r w:rsidRPr="007A5123">
        <w:rPr>
          <w:sz w:val="16"/>
          <w:szCs w:val="16"/>
        </w:rPr>
        <w:t xml:space="preserve"> Jde především </w:t>
      </w:r>
      <w:r>
        <w:rPr>
          <w:sz w:val="16"/>
          <w:szCs w:val="16"/>
        </w:rPr>
        <w:t xml:space="preserve">o </w:t>
      </w:r>
      <w:r w:rsidRPr="00B86BDD">
        <w:rPr>
          <w:sz w:val="16"/>
          <w:szCs w:val="16"/>
        </w:rPr>
        <w:t>činnosti webových portálů, zpravodajských tiskových kanceláří a agentur či zpracování dat a hosting.</w:t>
      </w:r>
    </w:p>
  </w:footnote>
  <w:footnote w:id="37">
    <w:p w14:paraId="503B067C" w14:textId="77777777" w:rsidR="00290725" w:rsidRPr="00CD3166" w:rsidRDefault="00290725" w:rsidP="00290725">
      <w:pPr>
        <w:pStyle w:val="Textpoznpodarou"/>
        <w:rPr>
          <w:sz w:val="16"/>
          <w:szCs w:val="16"/>
        </w:rPr>
      </w:pPr>
      <w:r w:rsidRPr="00CD3166">
        <w:rPr>
          <w:rStyle w:val="Znakapoznpodarou"/>
          <w:sz w:val="16"/>
          <w:szCs w:val="16"/>
        </w:rPr>
        <w:footnoteRef/>
      </w:r>
      <w:r w:rsidRPr="00CD3166">
        <w:rPr>
          <w:sz w:val="16"/>
          <w:szCs w:val="16"/>
        </w:rPr>
        <w:t xml:space="preserve"> Ty </w:t>
      </w:r>
      <w:r w:rsidRPr="00CD3166">
        <w:rPr>
          <w:color w:val="0D0D0D" w:themeColor="text1" w:themeTint="F2"/>
          <w:spacing w:val="-6"/>
          <w:sz w:val="16"/>
          <w:szCs w:val="16"/>
        </w:rPr>
        <w:t>zahrnují</w:t>
      </w:r>
      <w:r>
        <w:rPr>
          <w:color w:val="0D0D0D" w:themeColor="text1" w:themeTint="F2"/>
          <w:spacing w:val="-6"/>
          <w:sz w:val="16"/>
          <w:szCs w:val="16"/>
        </w:rPr>
        <w:t xml:space="preserve"> zejména</w:t>
      </w:r>
      <w:r w:rsidRPr="00CD3166">
        <w:rPr>
          <w:color w:val="0D0D0D" w:themeColor="text1" w:themeTint="F2"/>
          <w:spacing w:val="-6"/>
          <w:sz w:val="16"/>
          <w:szCs w:val="16"/>
        </w:rPr>
        <w:t xml:space="preserve"> programování, poradenství v oblasti informačních technologií či správu počítačového vybavení.</w:t>
      </w:r>
    </w:p>
  </w:footnote>
  <w:footnote w:id="38">
    <w:p w14:paraId="0374B072" w14:textId="77777777" w:rsidR="00290725" w:rsidRPr="00C67E8B" w:rsidRDefault="00290725" w:rsidP="00290725">
      <w:pPr>
        <w:pStyle w:val="Textpoznpodarou"/>
        <w:rPr>
          <w:sz w:val="16"/>
          <w:szCs w:val="16"/>
        </w:rPr>
      </w:pPr>
      <w:r w:rsidRPr="00C67E8B">
        <w:rPr>
          <w:rStyle w:val="Znakapoznpodarou"/>
          <w:sz w:val="16"/>
          <w:szCs w:val="16"/>
        </w:rPr>
        <w:footnoteRef/>
      </w:r>
      <w:r w:rsidRPr="00C67E8B">
        <w:rPr>
          <w:sz w:val="16"/>
          <w:szCs w:val="16"/>
        </w:rPr>
        <w:t xml:space="preserve"> </w:t>
      </w:r>
      <w:r>
        <w:rPr>
          <w:sz w:val="16"/>
          <w:szCs w:val="16"/>
        </w:rPr>
        <w:t>Tento</w:t>
      </w:r>
      <w:r w:rsidRPr="00C67E8B">
        <w:rPr>
          <w:sz w:val="16"/>
          <w:szCs w:val="16"/>
        </w:rPr>
        <w:t xml:space="preserve"> propad poptávky zde mohl souviset s dozvuky </w:t>
      </w:r>
      <w:r w:rsidRPr="00C67E8B">
        <w:rPr>
          <w:rFonts w:cs="Arial"/>
          <w:color w:val="0D0D0D" w:themeColor="text1" w:themeTint="F2"/>
          <w:spacing w:val="-6"/>
          <w:sz w:val="16"/>
          <w:szCs w:val="16"/>
        </w:rPr>
        <w:t xml:space="preserve">delší stávky v Hollywoodu </w:t>
      </w:r>
      <w:r>
        <w:rPr>
          <w:rFonts w:cs="Arial"/>
          <w:color w:val="0D0D0D" w:themeColor="text1" w:themeTint="F2"/>
          <w:spacing w:val="-6"/>
          <w:sz w:val="16"/>
          <w:szCs w:val="16"/>
        </w:rPr>
        <w:t>(</w:t>
      </w:r>
      <w:r w:rsidRPr="00C67E8B">
        <w:rPr>
          <w:rFonts w:cs="Arial"/>
          <w:color w:val="0D0D0D" w:themeColor="text1" w:themeTint="F2"/>
          <w:spacing w:val="-6"/>
          <w:sz w:val="16"/>
          <w:szCs w:val="16"/>
        </w:rPr>
        <w:t>z druhé poloviny roku 2023</w:t>
      </w:r>
      <w:r>
        <w:rPr>
          <w:rFonts w:cs="Arial"/>
          <w:color w:val="0D0D0D" w:themeColor="text1" w:themeTint="F2"/>
          <w:spacing w:val="-6"/>
          <w:sz w:val="16"/>
          <w:szCs w:val="16"/>
        </w:rPr>
        <w:t>)</w:t>
      </w:r>
      <w:r w:rsidRPr="00C67E8B">
        <w:rPr>
          <w:rFonts w:cs="Arial"/>
          <w:color w:val="0D0D0D" w:themeColor="text1" w:themeTint="F2"/>
          <w:spacing w:val="-6"/>
          <w:sz w:val="16"/>
          <w:szCs w:val="16"/>
        </w:rPr>
        <w:t>. Vývoj tržeb filmového hudebního průmyslu v tuzemsku je obecně dosti rozkolísaný, což souvisí s nepravidelnými fakturacemi.</w:t>
      </w:r>
    </w:p>
  </w:footnote>
  <w:footnote w:id="39">
    <w:p w14:paraId="2EA1C062" w14:textId="77777777" w:rsidR="00290725" w:rsidRDefault="00290725" w:rsidP="00290725">
      <w:pPr>
        <w:pStyle w:val="Textpoznpodarou"/>
      </w:pPr>
      <w:r w:rsidRPr="00530A4E">
        <w:rPr>
          <w:rStyle w:val="Znakapoznpodarou"/>
          <w:sz w:val="16"/>
          <w:szCs w:val="16"/>
        </w:rPr>
        <w:footnoteRef/>
      </w:r>
      <w:r w:rsidRPr="00530A4E">
        <w:rPr>
          <w:sz w:val="16"/>
          <w:szCs w:val="16"/>
        </w:rPr>
        <w:t xml:space="preserve"> </w:t>
      </w:r>
      <w:r>
        <w:rPr>
          <w:sz w:val="16"/>
          <w:szCs w:val="16"/>
        </w:rPr>
        <w:t>Podobně si vedl i segment</w:t>
      </w:r>
      <w:r w:rsidRPr="00590597">
        <w:rPr>
          <w:sz w:val="16"/>
          <w:szCs w:val="16"/>
        </w:rPr>
        <w:t xml:space="preserve"> filmové distribuce. </w:t>
      </w:r>
      <w:r w:rsidRPr="00590597">
        <w:rPr>
          <w:rFonts w:cs="Arial"/>
          <w:color w:val="0D0D0D" w:themeColor="text1" w:themeTint="F2"/>
          <w:spacing w:val="-3"/>
          <w:sz w:val="16"/>
          <w:szCs w:val="16"/>
        </w:rPr>
        <w:t xml:space="preserve">Dle údajů </w:t>
      </w:r>
      <w:r w:rsidRPr="00590597">
        <w:rPr>
          <w:spacing w:val="-3"/>
          <w:sz w:val="16"/>
          <w:szCs w:val="16"/>
        </w:rPr>
        <w:t>Unie filmových distributo</w:t>
      </w:r>
      <w:r>
        <w:rPr>
          <w:spacing w:val="-3"/>
          <w:sz w:val="16"/>
          <w:szCs w:val="16"/>
        </w:rPr>
        <w:t xml:space="preserve">rů vzrostly loni </w:t>
      </w:r>
      <w:r w:rsidRPr="00590597">
        <w:rPr>
          <w:spacing w:val="-3"/>
          <w:sz w:val="16"/>
          <w:szCs w:val="16"/>
        </w:rPr>
        <w:t>hrubé nominální tržby provozovate</w:t>
      </w:r>
      <w:r>
        <w:rPr>
          <w:spacing w:val="-3"/>
          <w:sz w:val="16"/>
          <w:szCs w:val="16"/>
        </w:rPr>
        <w:t>lů tuzemských kin meziročně o 0,5 % (při poklesu c</w:t>
      </w:r>
      <w:r w:rsidRPr="00590597">
        <w:rPr>
          <w:spacing w:val="-3"/>
          <w:sz w:val="16"/>
          <w:szCs w:val="16"/>
        </w:rPr>
        <w:t>elkov</w:t>
      </w:r>
      <w:r>
        <w:rPr>
          <w:spacing w:val="-3"/>
          <w:sz w:val="16"/>
          <w:szCs w:val="16"/>
        </w:rPr>
        <w:t>é</w:t>
      </w:r>
      <w:r w:rsidRPr="00590597">
        <w:rPr>
          <w:spacing w:val="-3"/>
          <w:sz w:val="16"/>
          <w:szCs w:val="16"/>
        </w:rPr>
        <w:t xml:space="preserve"> návštěv</w:t>
      </w:r>
      <w:r>
        <w:rPr>
          <w:spacing w:val="-3"/>
          <w:sz w:val="16"/>
          <w:szCs w:val="16"/>
        </w:rPr>
        <w:t>nosti o 3,3 %, jenž se druhý rok v řadě lehce prohloubil). Loňský výsledek byl ovlivněn slabším tržbami v podzimních měsících. Oproti roku</w:t>
      </w:r>
      <w:r w:rsidRPr="00590597">
        <w:rPr>
          <w:spacing w:val="-3"/>
          <w:sz w:val="16"/>
          <w:szCs w:val="16"/>
        </w:rPr>
        <w:t xml:space="preserve"> 2019 </w:t>
      </w:r>
      <w:r>
        <w:rPr>
          <w:spacing w:val="-3"/>
          <w:sz w:val="16"/>
          <w:szCs w:val="16"/>
        </w:rPr>
        <w:t>byla loni návštěvnost kin (při téměř shodném počtu</w:t>
      </w:r>
      <w:r w:rsidRPr="00590597">
        <w:rPr>
          <w:spacing w:val="-3"/>
          <w:sz w:val="16"/>
          <w:szCs w:val="16"/>
        </w:rPr>
        <w:t xml:space="preserve"> odehraných představení</w:t>
      </w:r>
      <w:r>
        <w:rPr>
          <w:spacing w:val="-3"/>
          <w:sz w:val="16"/>
          <w:szCs w:val="16"/>
        </w:rPr>
        <w:t>) nižší skoro o třetinu a tržby o osminu.</w:t>
      </w:r>
    </w:p>
  </w:footnote>
  <w:footnote w:id="40">
    <w:p w14:paraId="0E5E4792" w14:textId="77777777" w:rsidR="00290725" w:rsidRPr="000C02DA" w:rsidRDefault="00290725" w:rsidP="00290725">
      <w:pPr>
        <w:pStyle w:val="Textpoznpodarou"/>
        <w:rPr>
          <w:sz w:val="16"/>
          <w:szCs w:val="16"/>
        </w:rPr>
      </w:pPr>
      <w:r w:rsidRPr="000C02DA">
        <w:rPr>
          <w:rStyle w:val="Znakapoznpodarou"/>
          <w:sz w:val="16"/>
          <w:szCs w:val="16"/>
        </w:rPr>
        <w:footnoteRef/>
      </w:r>
      <w:r w:rsidRPr="000C02DA">
        <w:rPr>
          <w:sz w:val="16"/>
          <w:szCs w:val="16"/>
        </w:rPr>
        <w:t xml:space="preserve"> </w:t>
      </w:r>
      <w:r w:rsidRPr="004F3BAC">
        <w:rPr>
          <w:spacing w:val="-4"/>
          <w:sz w:val="16"/>
          <w:szCs w:val="16"/>
        </w:rPr>
        <w:t>Do loňského vývoje promlouvaly svižně rostoucí ceny za tvorbu programů a vysílání. Tržby v běžných cenách totiž nepatrně rostly (+0,</w:t>
      </w:r>
      <w:r>
        <w:rPr>
          <w:spacing w:val="-4"/>
          <w:sz w:val="16"/>
          <w:szCs w:val="16"/>
        </w:rPr>
        <w:t>1</w:t>
      </w:r>
      <w:r w:rsidRPr="004F3BAC">
        <w:rPr>
          <w:spacing w:val="-4"/>
          <w:sz w:val="16"/>
          <w:szCs w:val="16"/>
        </w:rPr>
        <w:t xml:space="preserve"> %). </w:t>
      </w:r>
    </w:p>
  </w:footnote>
  <w:footnote w:id="41">
    <w:p w14:paraId="51EC68F4" w14:textId="77777777" w:rsidR="00290725" w:rsidRPr="006B3E32" w:rsidRDefault="00290725" w:rsidP="00290725">
      <w:pPr>
        <w:pStyle w:val="Textpoznpodarou"/>
        <w:rPr>
          <w:sz w:val="16"/>
          <w:szCs w:val="16"/>
        </w:rPr>
      </w:pPr>
      <w:r w:rsidRPr="006B3E32">
        <w:rPr>
          <w:rStyle w:val="Znakapoznpodarou"/>
          <w:sz w:val="16"/>
          <w:szCs w:val="16"/>
        </w:rPr>
        <w:footnoteRef/>
      </w:r>
      <w:r w:rsidRPr="006B3E32">
        <w:rPr>
          <w:sz w:val="16"/>
          <w:szCs w:val="16"/>
        </w:rPr>
        <w:t xml:space="preserve"> Dle aktuálních údajů Ministerstva dopravy vzrostly za 1. až 3. čtvrtletí 2025 </w:t>
      </w:r>
      <w:r>
        <w:rPr>
          <w:sz w:val="16"/>
          <w:szCs w:val="16"/>
        </w:rPr>
        <w:t xml:space="preserve">meziročně </w:t>
      </w:r>
      <w:r w:rsidRPr="006B3E32">
        <w:rPr>
          <w:sz w:val="16"/>
          <w:szCs w:val="16"/>
        </w:rPr>
        <w:t>přepravní výkony (v osobokilometrech) v železniční dopravě o 4,6 %, v silniční dopravě o 12,6 % a v MHD o 6,8 %. Počty cestujících osob se ale zvýšily jen v MHD (+1,4 %),</w:t>
      </w:r>
      <w:r>
        <w:rPr>
          <w:sz w:val="16"/>
          <w:szCs w:val="16"/>
        </w:rPr>
        <w:t xml:space="preserve"> na železnici stagnovaly.</w:t>
      </w:r>
      <w:r w:rsidRPr="00C259AF">
        <w:rPr>
          <w:rFonts w:cs="Arial"/>
          <w:color w:val="0D0D0D" w:themeColor="text1" w:themeTint="F2"/>
          <w:spacing w:val="-4"/>
          <w:sz w:val="16"/>
          <w:szCs w:val="16"/>
        </w:rPr>
        <w:t xml:space="preserve"> </w:t>
      </w:r>
      <w:r>
        <w:rPr>
          <w:rFonts w:cs="Arial"/>
          <w:color w:val="0D0D0D" w:themeColor="text1" w:themeTint="F2"/>
          <w:spacing w:val="-4"/>
          <w:sz w:val="16"/>
          <w:szCs w:val="16"/>
        </w:rPr>
        <w:t xml:space="preserve">V nákladní dopravě pokračoval růst přepravních výkonů na silnicích (+4,9 %) a naopak dále klesal na železnici </w:t>
      </w:r>
      <w:r>
        <w:rPr>
          <w:rFonts w:cs="Arial"/>
          <w:color w:val="0D0D0D" w:themeColor="text1" w:themeTint="F2"/>
          <w:spacing w:val="-4"/>
          <w:sz w:val="16"/>
          <w:szCs w:val="16"/>
        </w:rPr>
        <w:br/>
        <w:t>(o 3,3, %), a to vlivem zkrácení přepravní vzdálenosti (objem přepravovaného nákladu loni naopak vzrostl o 6,9 %).</w:t>
      </w:r>
    </w:p>
  </w:footnote>
  <w:footnote w:id="42">
    <w:p w14:paraId="75834C54" w14:textId="77777777" w:rsidR="00290725" w:rsidRPr="00513E40" w:rsidRDefault="00290725" w:rsidP="00290725">
      <w:pPr>
        <w:pStyle w:val="Textpoznpodarou"/>
        <w:rPr>
          <w:sz w:val="16"/>
          <w:szCs w:val="16"/>
        </w:rPr>
      </w:pPr>
      <w:r w:rsidRPr="00513E40">
        <w:rPr>
          <w:rStyle w:val="Znakapoznpodarou"/>
          <w:sz w:val="16"/>
          <w:szCs w:val="16"/>
        </w:rPr>
        <w:footnoteRef/>
      </w:r>
      <w:r w:rsidRPr="00513E40">
        <w:rPr>
          <w:sz w:val="16"/>
          <w:szCs w:val="16"/>
        </w:rPr>
        <w:t xml:space="preserve"> </w:t>
      </w:r>
      <w:r w:rsidRPr="00513E40">
        <w:rPr>
          <w:rFonts w:cs="Arial"/>
          <w:color w:val="0D0D0D" w:themeColor="text1" w:themeTint="F2"/>
          <w:spacing w:val="-4"/>
          <w:sz w:val="16"/>
          <w:szCs w:val="16"/>
        </w:rPr>
        <w:t>Naopak počet odbavených cestujících na letištích v Česku dále rostl (</w:t>
      </w:r>
      <w:r>
        <w:rPr>
          <w:rFonts w:cs="Arial"/>
          <w:color w:val="0D0D0D" w:themeColor="text1" w:themeTint="F2"/>
          <w:spacing w:val="-4"/>
          <w:sz w:val="16"/>
          <w:szCs w:val="16"/>
        </w:rPr>
        <w:t xml:space="preserve">dle aktuálních dat </w:t>
      </w:r>
      <w:r w:rsidRPr="00513E40">
        <w:rPr>
          <w:rFonts w:cs="Arial"/>
          <w:color w:val="0D0D0D" w:themeColor="text1" w:themeTint="F2"/>
          <w:spacing w:val="-4"/>
          <w:sz w:val="16"/>
          <w:szCs w:val="16"/>
        </w:rPr>
        <w:t xml:space="preserve">za 1. </w:t>
      </w:r>
      <w:r>
        <w:rPr>
          <w:rFonts w:cs="Arial"/>
          <w:color w:val="0D0D0D" w:themeColor="text1" w:themeTint="F2"/>
          <w:spacing w:val="-4"/>
          <w:sz w:val="16"/>
          <w:szCs w:val="16"/>
        </w:rPr>
        <w:t>až 3. čtvrtletí</w:t>
      </w:r>
      <w:r w:rsidRPr="00513E40">
        <w:rPr>
          <w:rFonts w:cs="Arial"/>
          <w:color w:val="0D0D0D" w:themeColor="text1" w:themeTint="F2"/>
          <w:spacing w:val="-4"/>
          <w:sz w:val="16"/>
          <w:szCs w:val="16"/>
        </w:rPr>
        <w:t xml:space="preserve"> 2025 meziročně o </w:t>
      </w:r>
      <w:r>
        <w:rPr>
          <w:rFonts w:cs="Arial"/>
          <w:color w:val="0D0D0D" w:themeColor="text1" w:themeTint="F2"/>
          <w:spacing w:val="-4"/>
          <w:sz w:val="16"/>
          <w:szCs w:val="16"/>
        </w:rPr>
        <w:t>6,5</w:t>
      </w:r>
      <w:r w:rsidRPr="00513E40">
        <w:rPr>
          <w:rFonts w:cs="Arial"/>
          <w:color w:val="0D0D0D" w:themeColor="text1" w:themeTint="F2"/>
          <w:spacing w:val="-4"/>
          <w:sz w:val="16"/>
          <w:szCs w:val="16"/>
        </w:rPr>
        <w:t xml:space="preserve"> %).</w:t>
      </w:r>
      <w:r>
        <w:rPr>
          <w:rFonts w:cs="Arial"/>
          <w:color w:val="0D0D0D" w:themeColor="text1" w:themeTint="F2"/>
          <w:spacing w:val="-4"/>
          <w:sz w:val="16"/>
          <w:szCs w:val="16"/>
        </w:rPr>
        <w:t xml:space="preserve"> </w:t>
      </w:r>
    </w:p>
  </w:footnote>
  <w:footnote w:id="43">
    <w:p w14:paraId="49141DBD" w14:textId="77777777" w:rsidR="00290725" w:rsidRPr="00CE3123" w:rsidRDefault="00290725" w:rsidP="00290725">
      <w:pPr>
        <w:pStyle w:val="Textpoznpodarou"/>
        <w:rPr>
          <w:spacing w:val="-2"/>
          <w:sz w:val="16"/>
          <w:szCs w:val="16"/>
        </w:rPr>
      </w:pPr>
      <w:r w:rsidRPr="00EB6DBE">
        <w:rPr>
          <w:rStyle w:val="Znakapoznpodarou"/>
          <w:sz w:val="16"/>
          <w:szCs w:val="16"/>
        </w:rPr>
        <w:footnoteRef/>
      </w:r>
      <w:r w:rsidRPr="00EB6DBE">
        <w:rPr>
          <w:sz w:val="16"/>
          <w:szCs w:val="16"/>
        </w:rPr>
        <w:t xml:space="preserve"> </w:t>
      </w:r>
      <w:r w:rsidRPr="00CE3123">
        <w:rPr>
          <w:spacing w:val="-2"/>
          <w:sz w:val="16"/>
          <w:szCs w:val="16"/>
        </w:rPr>
        <w:t>V 1. čtvrtletí 2025 se zvýšily ceny ubytovacích služeb meziročně o 8,5 % a stravovacích služeb o 4,9 %. Proti roku 2015 byly v l</w:t>
      </w:r>
      <w:r>
        <w:rPr>
          <w:spacing w:val="-2"/>
          <w:sz w:val="16"/>
          <w:szCs w:val="16"/>
        </w:rPr>
        <w:t>oni</w:t>
      </w:r>
      <w:r w:rsidRPr="00CE3123">
        <w:rPr>
          <w:spacing w:val="-2"/>
          <w:sz w:val="16"/>
          <w:szCs w:val="16"/>
        </w:rPr>
        <w:t xml:space="preserve"> březnu v úhrnu za oba segmenty vyšší o 95 %, kdežto ceny v celém spotřebitelském koši se za stejné období navýšily „jen“ o 54 %.</w:t>
      </w:r>
    </w:p>
  </w:footnote>
  <w:footnote w:id="44">
    <w:p w14:paraId="23C5B2CE" w14:textId="77777777" w:rsidR="00290725" w:rsidRPr="008556C3" w:rsidRDefault="00290725" w:rsidP="00290725">
      <w:pPr>
        <w:spacing w:after="0" w:line="240" w:lineRule="auto"/>
        <w:jc w:val="left"/>
        <w:rPr>
          <w:spacing w:val="-2"/>
          <w:sz w:val="16"/>
          <w:szCs w:val="16"/>
        </w:rPr>
      </w:pPr>
      <w:r w:rsidRPr="00CE3123">
        <w:rPr>
          <w:rStyle w:val="Znakapoznpodarou"/>
          <w:spacing w:val="-2"/>
          <w:sz w:val="16"/>
          <w:szCs w:val="16"/>
        </w:rPr>
        <w:footnoteRef/>
      </w:r>
      <w:r w:rsidRPr="00CE3123">
        <w:rPr>
          <w:spacing w:val="-2"/>
          <w:sz w:val="16"/>
          <w:szCs w:val="16"/>
        </w:rPr>
        <w:t xml:space="preserve"> Celkově ale hostů ve všech HUZ v Česku ve 3. čtvrtletí meziročně mírně přibylo (+1,</w:t>
      </w:r>
      <w:r>
        <w:rPr>
          <w:spacing w:val="-2"/>
          <w:sz w:val="16"/>
          <w:szCs w:val="16"/>
        </w:rPr>
        <w:t>5</w:t>
      </w:r>
      <w:r w:rsidRPr="00CE3123">
        <w:rPr>
          <w:spacing w:val="-2"/>
          <w:sz w:val="16"/>
          <w:szCs w:val="16"/>
        </w:rPr>
        <w:t xml:space="preserve"> %), neboť proměnlivé počasí tolik nevadilo městskému cestovnímu ruchu, o čemž nepřímo svědčí i solidní růst počtu příjezdů do hotelů nejvyšší kategorie</w:t>
      </w:r>
      <w:r>
        <w:rPr>
          <w:spacing w:val="-2"/>
          <w:sz w:val="16"/>
          <w:szCs w:val="16"/>
        </w:rPr>
        <w:t xml:space="preserve"> v Česku</w:t>
      </w:r>
      <w:r w:rsidRPr="00CE3123">
        <w:rPr>
          <w:spacing w:val="-2"/>
          <w:sz w:val="16"/>
          <w:szCs w:val="16"/>
        </w:rPr>
        <w:t xml:space="preserve"> (5*: +</w:t>
      </w:r>
      <w:r>
        <w:rPr>
          <w:spacing w:val="-2"/>
          <w:sz w:val="16"/>
          <w:szCs w:val="16"/>
        </w:rPr>
        <w:t>4,9</w:t>
      </w:r>
      <w:r w:rsidRPr="00CE3123">
        <w:rPr>
          <w:spacing w:val="-2"/>
          <w:sz w:val="16"/>
          <w:szCs w:val="16"/>
        </w:rPr>
        <w:t xml:space="preserve"> %, </w:t>
      </w:r>
      <w:r>
        <w:rPr>
          <w:spacing w:val="-2"/>
          <w:sz w:val="16"/>
          <w:szCs w:val="16"/>
        </w:rPr>
        <w:br/>
      </w:r>
      <w:r w:rsidRPr="00CE3123">
        <w:rPr>
          <w:spacing w:val="-2"/>
          <w:sz w:val="16"/>
          <w:szCs w:val="16"/>
        </w:rPr>
        <w:t>4*: +3,</w:t>
      </w:r>
      <w:r>
        <w:rPr>
          <w:spacing w:val="-2"/>
          <w:sz w:val="16"/>
          <w:szCs w:val="16"/>
        </w:rPr>
        <w:t>3</w:t>
      </w:r>
      <w:r w:rsidRPr="00CE3123">
        <w:rPr>
          <w:spacing w:val="-2"/>
          <w:sz w:val="16"/>
          <w:szCs w:val="16"/>
        </w:rPr>
        <w:t xml:space="preserve"> %). </w:t>
      </w:r>
      <w:r>
        <w:rPr>
          <w:spacing w:val="-2"/>
          <w:sz w:val="16"/>
          <w:szCs w:val="16"/>
        </w:rPr>
        <w:t xml:space="preserve">Celoročně </w:t>
      </w:r>
      <w:r w:rsidRPr="00CE3123">
        <w:rPr>
          <w:rFonts w:eastAsia="Arial" w:cs="Arial"/>
          <w:spacing w:val="-2"/>
          <w:sz w:val="16"/>
          <w:szCs w:val="16"/>
        </w:rPr>
        <w:t xml:space="preserve">táhli </w:t>
      </w:r>
      <w:r>
        <w:rPr>
          <w:rFonts w:eastAsia="Arial" w:cs="Arial"/>
          <w:spacing w:val="-2"/>
          <w:sz w:val="16"/>
          <w:szCs w:val="16"/>
        </w:rPr>
        <w:t xml:space="preserve">celkový </w:t>
      </w:r>
      <w:r w:rsidRPr="00CE3123">
        <w:rPr>
          <w:rFonts w:eastAsia="Arial" w:cs="Arial"/>
          <w:spacing w:val="-2"/>
          <w:sz w:val="16"/>
          <w:szCs w:val="16"/>
        </w:rPr>
        <w:t xml:space="preserve">růst poptávky v cestovním ruchu v Česku </w:t>
      </w:r>
      <w:r>
        <w:rPr>
          <w:rFonts w:eastAsia="Arial" w:cs="Arial"/>
          <w:spacing w:val="-2"/>
          <w:sz w:val="16"/>
          <w:szCs w:val="16"/>
        </w:rPr>
        <w:t xml:space="preserve">opět převážně </w:t>
      </w:r>
      <w:r w:rsidRPr="00CE3123">
        <w:rPr>
          <w:rFonts w:eastAsia="Arial" w:cs="Arial"/>
          <w:spacing w:val="-2"/>
          <w:sz w:val="16"/>
          <w:szCs w:val="16"/>
        </w:rPr>
        <w:t xml:space="preserve">zahraniční hosté. </w:t>
      </w:r>
      <w:r w:rsidRPr="008556C3">
        <w:rPr>
          <w:rFonts w:eastAsia="Arial" w:cs="Arial"/>
          <w:sz w:val="16"/>
          <w:szCs w:val="16"/>
        </w:rPr>
        <w:t xml:space="preserve">K růstu loni přispěli nejvíce Izraelci (s 35% nárůstem přenocování), významný </w:t>
      </w:r>
      <w:r>
        <w:rPr>
          <w:rFonts w:eastAsia="Arial" w:cs="Arial"/>
          <w:sz w:val="16"/>
          <w:szCs w:val="16"/>
        </w:rPr>
        <w:t>vliv měli také</w:t>
      </w:r>
      <w:r w:rsidRPr="008556C3">
        <w:rPr>
          <w:rFonts w:eastAsia="Arial" w:cs="Arial"/>
          <w:sz w:val="16"/>
          <w:szCs w:val="16"/>
        </w:rPr>
        <w:t xml:space="preserve"> Polá</w:t>
      </w:r>
      <w:r>
        <w:rPr>
          <w:rFonts w:eastAsia="Arial" w:cs="Arial"/>
          <w:sz w:val="16"/>
          <w:szCs w:val="16"/>
        </w:rPr>
        <w:t>ci</w:t>
      </w:r>
      <w:r w:rsidRPr="008556C3">
        <w:rPr>
          <w:rFonts w:eastAsia="Arial" w:cs="Arial"/>
          <w:sz w:val="16"/>
          <w:szCs w:val="16"/>
        </w:rPr>
        <w:t xml:space="preserve"> (+13,4 %), Ukrajinc</w:t>
      </w:r>
      <w:r>
        <w:rPr>
          <w:rFonts w:eastAsia="Arial" w:cs="Arial"/>
          <w:sz w:val="16"/>
          <w:szCs w:val="16"/>
        </w:rPr>
        <w:t xml:space="preserve">i </w:t>
      </w:r>
      <w:r w:rsidRPr="008556C3">
        <w:rPr>
          <w:rFonts w:eastAsia="Arial" w:cs="Arial"/>
          <w:sz w:val="16"/>
          <w:szCs w:val="16"/>
        </w:rPr>
        <w:t>(+8,4 %) a Brit</w:t>
      </w:r>
      <w:r>
        <w:rPr>
          <w:rFonts w:eastAsia="Arial" w:cs="Arial"/>
          <w:sz w:val="16"/>
          <w:szCs w:val="16"/>
        </w:rPr>
        <w:t>ové</w:t>
      </w:r>
      <w:r w:rsidRPr="008556C3">
        <w:rPr>
          <w:rFonts w:eastAsia="Arial" w:cs="Arial"/>
          <w:sz w:val="16"/>
          <w:szCs w:val="16"/>
        </w:rPr>
        <w:t xml:space="preserve"> (+7,5 %). Poptávka Němců stagnovala, na uskutečněném počtu přenocování se tito občané stále podíleli téměř celou čtvrtinou (v roce 2024 jejich poptávka meziročně rostla o 3,</w:t>
      </w:r>
      <w:r>
        <w:rPr>
          <w:rFonts w:eastAsia="Arial" w:cs="Arial"/>
          <w:sz w:val="16"/>
          <w:szCs w:val="16"/>
        </w:rPr>
        <w:t>1</w:t>
      </w:r>
      <w:r w:rsidRPr="008556C3">
        <w:rPr>
          <w:rFonts w:eastAsia="Arial" w:cs="Arial"/>
          <w:sz w:val="16"/>
          <w:szCs w:val="16"/>
        </w:rPr>
        <w:t xml:space="preserve"> % a spolu s hosty z Izraele </w:t>
      </w:r>
      <w:r>
        <w:rPr>
          <w:rFonts w:eastAsia="Arial" w:cs="Arial"/>
          <w:sz w:val="16"/>
          <w:szCs w:val="16"/>
        </w:rPr>
        <w:t xml:space="preserve">a Velké Británie </w:t>
      </w:r>
      <w:r w:rsidRPr="008556C3">
        <w:rPr>
          <w:rFonts w:eastAsia="Arial" w:cs="Arial"/>
          <w:sz w:val="16"/>
          <w:szCs w:val="16"/>
        </w:rPr>
        <w:t>tehdy nejvíce přispěla k růstu všech přenocování zahraničních hostů).</w:t>
      </w:r>
    </w:p>
    <w:p w14:paraId="726945D3" w14:textId="77777777" w:rsidR="00290725" w:rsidRPr="00BC1E47" w:rsidRDefault="00290725" w:rsidP="00290725">
      <w:pPr>
        <w:spacing w:after="0" w:line="240" w:lineRule="auto"/>
        <w:jc w:val="left"/>
        <w:rPr>
          <w:rFonts w:eastAsia="Arial" w:cs="Arial"/>
          <w:szCs w:val="20"/>
        </w:rPr>
      </w:pPr>
      <w:r w:rsidRPr="008556C3">
        <w:rPr>
          <w:rFonts w:eastAsia="Arial" w:cs="Arial"/>
          <w:sz w:val="16"/>
          <w:szCs w:val="16"/>
        </w:rPr>
        <w:t xml:space="preserve">Mezi regiony rostla loni celková poptávka v ubytování nejvíce v kraji Pardubickém (+5,8 %), nejméně v Jihočeském (+0,8 %). Pokles počtu přenocování </w:t>
      </w:r>
      <w:r>
        <w:rPr>
          <w:rFonts w:eastAsia="Arial" w:cs="Arial"/>
          <w:sz w:val="16"/>
          <w:szCs w:val="16"/>
        </w:rPr>
        <w:t xml:space="preserve">tak </w:t>
      </w:r>
      <w:r w:rsidRPr="008556C3">
        <w:rPr>
          <w:rFonts w:eastAsia="Arial" w:cs="Arial"/>
          <w:sz w:val="16"/>
          <w:szCs w:val="16"/>
        </w:rPr>
        <w:t>loni nezaznamenal žádný kraj. V Praze činil růst 3,9 % a z drtivé části byl tažen zahraniční poptávkou. Ta se loni zvýšila ve všech regionech, vyjma kraje Vysočina (</w:t>
      </w:r>
      <w:r>
        <w:rPr>
          <w:rFonts w:eastAsia="Arial" w:cs="Arial"/>
          <w:sz w:val="16"/>
          <w:szCs w:val="16"/>
        </w:rPr>
        <w:t>−</w:t>
      </w:r>
      <w:r w:rsidRPr="008556C3">
        <w:rPr>
          <w:rFonts w:eastAsia="Arial" w:cs="Arial"/>
          <w:sz w:val="16"/>
          <w:szCs w:val="16"/>
        </w:rPr>
        <w:t>0,3 %). U domácí klientely zaznamenaly podobný nepatrný pokles zájmu kraje Královéhradecký a Jihočeský, naopak v ostatních krajích přenocování Čechů mírně rostl</w:t>
      </w:r>
      <w:r>
        <w:rPr>
          <w:rFonts w:eastAsia="Arial" w:cs="Arial"/>
          <w:sz w:val="16"/>
          <w:szCs w:val="16"/>
        </w:rPr>
        <w:t>o</w:t>
      </w:r>
      <w:r w:rsidRPr="008556C3">
        <w:rPr>
          <w:rFonts w:eastAsia="Arial" w:cs="Arial"/>
          <w:sz w:val="16"/>
          <w:szCs w:val="16"/>
        </w:rPr>
        <w:t xml:space="preserve"> (nejvíce v kraji Plzeňském: +4,6 %).</w:t>
      </w:r>
    </w:p>
  </w:footnote>
  <w:footnote w:id="45">
    <w:p w14:paraId="4BA8AA4F" w14:textId="77777777" w:rsidR="00290725" w:rsidRPr="003F282B" w:rsidRDefault="00290725" w:rsidP="00290725">
      <w:pPr>
        <w:pStyle w:val="Textpoznpodarou"/>
        <w:rPr>
          <w:sz w:val="16"/>
          <w:szCs w:val="16"/>
        </w:rPr>
      </w:pPr>
      <w:r w:rsidRPr="003F282B">
        <w:rPr>
          <w:rStyle w:val="Znakapoznpodarou"/>
          <w:sz w:val="16"/>
          <w:szCs w:val="16"/>
        </w:rPr>
        <w:footnoteRef/>
      </w:r>
      <w:r w:rsidRPr="003F282B">
        <w:rPr>
          <w:sz w:val="16"/>
          <w:szCs w:val="16"/>
        </w:rPr>
        <w:t xml:space="preserve"> Stalo se tak téměř výhradně díky domácí klientele. </w:t>
      </w:r>
      <w:r w:rsidRPr="003F282B">
        <w:rPr>
          <w:rFonts w:eastAsia="Arial" w:cs="Arial"/>
          <w:sz w:val="16"/>
          <w:szCs w:val="16"/>
        </w:rPr>
        <w:t>Počet zahraničních hostů byl loni s rokem 2019 srovnatelný, avšak jejich počet přenocování stále lehce zaostával (o 1,6 %). </w:t>
      </w:r>
    </w:p>
  </w:footnote>
  <w:footnote w:id="46">
    <w:p w14:paraId="209A7FE1" w14:textId="77777777" w:rsidR="00290725" w:rsidRPr="005D63EE" w:rsidRDefault="00290725" w:rsidP="00290725">
      <w:pPr>
        <w:pStyle w:val="Textpoznpodarou"/>
        <w:rPr>
          <w:sz w:val="16"/>
          <w:szCs w:val="16"/>
        </w:rPr>
      </w:pPr>
      <w:r w:rsidRPr="005D63EE">
        <w:rPr>
          <w:rStyle w:val="Znakapoznpodarou"/>
          <w:sz w:val="16"/>
          <w:szCs w:val="16"/>
        </w:rPr>
        <w:footnoteRef/>
      </w:r>
      <w:r w:rsidRPr="005D63EE">
        <w:rPr>
          <w:sz w:val="16"/>
          <w:szCs w:val="16"/>
        </w:rPr>
        <w:t xml:space="preserve"> Ty zahrnují např. </w:t>
      </w:r>
      <w:r>
        <w:rPr>
          <w:sz w:val="16"/>
          <w:szCs w:val="16"/>
        </w:rPr>
        <w:t>p</w:t>
      </w:r>
      <w:r w:rsidRPr="005D63EE">
        <w:rPr>
          <w:sz w:val="16"/>
          <w:szCs w:val="16"/>
        </w:rPr>
        <w:t xml:space="preserve">ořádání konferencí a výstav, inkasní činnosti, ověřování solventnosti zákazníka, ale také např. činnosti call-center. </w:t>
      </w:r>
    </w:p>
  </w:footnote>
  <w:footnote w:id="47">
    <w:p w14:paraId="622892C8" w14:textId="77777777" w:rsidR="00290725" w:rsidRPr="002B695B" w:rsidRDefault="00290725" w:rsidP="00290725">
      <w:pPr>
        <w:pStyle w:val="Textpoznpodarou"/>
        <w:rPr>
          <w:sz w:val="16"/>
          <w:szCs w:val="16"/>
        </w:rPr>
      </w:pPr>
      <w:r w:rsidRPr="002B695B">
        <w:rPr>
          <w:rStyle w:val="Znakapoznpodarou"/>
          <w:sz w:val="16"/>
          <w:szCs w:val="16"/>
        </w:rPr>
        <w:footnoteRef/>
      </w:r>
      <w:r>
        <w:rPr>
          <w:sz w:val="16"/>
          <w:szCs w:val="16"/>
        </w:rPr>
        <w:t xml:space="preserve"> Meziročně se nejvíce</w:t>
      </w:r>
      <w:r w:rsidRPr="002B695B">
        <w:rPr>
          <w:sz w:val="16"/>
          <w:szCs w:val="16"/>
        </w:rPr>
        <w:t xml:space="preserve"> zvyšovaly tržby </w:t>
      </w:r>
      <w:r>
        <w:rPr>
          <w:sz w:val="16"/>
          <w:szCs w:val="16"/>
        </w:rPr>
        <w:t xml:space="preserve">(bez očištění) </w:t>
      </w:r>
      <w:r w:rsidRPr="002B695B">
        <w:rPr>
          <w:sz w:val="16"/>
          <w:szCs w:val="16"/>
        </w:rPr>
        <w:t xml:space="preserve">za </w:t>
      </w:r>
      <w:r>
        <w:rPr>
          <w:sz w:val="16"/>
          <w:szCs w:val="16"/>
        </w:rPr>
        <w:t>p</w:t>
      </w:r>
      <w:r w:rsidRPr="002B695B">
        <w:rPr>
          <w:sz w:val="16"/>
          <w:szCs w:val="16"/>
        </w:rPr>
        <w:t>ronájem a leasing ostatních strojů</w:t>
      </w:r>
      <w:r>
        <w:rPr>
          <w:sz w:val="16"/>
          <w:szCs w:val="16"/>
        </w:rPr>
        <w:t xml:space="preserve"> (např. stavebních či zemědělských)</w:t>
      </w:r>
      <w:r w:rsidRPr="002B695B">
        <w:rPr>
          <w:sz w:val="16"/>
          <w:szCs w:val="16"/>
        </w:rPr>
        <w:t>, zařízení a nákladních automobilů (+</w:t>
      </w:r>
      <w:r>
        <w:rPr>
          <w:sz w:val="16"/>
          <w:szCs w:val="16"/>
        </w:rPr>
        <w:t>8,1</w:t>
      </w:r>
      <w:r w:rsidRPr="002B695B">
        <w:rPr>
          <w:sz w:val="16"/>
          <w:szCs w:val="16"/>
        </w:rPr>
        <w:t xml:space="preserve"> %)</w:t>
      </w:r>
      <w:r>
        <w:rPr>
          <w:sz w:val="16"/>
          <w:szCs w:val="16"/>
        </w:rPr>
        <w:t xml:space="preserve">, nejméně za </w:t>
      </w:r>
      <w:r w:rsidRPr="002B695B">
        <w:rPr>
          <w:sz w:val="16"/>
          <w:szCs w:val="16"/>
        </w:rPr>
        <w:t xml:space="preserve">pronájem a leasing </w:t>
      </w:r>
      <w:r>
        <w:rPr>
          <w:sz w:val="16"/>
          <w:szCs w:val="16"/>
        </w:rPr>
        <w:t xml:space="preserve">osobních </w:t>
      </w:r>
      <w:r w:rsidRPr="002B695B">
        <w:rPr>
          <w:sz w:val="16"/>
          <w:szCs w:val="16"/>
        </w:rPr>
        <w:t>automobilů</w:t>
      </w:r>
      <w:r>
        <w:rPr>
          <w:sz w:val="16"/>
          <w:szCs w:val="16"/>
        </w:rPr>
        <w:t xml:space="preserve"> (a jiných lehkých motorových vozidel),</w:t>
      </w:r>
      <w:r w:rsidRPr="002B695B">
        <w:rPr>
          <w:sz w:val="16"/>
          <w:szCs w:val="16"/>
        </w:rPr>
        <w:t xml:space="preserve"> </w:t>
      </w:r>
      <w:r>
        <w:rPr>
          <w:sz w:val="16"/>
          <w:szCs w:val="16"/>
        </w:rPr>
        <w:t>kde poptávka</w:t>
      </w:r>
      <w:r w:rsidRPr="002B695B">
        <w:rPr>
          <w:sz w:val="16"/>
          <w:szCs w:val="16"/>
        </w:rPr>
        <w:t xml:space="preserve"> </w:t>
      </w:r>
      <w:r>
        <w:rPr>
          <w:sz w:val="16"/>
          <w:szCs w:val="16"/>
        </w:rPr>
        <w:t xml:space="preserve">stejně jako </w:t>
      </w:r>
      <w:r w:rsidRPr="002B695B">
        <w:rPr>
          <w:sz w:val="16"/>
          <w:szCs w:val="16"/>
        </w:rPr>
        <w:t>v</w:t>
      </w:r>
      <w:r>
        <w:rPr>
          <w:sz w:val="16"/>
          <w:szCs w:val="16"/>
        </w:rPr>
        <w:t> </w:t>
      </w:r>
      <w:r w:rsidRPr="002B695B">
        <w:rPr>
          <w:sz w:val="16"/>
          <w:szCs w:val="16"/>
        </w:rPr>
        <w:t>před</w:t>
      </w:r>
      <w:r>
        <w:rPr>
          <w:sz w:val="16"/>
          <w:szCs w:val="16"/>
        </w:rPr>
        <w:t>chozích dvou letech spíše stagnovala.</w:t>
      </w:r>
    </w:p>
  </w:footnote>
  <w:footnote w:id="48">
    <w:p w14:paraId="4993FDC3" w14:textId="77777777" w:rsidR="00290725" w:rsidRPr="00052DD9" w:rsidRDefault="00290725" w:rsidP="00290725">
      <w:pPr>
        <w:pStyle w:val="Textpoznpodarou"/>
        <w:rPr>
          <w:sz w:val="16"/>
          <w:szCs w:val="16"/>
        </w:rPr>
      </w:pPr>
      <w:r w:rsidRPr="00052DD9">
        <w:rPr>
          <w:rStyle w:val="Znakapoznpodarou"/>
          <w:sz w:val="16"/>
          <w:szCs w:val="16"/>
        </w:rPr>
        <w:footnoteRef/>
      </w:r>
      <w:r w:rsidRPr="00052DD9">
        <w:rPr>
          <w:sz w:val="16"/>
          <w:szCs w:val="16"/>
        </w:rPr>
        <w:t xml:space="preserve"> K poklesu tržeb </w:t>
      </w:r>
      <w:r>
        <w:rPr>
          <w:sz w:val="16"/>
          <w:szCs w:val="16"/>
        </w:rPr>
        <w:t xml:space="preserve">zde </w:t>
      </w:r>
      <w:r w:rsidRPr="00052DD9">
        <w:rPr>
          <w:sz w:val="16"/>
          <w:szCs w:val="16"/>
        </w:rPr>
        <w:t xml:space="preserve">došlo i při vysokém růstu počtu pracujících cizinců v ČR. Na něm se v posledních </w:t>
      </w:r>
      <w:r>
        <w:rPr>
          <w:sz w:val="16"/>
          <w:szCs w:val="16"/>
        </w:rPr>
        <w:t>čtyřech</w:t>
      </w:r>
      <w:r w:rsidRPr="00052DD9">
        <w:rPr>
          <w:sz w:val="16"/>
          <w:szCs w:val="16"/>
        </w:rPr>
        <w:t xml:space="preserve"> letech významně podíleli uprchlíci z Ukrajiny. Vzhledem ke statutu dočasné ochrany, který byl těmto osobám přiznán, je </w:t>
      </w:r>
      <w:r>
        <w:rPr>
          <w:sz w:val="16"/>
          <w:szCs w:val="16"/>
        </w:rPr>
        <w:t>je</w:t>
      </w:r>
      <w:r w:rsidRPr="00052DD9">
        <w:rPr>
          <w:sz w:val="16"/>
          <w:szCs w:val="16"/>
        </w:rPr>
        <w:t xml:space="preserve">jich zaměstnávání v tuzemsku administrativně jednodušší (oproti ostatním skupinám migrantů z tzv. třetích zemí) a </w:t>
      </w:r>
      <w:r>
        <w:rPr>
          <w:sz w:val="16"/>
          <w:szCs w:val="16"/>
        </w:rPr>
        <w:t>ti tak mohou</w:t>
      </w:r>
      <w:r w:rsidRPr="00052DD9">
        <w:rPr>
          <w:sz w:val="16"/>
          <w:szCs w:val="16"/>
        </w:rPr>
        <w:t xml:space="preserve"> snáze nalézt práci „napřímo“ (bez zprostředkovatele). Kromě výše uvedeného se na pokle</w:t>
      </w:r>
      <w:r>
        <w:rPr>
          <w:sz w:val="16"/>
          <w:szCs w:val="16"/>
        </w:rPr>
        <w:t xml:space="preserve">su tržeb </w:t>
      </w:r>
      <w:r w:rsidRPr="00052DD9">
        <w:rPr>
          <w:sz w:val="16"/>
          <w:szCs w:val="16"/>
        </w:rPr>
        <w:t xml:space="preserve">může podílet i snížená poptávka pracovních </w:t>
      </w:r>
      <w:r>
        <w:rPr>
          <w:sz w:val="16"/>
          <w:szCs w:val="16"/>
        </w:rPr>
        <w:t xml:space="preserve">agentur </w:t>
      </w:r>
      <w:r w:rsidRPr="00052DD9">
        <w:rPr>
          <w:sz w:val="16"/>
          <w:szCs w:val="16"/>
        </w:rPr>
        <w:t xml:space="preserve">ze strany </w:t>
      </w:r>
      <w:r>
        <w:rPr>
          <w:sz w:val="16"/>
          <w:szCs w:val="16"/>
        </w:rPr>
        <w:t xml:space="preserve">některých </w:t>
      </w:r>
      <w:r w:rsidRPr="00052DD9">
        <w:rPr>
          <w:sz w:val="16"/>
          <w:szCs w:val="16"/>
        </w:rPr>
        <w:t>klí</w:t>
      </w:r>
      <w:r>
        <w:rPr>
          <w:sz w:val="16"/>
          <w:szCs w:val="16"/>
        </w:rPr>
        <w:t xml:space="preserve">čových výrobních oborů </w:t>
      </w:r>
      <w:r w:rsidRPr="00052DD9">
        <w:rPr>
          <w:sz w:val="16"/>
          <w:szCs w:val="16"/>
        </w:rPr>
        <w:t>průmysl</w:t>
      </w:r>
      <w:r>
        <w:rPr>
          <w:sz w:val="16"/>
          <w:szCs w:val="16"/>
        </w:rPr>
        <w:t>u.</w:t>
      </w:r>
    </w:p>
  </w:footnote>
  <w:footnote w:id="49">
    <w:p w14:paraId="4D7B0C63" w14:textId="77777777" w:rsidR="00290725" w:rsidRPr="00F53211" w:rsidRDefault="00290725" w:rsidP="00290725">
      <w:pPr>
        <w:pStyle w:val="Textpoznpodarou"/>
        <w:rPr>
          <w:sz w:val="16"/>
          <w:szCs w:val="16"/>
        </w:rPr>
      </w:pPr>
      <w:r w:rsidRPr="00F53211">
        <w:rPr>
          <w:rStyle w:val="Znakapoznpodarou"/>
          <w:sz w:val="16"/>
          <w:szCs w:val="16"/>
        </w:rPr>
        <w:footnoteRef/>
      </w:r>
      <w:r w:rsidRPr="00F53211">
        <w:rPr>
          <w:sz w:val="16"/>
          <w:szCs w:val="16"/>
        </w:rPr>
        <w:t xml:space="preserve"> L</w:t>
      </w:r>
      <w:r>
        <w:rPr>
          <w:sz w:val="16"/>
          <w:szCs w:val="16"/>
        </w:rPr>
        <w:t xml:space="preserve">oni </w:t>
      </w:r>
      <w:r w:rsidRPr="00F53211">
        <w:rPr>
          <w:sz w:val="16"/>
          <w:szCs w:val="16"/>
        </w:rPr>
        <w:t xml:space="preserve">v listopadu tak </w:t>
      </w:r>
      <w:r w:rsidRPr="00F53211">
        <w:rPr>
          <w:rFonts w:eastAsia="Times New Roman" w:cs="Arial"/>
          <w:sz w:val="16"/>
          <w:szCs w:val="16"/>
        </w:rPr>
        <w:t xml:space="preserve">poprvé od konce roku 2019 vystoupila ze záporného pásma a ve vztahu k dlouhodobému průměru (období </w:t>
      </w:r>
      <w:r>
        <w:rPr>
          <w:rFonts w:eastAsia="Times New Roman" w:cs="Arial"/>
          <w:sz w:val="16"/>
          <w:szCs w:val="16"/>
        </w:rPr>
        <w:t xml:space="preserve">let </w:t>
      </w:r>
      <w:r w:rsidRPr="00F53211">
        <w:rPr>
          <w:rFonts w:eastAsia="Times New Roman" w:cs="Arial"/>
          <w:sz w:val="16"/>
          <w:szCs w:val="16"/>
        </w:rPr>
        <w:t>2003</w:t>
      </w:r>
      <w:r>
        <w:rPr>
          <w:rFonts w:eastAsia="Times New Roman" w:cs="Arial"/>
          <w:sz w:val="16"/>
          <w:szCs w:val="16"/>
        </w:rPr>
        <w:t>–</w:t>
      </w:r>
      <w:r w:rsidRPr="00F53211">
        <w:rPr>
          <w:rFonts w:eastAsia="Times New Roman" w:cs="Arial"/>
          <w:sz w:val="16"/>
          <w:szCs w:val="16"/>
        </w:rPr>
        <w:t>2024) byla vyšší skoro o 12 %.</w:t>
      </w:r>
      <w:r>
        <w:rPr>
          <w:rFonts w:eastAsia="Times New Roman" w:cs="Arial"/>
          <w:sz w:val="16"/>
          <w:szCs w:val="16"/>
        </w:rPr>
        <w:t xml:space="preserve"> V dalších měsících sice došlo k drobné korekci, i tak ale byla spotřebitelská důvěra v meziročním pohledu znatelně vyšší. </w:t>
      </w:r>
    </w:p>
  </w:footnote>
  <w:footnote w:id="50">
    <w:p w14:paraId="0497170C" w14:textId="77777777" w:rsidR="00290725" w:rsidRPr="00EB7D87" w:rsidRDefault="00290725" w:rsidP="00290725">
      <w:pPr>
        <w:spacing w:after="0" w:line="240" w:lineRule="auto"/>
        <w:jc w:val="left"/>
        <w:rPr>
          <w:spacing w:val="-2"/>
        </w:rPr>
      </w:pPr>
      <w:r w:rsidRPr="00EB7D87">
        <w:rPr>
          <w:rStyle w:val="Znakapoznpodarou"/>
          <w:color w:val="0D0D0D" w:themeColor="text1" w:themeTint="F2"/>
          <w:spacing w:val="-2"/>
          <w:sz w:val="16"/>
          <w:szCs w:val="16"/>
        </w:rPr>
        <w:footnoteRef/>
      </w:r>
      <w:r>
        <w:rPr>
          <w:color w:val="0D0D0D" w:themeColor="text1" w:themeTint="F2"/>
          <w:spacing w:val="-2"/>
          <w:sz w:val="16"/>
          <w:szCs w:val="16"/>
        </w:rPr>
        <w:t xml:space="preserve"> Všechna meziroční</w:t>
      </w:r>
      <w:r w:rsidRPr="00EB7D87">
        <w:rPr>
          <w:color w:val="0D0D0D" w:themeColor="text1" w:themeTint="F2"/>
          <w:spacing w:val="-2"/>
          <w:sz w:val="16"/>
          <w:szCs w:val="16"/>
        </w:rPr>
        <w:t xml:space="preserve"> tempa tržeb za maloobchod jsou uvedena ve stálých cenách a očištěna o kalendářní vlivy, mezičtvrtletní tempa jsou očištěna o sezónní vlivy (včetně vlivu počtu pracovních dnů). Maloobchod zahrnuje </w:t>
      </w:r>
      <w:r>
        <w:rPr>
          <w:color w:val="0D0D0D" w:themeColor="text1" w:themeTint="F2"/>
          <w:spacing w:val="-2"/>
          <w:sz w:val="16"/>
          <w:szCs w:val="16"/>
        </w:rPr>
        <w:t xml:space="preserve">pouze </w:t>
      </w:r>
      <w:r w:rsidRPr="00EB7D87">
        <w:rPr>
          <w:color w:val="0D0D0D" w:themeColor="text1" w:themeTint="F2"/>
          <w:spacing w:val="-2"/>
          <w:sz w:val="16"/>
          <w:szCs w:val="16"/>
        </w:rPr>
        <w:t>odvětví CZ-NACE 47.</w:t>
      </w:r>
    </w:p>
  </w:footnote>
  <w:footnote w:id="51">
    <w:p w14:paraId="335BDC1C" w14:textId="77777777" w:rsidR="00290725" w:rsidRPr="00495FE3" w:rsidRDefault="00290725" w:rsidP="00290725">
      <w:pPr>
        <w:pStyle w:val="Textpoznpodarou"/>
        <w:rPr>
          <w:spacing w:val="-2"/>
          <w:sz w:val="16"/>
          <w:szCs w:val="16"/>
        </w:rPr>
      </w:pPr>
      <w:r w:rsidRPr="006D59C3">
        <w:rPr>
          <w:rStyle w:val="Znakapoznpodarou"/>
          <w:sz w:val="16"/>
          <w:szCs w:val="16"/>
        </w:rPr>
        <w:footnoteRef/>
      </w:r>
      <w:r>
        <w:rPr>
          <w:sz w:val="16"/>
          <w:szCs w:val="16"/>
        </w:rPr>
        <w:t xml:space="preserve"> </w:t>
      </w:r>
      <w:r w:rsidRPr="00495FE3">
        <w:rPr>
          <w:spacing w:val="-2"/>
          <w:sz w:val="16"/>
          <w:szCs w:val="16"/>
        </w:rPr>
        <w:t xml:space="preserve">Vedle toho </w:t>
      </w:r>
      <w:r>
        <w:rPr>
          <w:spacing w:val="-2"/>
          <w:sz w:val="16"/>
          <w:szCs w:val="16"/>
        </w:rPr>
        <w:t xml:space="preserve">loni </w:t>
      </w:r>
      <w:r w:rsidRPr="00495FE3">
        <w:rPr>
          <w:spacing w:val="-2"/>
          <w:sz w:val="16"/>
          <w:szCs w:val="16"/>
        </w:rPr>
        <w:t xml:space="preserve">pokračoval pátý rok v řadě růst tržeb v okrajovém segmentu </w:t>
      </w:r>
      <w:r w:rsidRPr="00495FE3">
        <w:rPr>
          <w:rFonts w:cs="Arial"/>
          <w:color w:val="0D0D0D" w:themeColor="text1" w:themeTint="F2"/>
          <w:spacing w:val="-2"/>
          <w:sz w:val="16"/>
          <w:szCs w:val="16"/>
        </w:rPr>
        <w:t xml:space="preserve">nespecializovaných prodejen s převahou nepotravinářského zboží (loni o </w:t>
      </w:r>
      <w:r>
        <w:rPr>
          <w:rFonts w:cs="Arial"/>
          <w:color w:val="0D0D0D" w:themeColor="text1" w:themeTint="F2"/>
          <w:spacing w:val="-2"/>
          <w:sz w:val="16"/>
          <w:szCs w:val="16"/>
        </w:rPr>
        <w:t>5,7</w:t>
      </w:r>
      <w:r w:rsidRPr="00495FE3">
        <w:rPr>
          <w:rFonts w:cs="Arial"/>
          <w:color w:val="0D0D0D" w:themeColor="text1" w:themeTint="F2"/>
          <w:spacing w:val="-2"/>
          <w:sz w:val="16"/>
          <w:szCs w:val="16"/>
        </w:rPr>
        <w:t xml:space="preserve"> %, předloni o 14,6 %). Ten se zaměřuje na nabídku různorodého</w:t>
      </w:r>
      <w:r>
        <w:rPr>
          <w:rFonts w:cs="Arial"/>
          <w:color w:val="0D0D0D" w:themeColor="text1" w:themeTint="F2"/>
          <w:spacing w:val="-2"/>
          <w:sz w:val="16"/>
          <w:szCs w:val="16"/>
        </w:rPr>
        <w:t>,</w:t>
      </w:r>
      <w:r w:rsidRPr="00495FE3">
        <w:rPr>
          <w:rFonts w:cs="Arial"/>
          <w:color w:val="0D0D0D" w:themeColor="text1" w:themeTint="F2"/>
          <w:spacing w:val="-2"/>
          <w:sz w:val="16"/>
          <w:szCs w:val="16"/>
        </w:rPr>
        <w:t xml:space="preserve"> spíše drobnějšího zboží za diskontní ceny</w:t>
      </w:r>
      <w:r>
        <w:rPr>
          <w:rFonts w:cs="Arial"/>
          <w:color w:val="0D0D0D" w:themeColor="text1" w:themeTint="F2"/>
          <w:spacing w:val="-2"/>
          <w:sz w:val="16"/>
          <w:szCs w:val="16"/>
        </w:rPr>
        <w:t xml:space="preserve"> a v posledních letech postupně v Česku rozšiřoval svou obchodní sítˇ.</w:t>
      </w:r>
    </w:p>
  </w:footnote>
  <w:footnote w:id="52">
    <w:p w14:paraId="6617F337" w14:textId="77777777" w:rsidR="00290725" w:rsidRPr="00036FE0" w:rsidRDefault="00290725" w:rsidP="00290725">
      <w:pPr>
        <w:pStyle w:val="Textpoznpodarou"/>
        <w:rPr>
          <w:sz w:val="16"/>
          <w:szCs w:val="16"/>
        </w:rPr>
      </w:pPr>
      <w:r w:rsidRPr="00495FE3">
        <w:rPr>
          <w:rStyle w:val="Znakapoznpodarou"/>
          <w:spacing w:val="-2"/>
          <w:sz w:val="16"/>
          <w:szCs w:val="16"/>
        </w:rPr>
        <w:footnoteRef/>
      </w:r>
      <w:r w:rsidRPr="00495FE3">
        <w:rPr>
          <w:spacing w:val="-2"/>
          <w:sz w:val="16"/>
          <w:szCs w:val="16"/>
        </w:rPr>
        <w:t xml:space="preserve"> K dlouhodobějšímu růstu poptávky u obou těchto sortimentních skupin pomáhal i příznivý cenový vývoj (v letech 2024 i 2025 zde spotřebitelské ceny mírně klesaly).</w:t>
      </w:r>
    </w:p>
  </w:footnote>
  <w:footnote w:id="53">
    <w:p w14:paraId="3FDA650A" w14:textId="77777777" w:rsidR="00290725" w:rsidRPr="00495FE3" w:rsidRDefault="00290725" w:rsidP="00290725">
      <w:pPr>
        <w:pStyle w:val="Textpoznpodarou"/>
        <w:rPr>
          <w:rFonts w:cs="Arial"/>
          <w:color w:val="0D0D0D" w:themeColor="text1" w:themeTint="F2"/>
          <w:spacing w:val="-2"/>
          <w:sz w:val="16"/>
          <w:szCs w:val="16"/>
        </w:rPr>
      </w:pPr>
      <w:r w:rsidRPr="00CD4275">
        <w:rPr>
          <w:rStyle w:val="Znakapoznpodarou"/>
          <w:sz w:val="16"/>
          <w:szCs w:val="16"/>
        </w:rPr>
        <w:footnoteRef/>
      </w:r>
      <w:r w:rsidRPr="00CD4275">
        <w:rPr>
          <w:sz w:val="16"/>
          <w:szCs w:val="16"/>
        </w:rPr>
        <w:t xml:space="preserve"> </w:t>
      </w:r>
      <w:r w:rsidRPr="00495FE3">
        <w:rPr>
          <w:rFonts w:cs="Arial"/>
          <w:color w:val="0D0D0D" w:themeColor="text1" w:themeTint="F2"/>
          <w:spacing w:val="-2"/>
          <w:sz w:val="16"/>
          <w:szCs w:val="16"/>
        </w:rPr>
        <w:t>Spotřebitelská cena nafty dosahovala loni v květnu</w:t>
      </w:r>
      <w:r w:rsidRPr="00495FE3">
        <w:rPr>
          <w:iCs/>
          <w:color w:val="0D0D0D" w:themeColor="text1" w:themeTint="F2"/>
          <w:spacing w:val="-2"/>
          <w:sz w:val="16"/>
          <w:szCs w:val="16"/>
        </w:rPr>
        <w:t xml:space="preserve"> v průměru 32,70 korun/l a benzín Natural 95 se na čerpacích stanicích prodával přibližně za 33,90 korun/l. V případě nafty to byla nejnižší hodnota od června roku 2023 a u benzinu Natural 95 dokonce od září roku 2021.</w:t>
      </w:r>
      <w:r w:rsidRPr="00495FE3">
        <w:rPr>
          <w:rFonts w:cs="Arial"/>
          <w:color w:val="0D0D0D" w:themeColor="text1" w:themeTint="F2"/>
          <w:spacing w:val="-2"/>
          <w:sz w:val="16"/>
          <w:szCs w:val="16"/>
        </w:rPr>
        <w:t xml:space="preserve"> Příznivý vývoj cen pokračoval bez výraznějších výkyvů až do vypuknutí války v Íránu (na počátku března 2026). Na tento vývoj kromě tuzemských domácností i firem reagovali také zahraniční dopravci, j</w:t>
      </w:r>
      <w:r>
        <w:rPr>
          <w:rFonts w:cs="Arial"/>
          <w:color w:val="0D0D0D" w:themeColor="text1" w:themeTint="F2"/>
          <w:spacing w:val="-2"/>
          <w:sz w:val="16"/>
          <w:szCs w:val="16"/>
        </w:rPr>
        <w:t>i</w:t>
      </w:r>
      <w:r w:rsidRPr="00495FE3">
        <w:rPr>
          <w:rFonts w:cs="Arial"/>
          <w:color w:val="0D0D0D" w:themeColor="text1" w:themeTint="F2"/>
          <w:spacing w:val="-2"/>
          <w:sz w:val="16"/>
          <w:szCs w:val="16"/>
        </w:rPr>
        <w:t>ž přes Česko realizují tranzitní dopravu.</w:t>
      </w:r>
    </w:p>
  </w:footnote>
  <w:footnote w:id="54">
    <w:p w14:paraId="3863053A" w14:textId="77777777" w:rsidR="00290725" w:rsidRPr="00495FE3" w:rsidRDefault="00290725" w:rsidP="00290725">
      <w:pPr>
        <w:pStyle w:val="Textpoznpodarou"/>
        <w:rPr>
          <w:spacing w:val="-2"/>
          <w:sz w:val="16"/>
          <w:szCs w:val="16"/>
        </w:rPr>
      </w:pPr>
      <w:r w:rsidRPr="00495FE3">
        <w:rPr>
          <w:rStyle w:val="Znakapoznpodarou"/>
          <w:spacing w:val="-2"/>
          <w:sz w:val="16"/>
          <w:szCs w:val="16"/>
        </w:rPr>
        <w:footnoteRef/>
      </w:r>
      <w:r w:rsidRPr="00495FE3">
        <w:rPr>
          <w:spacing w:val="-2"/>
          <w:sz w:val="16"/>
          <w:szCs w:val="16"/>
        </w:rPr>
        <w:t xml:space="preserve"> Tržby za PHM v běžných cenách se ovšem loni zvýšily pouze o 1,</w:t>
      </w:r>
      <w:r>
        <w:rPr>
          <w:spacing w:val="-2"/>
          <w:sz w:val="16"/>
          <w:szCs w:val="16"/>
        </w:rPr>
        <w:t>5</w:t>
      </w:r>
      <w:r w:rsidRPr="00495FE3">
        <w:rPr>
          <w:spacing w:val="-2"/>
          <w:sz w:val="16"/>
          <w:szCs w:val="16"/>
        </w:rPr>
        <w:t xml:space="preserve"> %</w:t>
      </w:r>
      <w:r>
        <w:rPr>
          <w:spacing w:val="-2"/>
          <w:sz w:val="16"/>
          <w:szCs w:val="16"/>
        </w:rPr>
        <w:t>, tedy čtyři</w:t>
      </w:r>
      <w:r w:rsidRPr="00495FE3">
        <w:rPr>
          <w:spacing w:val="-2"/>
          <w:sz w:val="16"/>
          <w:szCs w:val="16"/>
        </w:rPr>
        <w:t>krát méně než v roce 2024.</w:t>
      </w:r>
    </w:p>
  </w:footnote>
  <w:footnote w:id="55">
    <w:p w14:paraId="49CC5EAE" w14:textId="77777777" w:rsidR="00290725" w:rsidRPr="003A3340" w:rsidRDefault="00290725" w:rsidP="00290725">
      <w:pPr>
        <w:pStyle w:val="Textpoznpodarou"/>
        <w:rPr>
          <w:sz w:val="16"/>
          <w:szCs w:val="16"/>
        </w:rPr>
      </w:pPr>
      <w:r w:rsidRPr="00495FE3">
        <w:rPr>
          <w:rStyle w:val="Znakapoznpodarou"/>
          <w:spacing w:val="-2"/>
          <w:sz w:val="16"/>
          <w:szCs w:val="16"/>
        </w:rPr>
        <w:footnoteRef/>
      </w:r>
      <w:r w:rsidRPr="00495FE3">
        <w:rPr>
          <w:spacing w:val="-2"/>
          <w:sz w:val="16"/>
          <w:szCs w:val="16"/>
        </w:rPr>
        <w:t xml:space="preserve"> P</w:t>
      </w:r>
      <w:r w:rsidRPr="00C63E45">
        <w:rPr>
          <w:sz w:val="16"/>
          <w:szCs w:val="16"/>
        </w:rPr>
        <w:t xml:space="preserve">odobným tempem zde tržby klesají čtvrtý rok v řadě. Lze předpokládat, že stále významnější část poptávky po počítačových </w:t>
      </w:r>
      <w:r w:rsidRPr="00C63E45">
        <w:rPr>
          <w:sz w:val="16"/>
          <w:szCs w:val="16"/>
        </w:rPr>
        <w:br/>
        <w:t xml:space="preserve">a komunikačních zařízeních je realizována zpravidla ve větších provozovnách náležících (dle své převažující činnosti) do internetového prodeje. </w:t>
      </w:r>
    </w:p>
  </w:footnote>
  <w:footnote w:id="56">
    <w:p w14:paraId="40592688" w14:textId="77777777" w:rsidR="00290725" w:rsidRPr="008B72AA" w:rsidRDefault="00290725" w:rsidP="00290725">
      <w:pPr>
        <w:pStyle w:val="Textpoznpodarou"/>
        <w:rPr>
          <w:sz w:val="16"/>
          <w:szCs w:val="16"/>
        </w:rPr>
      </w:pPr>
      <w:r w:rsidRPr="008B72AA">
        <w:rPr>
          <w:rStyle w:val="Znakapoznpodarou"/>
          <w:sz w:val="16"/>
          <w:szCs w:val="16"/>
        </w:rPr>
        <w:footnoteRef/>
      </w:r>
      <w:r w:rsidRPr="008B72AA">
        <w:rPr>
          <w:sz w:val="16"/>
          <w:szCs w:val="16"/>
        </w:rPr>
        <w:t xml:space="preserve"> </w:t>
      </w:r>
      <w:r w:rsidRPr="00C63E45">
        <w:rPr>
          <w:sz w:val="16"/>
          <w:szCs w:val="16"/>
        </w:rPr>
        <w:t xml:space="preserve">Zahrnují hlavně </w:t>
      </w:r>
      <w:r w:rsidRPr="00C63E45">
        <w:rPr>
          <w:rStyle w:val="normaltextrun"/>
          <w:rFonts w:eastAsia="MS Gothic" w:cs="Arial"/>
          <w:sz w:val="16"/>
          <w:szCs w:val="16"/>
        </w:rPr>
        <w:t>železářské zboží, stavebniny, barvy, sklo, potřeby pro kutily, elektrospotřebiče, elektroniku, nábytek,</w:t>
      </w:r>
      <w:r w:rsidRPr="00C63E45">
        <w:rPr>
          <w:rFonts w:cs="Arial"/>
          <w:color w:val="0D0D0D" w:themeColor="text1" w:themeTint="F2"/>
          <w:sz w:val="16"/>
          <w:szCs w:val="16"/>
        </w:rPr>
        <w:t xml:space="preserve"> </w:t>
      </w:r>
      <w:r w:rsidRPr="00C63E45">
        <w:rPr>
          <w:rStyle w:val="normaltextrun"/>
          <w:rFonts w:eastAsia="MS Gothic" w:cs="Arial"/>
          <w:sz w:val="16"/>
          <w:szCs w:val="16"/>
        </w:rPr>
        <w:t xml:space="preserve">svítidla, </w:t>
      </w:r>
      <w:r w:rsidRPr="00C63E45">
        <w:rPr>
          <w:rFonts w:cs="Arial"/>
          <w:color w:val="0D0D0D" w:themeColor="text1" w:themeTint="F2"/>
          <w:sz w:val="16"/>
          <w:szCs w:val="16"/>
        </w:rPr>
        <w:t>koberce či bytový textil.</w:t>
      </w:r>
    </w:p>
  </w:footnote>
  <w:footnote w:id="57">
    <w:p w14:paraId="372809C5" w14:textId="77777777" w:rsidR="00290725" w:rsidRPr="00B61103" w:rsidRDefault="00290725" w:rsidP="00290725">
      <w:pPr>
        <w:pStyle w:val="Textpoznpodarou"/>
        <w:rPr>
          <w:sz w:val="16"/>
          <w:szCs w:val="16"/>
        </w:rPr>
      </w:pPr>
      <w:r w:rsidRPr="00B61103">
        <w:rPr>
          <w:rStyle w:val="Znakapoznpodarou"/>
          <w:sz w:val="16"/>
          <w:szCs w:val="16"/>
        </w:rPr>
        <w:footnoteRef/>
      </w:r>
      <w:r w:rsidRPr="00B61103">
        <w:rPr>
          <w:sz w:val="16"/>
          <w:szCs w:val="16"/>
        </w:rPr>
        <w:t xml:space="preserve"> </w:t>
      </w:r>
      <w:r w:rsidRPr="00495FE3">
        <w:rPr>
          <w:spacing w:val="-2"/>
          <w:sz w:val="16"/>
          <w:szCs w:val="16"/>
        </w:rPr>
        <w:t>Podrobnější údaje za nespecializované prodejny s převahou potravin (v podnicích s ročním obratem vyšším než 15 mld. korun) naznačují, že loni zřejmě pokračoval dlouhodobý trend poklesu spotřeby alkoholu, nealkoholických nápojů a tabákových výrobků (např. spotřebitelské ceny tabákových výrobků v Česku loni vzrostly o 7,0 %, avšak tržby ve výše uvedeném segmentu prodejen se za tyto výrobky v běžných cenách zvýšily jen o 4,4 %). Na druhou stranu spotřebitelé loni ve výše uvedených prodejnách patrně více poptávali některé nepotravinářské zboží, jak naznačuje růst tržeb v běžných cenách za stavební materiál a železářské zboží (+7,4 %)</w:t>
      </w:r>
      <w:r>
        <w:rPr>
          <w:spacing w:val="-2"/>
          <w:sz w:val="16"/>
          <w:szCs w:val="16"/>
        </w:rPr>
        <w:t>. Naopak méně poptávali</w:t>
      </w:r>
      <w:r w:rsidRPr="00495FE3">
        <w:rPr>
          <w:spacing w:val="-2"/>
          <w:sz w:val="16"/>
          <w:szCs w:val="16"/>
        </w:rPr>
        <w:t xml:space="preserve"> oděvy, obuv, kožené zboží a cestovní potřeby (</w:t>
      </w:r>
      <w:r w:rsidRPr="00AD4480">
        <w:rPr>
          <w:color w:val="0D0D0D" w:themeColor="text1" w:themeTint="F2"/>
          <w:spacing w:val="-2"/>
          <w:sz w:val="16"/>
          <w:szCs w:val="16"/>
        </w:rPr>
        <w:t>−</w:t>
      </w:r>
      <w:r w:rsidRPr="00495FE3">
        <w:rPr>
          <w:spacing w:val="-2"/>
          <w:sz w:val="16"/>
          <w:szCs w:val="16"/>
        </w:rPr>
        <w:t xml:space="preserve">6,8 %). </w:t>
      </w:r>
      <w:r>
        <w:rPr>
          <w:spacing w:val="-2"/>
          <w:sz w:val="16"/>
          <w:szCs w:val="16"/>
        </w:rPr>
        <w:t>L</w:t>
      </w:r>
      <w:r w:rsidRPr="00495FE3">
        <w:rPr>
          <w:spacing w:val="-2"/>
          <w:sz w:val="16"/>
          <w:szCs w:val="16"/>
        </w:rPr>
        <w:t>oni spotřebitelské ceny v Česku nerostly</w:t>
      </w:r>
      <w:r>
        <w:rPr>
          <w:spacing w:val="-2"/>
          <w:sz w:val="16"/>
          <w:szCs w:val="16"/>
        </w:rPr>
        <w:t xml:space="preserve"> za oděvy a obuv, naopak rostly za výrobky pro domácnost.</w:t>
      </w:r>
    </w:p>
  </w:footnote>
  <w:footnote w:id="58">
    <w:p w14:paraId="160BA6A8" w14:textId="77777777" w:rsidR="00290725" w:rsidRPr="00495FE3" w:rsidRDefault="00290725" w:rsidP="00290725">
      <w:pPr>
        <w:pStyle w:val="Textpoznpodarou"/>
        <w:rPr>
          <w:spacing w:val="-2"/>
        </w:rPr>
      </w:pPr>
      <w:r w:rsidRPr="00495FE3">
        <w:rPr>
          <w:rStyle w:val="Znakapoznpodarou"/>
          <w:spacing w:val="-2"/>
          <w:sz w:val="16"/>
          <w:szCs w:val="16"/>
        </w:rPr>
        <w:footnoteRef/>
      </w:r>
      <w:r w:rsidRPr="00495FE3">
        <w:rPr>
          <w:spacing w:val="-2"/>
          <w:sz w:val="16"/>
          <w:szCs w:val="16"/>
        </w:rPr>
        <w:t xml:space="preserve"> Ty zahrnují např. masné výrobky, pečivo, cukrářské výrobky, nápoje či ov</w:t>
      </w:r>
      <w:r>
        <w:rPr>
          <w:spacing w:val="-2"/>
          <w:sz w:val="16"/>
          <w:szCs w:val="16"/>
        </w:rPr>
        <w:t>o</w:t>
      </w:r>
      <w:r w:rsidRPr="00495FE3">
        <w:rPr>
          <w:spacing w:val="-2"/>
          <w:sz w:val="16"/>
          <w:szCs w:val="16"/>
        </w:rPr>
        <w:t>ce a zeleninu. Největší váhu zde však v posledních letech mají prodejny s tabákovými výrobky</w:t>
      </w:r>
      <w:r>
        <w:rPr>
          <w:spacing w:val="-2"/>
          <w:sz w:val="16"/>
          <w:szCs w:val="16"/>
        </w:rPr>
        <w:t xml:space="preserve">, </w:t>
      </w:r>
      <w:r w:rsidRPr="00495FE3">
        <w:rPr>
          <w:spacing w:val="-2"/>
          <w:sz w:val="16"/>
          <w:szCs w:val="16"/>
        </w:rPr>
        <w:t>jejichž role roste zejména na úkor prodejen s masem.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3C11EE3B" w:rsidR="004C456F" w:rsidRPr="00C27E4F" w:rsidRDefault="004C456F" w:rsidP="00C27E4F">
    <w:pPr>
      <w:pStyle w:val="Zhlav"/>
    </w:pPr>
    <w:r>
      <w:t>Vývoj ekonomiky České republiky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4F78F164" w:rsidR="004C456F" w:rsidRPr="006F5416" w:rsidRDefault="004C456F" w:rsidP="00937AE2">
    <w:pPr>
      <w:pStyle w:val="Zhlav"/>
    </w:pPr>
    <w:r>
      <w:t>Vývoj ekonomiky České republiky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858498FC"/>
    <w:lvl w:ilvl="0" w:tplc="B4A838D0">
      <w:start w:val="1"/>
      <w:numFmt w:val="bullet"/>
      <w:pStyle w:val="Normalodrka"/>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94960533">
    <w:abstractNumId w:val="31"/>
  </w:num>
  <w:num w:numId="2" w16cid:durableId="997685702">
    <w:abstractNumId w:val="8"/>
  </w:num>
  <w:num w:numId="3" w16cid:durableId="2038313518">
    <w:abstractNumId w:val="3"/>
  </w:num>
  <w:num w:numId="4" w16cid:durableId="331031531">
    <w:abstractNumId w:val="2"/>
  </w:num>
  <w:num w:numId="5" w16cid:durableId="1757743337">
    <w:abstractNumId w:val="1"/>
  </w:num>
  <w:num w:numId="6" w16cid:durableId="409816451">
    <w:abstractNumId w:val="0"/>
  </w:num>
  <w:num w:numId="7" w16cid:durableId="1318534121">
    <w:abstractNumId w:val="9"/>
  </w:num>
  <w:num w:numId="8" w16cid:durableId="262305282">
    <w:abstractNumId w:val="7"/>
  </w:num>
  <w:num w:numId="9" w16cid:durableId="136917715">
    <w:abstractNumId w:val="6"/>
  </w:num>
  <w:num w:numId="10" w16cid:durableId="2045862263">
    <w:abstractNumId w:val="5"/>
  </w:num>
  <w:num w:numId="11" w16cid:durableId="191305307">
    <w:abstractNumId w:val="4"/>
  </w:num>
  <w:num w:numId="12" w16cid:durableId="333654438">
    <w:abstractNumId w:val="18"/>
  </w:num>
  <w:num w:numId="13" w16cid:durableId="969557016">
    <w:abstractNumId w:val="34"/>
  </w:num>
  <w:num w:numId="14" w16cid:durableId="607392429">
    <w:abstractNumId w:val="15"/>
  </w:num>
  <w:num w:numId="15" w16cid:durableId="1953782534">
    <w:abstractNumId w:val="24"/>
  </w:num>
  <w:num w:numId="16" w16cid:durableId="2048219208">
    <w:abstractNumId w:val="19"/>
  </w:num>
  <w:num w:numId="17" w16cid:durableId="684745295">
    <w:abstractNumId w:val="35"/>
  </w:num>
  <w:num w:numId="18" w16cid:durableId="1764376373">
    <w:abstractNumId w:val="25"/>
  </w:num>
  <w:num w:numId="19" w16cid:durableId="807280038">
    <w:abstractNumId w:val="38"/>
  </w:num>
  <w:num w:numId="20" w16cid:durableId="1692685976">
    <w:abstractNumId w:val="43"/>
  </w:num>
  <w:num w:numId="21" w16cid:durableId="1978029892">
    <w:abstractNumId w:val="33"/>
  </w:num>
  <w:num w:numId="22" w16cid:durableId="718896653">
    <w:abstractNumId w:val="23"/>
  </w:num>
  <w:num w:numId="23" w16cid:durableId="159078720">
    <w:abstractNumId w:val="21"/>
  </w:num>
  <w:num w:numId="24" w16cid:durableId="1135441192">
    <w:abstractNumId w:val="22"/>
  </w:num>
  <w:num w:numId="25" w16cid:durableId="1815366340">
    <w:abstractNumId w:val="41"/>
  </w:num>
  <w:num w:numId="26" w16cid:durableId="1577863405">
    <w:abstractNumId w:val="42"/>
  </w:num>
  <w:num w:numId="27" w16cid:durableId="223610688">
    <w:abstractNumId w:val="43"/>
  </w:num>
  <w:num w:numId="28" w16cid:durableId="1207061094">
    <w:abstractNumId w:val="13"/>
  </w:num>
  <w:num w:numId="29" w16cid:durableId="1693920833">
    <w:abstractNumId w:val="27"/>
  </w:num>
  <w:num w:numId="30" w16cid:durableId="1876775477">
    <w:abstractNumId w:val="26"/>
  </w:num>
  <w:num w:numId="31" w16cid:durableId="179972127">
    <w:abstractNumId w:val="10"/>
  </w:num>
  <w:num w:numId="32" w16cid:durableId="970136012">
    <w:abstractNumId w:val="28"/>
  </w:num>
  <w:num w:numId="33" w16cid:durableId="1617836376">
    <w:abstractNumId w:val="12"/>
  </w:num>
  <w:num w:numId="34" w16cid:durableId="357007340">
    <w:abstractNumId w:val="45"/>
  </w:num>
  <w:num w:numId="35" w16cid:durableId="2131776467">
    <w:abstractNumId w:val="11"/>
  </w:num>
  <w:num w:numId="36" w16cid:durableId="1776095800">
    <w:abstractNumId w:val="37"/>
  </w:num>
  <w:num w:numId="37" w16cid:durableId="862209000">
    <w:abstractNumId w:val="30"/>
  </w:num>
  <w:num w:numId="38" w16cid:durableId="322010878">
    <w:abstractNumId w:val="29"/>
  </w:num>
  <w:num w:numId="39" w16cid:durableId="1458373311">
    <w:abstractNumId w:val="39"/>
  </w:num>
  <w:num w:numId="40" w16cid:durableId="288441997">
    <w:abstractNumId w:val="44"/>
  </w:num>
  <w:num w:numId="41" w16cid:durableId="952595072">
    <w:abstractNumId w:val="40"/>
  </w:num>
  <w:num w:numId="42" w16cid:durableId="1427652868">
    <w:abstractNumId w:val="32"/>
  </w:num>
  <w:num w:numId="43" w16cid:durableId="1024401835">
    <w:abstractNumId w:val="20"/>
  </w:num>
  <w:num w:numId="44" w16cid:durableId="428089243">
    <w:abstractNumId w:val="14"/>
  </w:num>
  <w:num w:numId="45" w16cid:durableId="82647767">
    <w:abstractNumId w:val="36"/>
  </w:num>
  <w:num w:numId="46" w16cid:durableId="215163427">
    <w:abstractNumId w:val="16"/>
  </w:num>
  <w:num w:numId="47" w16cid:durableId="222064403">
    <w:abstractNumId w:val="43"/>
  </w:num>
  <w:num w:numId="48" w16cid:durableId="1639922006">
    <w:abstractNumId w:val="43"/>
    <w:lvlOverride w:ilvl="0">
      <w:startOverride w:val="1"/>
    </w:lvlOverride>
  </w:num>
  <w:num w:numId="49" w16cid:durableId="1509101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209D"/>
    <w:rsid w:val="00004D5A"/>
    <w:rsid w:val="000056D5"/>
    <w:rsid w:val="00006ABD"/>
    <w:rsid w:val="0000767A"/>
    <w:rsid w:val="00010256"/>
    <w:rsid w:val="00010702"/>
    <w:rsid w:val="00011912"/>
    <w:rsid w:val="00011F39"/>
    <w:rsid w:val="00017058"/>
    <w:rsid w:val="0001750B"/>
    <w:rsid w:val="0002195D"/>
    <w:rsid w:val="000234D6"/>
    <w:rsid w:val="00023D29"/>
    <w:rsid w:val="00026389"/>
    <w:rsid w:val="00031AE0"/>
    <w:rsid w:val="000322EF"/>
    <w:rsid w:val="00033FCD"/>
    <w:rsid w:val="000347D3"/>
    <w:rsid w:val="00040D10"/>
    <w:rsid w:val="00041CEC"/>
    <w:rsid w:val="0004694F"/>
    <w:rsid w:val="000522E4"/>
    <w:rsid w:val="00054EA4"/>
    <w:rsid w:val="00055507"/>
    <w:rsid w:val="000610E1"/>
    <w:rsid w:val="00062EC5"/>
    <w:rsid w:val="00062F22"/>
    <w:rsid w:val="000673C2"/>
    <w:rsid w:val="000712B3"/>
    <w:rsid w:val="00073A4E"/>
    <w:rsid w:val="0008263E"/>
    <w:rsid w:val="000829B1"/>
    <w:rsid w:val="00082C19"/>
    <w:rsid w:val="00085395"/>
    <w:rsid w:val="00087634"/>
    <w:rsid w:val="00087F2B"/>
    <w:rsid w:val="000912CC"/>
    <w:rsid w:val="00092201"/>
    <w:rsid w:val="00095135"/>
    <w:rsid w:val="000974D1"/>
    <w:rsid w:val="0009799E"/>
    <w:rsid w:val="000A1183"/>
    <w:rsid w:val="000A256D"/>
    <w:rsid w:val="000A395A"/>
    <w:rsid w:val="000A3A2C"/>
    <w:rsid w:val="000A5265"/>
    <w:rsid w:val="000A57D4"/>
    <w:rsid w:val="000B3CE2"/>
    <w:rsid w:val="000B7C8D"/>
    <w:rsid w:val="000C004E"/>
    <w:rsid w:val="000C2CF1"/>
    <w:rsid w:val="000C3408"/>
    <w:rsid w:val="000C6AFD"/>
    <w:rsid w:val="000C7C6F"/>
    <w:rsid w:val="000D1B52"/>
    <w:rsid w:val="000D3CE8"/>
    <w:rsid w:val="000D5637"/>
    <w:rsid w:val="000E15EA"/>
    <w:rsid w:val="000E22F0"/>
    <w:rsid w:val="000E6FBD"/>
    <w:rsid w:val="000F49A9"/>
    <w:rsid w:val="00100F5C"/>
    <w:rsid w:val="00101CDA"/>
    <w:rsid w:val="00102C41"/>
    <w:rsid w:val="00104C4C"/>
    <w:rsid w:val="00107F50"/>
    <w:rsid w:val="00117623"/>
    <w:rsid w:val="0012096D"/>
    <w:rsid w:val="0012192F"/>
    <w:rsid w:val="001224E5"/>
    <w:rsid w:val="00124940"/>
    <w:rsid w:val="00125D69"/>
    <w:rsid w:val="001405FA"/>
    <w:rsid w:val="00142254"/>
    <w:rsid w:val="001425C3"/>
    <w:rsid w:val="001476BD"/>
    <w:rsid w:val="00151983"/>
    <w:rsid w:val="00153D91"/>
    <w:rsid w:val="001612F4"/>
    <w:rsid w:val="00161AB8"/>
    <w:rsid w:val="0016256B"/>
    <w:rsid w:val="001625B5"/>
    <w:rsid w:val="00163793"/>
    <w:rsid w:val="0016649F"/>
    <w:rsid w:val="00170621"/>
    <w:rsid w:val="001706D6"/>
    <w:rsid w:val="001714F2"/>
    <w:rsid w:val="00175B9F"/>
    <w:rsid w:val="00175C9E"/>
    <w:rsid w:val="00181BBC"/>
    <w:rsid w:val="00184B08"/>
    <w:rsid w:val="00185010"/>
    <w:rsid w:val="0019143B"/>
    <w:rsid w:val="001A0487"/>
    <w:rsid w:val="001A108E"/>
    <w:rsid w:val="001A4CA3"/>
    <w:rsid w:val="001A552F"/>
    <w:rsid w:val="001A5B6F"/>
    <w:rsid w:val="001A6170"/>
    <w:rsid w:val="001A7280"/>
    <w:rsid w:val="001B2CA9"/>
    <w:rsid w:val="001B3110"/>
    <w:rsid w:val="001B4729"/>
    <w:rsid w:val="001B6310"/>
    <w:rsid w:val="001B6C09"/>
    <w:rsid w:val="001B73E6"/>
    <w:rsid w:val="001C05CD"/>
    <w:rsid w:val="001C3924"/>
    <w:rsid w:val="001D1815"/>
    <w:rsid w:val="001D40D7"/>
    <w:rsid w:val="001D48D4"/>
    <w:rsid w:val="001D68B2"/>
    <w:rsid w:val="001E1C2E"/>
    <w:rsid w:val="001E504C"/>
    <w:rsid w:val="001E5850"/>
    <w:rsid w:val="001E6062"/>
    <w:rsid w:val="001E6753"/>
    <w:rsid w:val="001F4597"/>
    <w:rsid w:val="00203DA4"/>
    <w:rsid w:val="00207871"/>
    <w:rsid w:val="002118B9"/>
    <w:rsid w:val="00213E46"/>
    <w:rsid w:val="00214CF7"/>
    <w:rsid w:val="002152E4"/>
    <w:rsid w:val="00216286"/>
    <w:rsid w:val="00216A01"/>
    <w:rsid w:val="002175EA"/>
    <w:rsid w:val="00217C5B"/>
    <w:rsid w:val="0022139E"/>
    <w:rsid w:val="00222729"/>
    <w:rsid w:val="00222833"/>
    <w:rsid w:val="002252E0"/>
    <w:rsid w:val="002255F6"/>
    <w:rsid w:val="00227850"/>
    <w:rsid w:val="00227A53"/>
    <w:rsid w:val="00230682"/>
    <w:rsid w:val="00230C6E"/>
    <w:rsid w:val="00233546"/>
    <w:rsid w:val="00233CD7"/>
    <w:rsid w:val="00233D05"/>
    <w:rsid w:val="00236443"/>
    <w:rsid w:val="00237B95"/>
    <w:rsid w:val="00241B06"/>
    <w:rsid w:val="00242119"/>
    <w:rsid w:val="002421C4"/>
    <w:rsid w:val="00242C10"/>
    <w:rsid w:val="002436BA"/>
    <w:rsid w:val="00244A15"/>
    <w:rsid w:val="0024661A"/>
    <w:rsid w:val="00247319"/>
    <w:rsid w:val="0024741D"/>
    <w:rsid w:val="0024799E"/>
    <w:rsid w:val="00247EE7"/>
    <w:rsid w:val="00252D48"/>
    <w:rsid w:val="00253C0F"/>
    <w:rsid w:val="002558C1"/>
    <w:rsid w:val="00255B30"/>
    <w:rsid w:val="00261A17"/>
    <w:rsid w:val="0027099B"/>
    <w:rsid w:val="00271465"/>
    <w:rsid w:val="00275385"/>
    <w:rsid w:val="00281666"/>
    <w:rsid w:val="0028207A"/>
    <w:rsid w:val="00282918"/>
    <w:rsid w:val="00285412"/>
    <w:rsid w:val="00290725"/>
    <w:rsid w:val="00291407"/>
    <w:rsid w:val="00291640"/>
    <w:rsid w:val="0029568F"/>
    <w:rsid w:val="00295A5D"/>
    <w:rsid w:val="002A1407"/>
    <w:rsid w:val="002A16D4"/>
    <w:rsid w:val="002A230C"/>
    <w:rsid w:val="002A66B0"/>
    <w:rsid w:val="002B2299"/>
    <w:rsid w:val="002B4845"/>
    <w:rsid w:val="002B48B4"/>
    <w:rsid w:val="002C2FE9"/>
    <w:rsid w:val="002C43BD"/>
    <w:rsid w:val="002C5568"/>
    <w:rsid w:val="002D0E59"/>
    <w:rsid w:val="002E02A1"/>
    <w:rsid w:val="002E42AC"/>
    <w:rsid w:val="002E4E4C"/>
    <w:rsid w:val="002F3E4F"/>
    <w:rsid w:val="00302ADD"/>
    <w:rsid w:val="00304771"/>
    <w:rsid w:val="0030495D"/>
    <w:rsid w:val="003052D4"/>
    <w:rsid w:val="00306C5B"/>
    <w:rsid w:val="00307B34"/>
    <w:rsid w:val="003103E0"/>
    <w:rsid w:val="0031173F"/>
    <w:rsid w:val="00314F9F"/>
    <w:rsid w:val="003209D6"/>
    <w:rsid w:val="00321205"/>
    <w:rsid w:val="00321924"/>
    <w:rsid w:val="00324442"/>
    <w:rsid w:val="0032656E"/>
    <w:rsid w:val="00327D4E"/>
    <w:rsid w:val="00332190"/>
    <w:rsid w:val="00340188"/>
    <w:rsid w:val="003421E1"/>
    <w:rsid w:val="0034226A"/>
    <w:rsid w:val="00343182"/>
    <w:rsid w:val="0034335E"/>
    <w:rsid w:val="00344668"/>
    <w:rsid w:val="003462D9"/>
    <w:rsid w:val="00360C86"/>
    <w:rsid w:val="00360FBC"/>
    <w:rsid w:val="00362E90"/>
    <w:rsid w:val="00364FA0"/>
    <w:rsid w:val="003657F3"/>
    <w:rsid w:val="00366591"/>
    <w:rsid w:val="00371826"/>
    <w:rsid w:val="00373504"/>
    <w:rsid w:val="00374FEF"/>
    <w:rsid w:val="0038123E"/>
    <w:rsid w:val="003818DC"/>
    <w:rsid w:val="00382C5B"/>
    <w:rsid w:val="00384327"/>
    <w:rsid w:val="00385D98"/>
    <w:rsid w:val="003A1A03"/>
    <w:rsid w:val="003A2B4D"/>
    <w:rsid w:val="003A2B5E"/>
    <w:rsid w:val="003A2D12"/>
    <w:rsid w:val="003A478C"/>
    <w:rsid w:val="003A5525"/>
    <w:rsid w:val="003A6B38"/>
    <w:rsid w:val="003B461F"/>
    <w:rsid w:val="003B5A32"/>
    <w:rsid w:val="003B6B31"/>
    <w:rsid w:val="003B7AFA"/>
    <w:rsid w:val="003C1099"/>
    <w:rsid w:val="003C3490"/>
    <w:rsid w:val="003C6550"/>
    <w:rsid w:val="003C7E62"/>
    <w:rsid w:val="003D5B4E"/>
    <w:rsid w:val="003D6920"/>
    <w:rsid w:val="003E3F1E"/>
    <w:rsid w:val="003E48F2"/>
    <w:rsid w:val="003E4C91"/>
    <w:rsid w:val="003E5DB7"/>
    <w:rsid w:val="003E62A5"/>
    <w:rsid w:val="003F313C"/>
    <w:rsid w:val="003F37FC"/>
    <w:rsid w:val="003F4B2C"/>
    <w:rsid w:val="003F551C"/>
    <w:rsid w:val="003F62B0"/>
    <w:rsid w:val="003F72ED"/>
    <w:rsid w:val="003F7D23"/>
    <w:rsid w:val="00400DF4"/>
    <w:rsid w:val="0040550D"/>
    <w:rsid w:val="004069FF"/>
    <w:rsid w:val="00407510"/>
    <w:rsid w:val="00407C13"/>
    <w:rsid w:val="0041041D"/>
    <w:rsid w:val="00410638"/>
    <w:rsid w:val="00410694"/>
    <w:rsid w:val="00411299"/>
    <w:rsid w:val="0041501E"/>
    <w:rsid w:val="004159C3"/>
    <w:rsid w:val="00416EB7"/>
    <w:rsid w:val="00420136"/>
    <w:rsid w:val="00432A58"/>
    <w:rsid w:val="00434617"/>
    <w:rsid w:val="00440900"/>
    <w:rsid w:val="00441BF6"/>
    <w:rsid w:val="00443556"/>
    <w:rsid w:val="004441A0"/>
    <w:rsid w:val="004455BA"/>
    <w:rsid w:val="00446D77"/>
    <w:rsid w:val="0045078A"/>
    <w:rsid w:val="0045086D"/>
    <w:rsid w:val="00451504"/>
    <w:rsid w:val="004557A9"/>
    <w:rsid w:val="00456339"/>
    <w:rsid w:val="004607BF"/>
    <w:rsid w:val="00460FB3"/>
    <w:rsid w:val="00465F26"/>
    <w:rsid w:val="0046627E"/>
    <w:rsid w:val="00476240"/>
    <w:rsid w:val="00476439"/>
    <w:rsid w:val="0047735C"/>
    <w:rsid w:val="004776BC"/>
    <w:rsid w:val="0048139F"/>
    <w:rsid w:val="00481E40"/>
    <w:rsid w:val="00484ECE"/>
    <w:rsid w:val="00485567"/>
    <w:rsid w:val="004915CB"/>
    <w:rsid w:val="004924DC"/>
    <w:rsid w:val="004963C7"/>
    <w:rsid w:val="004976EF"/>
    <w:rsid w:val="004A14E4"/>
    <w:rsid w:val="004A3212"/>
    <w:rsid w:val="004A5494"/>
    <w:rsid w:val="004A61C5"/>
    <w:rsid w:val="004A77DF"/>
    <w:rsid w:val="004B1417"/>
    <w:rsid w:val="004B55B7"/>
    <w:rsid w:val="004B5A60"/>
    <w:rsid w:val="004B6468"/>
    <w:rsid w:val="004B7125"/>
    <w:rsid w:val="004C180F"/>
    <w:rsid w:val="004C384C"/>
    <w:rsid w:val="004C3867"/>
    <w:rsid w:val="004C456F"/>
    <w:rsid w:val="004C4CD0"/>
    <w:rsid w:val="004C5B81"/>
    <w:rsid w:val="004C6092"/>
    <w:rsid w:val="004C70DC"/>
    <w:rsid w:val="004D0211"/>
    <w:rsid w:val="004D0794"/>
    <w:rsid w:val="004D5C93"/>
    <w:rsid w:val="004E1288"/>
    <w:rsid w:val="004E7C6B"/>
    <w:rsid w:val="004F06F5"/>
    <w:rsid w:val="004F16B2"/>
    <w:rsid w:val="004F2C1B"/>
    <w:rsid w:val="004F33A0"/>
    <w:rsid w:val="004F3A59"/>
    <w:rsid w:val="005040A8"/>
    <w:rsid w:val="00504EE1"/>
    <w:rsid w:val="0050689D"/>
    <w:rsid w:val="00510205"/>
    <w:rsid w:val="005108C0"/>
    <w:rsid w:val="00511873"/>
    <w:rsid w:val="00511DE3"/>
    <w:rsid w:val="00512A2F"/>
    <w:rsid w:val="00513B7E"/>
    <w:rsid w:val="00515684"/>
    <w:rsid w:val="00515C74"/>
    <w:rsid w:val="00516086"/>
    <w:rsid w:val="0051713B"/>
    <w:rsid w:val="0052007E"/>
    <w:rsid w:val="0052337A"/>
    <w:rsid w:val="00525137"/>
    <w:rsid w:val="005251DD"/>
    <w:rsid w:val="00532CE7"/>
    <w:rsid w:val="00532E62"/>
    <w:rsid w:val="0053324C"/>
    <w:rsid w:val="00533DAC"/>
    <w:rsid w:val="00534A28"/>
    <w:rsid w:val="00541508"/>
    <w:rsid w:val="00543498"/>
    <w:rsid w:val="00545512"/>
    <w:rsid w:val="00553016"/>
    <w:rsid w:val="0055599F"/>
    <w:rsid w:val="00556995"/>
    <w:rsid w:val="00556D68"/>
    <w:rsid w:val="00563EB8"/>
    <w:rsid w:val="005647BF"/>
    <w:rsid w:val="0056486D"/>
    <w:rsid w:val="00564AF1"/>
    <w:rsid w:val="0056601A"/>
    <w:rsid w:val="005722EB"/>
    <w:rsid w:val="0057364B"/>
    <w:rsid w:val="00574773"/>
    <w:rsid w:val="0058050D"/>
    <w:rsid w:val="0058308D"/>
    <w:rsid w:val="00583FFD"/>
    <w:rsid w:val="00591099"/>
    <w:rsid w:val="005911BE"/>
    <w:rsid w:val="00593152"/>
    <w:rsid w:val="00596010"/>
    <w:rsid w:val="005A10F2"/>
    <w:rsid w:val="005A14E8"/>
    <w:rsid w:val="005A21E0"/>
    <w:rsid w:val="005A28FF"/>
    <w:rsid w:val="005A3DF8"/>
    <w:rsid w:val="005A5113"/>
    <w:rsid w:val="005A5549"/>
    <w:rsid w:val="005A7038"/>
    <w:rsid w:val="005B121D"/>
    <w:rsid w:val="005B3361"/>
    <w:rsid w:val="005C06ED"/>
    <w:rsid w:val="005C2609"/>
    <w:rsid w:val="005C6CF0"/>
    <w:rsid w:val="005D0D46"/>
    <w:rsid w:val="005D5802"/>
    <w:rsid w:val="005D7119"/>
    <w:rsid w:val="005D7241"/>
    <w:rsid w:val="005D7890"/>
    <w:rsid w:val="005E705E"/>
    <w:rsid w:val="005E7C78"/>
    <w:rsid w:val="005F18C5"/>
    <w:rsid w:val="005F3374"/>
    <w:rsid w:val="005F3491"/>
    <w:rsid w:val="005F3EB1"/>
    <w:rsid w:val="005F46D8"/>
    <w:rsid w:val="005F5469"/>
    <w:rsid w:val="00603FF5"/>
    <w:rsid w:val="00604307"/>
    <w:rsid w:val="0060487F"/>
    <w:rsid w:val="00604EAD"/>
    <w:rsid w:val="00605D96"/>
    <w:rsid w:val="006104FB"/>
    <w:rsid w:val="00612A2F"/>
    <w:rsid w:val="0061390C"/>
    <w:rsid w:val="006165E5"/>
    <w:rsid w:val="00616E05"/>
    <w:rsid w:val="00622275"/>
    <w:rsid w:val="00624093"/>
    <w:rsid w:val="00625F8F"/>
    <w:rsid w:val="006350D5"/>
    <w:rsid w:val="006404A7"/>
    <w:rsid w:val="006451E4"/>
    <w:rsid w:val="00645B33"/>
    <w:rsid w:val="006516CB"/>
    <w:rsid w:val="00656FC8"/>
    <w:rsid w:val="00657E87"/>
    <w:rsid w:val="00660072"/>
    <w:rsid w:val="00664803"/>
    <w:rsid w:val="0066504F"/>
    <w:rsid w:val="00665BA4"/>
    <w:rsid w:val="00667AF2"/>
    <w:rsid w:val="006710C9"/>
    <w:rsid w:val="006712EC"/>
    <w:rsid w:val="0067229E"/>
    <w:rsid w:val="006741AC"/>
    <w:rsid w:val="00674D89"/>
    <w:rsid w:val="00675E37"/>
    <w:rsid w:val="0068174E"/>
    <w:rsid w:val="00681DCE"/>
    <w:rsid w:val="0068260E"/>
    <w:rsid w:val="0068697A"/>
    <w:rsid w:val="00693FEC"/>
    <w:rsid w:val="0069490A"/>
    <w:rsid w:val="00695BEF"/>
    <w:rsid w:val="006977F6"/>
    <w:rsid w:val="00697A13"/>
    <w:rsid w:val="006A109C"/>
    <w:rsid w:val="006A2056"/>
    <w:rsid w:val="006A31AB"/>
    <w:rsid w:val="006B0F92"/>
    <w:rsid w:val="006B173A"/>
    <w:rsid w:val="006B344A"/>
    <w:rsid w:val="006B6C74"/>
    <w:rsid w:val="006B759B"/>
    <w:rsid w:val="006B78D8"/>
    <w:rsid w:val="006C113F"/>
    <w:rsid w:val="006C123E"/>
    <w:rsid w:val="006C1752"/>
    <w:rsid w:val="006C4460"/>
    <w:rsid w:val="006C4ED6"/>
    <w:rsid w:val="006C56D4"/>
    <w:rsid w:val="006C6924"/>
    <w:rsid w:val="006C70EB"/>
    <w:rsid w:val="006C7CA6"/>
    <w:rsid w:val="006D3E8A"/>
    <w:rsid w:val="006D61F6"/>
    <w:rsid w:val="006E279A"/>
    <w:rsid w:val="006E313B"/>
    <w:rsid w:val="006E41EC"/>
    <w:rsid w:val="006E4254"/>
    <w:rsid w:val="006E50F8"/>
    <w:rsid w:val="006E7227"/>
    <w:rsid w:val="006F438E"/>
    <w:rsid w:val="006F5416"/>
    <w:rsid w:val="006F7076"/>
    <w:rsid w:val="00702448"/>
    <w:rsid w:val="00705242"/>
    <w:rsid w:val="00706AD4"/>
    <w:rsid w:val="00707150"/>
    <w:rsid w:val="00710078"/>
    <w:rsid w:val="00710229"/>
    <w:rsid w:val="0071217E"/>
    <w:rsid w:val="007140BE"/>
    <w:rsid w:val="007143B4"/>
    <w:rsid w:val="007211F5"/>
    <w:rsid w:val="0072213B"/>
    <w:rsid w:val="00723946"/>
    <w:rsid w:val="007240E2"/>
    <w:rsid w:val="00725BB5"/>
    <w:rsid w:val="00730517"/>
    <w:rsid w:val="00730AE8"/>
    <w:rsid w:val="00730F1B"/>
    <w:rsid w:val="00733628"/>
    <w:rsid w:val="007342AC"/>
    <w:rsid w:val="00741493"/>
    <w:rsid w:val="00743C34"/>
    <w:rsid w:val="007457F6"/>
    <w:rsid w:val="00752180"/>
    <w:rsid w:val="00753CAB"/>
    <w:rsid w:val="00755202"/>
    <w:rsid w:val="00755D3A"/>
    <w:rsid w:val="007578D3"/>
    <w:rsid w:val="007609C6"/>
    <w:rsid w:val="00760EA4"/>
    <w:rsid w:val="0076175D"/>
    <w:rsid w:val="00763B85"/>
    <w:rsid w:val="00764744"/>
    <w:rsid w:val="0076521E"/>
    <w:rsid w:val="00765C12"/>
    <w:rsid w:val="007661E9"/>
    <w:rsid w:val="00770784"/>
    <w:rsid w:val="00773220"/>
    <w:rsid w:val="00776169"/>
    <w:rsid w:val="00776527"/>
    <w:rsid w:val="00776EAB"/>
    <w:rsid w:val="00780EF1"/>
    <w:rsid w:val="00782AD8"/>
    <w:rsid w:val="00790711"/>
    <w:rsid w:val="00790764"/>
    <w:rsid w:val="0079124F"/>
    <w:rsid w:val="0079453C"/>
    <w:rsid w:val="00794677"/>
    <w:rsid w:val="00795928"/>
    <w:rsid w:val="00797445"/>
    <w:rsid w:val="007A3861"/>
    <w:rsid w:val="007A4577"/>
    <w:rsid w:val="007A516D"/>
    <w:rsid w:val="007B6689"/>
    <w:rsid w:val="007C6BBD"/>
    <w:rsid w:val="007D293C"/>
    <w:rsid w:val="007D40DF"/>
    <w:rsid w:val="007E29B4"/>
    <w:rsid w:val="007E435A"/>
    <w:rsid w:val="007E76C3"/>
    <w:rsid w:val="007E7E61"/>
    <w:rsid w:val="007E7FCE"/>
    <w:rsid w:val="007F0076"/>
    <w:rsid w:val="007F0845"/>
    <w:rsid w:val="007F708D"/>
    <w:rsid w:val="00800216"/>
    <w:rsid w:val="00801E13"/>
    <w:rsid w:val="00807365"/>
    <w:rsid w:val="00807C82"/>
    <w:rsid w:val="00810C82"/>
    <w:rsid w:val="00811E1D"/>
    <w:rsid w:val="00814B15"/>
    <w:rsid w:val="00816905"/>
    <w:rsid w:val="00821777"/>
    <w:rsid w:val="00821C44"/>
    <w:rsid w:val="00821FF6"/>
    <w:rsid w:val="00822574"/>
    <w:rsid w:val="00825C4D"/>
    <w:rsid w:val="008304D1"/>
    <w:rsid w:val="00830D03"/>
    <w:rsid w:val="0083143E"/>
    <w:rsid w:val="00831CDE"/>
    <w:rsid w:val="00834304"/>
    <w:rsid w:val="00834FAA"/>
    <w:rsid w:val="0083516C"/>
    <w:rsid w:val="00836086"/>
    <w:rsid w:val="00843A14"/>
    <w:rsid w:val="00846121"/>
    <w:rsid w:val="008462A8"/>
    <w:rsid w:val="0084708F"/>
    <w:rsid w:val="008477C8"/>
    <w:rsid w:val="00847963"/>
    <w:rsid w:val="00850815"/>
    <w:rsid w:val="0085114D"/>
    <w:rsid w:val="00852217"/>
    <w:rsid w:val="00853B8D"/>
    <w:rsid w:val="00854F24"/>
    <w:rsid w:val="00855408"/>
    <w:rsid w:val="00855712"/>
    <w:rsid w:val="00856D65"/>
    <w:rsid w:val="00861B41"/>
    <w:rsid w:val="00861BE3"/>
    <w:rsid w:val="00863434"/>
    <w:rsid w:val="00865E4C"/>
    <w:rsid w:val="008701E4"/>
    <w:rsid w:val="0087052A"/>
    <w:rsid w:val="00871069"/>
    <w:rsid w:val="00875A32"/>
    <w:rsid w:val="00876086"/>
    <w:rsid w:val="008766AC"/>
    <w:rsid w:val="00881EAF"/>
    <w:rsid w:val="008825B0"/>
    <w:rsid w:val="00884AD6"/>
    <w:rsid w:val="008873D4"/>
    <w:rsid w:val="00890D6D"/>
    <w:rsid w:val="0089126C"/>
    <w:rsid w:val="0089296D"/>
    <w:rsid w:val="00893E85"/>
    <w:rsid w:val="00894031"/>
    <w:rsid w:val="00895508"/>
    <w:rsid w:val="008A6CB4"/>
    <w:rsid w:val="008B542E"/>
    <w:rsid w:val="008B5CF6"/>
    <w:rsid w:val="008B76AB"/>
    <w:rsid w:val="008B7C02"/>
    <w:rsid w:val="008B7D2B"/>
    <w:rsid w:val="008C0049"/>
    <w:rsid w:val="008C0E88"/>
    <w:rsid w:val="008C1968"/>
    <w:rsid w:val="008C53CB"/>
    <w:rsid w:val="008C6FD4"/>
    <w:rsid w:val="008D1BA1"/>
    <w:rsid w:val="008D1E6A"/>
    <w:rsid w:val="008D2A16"/>
    <w:rsid w:val="008D30DF"/>
    <w:rsid w:val="008D632C"/>
    <w:rsid w:val="008D6B35"/>
    <w:rsid w:val="008D75D9"/>
    <w:rsid w:val="008E163D"/>
    <w:rsid w:val="008E2C57"/>
    <w:rsid w:val="008E31FF"/>
    <w:rsid w:val="008E6F06"/>
    <w:rsid w:val="008E7FC9"/>
    <w:rsid w:val="008F029B"/>
    <w:rsid w:val="008F3FC9"/>
    <w:rsid w:val="008F585B"/>
    <w:rsid w:val="009003A8"/>
    <w:rsid w:val="00901518"/>
    <w:rsid w:val="00902500"/>
    <w:rsid w:val="00902EFF"/>
    <w:rsid w:val="00906401"/>
    <w:rsid w:val="0091155E"/>
    <w:rsid w:val="00912A92"/>
    <w:rsid w:val="0091728D"/>
    <w:rsid w:val="0092180B"/>
    <w:rsid w:val="00921F14"/>
    <w:rsid w:val="009231A3"/>
    <w:rsid w:val="00924AC8"/>
    <w:rsid w:val="0092597A"/>
    <w:rsid w:val="00925E75"/>
    <w:rsid w:val="00930FB1"/>
    <w:rsid w:val="0093139F"/>
    <w:rsid w:val="00932443"/>
    <w:rsid w:val="00934464"/>
    <w:rsid w:val="00937AE2"/>
    <w:rsid w:val="00943853"/>
    <w:rsid w:val="0094427A"/>
    <w:rsid w:val="00945245"/>
    <w:rsid w:val="009452D0"/>
    <w:rsid w:val="00956572"/>
    <w:rsid w:val="00957309"/>
    <w:rsid w:val="0095759C"/>
    <w:rsid w:val="009607C5"/>
    <w:rsid w:val="00961532"/>
    <w:rsid w:val="0096774F"/>
    <w:rsid w:val="00967E76"/>
    <w:rsid w:val="009721DB"/>
    <w:rsid w:val="0097239B"/>
    <w:rsid w:val="00974071"/>
    <w:rsid w:val="00974923"/>
    <w:rsid w:val="009808F7"/>
    <w:rsid w:val="00980D3D"/>
    <w:rsid w:val="00981FFA"/>
    <w:rsid w:val="009855E1"/>
    <w:rsid w:val="00986D06"/>
    <w:rsid w:val="00987A30"/>
    <w:rsid w:val="00992CF3"/>
    <w:rsid w:val="00994868"/>
    <w:rsid w:val="0099574A"/>
    <w:rsid w:val="009968D6"/>
    <w:rsid w:val="009A1CAB"/>
    <w:rsid w:val="009A60D1"/>
    <w:rsid w:val="009B6FD3"/>
    <w:rsid w:val="009C02C3"/>
    <w:rsid w:val="009C1750"/>
    <w:rsid w:val="009C2E29"/>
    <w:rsid w:val="009C3F5D"/>
    <w:rsid w:val="009C554B"/>
    <w:rsid w:val="009C719E"/>
    <w:rsid w:val="009C7A10"/>
    <w:rsid w:val="009D1120"/>
    <w:rsid w:val="009D3ACD"/>
    <w:rsid w:val="009D4785"/>
    <w:rsid w:val="009E1988"/>
    <w:rsid w:val="009E5273"/>
    <w:rsid w:val="009E5DDB"/>
    <w:rsid w:val="009E7F05"/>
    <w:rsid w:val="009F46B7"/>
    <w:rsid w:val="009F4CA7"/>
    <w:rsid w:val="009F7558"/>
    <w:rsid w:val="009F791A"/>
    <w:rsid w:val="00A04CEF"/>
    <w:rsid w:val="00A10D66"/>
    <w:rsid w:val="00A14114"/>
    <w:rsid w:val="00A14995"/>
    <w:rsid w:val="00A1537C"/>
    <w:rsid w:val="00A16413"/>
    <w:rsid w:val="00A16E1D"/>
    <w:rsid w:val="00A17D5B"/>
    <w:rsid w:val="00A17EB2"/>
    <w:rsid w:val="00A206E5"/>
    <w:rsid w:val="00A20CC0"/>
    <w:rsid w:val="00A23447"/>
    <w:rsid w:val="00A23E43"/>
    <w:rsid w:val="00A25216"/>
    <w:rsid w:val="00A30F65"/>
    <w:rsid w:val="00A32BF2"/>
    <w:rsid w:val="00A33549"/>
    <w:rsid w:val="00A33A89"/>
    <w:rsid w:val="00A34D27"/>
    <w:rsid w:val="00A40EAC"/>
    <w:rsid w:val="00A40EDD"/>
    <w:rsid w:val="00A418BC"/>
    <w:rsid w:val="00A4206C"/>
    <w:rsid w:val="00A4632B"/>
    <w:rsid w:val="00A46DE0"/>
    <w:rsid w:val="00A472EB"/>
    <w:rsid w:val="00A47FCA"/>
    <w:rsid w:val="00A50D73"/>
    <w:rsid w:val="00A52CAD"/>
    <w:rsid w:val="00A53FC7"/>
    <w:rsid w:val="00A60799"/>
    <w:rsid w:val="00A62CE1"/>
    <w:rsid w:val="00A668A3"/>
    <w:rsid w:val="00A6741E"/>
    <w:rsid w:val="00A754EA"/>
    <w:rsid w:val="00A75E40"/>
    <w:rsid w:val="00A770F4"/>
    <w:rsid w:val="00A77D1D"/>
    <w:rsid w:val="00A84A6A"/>
    <w:rsid w:val="00A857C0"/>
    <w:rsid w:val="00A90FED"/>
    <w:rsid w:val="00AA2996"/>
    <w:rsid w:val="00AA2A70"/>
    <w:rsid w:val="00AA2DA1"/>
    <w:rsid w:val="00AA4B30"/>
    <w:rsid w:val="00AA52BF"/>
    <w:rsid w:val="00AA559A"/>
    <w:rsid w:val="00AB2AF1"/>
    <w:rsid w:val="00AB535B"/>
    <w:rsid w:val="00AC45BD"/>
    <w:rsid w:val="00AC5791"/>
    <w:rsid w:val="00AD168E"/>
    <w:rsid w:val="00AD306C"/>
    <w:rsid w:val="00AD4F16"/>
    <w:rsid w:val="00AD5323"/>
    <w:rsid w:val="00AD68C4"/>
    <w:rsid w:val="00AE09B3"/>
    <w:rsid w:val="00AE0ED3"/>
    <w:rsid w:val="00AE153F"/>
    <w:rsid w:val="00AE1A2E"/>
    <w:rsid w:val="00AE1A83"/>
    <w:rsid w:val="00AE31A7"/>
    <w:rsid w:val="00AF1DE9"/>
    <w:rsid w:val="00AF6128"/>
    <w:rsid w:val="00B00913"/>
    <w:rsid w:val="00B01593"/>
    <w:rsid w:val="00B01CF3"/>
    <w:rsid w:val="00B023F2"/>
    <w:rsid w:val="00B04705"/>
    <w:rsid w:val="00B04E70"/>
    <w:rsid w:val="00B07959"/>
    <w:rsid w:val="00B07BBB"/>
    <w:rsid w:val="00B10325"/>
    <w:rsid w:val="00B10A4D"/>
    <w:rsid w:val="00B14BC1"/>
    <w:rsid w:val="00B17E71"/>
    <w:rsid w:val="00B17FDE"/>
    <w:rsid w:val="00B2379C"/>
    <w:rsid w:val="00B25189"/>
    <w:rsid w:val="00B2687D"/>
    <w:rsid w:val="00B26897"/>
    <w:rsid w:val="00B32DDB"/>
    <w:rsid w:val="00B34528"/>
    <w:rsid w:val="00B34CC9"/>
    <w:rsid w:val="00B402FC"/>
    <w:rsid w:val="00B439DA"/>
    <w:rsid w:val="00B46604"/>
    <w:rsid w:val="00B50624"/>
    <w:rsid w:val="00B530CD"/>
    <w:rsid w:val="00B55F5E"/>
    <w:rsid w:val="00B5752E"/>
    <w:rsid w:val="00B63A11"/>
    <w:rsid w:val="00B63B6A"/>
    <w:rsid w:val="00B64C24"/>
    <w:rsid w:val="00B6608F"/>
    <w:rsid w:val="00B67768"/>
    <w:rsid w:val="00B679FB"/>
    <w:rsid w:val="00B71EF7"/>
    <w:rsid w:val="00B7665A"/>
    <w:rsid w:val="00B76D1E"/>
    <w:rsid w:val="00B8028A"/>
    <w:rsid w:val="00B80B8B"/>
    <w:rsid w:val="00B80EC6"/>
    <w:rsid w:val="00B84CF6"/>
    <w:rsid w:val="00B857A1"/>
    <w:rsid w:val="00B87623"/>
    <w:rsid w:val="00B92D1D"/>
    <w:rsid w:val="00B938C5"/>
    <w:rsid w:val="00B95940"/>
    <w:rsid w:val="00BA37EA"/>
    <w:rsid w:val="00BA5256"/>
    <w:rsid w:val="00BA6C2B"/>
    <w:rsid w:val="00BB22F6"/>
    <w:rsid w:val="00BB46F3"/>
    <w:rsid w:val="00BB4CB1"/>
    <w:rsid w:val="00BB4F98"/>
    <w:rsid w:val="00BB73ED"/>
    <w:rsid w:val="00BC5C12"/>
    <w:rsid w:val="00BC7154"/>
    <w:rsid w:val="00BC731E"/>
    <w:rsid w:val="00BD366B"/>
    <w:rsid w:val="00BD6D50"/>
    <w:rsid w:val="00BE18B9"/>
    <w:rsid w:val="00BE2495"/>
    <w:rsid w:val="00BF1578"/>
    <w:rsid w:val="00BF3B1D"/>
    <w:rsid w:val="00BF6D32"/>
    <w:rsid w:val="00BF71A0"/>
    <w:rsid w:val="00BF723F"/>
    <w:rsid w:val="00C02943"/>
    <w:rsid w:val="00C16FB0"/>
    <w:rsid w:val="00C21F94"/>
    <w:rsid w:val="00C27913"/>
    <w:rsid w:val="00C27E4F"/>
    <w:rsid w:val="00C325AE"/>
    <w:rsid w:val="00C32964"/>
    <w:rsid w:val="00C33B68"/>
    <w:rsid w:val="00C36A79"/>
    <w:rsid w:val="00C401D2"/>
    <w:rsid w:val="00C405D4"/>
    <w:rsid w:val="00C41D07"/>
    <w:rsid w:val="00C4431F"/>
    <w:rsid w:val="00C4513B"/>
    <w:rsid w:val="00C5390B"/>
    <w:rsid w:val="00C53E5D"/>
    <w:rsid w:val="00C54141"/>
    <w:rsid w:val="00C5418A"/>
    <w:rsid w:val="00C54697"/>
    <w:rsid w:val="00C65535"/>
    <w:rsid w:val="00C65C22"/>
    <w:rsid w:val="00C66B0D"/>
    <w:rsid w:val="00C71E85"/>
    <w:rsid w:val="00C72884"/>
    <w:rsid w:val="00C73885"/>
    <w:rsid w:val="00C73BA9"/>
    <w:rsid w:val="00C747B1"/>
    <w:rsid w:val="00C82191"/>
    <w:rsid w:val="00C83134"/>
    <w:rsid w:val="00C85545"/>
    <w:rsid w:val="00C9003C"/>
    <w:rsid w:val="00C90CF4"/>
    <w:rsid w:val="00C92EB6"/>
    <w:rsid w:val="00C93389"/>
    <w:rsid w:val="00C96040"/>
    <w:rsid w:val="00C9769E"/>
    <w:rsid w:val="00CA0914"/>
    <w:rsid w:val="00CA6AB4"/>
    <w:rsid w:val="00CA7BE7"/>
    <w:rsid w:val="00CB2F3F"/>
    <w:rsid w:val="00CB4930"/>
    <w:rsid w:val="00CC0E87"/>
    <w:rsid w:val="00CC2E7D"/>
    <w:rsid w:val="00CC6B42"/>
    <w:rsid w:val="00CD10A5"/>
    <w:rsid w:val="00CD2076"/>
    <w:rsid w:val="00CD29B5"/>
    <w:rsid w:val="00CD6331"/>
    <w:rsid w:val="00CD7704"/>
    <w:rsid w:val="00CD7AFB"/>
    <w:rsid w:val="00CE3E57"/>
    <w:rsid w:val="00CE670B"/>
    <w:rsid w:val="00CF19CB"/>
    <w:rsid w:val="00CF262D"/>
    <w:rsid w:val="00CF322D"/>
    <w:rsid w:val="00CF39C9"/>
    <w:rsid w:val="00CF4908"/>
    <w:rsid w:val="00CF51EC"/>
    <w:rsid w:val="00CF59E5"/>
    <w:rsid w:val="00CF73AE"/>
    <w:rsid w:val="00D040DD"/>
    <w:rsid w:val="00D075BE"/>
    <w:rsid w:val="00D13986"/>
    <w:rsid w:val="00D21D83"/>
    <w:rsid w:val="00D235B7"/>
    <w:rsid w:val="00D23C02"/>
    <w:rsid w:val="00D23F97"/>
    <w:rsid w:val="00D25F28"/>
    <w:rsid w:val="00D26071"/>
    <w:rsid w:val="00D27973"/>
    <w:rsid w:val="00D35E1A"/>
    <w:rsid w:val="00D37C1E"/>
    <w:rsid w:val="00D40B2B"/>
    <w:rsid w:val="00D40CFA"/>
    <w:rsid w:val="00D40F7C"/>
    <w:rsid w:val="00D417B7"/>
    <w:rsid w:val="00D42211"/>
    <w:rsid w:val="00D42756"/>
    <w:rsid w:val="00D50F46"/>
    <w:rsid w:val="00D567C6"/>
    <w:rsid w:val="00D57677"/>
    <w:rsid w:val="00D61DF8"/>
    <w:rsid w:val="00D66223"/>
    <w:rsid w:val="00D674D7"/>
    <w:rsid w:val="00D71625"/>
    <w:rsid w:val="00D751DA"/>
    <w:rsid w:val="00D8084C"/>
    <w:rsid w:val="00D915EA"/>
    <w:rsid w:val="00D95B68"/>
    <w:rsid w:val="00D96855"/>
    <w:rsid w:val="00DA47A8"/>
    <w:rsid w:val="00DA48C1"/>
    <w:rsid w:val="00DA7C0C"/>
    <w:rsid w:val="00DB08A9"/>
    <w:rsid w:val="00DB2EC8"/>
    <w:rsid w:val="00DB5AF8"/>
    <w:rsid w:val="00DB5FC0"/>
    <w:rsid w:val="00DB6566"/>
    <w:rsid w:val="00DC1B9B"/>
    <w:rsid w:val="00DC1E84"/>
    <w:rsid w:val="00DC40D2"/>
    <w:rsid w:val="00DC48F1"/>
    <w:rsid w:val="00DC4EDE"/>
    <w:rsid w:val="00DC5B3B"/>
    <w:rsid w:val="00DD129F"/>
    <w:rsid w:val="00DD4EFE"/>
    <w:rsid w:val="00DE02BD"/>
    <w:rsid w:val="00DE5DBA"/>
    <w:rsid w:val="00DF42FF"/>
    <w:rsid w:val="00DF5908"/>
    <w:rsid w:val="00E01C0E"/>
    <w:rsid w:val="00E03F9A"/>
    <w:rsid w:val="00E0465E"/>
    <w:rsid w:val="00E04694"/>
    <w:rsid w:val="00E063CE"/>
    <w:rsid w:val="00E12B1E"/>
    <w:rsid w:val="00E12F7C"/>
    <w:rsid w:val="00E15B76"/>
    <w:rsid w:val="00E17262"/>
    <w:rsid w:val="00E20B53"/>
    <w:rsid w:val="00E253A2"/>
    <w:rsid w:val="00E314B9"/>
    <w:rsid w:val="00E329EF"/>
    <w:rsid w:val="00E3309D"/>
    <w:rsid w:val="00E374F4"/>
    <w:rsid w:val="00E409C2"/>
    <w:rsid w:val="00E43C1C"/>
    <w:rsid w:val="00E45931"/>
    <w:rsid w:val="00E47EBA"/>
    <w:rsid w:val="00E50156"/>
    <w:rsid w:val="00E51643"/>
    <w:rsid w:val="00E53470"/>
    <w:rsid w:val="00E53874"/>
    <w:rsid w:val="00E539F6"/>
    <w:rsid w:val="00E54E39"/>
    <w:rsid w:val="00E55091"/>
    <w:rsid w:val="00E6519D"/>
    <w:rsid w:val="00E67696"/>
    <w:rsid w:val="00E71654"/>
    <w:rsid w:val="00E71A58"/>
    <w:rsid w:val="00E72A7A"/>
    <w:rsid w:val="00E75C94"/>
    <w:rsid w:val="00E7677B"/>
    <w:rsid w:val="00E849A6"/>
    <w:rsid w:val="00E91024"/>
    <w:rsid w:val="00E920F4"/>
    <w:rsid w:val="00E93820"/>
    <w:rsid w:val="00E944EF"/>
    <w:rsid w:val="00E94A86"/>
    <w:rsid w:val="00E96143"/>
    <w:rsid w:val="00EA038B"/>
    <w:rsid w:val="00EA0987"/>
    <w:rsid w:val="00EA0C68"/>
    <w:rsid w:val="00EA32BC"/>
    <w:rsid w:val="00EA4302"/>
    <w:rsid w:val="00EA6C97"/>
    <w:rsid w:val="00EA7407"/>
    <w:rsid w:val="00EB39C7"/>
    <w:rsid w:val="00EB3D8F"/>
    <w:rsid w:val="00EB4511"/>
    <w:rsid w:val="00EB4A12"/>
    <w:rsid w:val="00EC03D7"/>
    <w:rsid w:val="00EC15CC"/>
    <w:rsid w:val="00EC313D"/>
    <w:rsid w:val="00ED62C6"/>
    <w:rsid w:val="00ED64C1"/>
    <w:rsid w:val="00EE0E68"/>
    <w:rsid w:val="00EE3446"/>
    <w:rsid w:val="00EE3E78"/>
    <w:rsid w:val="00EE4B1B"/>
    <w:rsid w:val="00EE7F19"/>
    <w:rsid w:val="00EF150D"/>
    <w:rsid w:val="00EF1F5A"/>
    <w:rsid w:val="00EF47BF"/>
    <w:rsid w:val="00EF6DB3"/>
    <w:rsid w:val="00F04811"/>
    <w:rsid w:val="00F0488C"/>
    <w:rsid w:val="00F066CF"/>
    <w:rsid w:val="00F10F11"/>
    <w:rsid w:val="00F15AAA"/>
    <w:rsid w:val="00F15BEF"/>
    <w:rsid w:val="00F17E83"/>
    <w:rsid w:val="00F24407"/>
    <w:rsid w:val="00F24931"/>
    <w:rsid w:val="00F24FAA"/>
    <w:rsid w:val="00F252A0"/>
    <w:rsid w:val="00F25B4A"/>
    <w:rsid w:val="00F25DEE"/>
    <w:rsid w:val="00F3364D"/>
    <w:rsid w:val="00F437CC"/>
    <w:rsid w:val="00F43E29"/>
    <w:rsid w:val="00F44537"/>
    <w:rsid w:val="00F44B6A"/>
    <w:rsid w:val="00F47067"/>
    <w:rsid w:val="00F50FC3"/>
    <w:rsid w:val="00F51087"/>
    <w:rsid w:val="00F5188A"/>
    <w:rsid w:val="00F52106"/>
    <w:rsid w:val="00F525EB"/>
    <w:rsid w:val="00F63DDE"/>
    <w:rsid w:val="00F63FB7"/>
    <w:rsid w:val="00F6421B"/>
    <w:rsid w:val="00F649D2"/>
    <w:rsid w:val="00F6602B"/>
    <w:rsid w:val="00F66643"/>
    <w:rsid w:val="00F66E76"/>
    <w:rsid w:val="00F66FD9"/>
    <w:rsid w:val="00F67C4E"/>
    <w:rsid w:val="00F70D20"/>
    <w:rsid w:val="00F72275"/>
    <w:rsid w:val="00F73990"/>
    <w:rsid w:val="00F73A0C"/>
    <w:rsid w:val="00F756DB"/>
    <w:rsid w:val="00F84E7D"/>
    <w:rsid w:val="00F85066"/>
    <w:rsid w:val="00F87A4D"/>
    <w:rsid w:val="00F90035"/>
    <w:rsid w:val="00F92283"/>
    <w:rsid w:val="00F9785E"/>
    <w:rsid w:val="00FA5D4D"/>
    <w:rsid w:val="00FA60AD"/>
    <w:rsid w:val="00FA7115"/>
    <w:rsid w:val="00FB0EE2"/>
    <w:rsid w:val="00FB4423"/>
    <w:rsid w:val="00FB542E"/>
    <w:rsid w:val="00FB6631"/>
    <w:rsid w:val="00FC0E5F"/>
    <w:rsid w:val="00FC1A95"/>
    <w:rsid w:val="00FC56DE"/>
    <w:rsid w:val="00FC6700"/>
    <w:rsid w:val="00FC684B"/>
    <w:rsid w:val="00FD1A5F"/>
    <w:rsid w:val="00FD3265"/>
    <w:rsid w:val="00FD5F92"/>
    <w:rsid w:val="00FD66F9"/>
    <w:rsid w:val="00FD78F8"/>
    <w:rsid w:val="00FE2F78"/>
    <w:rsid w:val="00FE470B"/>
    <w:rsid w:val="00FF4082"/>
    <w:rsid w:val="00FF7090"/>
    <w:rsid w:val="00FF7B96"/>
    <w:rsid w:val="010E6CF6"/>
    <w:rsid w:val="0274CEEB"/>
    <w:rsid w:val="11D0C0D9"/>
    <w:rsid w:val="1C7F89FF"/>
    <w:rsid w:val="304DB734"/>
    <w:rsid w:val="30D0B3BE"/>
    <w:rsid w:val="52CC52E2"/>
    <w:rsid w:val="55C2456F"/>
    <w:rsid w:val="614CA75B"/>
    <w:rsid w:val="6B2670A5"/>
    <w:rsid w:val="6E1EAC99"/>
    <w:rsid w:val="7BDB84E4"/>
    <w:rsid w:val="7DB22EB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tabs>
        <w:tab w:val="num" w:pos="360"/>
      </w:tabs>
      <w:spacing w:before="200" w:after="0"/>
      <w:ind w:left="0" w:firstLine="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tabs>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tabs>
        <w:tab w:val="num" w:pos="360"/>
      </w:tabs>
      <w:spacing w:before="200" w:after="0"/>
      <w:ind w:left="0" w:firstLine="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tabs>
        <w:tab w:val="num" w:pos="360"/>
      </w:tabs>
      <w:spacing w:before="240" w:after="60"/>
      <w:ind w:left="0" w:firstLine="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link w:val="OdstavecseseznamemChar"/>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styleId="Odkaznakoment">
    <w:name w:val="annotation reference"/>
    <w:basedOn w:val="Standardnpsmoodstavce"/>
    <w:uiPriority w:val="99"/>
    <w:semiHidden/>
    <w:unhideWhenUsed/>
    <w:rsid w:val="00545512"/>
    <w:rPr>
      <w:sz w:val="16"/>
      <w:szCs w:val="16"/>
    </w:rPr>
  </w:style>
  <w:style w:type="paragraph" w:styleId="Textkomente">
    <w:name w:val="annotation text"/>
    <w:basedOn w:val="Normln"/>
    <w:link w:val="TextkomenteChar"/>
    <w:uiPriority w:val="99"/>
    <w:unhideWhenUsed/>
    <w:rsid w:val="00545512"/>
    <w:pPr>
      <w:spacing w:line="240" w:lineRule="auto"/>
    </w:pPr>
    <w:rPr>
      <w:szCs w:val="20"/>
    </w:rPr>
  </w:style>
  <w:style w:type="character" w:customStyle="1" w:styleId="TextkomenteChar">
    <w:name w:val="Text komentáře Char"/>
    <w:basedOn w:val="Standardnpsmoodstavce"/>
    <w:link w:val="Textkomente"/>
    <w:uiPriority w:val="99"/>
    <w:rsid w:val="00545512"/>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545512"/>
    <w:rPr>
      <w:b/>
      <w:bCs/>
    </w:rPr>
  </w:style>
  <w:style w:type="character" w:customStyle="1" w:styleId="PedmtkomenteChar">
    <w:name w:val="Předmět komentáře Char"/>
    <w:basedOn w:val="TextkomenteChar"/>
    <w:link w:val="Pedmtkomente"/>
    <w:uiPriority w:val="99"/>
    <w:semiHidden/>
    <w:rsid w:val="00545512"/>
    <w:rPr>
      <w:rFonts w:ascii="Arial" w:eastAsia="Times New Roman" w:hAnsi="Arial"/>
      <w:b/>
      <w:bCs/>
      <w:lang w:eastAsia="cs-CZ"/>
    </w:rPr>
  </w:style>
  <w:style w:type="paragraph" w:styleId="Rozloendokumentu">
    <w:name w:val="Document Map"/>
    <w:basedOn w:val="Normln"/>
    <w:link w:val="RozloendokumentuChar"/>
    <w:uiPriority w:val="99"/>
    <w:semiHidden/>
    <w:rsid w:val="0054551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545512"/>
    <w:rPr>
      <w:rFonts w:ascii="Tahoma" w:hAnsi="Tahoma" w:cs="Tahoma"/>
      <w:sz w:val="16"/>
      <w:szCs w:val="16"/>
      <w:lang w:eastAsia="cs-CZ"/>
    </w:rPr>
  </w:style>
  <w:style w:type="paragraph" w:customStyle="1" w:styleId="Nadpis12">
    <w:name w:val="Nadpis 12"/>
    <w:basedOn w:val="Normln"/>
    <w:uiPriority w:val="9"/>
    <w:qFormat/>
    <w:rsid w:val="00545512"/>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545512"/>
  </w:style>
  <w:style w:type="paragraph" w:styleId="Revize">
    <w:name w:val="Revision"/>
    <w:hidden/>
    <w:uiPriority w:val="99"/>
    <w:semiHidden/>
    <w:rsid w:val="00545512"/>
    <w:rPr>
      <w:rFonts w:ascii="Arial" w:eastAsia="Times New Roman" w:hAnsi="Arial"/>
      <w:szCs w:val="24"/>
      <w:lang w:eastAsia="cs-CZ"/>
    </w:rPr>
  </w:style>
  <w:style w:type="character" w:customStyle="1" w:styleId="odkaz-style-wrapper">
    <w:name w:val="odkaz-style-wrapper"/>
    <w:basedOn w:val="Standardnpsmoodstavce"/>
    <w:rsid w:val="00545512"/>
  </w:style>
  <w:style w:type="character" w:customStyle="1" w:styleId="tabulka">
    <w:name w:val="tabulka"/>
    <w:basedOn w:val="Standardnpsmoodstavce"/>
    <w:rsid w:val="00545512"/>
  </w:style>
  <w:style w:type="paragraph" w:customStyle="1" w:styleId="Default">
    <w:name w:val="Default"/>
    <w:rsid w:val="00545512"/>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545512"/>
    <w:pPr>
      <w:spacing w:before="100" w:beforeAutospacing="1" w:after="100" w:afterAutospacing="1" w:line="240" w:lineRule="auto"/>
      <w:jc w:val="left"/>
    </w:pPr>
    <w:rPr>
      <w:rFonts w:ascii="Times New Roman" w:hAnsi="Times New Roman"/>
      <w:sz w:val="24"/>
    </w:rPr>
  </w:style>
  <w:style w:type="paragraph" w:styleId="FormtovanvHTML">
    <w:name w:val="HTML Preformatted"/>
    <w:basedOn w:val="Normln"/>
    <w:link w:val="FormtovanvHTMLChar"/>
    <w:uiPriority w:val="99"/>
    <w:semiHidden/>
    <w:unhideWhenUsed/>
    <w:rsid w:val="0054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545512"/>
    <w:rPr>
      <w:rFonts w:ascii="Courier New" w:eastAsia="Times New Roman" w:hAnsi="Courier New" w:cs="Courier New"/>
      <w:lang w:eastAsia="cs-CZ"/>
    </w:rPr>
  </w:style>
  <w:style w:type="paragraph" w:customStyle="1" w:styleId="cay">
    <w:name w:val="c_ay"/>
    <w:basedOn w:val="Normln"/>
    <w:rsid w:val="00545512"/>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545512"/>
  </w:style>
  <w:style w:type="character" w:styleId="Sledovanodkaz">
    <w:name w:val="FollowedHyperlink"/>
    <w:basedOn w:val="Standardnpsmoodstavce"/>
    <w:uiPriority w:val="99"/>
    <w:semiHidden/>
    <w:unhideWhenUsed/>
    <w:rsid w:val="00545512"/>
    <w:rPr>
      <w:color w:val="800080" w:themeColor="followedHyperlink"/>
      <w:u w:val="single"/>
    </w:rPr>
  </w:style>
  <w:style w:type="character" w:customStyle="1" w:styleId="cfu">
    <w:name w:val="c_fu"/>
    <w:basedOn w:val="Standardnpsmoodstavce"/>
    <w:rsid w:val="00BF3B1D"/>
  </w:style>
  <w:style w:type="character" w:customStyle="1" w:styleId="OdstavecseseznamemChar">
    <w:name w:val="Odstavec se seznamem Char"/>
    <w:basedOn w:val="Standardnpsmoodstavce"/>
    <w:link w:val="Odstavecseseznamem"/>
    <w:uiPriority w:val="34"/>
    <w:rsid w:val="00CF59E5"/>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6344914">
      <w:bodyDiv w:val="1"/>
      <w:marLeft w:val="0"/>
      <w:marRight w:val="0"/>
      <w:marTop w:val="0"/>
      <w:marBottom w:val="0"/>
      <w:divBdr>
        <w:top w:val="none" w:sz="0" w:space="0" w:color="auto"/>
        <w:left w:val="none" w:sz="0" w:space="0" w:color="auto"/>
        <w:bottom w:val="none" w:sz="0" w:space="0" w:color="auto"/>
        <w:right w:val="none" w:sz="0" w:space="0" w:color="auto"/>
      </w:divBdr>
    </w:div>
    <w:div w:id="11051791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66721734">
      <w:bodyDiv w:val="1"/>
      <w:marLeft w:val="0"/>
      <w:marRight w:val="0"/>
      <w:marTop w:val="0"/>
      <w:marBottom w:val="0"/>
      <w:divBdr>
        <w:top w:val="none" w:sz="0" w:space="0" w:color="auto"/>
        <w:left w:val="none" w:sz="0" w:space="0" w:color="auto"/>
        <w:bottom w:val="none" w:sz="0" w:space="0" w:color="auto"/>
        <w:right w:val="none" w:sz="0" w:space="0" w:color="auto"/>
      </w:divBdr>
    </w:div>
    <w:div w:id="1639457441">
      <w:bodyDiv w:val="1"/>
      <w:marLeft w:val="0"/>
      <w:marRight w:val="0"/>
      <w:marTop w:val="0"/>
      <w:marBottom w:val="0"/>
      <w:divBdr>
        <w:top w:val="none" w:sz="0" w:space="0" w:color="auto"/>
        <w:left w:val="none" w:sz="0" w:space="0" w:color="auto"/>
        <w:bottom w:val="none" w:sz="0" w:space="0" w:color="auto"/>
        <w:right w:val="none" w:sz="0" w:space="0" w:color="auto"/>
      </w:divBdr>
    </w:div>
    <w:div w:id="1716924412">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0620675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Qmakro-2025\cekorok%202025\Odv&#283;tv&#237;\ODV&#282;TV&#205;_grafy_celorok-2025-ak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Qmakro-2025\cekorok%202025\Odv&#283;tv&#237;\ODV&#282;TV&#205;_grafy_celorok-2025-ak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Qmakro-2025\cekorok%202025\Odv&#283;tv&#237;\ODV&#282;TV&#205;_grafy_celorok-2025-ak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Qmakro-2025\cekorok%202025\Odv&#283;tv&#237;\ODV&#282;TV&#205;_grafy_celorok-2025-ak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Qmakro-2025\cekorok%202025\Odv&#283;tv&#237;\aktualizace%20dat\ODV&#282;TV&#205;_grafy_celorok-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610992424025054E-2"/>
          <c:y val="1.5804777005479873E-2"/>
          <c:w val="0.84144249386957193"/>
          <c:h val="0.67988415028182514"/>
        </c:manualLayout>
      </c:layout>
      <c:barChart>
        <c:barDir val="col"/>
        <c:grouping val="stacked"/>
        <c:varyColors val="0"/>
        <c:ser>
          <c:idx val="0"/>
          <c:order val="0"/>
          <c:tx>
            <c:strRef>
              <c:f>'GRAF příspěvky IPP'!$A$27</c:f>
              <c:strCache>
                <c:ptCount val="1"/>
                <c:pt idx="0">
                  <c:v>Výroba dopravních prostředků (29, 30)</c:v>
                </c:pt>
              </c:strCache>
            </c:strRef>
          </c:tx>
          <c:spPr>
            <a:solidFill>
              <a:srgbClr val="D8A7B7"/>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IPP'!$Z$27:$BI$27</c:f>
              <c:numCache>
                <c:formatCode>0.0</c:formatCode>
                <c:ptCount val="36"/>
                <c:pt idx="0">
                  <c:v>1.7408920839398754</c:v>
                </c:pt>
                <c:pt idx="1">
                  <c:v>2.1378802528812932</c:v>
                </c:pt>
                <c:pt idx="2">
                  <c:v>1.5935135243788106</c:v>
                </c:pt>
                <c:pt idx="3">
                  <c:v>1.6791873092801739</c:v>
                </c:pt>
                <c:pt idx="4">
                  <c:v>0.75268647024158142</c:v>
                </c:pt>
                <c:pt idx="5">
                  <c:v>0.54211789515047693</c:v>
                </c:pt>
                <c:pt idx="6">
                  <c:v>0.24127576647979335</c:v>
                </c:pt>
                <c:pt idx="7">
                  <c:v>0.97863378627142206</c:v>
                </c:pt>
                <c:pt idx="8">
                  <c:v>-0.2260516552234422</c:v>
                </c:pt>
                <c:pt idx="9">
                  <c:v>0.44759183220264459</c:v>
                </c:pt>
                <c:pt idx="10">
                  <c:v>0.76878503294695455</c:v>
                </c:pt>
                <c:pt idx="11">
                  <c:v>-1.0091759236462883</c:v>
                </c:pt>
                <c:pt idx="12">
                  <c:v>-1.5334709251303915</c:v>
                </c:pt>
                <c:pt idx="13">
                  <c:v>-9.3844961095672232</c:v>
                </c:pt>
                <c:pt idx="14">
                  <c:v>-0.1831246423410012</c:v>
                </c:pt>
                <c:pt idx="15">
                  <c:v>2.0633116605855042</c:v>
                </c:pt>
                <c:pt idx="16">
                  <c:v>1.9009220582212656</c:v>
                </c:pt>
                <c:pt idx="17">
                  <c:v>10.962436300546839</c:v>
                </c:pt>
                <c:pt idx="18">
                  <c:v>-3.7816826515966451</c:v>
                </c:pt>
                <c:pt idx="19">
                  <c:v>-3.2415310878086325</c:v>
                </c:pt>
                <c:pt idx="20">
                  <c:v>-1.9006279034039761</c:v>
                </c:pt>
                <c:pt idx="21">
                  <c:v>9.8882021278874688E-2</c:v>
                </c:pt>
                <c:pt idx="22">
                  <c:v>5.6047148528941628</c:v>
                </c:pt>
                <c:pt idx="23">
                  <c:v>3.9970459414903723</c:v>
                </c:pt>
                <c:pt idx="24">
                  <c:v>5.2762979416848301</c:v>
                </c:pt>
                <c:pt idx="25">
                  <c:v>5.0691801030618473</c:v>
                </c:pt>
                <c:pt idx="26">
                  <c:v>1.3395150948118291</c:v>
                </c:pt>
                <c:pt idx="27">
                  <c:v>3.1934880866006852</c:v>
                </c:pt>
                <c:pt idx="28">
                  <c:v>0.44683712045987689</c:v>
                </c:pt>
                <c:pt idx="29">
                  <c:v>-1.084777099067793</c:v>
                </c:pt>
                <c:pt idx="30">
                  <c:v>0.66912123314032446</c:v>
                </c:pt>
                <c:pt idx="31">
                  <c:v>-1.4432630187184605</c:v>
                </c:pt>
                <c:pt idx="32">
                  <c:v>-0.54240091765398424</c:v>
                </c:pt>
                <c:pt idx="33">
                  <c:v>0.51859084237716646</c:v>
                </c:pt>
                <c:pt idx="34">
                  <c:v>4.5665139379404571E-2</c:v>
                </c:pt>
                <c:pt idx="35">
                  <c:v>0.91267682458047084</c:v>
                </c:pt>
              </c:numCache>
            </c:numRef>
          </c:val>
          <c:extLst>
            <c:ext xmlns:c16="http://schemas.microsoft.com/office/drawing/2014/chart" uri="{C3380CC4-5D6E-409C-BE32-E72D297353CC}">
              <c16:uniqueId val="{00000000-C697-442E-B859-B1944EA88545}"/>
            </c:ext>
          </c:extLst>
        </c:ser>
        <c:ser>
          <c:idx val="1"/>
          <c:order val="1"/>
          <c:tx>
            <c:strRef>
              <c:f>'GRAF příspěvky IPP'!$A$28</c:f>
              <c:strCache>
                <c:ptCount val="1"/>
                <c:pt idx="0">
                  <c:v>Gumárenství, elektrotechnický pr. (22, 27)</c:v>
                </c:pt>
              </c:strCache>
            </c:strRef>
          </c:tx>
          <c:spPr>
            <a:solidFill>
              <a:srgbClr val="BC5B80"/>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IPP'!$Z$28:$BI$28</c:f>
              <c:numCache>
                <c:formatCode>0.0</c:formatCode>
                <c:ptCount val="36"/>
                <c:pt idx="0">
                  <c:v>0.79334952879496901</c:v>
                </c:pt>
                <c:pt idx="1">
                  <c:v>1.468356537050969</c:v>
                </c:pt>
                <c:pt idx="2">
                  <c:v>0.87390949425966125</c:v>
                </c:pt>
                <c:pt idx="3">
                  <c:v>1.644368824210785</c:v>
                </c:pt>
                <c:pt idx="4">
                  <c:v>1.0040337375607471</c:v>
                </c:pt>
                <c:pt idx="5">
                  <c:v>0.3253925650201499</c:v>
                </c:pt>
                <c:pt idx="6">
                  <c:v>0.43133954445298106</c:v>
                </c:pt>
                <c:pt idx="7">
                  <c:v>-5.9899261699036116E-2</c:v>
                </c:pt>
                <c:pt idx="8">
                  <c:v>0.52608733581744893</c:v>
                </c:pt>
                <c:pt idx="9">
                  <c:v>0.44070570288166666</c:v>
                </c:pt>
                <c:pt idx="10">
                  <c:v>0.16703875787161085</c:v>
                </c:pt>
                <c:pt idx="11">
                  <c:v>0.41508771908448316</c:v>
                </c:pt>
                <c:pt idx="12">
                  <c:v>-0.55255281731107375</c:v>
                </c:pt>
                <c:pt idx="13">
                  <c:v>-4.0630399723550301</c:v>
                </c:pt>
                <c:pt idx="14">
                  <c:v>-0.43874587338548932</c:v>
                </c:pt>
                <c:pt idx="15">
                  <c:v>0.53060699318837878</c:v>
                </c:pt>
                <c:pt idx="16">
                  <c:v>0.71105377730316599</c:v>
                </c:pt>
                <c:pt idx="17">
                  <c:v>5.4813528736391373</c:v>
                </c:pt>
                <c:pt idx="18">
                  <c:v>0.6216905337035239</c:v>
                </c:pt>
                <c:pt idx="19">
                  <c:v>-0.4237146866197381</c:v>
                </c:pt>
                <c:pt idx="20">
                  <c:v>8.5432905047654106E-2</c:v>
                </c:pt>
                <c:pt idx="21">
                  <c:v>0.14017080136165114</c:v>
                </c:pt>
                <c:pt idx="22">
                  <c:v>0.54140847185477736</c:v>
                </c:pt>
                <c:pt idx="23">
                  <c:v>0.61586793753317559</c:v>
                </c:pt>
                <c:pt idx="24">
                  <c:v>0.24643729008607473</c:v>
                </c:pt>
                <c:pt idx="25">
                  <c:v>0.13297387060287902</c:v>
                </c:pt>
                <c:pt idx="26">
                  <c:v>-0.41954906744716108</c:v>
                </c:pt>
                <c:pt idx="27">
                  <c:v>1.8029268216841199E-2</c:v>
                </c:pt>
                <c:pt idx="28">
                  <c:v>3.5719762074797032E-2</c:v>
                </c:pt>
                <c:pt idx="29">
                  <c:v>-0.18845737493805909</c:v>
                </c:pt>
                <c:pt idx="30">
                  <c:v>0.14813881914088348</c:v>
                </c:pt>
                <c:pt idx="31">
                  <c:v>-0.54230725025084103</c:v>
                </c:pt>
                <c:pt idx="32">
                  <c:v>1.9841564989931101E-2</c:v>
                </c:pt>
                <c:pt idx="33">
                  <c:v>0.45360802630904795</c:v>
                </c:pt>
                <c:pt idx="34">
                  <c:v>0.31951292417359611</c:v>
                </c:pt>
                <c:pt idx="35">
                  <c:v>0.66980993527071697</c:v>
                </c:pt>
              </c:numCache>
            </c:numRef>
          </c:val>
          <c:extLst>
            <c:ext xmlns:c16="http://schemas.microsoft.com/office/drawing/2014/chart" uri="{C3380CC4-5D6E-409C-BE32-E72D297353CC}">
              <c16:uniqueId val="{00000001-C697-442E-B859-B1944EA88545}"/>
            </c:ext>
          </c:extLst>
        </c:ser>
        <c:ser>
          <c:idx val="2"/>
          <c:order val="2"/>
          <c:tx>
            <c:strRef>
              <c:f>'GRAF příspěvky IPP'!$A$29</c:f>
              <c:strCache>
                <c:ptCount val="1"/>
                <c:pt idx="0">
                  <c:v>Strojírenství (28)</c:v>
                </c:pt>
              </c:strCache>
            </c:strRef>
          </c:tx>
          <c:spPr>
            <a:solidFill>
              <a:srgbClr val="9FC9D7"/>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IPP'!$Z$29:$BI$29</c:f>
              <c:numCache>
                <c:formatCode>0.0</c:formatCode>
                <c:ptCount val="36"/>
                <c:pt idx="0">
                  <c:v>0.3345178851347928</c:v>
                </c:pt>
                <c:pt idx="1">
                  <c:v>1.1003694908923236</c:v>
                </c:pt>
                <c:pt idx="2">
                  <c:v>0.85805445400541835</c:v>
                </c:pt>
                <c:pt idx="3">
                  <c:v>0.80055944660911171</c:v>
                </c:pt>
                <c:pt idx="4">
                  <c:v>0.48868169907415326</c:v>
                </c:pt>
                <c:pt idx="5">
                  <c:v>0.13868742792561028</c:v>
                </c:pt>
                <c:pt idx="6">
                  <c:v>0.18638853797251198</c:v>
                </c:pt>
                <c:pt idx="7">
                  <c:v>-0.20071677551985512</c:v>
                </c:pt>
                <c:pt idx="8">
                  <c:v>0.20262845642032346</c:v>
                </c:pt>
                <c:pt idx="9">
                  <c:v>-9.1482438382696971E-3</c:v>
                </c:pt>
                <c:pt idx="10">
                  <c:v>-0.3267936607108648</c:v>
                </c:pt>
                <c:pt idx="11">
                  <c:v>-0.14957125605699437</c:v>
                </c:pt>
                <c:pt idx="12">
                  <c:v>-0.7072452096320988</c:v>
                </c:pt>
                <c:pt idx="13">
                  <c:v>-2.1308377913469609</c:v>
                </c:pt>
                <c:pt idx="14">
                  <c:v>-0.8017096029334061</c:v>
                </c:pt>
                <c:pt idx="15">
                  <c:v>-0.54797142039304825</c:v>
                </c:pt>
                <c:pt idx="16">
                  <c:v>6.9523816193354571E-2</c:v>
                </c:pt>
                <c:pt idx="17">
                  <c:v>2.0537889224076182</c:v>
                </c:pt>
                <c:pt idx="18">
                  <c:v>0.54998998649274944</c:v>
                </c:pt>
                <c:pt idx="19">
                  <c:v>0.27824368190942744</c:v>
                </c:pt>
                <c:pt idx="20">
                  <c:v>0.35474059805720581</c:v>
                </c:pt>
                <c:pt idx="21">
                  <c:v>9.159353246407527E-2</c:v>
                </c:pt>
                <c:pt idx="22">
                  <c:v>0.48985672658594026</c:v>
                </c:pt>
                <c:pt idx="23">
                  <c:v>0.65848483899880683</c:v>
                </c:pt>
                <c:pt idx="24">
                  <c:v>0.47009044095931496</c:v>
                </c:pt>
                <c:pt idx="25">
                  <c:v>0.4006172401103964</c:v>
                </c:pt>
                <c:pt idx="26">
                  <c:v>-0.57578518680795432</c:v>
                </c:pt>
                <c:pt idx="27">
                  <c:v>-0.75578874449495581</c:v>
                </c:pt>
                <c:pt idx="28">
                  <c:v>-0.9625142240233997</c:v>
                </c:pt>
                <c:pt idx="29">
                  <c:v>-0.80168828655754398</c:v>
                </c:pt>
                <c:pt idx="30">
                  <c:v>-0.39977018694536648</c:v>
                </c:pt>
                <c:pt idx="31">
                  <c:v>-0.52594869917284226</c:v>
                </c:pt>
                <c:pt idx="32">
                  <c:v>9.3043953965084594E-2</c:v>
                </c:pt>
                <c:pt idx="33">
                  <c:v>-0.14554659159843011</c:v>
                </c:pt>
                <c:pt idx="34">
                  <c:v>0.12349543492602813</c:v>
                </c:pt>
                <c:pt idx="35">
                  <c:v>0.49619228577641566</c:v>
                </c:pt>
              </c:numCache>
            </c:numRef>
          </c:val>
          <c:extLst>
            <c:ext xmlns:c16="http://schemas.microsoft.com/office/drawing/2014/chart" uri="{C3380CC4-5D6E-409C-BE32-E72D297353CC}">
              <c16:uniqueId val="{00000002-C697-442E-B859-B1944EA88545}"/>
            </c:ext>
          </c:extLst>
        </c:ser>
        <c:ser>
          <c:idx val="3"/>
          <c:order val="3"/>
          <c:tx>
            <c:strRef>
              <c:f>'GRAF příspěvky IPP'!$A$30</c:f>
              <c:strCache>
                <c:ptCount val="1"/>
                <c:pt idx="0">
                  <c:v>Kovodělný průmysl (25)</c:v>
                </c:pt>
              </c:strCache>
            </c:strRef>
          </c:tx>
          <c:spPr>
            <a:solidFill>
              <a:srgbClr val="009CB5"/>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IPP'!$Z$30:$BI$30</c:f>
              <c:numCache>
                <c:formatCode>0.0</c:formatCode>
                <c:ptCount val="36"/>
                <c:pt idx="0">
                  <c:v>0.38676361423749528</c:v>
                </c:pt>
                <c:pt idx="1">
                  <c:v>0.95166355765299349</c:v>
                </c:pt>
                <c:pt idx="2">
                  <c:v>0.86091550298549102</c:v>
                </c:pt>
                <c:pt idx="3">
                  <c:v>0.96020285266505589</c:v>
                </c:pt>
                <c:pt idx="4">
                  <c:v>0.67147421279246411</c:v>
                </c:pt>
                <c:pt idx="5">
                  <c:v>0.46338675111775501</c:v>
                </c:pt>
                <c:pt idx="6">
                  <c:v>0.40465307945227347</c:v>
                </c:pt>
                <c:pt idx="7">
                  <c:v>0.13991647838864771</c:v>
                </c:pt>
                <c:pt idx="8">
                  <c:v>0.23284119938910905</c:v>
                </c:pt>
                <c:pt idx="9">
                  <c:v>-2.3018109664658163E-3</c:v>
                </c:pt>
                <c:pt idx="10">
                  <c:v>-0.27902616348258918</c:v>
                </c:pt>
                <c:pt idx="11">
                  <c:v>-0.28921256974210446</c:v>
                </c:pt>
                <c:pt idx="12">
                  <c:v>-0.59705730498174525</c:v>
                </c:pt>
                <c:pt idx="13">
                  <c:v>-2.0768472147616719</c:v>
                </c:pt>
                <c:pt idx="14">
                  <c:v>-0.62165835195312102</c:v>
                </c:pt>
                <c:pt idx="15">
                  <c:v>4.661253810289321E-2</c:v>
                </c:pt>
                <c:pt idx="16">
                  <c:v>0.43211394669446129</c:v>
                </c:pt>
                <c:pt idx="17">
                  <c:v>2.9905594307699275</c:v>
                </c:pt>
                <c:pt idx="18">
                  <c:v>0.80057174840018464</c:v>
                </c:pt>
                <c:pt idx="19">
                  <c:v>1.7842744066281405E-2</c:v>
                </c:pt>
                <c:pt idx="20">
                  <c:v>0.2270419422273395</c:v>
                </c:pt>
                <c:pt idx="21">
                  <c:v>-0.40390149701119177</c:v>
                </c:pt>
                <c:pt idx="22">
                  <c:v>-0.31522655000635558</c:v>
                </c:pt>
                <c:pt idx="23">
                  <c:v>-0.2158460789696578</c:v>
                </c:pt>
                <c:pt idx="24">
                  <c:v>-0.35304158862001117</c:v>
                </c:pt>
                <c:pt idx="25">
                  <c:v>-9.898514727148211E-2</c:v>
                </c:pt>
                <c:pt idx="26">
                  <c:v>-0.21045961248750156</c:v>
                </c:pt>
                <c:pt idx="27">
                  <c:v>-0.27573885577866986</c:v>
                </c:pt>
                <c:pt idx="28">
                  <c:v>-0.20005962705948793</c:v>
                </c:pt>
                <c:pt idx="29">
                  <c:v>-3.6999886884328842E-2</c:v>
                </c:pt>
                <c:pt idx="30">
                  <c:v>0.34489368177621904</c:v>
                </c:pt>
                <c:pt idx="31">
                  <c:v>0.21350994299050982</c:v>
                </c:pt>
                <c:pt idx="32">
                  <c:v>0.24827787635955434</c:v>
                </c:pt>
                <c:pt idx="33">
                  <c:v>0.55926957397260735</c:v>
                </c:pt>
                <c:pt idx="34">
                  <c:v>0.65322130754166841</c:v>
                </c:pt>
                <c:pt idx="35">
                  <c:v>1.3015974142663862</c:v>
                </c:pt>
              </c:numCache>
            </c:numRef>
          </c:val>
          <c:extLst>
            <c:ext xmlns:c16="http://schemas.microsoft.com/office/drawing/2014/chart" uri="{C3380CC4-5D6E-409C-BE32-E72D297353CC}">
              <c16:uniqueId val="{00000003-C697-442E-B859-B1944EA88545}"/>
            </c:ext>
          </c:extLst>
        </c:ser>
        <c:ser>
          <c:idx val="4"/>
          <c:order val="4"/>
          <c:tx>
            <c:strRef>
              <c:f>'GRAF příspěvky IPP'!$A$31</c:f>
              <c:strCache>
                <c:ptCount val="1"/>
                <c:pt idx="0">
                  <c:v>Výroba PC, elektronic. a optic. přístr. (26)</c:v>
                </c:pt>
              </c:strCache>
            </c:strRef>
          </c:tx>
          <c:spPr>
            <a:solidFill>
              <a:srgbClr val="E6C483"/>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IPP'!$Z$31:$BI$31</c:f>
              <c:numCache>
                <c:formatCode>0.0</c:formatCode>
                <c:ptCount val="36"/>
                <c:pt idx="0">
                  <c:v>0.1517960019133566</c:v>
                </c:pt>
                <c:pt idx="1">
                  <c:v>0.35040742405813147</c:v>
                </c:pt>
                <c:pt idx="2">
                  <c:v>0.22701547985990286</c:v>
                </c:pt>
                <c:pt idx="3">
                  <c:v>0.23483306705633769</c:v>
                </c:pt>
                <c:pt idx="4">
                  <c:v>0.38575845909308681</c:v>
                </c:pt>
                <c:pt idx="5">
                  <c:v>0.1585479563430445</c:v>
                </c:pt>
                <c:pt idx="6">
                  <c:v>0.63604123808561219</c:v>
                </c:pt>
                <c:pt idx="7">
                  <c:v>0.3169722012936107</c:v>
                </c:pt>
                <c:pt idx="8">
                  <c:v>-0.10335857004416719</c:v>
                </c:pt>
                <c:pt idx="9">
                  <c:v>-3.5698176267711781E-2</c:v>
                </c:pt>
                <c:pt idx="10">
                  <c:v>-0.60934912550064046</c:v>
                </c:pt>
                <c:pt idx="11">
                  <c:v>-0.3641176829939205</c:v>
                </c:pt>
                <c:pt idx="12">
                  <c:v>-0.1013700779981392</c:v>
                </c:pt>
                <c:pt idx="13">
                  <c:v>-0.31920945262277456</c:v>
                </c:pt>
                <c:pt idx="14">
                  <c:v>3.1049160053994794E-2</c:v>
                </c:pt>
                <c:pt idx="15">
                  <c:v>2.2349038466741165E-2</c:v>
                </c:pt>
                <c:pt idx="16">
                  <c:v>0.12975355540314282</c:v>
                </c:pt>
                <c:pt idx="17">
                  <c:v>0.21201733992680374</c:v>
                </c:pt>
                <c:pt idx="18">
                  <c:v>0.1941841019992544</c:v>
                </c:pt>
                <c:pt idx="19">
                  <c:v>-0.23843126852101912</c:v>
                </c:pt>
                <c:pt idx="20">
                  <c:v>2.2375778653478211E-2</c:v>
                </c:pt>
                <c:pt idx="21">
                  <c:v>-1.8664914809135777E-2</c:v>
                </c:pt>
                <c:pt idx="22">
                  <c:v>5.983720902341521E-2</c:v>
                </c:pt>
                <c:pt idx="23">
                  <c:v>0.43552217534069498</c:v>
                </c:pt>
                <c:pt idx="24">
                  <c:v>0.14470334752654473</c:v>
                </c:pt>
                <c:pt idx="25">
                  <c:v>8.8197188447825356E-2</c:v>
                </c:pt>
                <c:pt idx="26">
                  <c:v>-6.9028846604599223E-2</c:v>
                </c:pt>
                <c:pt idx="27">
                  <c:v>-6.5570020882029928E-2</c:v>
                </c:pt>
                <c:pt idx="28">
                  <c:v>-7.7915888293924231E-3</c:v>
                </c:pt>
                <c:pt idx="29">
                  <c:v>0.21997586638815811</c:v>
                </c:pt>
                <c:pt idx="30">
                  <c:v>0.28884635576240486</c:v>
                </c:pt>
                <c:pt idx="31">
                  <c:v>9.551918740327324E-2</c:v>
                </c:pt>
                <c:pt idx="32">
                  <c:v>5.9992683361345016E-3</c:v>
                </c:pt>
                <c:pt idx="33">
                  <c:v>-0.1123065842307529</c:v>
                </c:pt>
                <c:pt idx="34">
                  <c:v>-0.20924737566523802</c:v>
                </c:pt>
                <c:pt idx="35">
                  <c:v>3.4515177598828037E-2</c:v>
                </c:pt>
              </c:numCache>
            </c:numRef>
          </c:val>
          <c:extLst>
            <c:ext xmlns:c16="http://schemas.microsoft.com/office/drawing/2014/chart" uri="{C3380CC4-5D6E-409C-BE32-E72D297353CC}">
              <c16:uniqueId val="{00000004-C697-442E-B859-B1944EA88545}"/>
            </c:ext>
          </c:extLst>
        </c:ser>
        <c:ser>
          <c:idx val="5"/>
          <c:order val="5"/>
          <c:tx>
            <c:strRef>
              <c:f>'GRAF příspěvky IPP'!$A$32</c:f>
              <c:strCache>
                <c:ptCount val="1"/>
                <c:pt idx="0">
                  <c:v>Chemický a farmaceutický pr. (20, 21)</c:v>
                </c:pt>
              </c:strCache>
            </c:strRef>
          </c:tx>
          <c:spPr>
            <a:solidFill>
              <a:srgbClr val="CC9610"/>
            </a:solidFill>
            <a:ln>
              <a:noFill/>
            </a:ln>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IPP'!$Z$32:$BI$32</c:f>
              <c:numCache>
                <c:formatCode>0.0</c:formatCode>
                <c:ptCount val="36"/>
                <c:pt idx="0">
                  <c:v>0.51439307947726998</c:v>
                </c:pt>
                <c:pt idx="1">
                  <c:v>0.83289717197907565</c:v>
                </c:pt>
                <c:pt idx="2">
                  <c:v>0.65310318202327911</c:v>
                </c:pt>
                <c:pt idx="3">
                  <c:v>0.50440121167449548</c:v>
                </c:pt>
                <c:pt idx="4">
                  <c:v>0.40911320927322647</c:v>
                </c:pt>
                <c:pt idx="5">
                  <c:v>7.7633111380155301E-2</c:v>
                </c:pt>
                <c:pt idx="6">
                  <c:v>-5.3190732776962651E-2</c:v>
                </c:pt>
                <c:pt idx="7">
                  <c:v>-7.1103221110709838E-2</c:v>
                </c:pt>
                <c:pt idx="8">
                  <c:v>9.3101613350728932E-2</c:v>
                </c:pt>
                <c:pt idx="9">
                  <c:v>6.1474211824515262E-2</c:v>
                </c:pt>
                <c:pt idx="10">
                  <c:v>0.2229684142187896</c:v>
                </c:pt>
                <c:pt idx="11">
                  <c:v>3.2130190492489386E-2</c:v>
                </c:pt>
                <c:pt idx="12">
                  <c:v>-3.6216479616950112E-2</c:v>
                </c:pt>
                <c:pt idx="13">
                  <c:v>-0.57135666895590331</c:v>
                </c:pt>
                <c:pt idx="14">
                  <c:v>-0.22076865898667289</c:v>
                </c:pt>
                <c:pt idx="15">
                  <c:v>0.42176753383241716</c:v>
                </c:pt>
                <c:pt idx="16">
                  <c:v>0.28426277083090246</c:v>
                </c:pt>
                <c:pt idx="17">
                  <c:v>0.82325325428168006</c:v>
                </c:pt>
                <c:pt idx="18">
                  <c:v>0.31991054650479339</c:v>
                </c:pt>
                <c:pt idx="19">
                  <c:v>8.7688985546260853E-2</c:v>
                </c:pt>
                <c:pt idx="20">
                  <c:v>0.24863963230574521</c:v>
                </c:pt>
                <c:pt idx="21">
                  <c:v>0.15905411527097743</c:v>
                </c:pt>
                <c:pt idx="22">
                  <c:v>-9.9192658046001692E-2</c:v>
                </c:pt>
                <c:pt idx="23">
                  <c:v>-0.29076993899169623</c:v>
                </c:pt>
                <c:pt idx="24">
                  <c:v>-0.60054284095284183</c:v>
                </c:pt>
                <c:pt idx="25">
                  <c:v>-0.17710340225216925</c:v>
                </c:pt>
                <c:pt idx="26">
                  <c:v>-7.3516958752537429E-2</c:v>
                </c:pt>
                <c:pt idx="27">
                  <c:v>-0.12575787999845109</c:v>
                </c:pt>
                <c:pt idx="28">
                  <c:v>0.26823896721095042</c:v>
                </c:pt>
                <c:pt idx="29">
                  <c:v>0.14459515409260676</c:v>
                </c:pt>
                <c:pt idx="30">
                  <c:v>-7.3019869232471224E-2</c:v>
                </c:pt>
                <c:pt idx="31">
                  <c:v>-7.0266611213317939E-2</c:v>
                </c:pt>
                <c:pt idx="32">
                  <c:v>-0.11473054611690403</c:v>
                </c:pt>
                <c:pt idx="33">
                  <c:v>-0.15124708140176971</c:v>
                </c:pt>
                <c:pt idx="34">
                  <c:v>0.1819138694259059</c:v>
                </c:pt>
                <c:pt idx="35">
                  <c:v>0.2045931133528113</c:v>
                </c:pt>
              </c:numCache>
            </c:numRef>
          </c:val>
          <c:extLst>
            <c:ext xmlns:c16="http://schemas.microsoft.com/office/drawing/2014/chart" uri="{C3380CC4-5D6E-409C-BE32-E72D297353CC}">
              <c16:uniqueId val="{00000005-C697-442E-B859-B1944EA88545}"/>
            </c:ext>
          </c:extLst>
        </c:ser>
        <c:ser>
          <c:idx val="6"/>
          <c:order val="6"/>
          <c:tx>
            <c:strRef>
              <c:f>'GRAF příspěvky IPP'!$A$33</c:f>
              <c:strCache>
                <c:ptCount val="1"/>
                <c:pt idx="0">
                  <c:v>Zbývající zpracovatelský průmysl*</c:v>
                </c:pt>
              </c:strCache>
            </c:strRef>
          </c:tx>
          <c:spPr>
            <a:solidFill>
              <a:srgbClr val="C3DDAC"/>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IPP'!$Z$33:$BI$33</c:f>
              <c:numCache>
                <c:formatCode>0.0</c:formatCode>
                <c:ptCount val="36"/>
                <c:pt idx="0">
                  <c:v>-0.13802711444318691</c:v>
                </c:pt>
                <c:pt idx="1">
                  <c:v>1.4520150527939983</c:v>
                </c:pt>
                <c:pt idx="2">
                  <c:v>0.65687676657011995</c:v>
                </c:pt>
                <c:pt idx="3">
                  <c:v>0.76186639439852744</c:v>
                </c:pt>
                <c:pt idx="4">
                  <c:v>1.1768838940724016</c:v>
                </c:pt>
                <c:pt idx="5">
                  <c:v>0.73260991135089881</c:v>
                </c:pt>
                <c:pt idx="6">
                  <c:v>1.1309843102453647</c:v>
                </c:pt>
                <c:pt idx="7">
                  <c:v>0.15993804771029091</c:v>
                </c:pt>
                <c:pt idx="8">
                  <c:v>-0.32185268974320136</c:v>
                </c:pt>
                <c:pt idx="9">
                  <c:v>-0.30512916964802844</c:v>
                </c:pt>
                <c:pt idx="10">
                  <c:v>-0.97407463154620033</c:v>
                </c:pt>
                <c:pt idx="11">
                  <c:v>-3.9701171551173531E-2</c:v>
                </c:pt>
                <c:pt idx="12">
                  <c:v>0.31377104389497573</c:v>
                </c:pt>
                <c:pt idx="13">
                  <c:v>-1.6010940767108721</c:v>
                </c:pt>
                <c:pt idx="14">
                  <c:v>-5.0886354263985356E-3</c:v>
                </c:pt>
                <c:pt idx="15">
                  <c:v>-0.12175513984550231</c:v>
                </c:pt>
                <c:pt idx="16">
                  <c:v>-2.1128761312970146E-3</c:v>
                </c:pt>
                <c:pt idx="17">
                  <c:v>3.2182826185149889</c:v>
                </c:pt>
                <c:pt idx="18">
                  <c:v>1.5227369240206821</c:v>
                </c:pt>
                <c:pt idx="19">
                  <c:v>1.1735580757843487</c:v>
                </c:pt>
                <c:pt idx="20">
                  <c:v>1.6949563990634429</c:v>
                </c:pt>
                <c:pt idx="21">
                  <c:v>0.27470000381588033</c:v>
                </c:pt>
                <c:pt idx="22">
                  <c:v>-1.6667213846762752</c:v>
                </c:pt>
                <c:pt idx="23">
                  <c:v>-1.5269932606404839</c:v>
                </c:pt>
                <c:pt idx="24">
                  <c:v>-3.3261450575018028</c:v>
                </c:pt>
                <c:pt idx="25">
                  <c:v>-3.5878313003538334</c:v>
                </c:pt>
                <c:pt idx="26">
                  <c:v>-1.8071756863987505</c:v>
                </c:pt>
                <c:pt idx="27">
                  <c:v>-1.6144210415769553</c:v>
                </c:pt>
                <c:pt idx="28">
                  <c:v>0.13077401211331544</c:v>
                </c:pt>
                <c:pt idx="29">
                  <c:v>0.27796430392454941</c:v>
                </c:pt>
                <c:pt idx="30">
                  <c:v>-0.19589531851693803</c:v>
                </c:pt>
                <c:pt idx="31">
                  <c:v>0.25803068209411495</c:v>
                </c:pt>
                <c:pt idx="32">
                  <c:v>0.39218706834499417</c:v>
                </c:pt>
                <c:pt idx="33">
                  <c:v>0.68187785973882531</c:v>
                </c:pt>
                <c:pt idx="34">
                  <c:v>0.24157709889443785</c:v>
                </c:pt>
                <c:pt idx="35">
                  <c:v>0.6635577314478216</c:v>
                </c:pt>
              </c:numCache>
            </c:numRef>
          </c:val>
          <c:extLst>
            <c:ext xmlns:c16="http://schemas.microsoft.com/office/drawing/2014/chart" uri="{C3380CC4-5D6E-409C-BE32-E72D297353CC}">
              <c16:uniqueId val="{00000006-C697-442E-B859-B1944EA88545}"/>
            </c:ext>
          </c:extLst>
        </c:ser>
        <c:ser>
          <c:idx val="7"/>
          <c:order val="7"/>
          <c:tx>
            <c:strRef>
              <c:f>'GRAF příspěvky IPP'!$A$34</c:f>
              <c:strCache>
                <c:ptCount val="1"/>
                <c:pt idx="0">
                  <c:v>Těžba a energetika (B, D)</c:v>
                </c:pt>
              </c:strCache>
            </c:strRef>
          </c:tx>
          <c:spPr>
            <a:solidFill>
              <a:srgbClr val="86BF5E"/>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IPP'!$Z$34:$BI$34</c:f>
              <c:numCache>
                <c:formatCode>0.0</c:formatCode>
                <c:ptCount val="36"/>
                <c:pt idx="0">
                  <c:v>0.68579685044543348</c:v>
                </c:pt>
                <c:pt idx="1">
                  <c:v>-0.21786071250878586</c:v>
                </c:pt>
                <c:pt idx="2">
                  <c:v>0.74762012671732325</c:v>
                </c:pt>
                <c:pt idx="3">
                  <c:v>0.67922569430551583</c:v>
                </c:pt>
                <c:pt idx="4">
                  <c:v>-0.54241645010765449</c:v>
                </c:pt>
                <c:pt idx="5">
                  <c:v>-1.8631527880888649E-3</c:v>
                </c:pt>
                <c:pt idx="6">
                  <c:v>0.78670127678843149</c:v>
                </c:pt>
                <c:pt idx="7">
                  <c:v>0.32960713526562863</c:v>
                </c:pt>
                <c:pt idx="8">
                  <c:v>6.8904910133199077E-2</c:v>
                </c:pt>
                <c:pt idx="9">
                  <c:v>0.12170682001164354</c:v>
                </c:pt>
                <c:pt idx="10">
                  <c:v>-0.5109816723970585</c:v>
                </c:pt>
                <c:pt idx="11">
                  <c:v>-0.36784640528649537</c:v>
                </c:pt>
                <c:pt idx="12">
                  <c:v>-1.0379724863245821</c:v>
                </c:pt>
                <c:pt idx="13">
                  <c:v>-1.638329285379571</c:v>
                </c:pt>
                <c:pt idx="14">
                  <c:v>-0.82494325172790062</c:v>
                </c:pt>
                <c:pt idx="15">
                  <c:v>-0.74239007583737793</c:v>
                </c:pt>
                <c:pt idx="16">
                  <c:v>0.59189490518500398</c:v>
                </c:pt>
                <c:pt idx="17">
                  <c:v>0.52656327821300353</c:v>
                </c:pt>
                <c:pt idx="18">
                  <c:v>0.31374008907545176</c:v>
                </c:pt>
                <c:pt idx="19">
                  <c:v>0.81659894104306607</c:v>
                </c:pt>
                <c:pt idx="20">
                  <c:v>-0.20894060705088399</c:v>
                </c:pt>
                <c:pt idx="21">
                  <c:v>0.24268235052886977</c:v>
                </c:pt>
                <c:pt idx="22">
                  <c:v>0.41441971307033448</c:v>
                </c:pt>
                <c:pt idx="23">
                  <c:v>-1.2878566765612138</c:v>
                </c:pt>
                <c:pt idx="24">
                  <c:v>-1.3045936982821111</c:v>
                </c:pt>
                <c:pt idx="25">
                  <c:v>-1.5790684974454656</c:v>
                </c:pt>
                <c:pt idx="26">
                  <c:v>-1.6278225134133213</c:v>
                </c:pt>
                <c:pt idx="27">
                  <c:v>-1.1076317448864703</c:v>
                </c:pt>
                <c:pt idx="28">
                  <c:v>-0.77646516844666147</c:v>
                </c:pt>
                <c:pt idx="29">
                  <c:v>-8.0819445457593481E-2</c:v>
                </c:pt>
                <c:pt idx="30">
                  <c:v>4.8663335749503378E-3</c:v>
                </c:pt>
                <c:pt idx="31">
                  <c:v>-0.18709046803243062</c:v>
                </c:pt>
                <c:pt idx="32">
                  <c:v>0.97128306287519417</c:v>
                </c:pt>
                <c:pt idx="33">
                  <c:v>0.41779064863331256</c:v>
                </c:pt>
                <c:pt idx="34">
                  <c:v>-0.21688938377580066</c:v>
                </c:pt>
                <c:pt idx="35">
                  <c:v>-6.8429938893444536E-2</c:v>
                </c:pt>
              </c:numCache>
            </c:numRef>
          </c:val>
          <c:extLst>
            <c:ext xmlns:c16="http://schemas.microsoft.com/office/drawing/2014/chart" uri="{C3380CC4-5D6E-409C-BE32-E72D297353CC}">
              <c16:uniqueId val="{00000007-C697-442E-B859-B1944EA88545}"/>
            </c:ext>
          </c:extLst>
        </c:ser>
        <c:dLbls>
          <c:showLegendKey val="0"/>
          <c:showVal val="0"/>
          <c:showCatName val="0"/>
          <c:showSerName val="0"/>
          <c:showPercent val="0"/>
          <c:showBubbleSize val="0"/>
        </c:dLbls>
        <c:gapWidth val="15"/>
        <c:overlap val="100"/>
        <c:axId val="112768128"/>
        <c:axId val="112769664"/>
      </c:barChart>
      <c:lineChart>
        <c:grouping val="standard"/>
        <c:varyColors val="0"/>
        <c:ser>
          <c:idx val="8"/>
          <c:order val="8"/>
          <c:tx>
            <c:strRef>
              <c:f>'GRAF příspěvky IPP'!$A$35</c:f>
              <c:strCache>
                <c:ptCount val="1"/>
                <c:pt idx="0">
                  <c:v>Průmysl celkem (NACE B až D)</c:v>
                </c:pt>
              </c:strCache>
            </c:strRef>
          </c:tx>
          <c:spPr>
            <a:ln w="19050">
              <a:noFill/>
            </a:ln>
          </c:spPr>
          <c:marker>
            <c:symbol val="circle"/>
            <c:size val="4"/>
            <c:spPr>
              <a:solidFill>
                <a:schemeClr val="bg1"/>
              </a:solidFill>
              <a:ln>
                <a:solidFill>
                  <a:schemeClr val="tx1">
                    <a:lumMod val="95000"/>
                    <a:lumOff val="5000"/>
                  </a:schemeClr>
                </a:solidFill>
              </a:ln>
            </c:spPr>
          </c:marker>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IPP'!$Z$35:$BI$35</c:f>
              <c:numCache>
                <c:formatCode>0.0</c:formatCode>
                <c:ptCount val="36"/>
                <c:pt idx="0">
                  <c:v>4.4694819295000059</c:v>
                </c:pt>
                <c:pt idx="1">
                  <c:v>8.0757287747999982</c:v>
                </c:pt>
                <c:pt idx="2">
                  <c:v>6.471008530800006</c:v>
                </c:pt>
                <c:pt idx="3">
                  <c:v>7.2646448002000028</c:v>
                </c:pt>
                <c:pt idx="4">
                  <c:v>4.3462152320000058</c:v>
                </c:pt>
                <c:pt idx="5">
                  <c:v>2.4365124655000017</c:v>
                </c:pt>
                <c:pt idx="6">
                  <c:v>3.7641930207000058</c:v>
                </c:pt>
                <c:pt idx="7">
                  <c:v>1.5933483905999992</c:v>
                </c:pt>
                <c:pt idx="8">
                  <c:v>0.47230060009999875</c:v>
                </c:pt>
                <c:pt idx="9">
                  <c:v>0.71920116619999419</c:v>
                </c:pt>
                <c:pt idx="10">
                  <c:v>-1.5414330485999983</c:v>
                </c:pt>
                <c:pt idx="11">
                  <c:v>-1.7724070997000041</c:v>
                </c:pt>
                <c:pt idx="12">
                  <c:v>-4.2521142571000041</c:v>
                </c:pt>
                <c:pt idx="13">
                  <c:v>-21.785210571700006</c:v>
                </c:pt>
                <c:pt idx="14">
                  <c:v>-3.0649898566999951</c:v>
                </c:pt>
                <c:pt idx="15">
                  <c:v>1.6725311281000046</c:v>
                </c:pt>
                <c:pt idx="16">
                  <c:v>4.1174119536999996</c:v>
                </c:pt>
                <c:pt idx="17">
                  <c:v>26.268254018299999</c:v>
                </c:pt>
                <c:pt idx="18">
                  <c:v>0.54114127859999428</c:v>
                </c:pt>
                <c:pt idx="19">
                  <c:v>-1.5297446146000055</c:v>
                </c:pt>
                <c:pt idx="20">
                  <c:v>0.52361874490000559</c:v>
                </c:pt>
                <c:pt idx="21">
                  <c:v>0.58451641290000111</c:v>
                </c:pt>
                <c:pt idx="22">
                  <c:v>5.0290963806999969</c:v>
                </c:pt>
                <c:pt idx="23">
                  <c:v>2.3854549381999988</c:v>
                </c:pt>
                <c:pt idx="24">
                  <c:v>0.55320583489999819</c:v>
                </c:pt>
                <c:pt idx="25">
                  <c:v>0.24798005489999753</c:v>
                </c:pt>
                <c:pt idx="26">
                  <c:v>-3.4438227770999958</c:v>
                </c:pt>
                <c:pt idx="27">
                  <c:v>-0.73339093280000611</c:v>
                </c:pt>
                <c:pt idx="28">
                  <c:v>-1.0652607465000017</c:v>
                </c:pt>
                <c:pt idx="29">
                  <c:v>-1.5502067685000043</c:v>
                </c:pt>
                <c:pt idx="30">
                  <c:v>0.78718104870000616</c:v>
                </c:pt>
                <c:pt idx="31">
                  <c:v>-2.2018162348999937</c:v>
                </c:pt>
                <c:pt idx="32">
                  <c:v>1.0735013311000046</c:v>
                </c:pt>
                <c:pt idx="33">
                  <c:v>2.2220366938000069</c:v>
                </c:pt>
                <c:pt idx="34">
                  <c:v>1.1392490149000025</c:v>
                </c:pt>
                <c:pt idx="35">
                  <c:v>4.214512543400005</c:v>
                </c:pt>
              </c:numCache>
            </c:numRef>
          </c:val>
          <c:smooth val="0"/>
          <c:extLst>
            <c:ext xmlns:c16="http://schemas.microsoft.com/office/drawing/2014/chart" uri="{C3380CC4-5D6E-409C-BE32-E72D297353CC}">
              <c16:uniqueId val="{00000008-C697-442E-B859-B1944EA88545}"/>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9"/>
          <c:order val="9"/>
          <c:tx>
            <c:strRef>
              <c:f>'GRAF příspěvky IPP'!$A$36</c:f>
              <c:strCache>
                <c:ptCount val="1"/>
              </c:strCache>
            </c:strRef>
          </c:tx>
          <c:spPr>
            <a:ln w="15875">
              <a:noFill/>
              <a:prstDash val="sysDot"/>
            </a:ln>
          </c:spPr>
          <c:marker>
            <c:symbol val="none"/>
          </c:marker>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IPP'!$Z$36:$BI$36</c:f>
              <c:numCache>
                <c:formatCode>General</c:formatCode>
                <c:ptCount val="36"/>
              </c:numCache>
            </c:numRef>
          </c:val>
          <c:smooth val="0"/>
          <c:extLst>
            <c:ext xmlns:c16="http://schemas.microsoft.com/office/drawing/2014/chart" uri="{C3380CC4-5D6E-409C-BE32-E72D297353CC}">
              <c16:uniqueId val="{00000009-C697-442E-B859-B1944EA88545}"/>
            </c:ext>
          </c:extLst>
        </c:ser>
        <c:ser>
          <c:idx val="10"/>
          <c:order val="10"/>
          <c:tx>
            <c:strRef>
              <c:f>'GRAF příspěvky IPP'!$A$37</c:f>
              <c:strCache>
                <c:ptCount val="1"/>
                <c:pt idx="0">
                  <c:v>Produkce, prům. v ČR celkem (2021=100)</c:v>
                </c:pt>
              </c:strCache>
            </c:strRef>
          </c:tx>
          <c:spPr>
            <a:ln w="15875">
              <a:solidFill>
                <a:srgbClr val="174F70"/>
              </a:solidFill>
            </a:ln>
          </c:spPr>
          <c:marker>
            <c:symbol val="none"/>
          </c:marker>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IPP'!$Z$37:$BI$37</c:f>
              <c:numCache>
                <c:formatCode>#\ ##0.#</c:formatCode>
                <c:ptCount val="36"/>
                <c:pt idx="0">
                  <c:v>95.6</c:v>
                </c:pt>
                <c:pt idx="1">
                  <c:v>98.6</c:v>
                </c:pt>
                <c:pt idx="2">
                  <c:v>98.2</c:v>
                </c:pt>
                <c:pt idx="3">
                  <c:v>100.1</c:v>
                </c:pt>
                <c:pt idx="4">
                  <c:v>100.1</c:v>
                </c:pt>
                <c:pt idx="5">
                  <c:v>101.1</c:v>
                </c:pt>
                <c:pt idx="6">
                  <c:v>102</c:v>
                </c:pt>
                <c:pt idx="7">
                  <c:v>101.3</c:v>
                </c:pt>
                <c:pt idx="8">
                  <c:v>100.6</c:v>
                </c:pt>
                <c:pt idx="9">
                  <c:v>102.2</c:v>
                </c:pt>
                <c:pt idx="10">
                  <c:v>100.1</c:v>
                </c:pt>
                <c:pt idx="11">
                  <c:v>99.4</c:v>
                </c:pt>
                <c:pt idx="12">
                  <c:v>96.7</c:v>
                </c:pt>
                <c:pt idx="13">
                  <c:v>80.2</c:v>
                </c:pt>
                <c:pt idx="14">
                  <c:v>97</c:v>
                </c:pt>
                <c:pt idx="15">
                  <c:v>101.1</c:v>
                </c:pt>
                <c:pt idx="16">
                  <c:v>99.6</c:v>
                </c:pt>
                <c:pt idx="17">
                  <c:v>100.6</c:v>
                </c:pt>
                <c:pt idx="18">
                  <c:v>98.6</c:v>
                </c:pt>
                <c:pt idx="19">
                  <c:v>99.2</c:v>
                </c:pt>
                <c:pt idx="20">
                  <c:v>100.7</c:v>
                </c:pt>
                <c:pt idx="21">
                  <c:v>101.3</c:v>
                </c:pt>
                <c:pt idx="22">
                  <c:v>102.9</c:v>
                </c:pt>
                <c:pt idx="23">
                  <c:v>101.8</c:v>
                </c:pt>
                <c:pt idx="24">
                  <c:v>101.3</c:v>
                </c:pt>
                <c:pt idx="25">
                  <c:v>101.4</c:v>
                </c:pt>
                <c:pt idx="26">
                  <c:v>99.3</c:v>
                </c:pt>
                <c:pt idx="27">
                  <c:v>101.4</c:v>
                </c:pt>
                <c:pt idx="28">
                  <c:v>100.2</c:v>
                </c:pt>
                <c:pt idx="29">
                  <c:v>99.9</c:v>
                </c:pt>
                <c:pt idx="30">
                  <c:v>100</c:v>
                </c:pt>
                <c:pt idx="31">
                  <c:v>99.1</c:v>
                </c:pt>
                <c:pt idx="32">
                  <c:v>101.2</c:v>
                </c:pt>
                <c:pt idx="33">
                  <c:v>101.9</c:v>
                </c:pt>
                <c:pt idx="34" formatCode="#\ ##0.##########">
                  <c:v>101.2</c:v>
                </c:pt>
                <c:pt idx="35" formatCode="#\ ##0.##########">
                  <c:v>103.4</c:v>
                </c:pt>
              </c:numCache>
            </c:numRef>
          </c:val>
          <c:smooth val="0"/>
          <c:extLst>
            <c:ext xmlns:c16="http://schemas.microsoft.com/office/drawing/2014/chart" uri="{C3380CC4-5D6E-409C-BE32-E72D297353CC}">
              <c16:uniqueId val="{0000000A-C697-442E-B859-B1944EA88545}"/>
            </c:ext>
          </c:extLst>
        </c:ser>
        <c:ser>
          <c:idx val="11"/>
          <c:order val="11"/>
          <c:tx>
            <c:strRef>
              <c:f>'GRAF příspěvky IPP'!$A$38</c:f>
              <c:strCache>
                <c:ptCount val="1"/>
                <c:pt idx="0">
                  <c:v>Produkce, prům. v EU27 celkem (2021=100)</c:v>
                </c:pt>
              </c:strCache>
            </c:strRef>
          </c:tx>
          <c:spPr>
            <a:ln w="15875">
              <a:solidFill>
                <a:srgbClr val="85938E"/>
              </a:solidFill>
              <a:prstDash val="sysDash"/>
            </a:ln>
          </c:spPr>
          <c:marker>
            <c:symbol val="none"/>
          </c:marker>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IPP'!$Z$38:$BI$38</c:f>
              <c:numCache>
                <c:formatCode>#\ ##0.##########</c:formatCode>
                <c:ptCount val="36"/>
                <c:pt idx="0">
                  <c:v>96</c:v>
                </c:pt>
                <c:pt idx="1">
                  <c:v>97.2</c:v>
                </c:pt>
                <c:pt idx="2">
                  <c:v>98.6</c:v>
                </c:pt>
                <c:pt idx="3">
                  <c:v>100.4</c:v>
                </c:pt>
                <c:pt idx="4">
                  <c:v>99.1</c:v>
                </c:pt>
                <c:pt idx="5">
                  <c:v>99.6</c:v>
                </c:pt>
                <c:pt idx="6">
                  <c:v>99.3</c:v>
                </c:pt>
                <c:pt idx="7">
                  <c:v>99</c:v>
                </c:pt>
                <c:pt idx="8">
                  <c:v>99.3</c:v>
                </c:pt>
                <c:pt idx="9">
                  <c:v>99.2</c:v>
                </c:pt>
                <c:pt idx="10">
                  <c:v>98.6</c:v>
                </c:pt>
                <c:pt idx="11" formatCode="#\ ##0.0">
                  <c:v>97.9</c:v>
                </c:pt>
                <c:pt idx="12" formatCode="#\ ##0.0">
                  <c:v>94.9</c:v>
                </c:pt>
                <c:pt idx="13">
                  <c:v>80.3</c:v>
                </c:pt>
                <c:pt idx="14">
                  <c:v>93.4</c:v>
                </c:pt>
                <c:pt idx="15" formatCode="#\ ##0.0">
                  <c:v>98</c:v>
                </c:pt>
                <c:pt idx="16">
                  <c:v>99.4</c:v>
                </c:pt>
                <c:pt idx="17">
                  <c:v>100</c:v>
                </c:pt>
                <c:pt idx="18">
                  <c:v>99.8</c:v>
                </c:pt>
                <c:pt idx="19">
                  <c:v>100.8</c:v>
                </c:pt>
                <c:pt idx="20">
                  <c:v>101.8</c:v>
                </c:pt>
                <c:pt idx="21">
                  <c:v>102.4</c:v>
                </c:pt>
                <c:pt idx="22">
                  <c:v>103</c:v>
                </c:pt>
                <c:pt idx="23">
                  <c:v>102.8</c:v>
                </c:pt>
                <c:pt idx="24">
                  <c:v>102.8</c:v>
                </c:pt>
                <c:pt idx="25">
                  <c:v>102</c:v>
                </c:pt>
                <c:pt idx="26">
                  <c:v>99.7</c:v>
                </c:pt>
                <c:pt idx="27">
                  <c:v>99.8</c:v>
                </c:pt>
                <c:pt idx="28">
                  <c:v>98.8</c:v>
                </c:pt>
                <c:pt idx="29">
                  <c:v>98.7</c:v>
                </c:pt>
                <c:pt idx="30">
                  <c:v>98.5</c:v>
                </c:pt>
                <c:pt idx="31">
                  <c:v>98.5</c:v>
                </c:pt>
                <c:pt idx="32">
                  <c:v>99.9</c:v>
                </c:pt>
                <c:pt idx="33">
                  <c:v>100</c:v>
                </c:pt>
                <c:pt idx="34">
                  <c:v>100.2</c:v>
                </c:pt>
                <c:pt idx="35">
                  <c:v>100.5</c:v>
                </c:pt>
              </c:numCache>
            </c:numRef>
          </c:val>
          <c:smooth val="0"/>
          <c:extLst>
            <c:ext xmlns:c16="http://schemas.microsoft.com/office/drawing/2014/chart" uri="{C3380CC4-5D6E-409C-BE32-E72D297353CC}">
              <c16:uniqueId val="{0000000B-C697-442E-B859-B1944EA88545}"/>
            </c:ext>
          </c:extLst>
        </c:ser>
        <c:ser>
          <c:idx val="12"/>
          <c:order val="12"/>
          <c:tx>
            <c:strRef>
              <c:f>'GRAF příspěvky IPP'!$A$39</c:f>
              <c:strCache>
                <c:ptCount val="1"/>
                <c:pt idx="0">
                  <c:v>Produkce, prům. v Německu (2021=100)</c:v>
                </c:pt>
              </c:strCache>
            </c:strRef>
          </c:tx>
          <c:spPr>
            <a:ln w="15875">
              <a:solidFill>
                <a:srgbClr val="B8BBC0"/>
              </a:solidFill>
              <a:prstDash val="dash"/>
            </a:ln>
          </c:spPr>
          <c:marker>
            <c:symbol val="none"/>
          </c:marker>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IPP'!$Z$39:$BI$39</c:f>
              <c:numCache>
                <c:formatCode>#\ ##0.0</c:formatCode>
                <c:ptCount val="36"/>
                <c:pt idx="0">
                  <c:v>105</c:v>
                </c:pt>
                <c:pt idx="1">
                  <c:v>107</c:v>
                </c:pt>
                <c:pt idx="2" formatCode="#\ ##0.##########">
                  <c:v>108.8</c:v>
                </c:pt>
                <c:pt idx="3" formatCode="#\ ##0.##########">
                  <c:v>109.6</c:v>
                </c:pt>
                <c:pt idx="4">
                  <c:v>109</c:v>
                </c:pt>
                <c:pt idx="5" formatCode="#\ ##0.##########">
                  <c:v>109.8</c:v>
                </c:pt>
                <c:pt idx="6" formatCode="#\ ##0.##########">
                  <c:v>108.8</c:v>
                </c:pt>
                <c:pt idx="7" formatCode="#\ ##0.##########">
                  <c:v>107.2</c:v>
                </c:pt>
                <c:pt idx="8">
                  <c:v>107</c:v>
                </c:pt>
                <c:pt idx="9" formatCode="#\ ##0.##########">
                  <c:v>105.8</c:v>
                </c:pt>
                <c:pt idx="10" formatCode="#\ ##0.##########">
                  <c:v>104.6</c:v>
                </c:pt>
                <c:pt idx="11" formatCode="#\ ##0.##########">
                  <c:v>102.9</c:v>
                </c:pt>
                <c:pt idx="12" formatCode="#\ ##0.##########">
                  <c:v>101.3</c:v>
                </c:pt>
                <c:pt idx="13" formatCode="#\ ##0.##########">
                  <c:v>82.9</c:v>
                </c:pt>
                <c:pt idx="14" formatCode="#\ ##0.##########">
                  <c:v>94.8</c:v>
                </c:pt>
                <c:pt idx="15" formatCode="#\ ##0.##########">
                  <c:v>100.9</c:v>
                </c:pt>
                <c:pt idx="16" formatCode="#\ ##0.##########">
                  <c:v>100.7</c:v>
                </c:pt>
                <c:pt idx="17" formatCode="#\ ##0.##########">
                  <c:v>99.9</c:v>
                </c:pt>
                <c:pt idx="18">
                  <c:v>97.1</c:v>
                </c:pt>
                <c:pt idx="19">
                  <c:v>100</c:v>
                </c:pt>
                <c:pt idx="20" formatCode="#\ ##0.##########">
                  <c:v>99.2</c:v>
                </c:pt>
                <c:pt idx="21" formatCode="#\ ##0.##########">
                  <c:v>98.7</c:v>
                </c:pt>
                <c:pt idx="22" formatCode="#\ ##0.##########">
                  <c:v>99.5</c:v>
                </c:pt>
                <c:pt idx="23">
                  <c:v>99</c:v>
                </c:pt>
                <c:pt idx="24" formatCode="#\ ##0.##########">
                  <c:v>99.8</c:v>
                </c:pt>
                <c:pt idx="25" formatCode="#\ ##0.##########">
                  <c:v>98.3</c:v>
                </c:pt>
                <c:pt idx="26">
                  <c:v>96.1</c:v>
                </c:pt>
                <c:pt idx="27" formatCode="#\ ##0.##########">
                  <c:v>94.6</c:v>
                </c:pt>
                <c:pt idx="28" formatCode="#\ ##0.##########">
                  <c:v>94.3</c:v>
                </c:pt>
                <c:pt idx="29" formatCode="#\ ##0.##########">
                  <c:v>93.2</c:v>
                </c:pt>
                <c:pt idx="30">
                  <c:v>92.1</c:v>
                </c:pt>
                <c:pt idx="31" formatCode="#\ ##0.##########">
                  <c:v>91.5</c:v>
                </c:pt>
                <c:pt idx="32" formatCode="#\ ##0.##########">
                  <c:v>92.2</c:v>
                </c:pt>
                <c:pt idx="33" formatCode="#\ ##0.##########">
                  <c:v>91.8</c:v>
                </c:pt>
                <c:pt idx="34" formatCode="#\ ##0.##########">
                  <c:v>91.3</c:v>
                </c:pt>
                <c:pt idx="35" formatCode="#\ ##0.##########">
                  <c:v>92.3</c:v>
                </c:pt>
              </c:numCache>
            </c:numRef>
          </c:val>
          <c:smooth val="0"/>
          <c:extLst>
            <c:ext xmlns:c16="http://schemas.microsoft.com/office/drawing/2014/chart" uri="{C3380CC4-5D6E-409C-BE32-E72D297353CC}">
              <c16:uniqueId val="{0000000C-C697-442E-B859-B1944EA88545}"/>
            </c:ext>
          </c:extLst>
        </c:ser>
        <c:dLbls>
          <c:showLegendKey val="0"/>
          <c:showVal val="0"/>
          <c:showCatName val="0"/>
          <c:showSerName val="0"/>
          <c:showPercent val="0"/>
          <c:showBubbleSize val="0"/>
        </c:dLbls>
        <c:marker val="1"/>
        <c:smooth val="0"/>
        <c:axId val="1513731104"/>
        <c:axId val="1513729024"/>
      </c:lineChart>
      <c:catAx>
        <c:axId val="112768128"/>
        <c:scaling>
          <c:orientation val="minMax"/>
        </c:scaling>
        <c:delete val="0"/>
        <c:axPos val="b"/>
        <c:numFmt formatCode="General" sourceLinked="1"/>
        <c:majorTickMark val="none"/>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28"/>
          <c:min val="-24"/>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u="none" strike="noStrike" baseline="0">
                    <a:effectLst/>
                  </a:rPr>
                  <a:t>Prům. produkce (příspěvky  k meziroč. změně)</a:t>
                </a:r>
                <a:endParaRPr lang="cs-CZ" sz="700" b="0" i="1">
                  <a:latin typeface="Arial" panose="020B0604020202020204" pitchFamily="34" charset="0"/>
                  <a:cs typeface="Arial" panose="020B0604020202020204" pitchFamily="34" charset="0"/>
                </a:endParaRPr>
              </a:p>
            </c:rich>
          </c:tx>
          <c:layout>
            <c:manualLayout>
              <c:xMode val="edge"/>
              <c:yMode val="edge"/>
              <c:x val="0"/>
              <c:y val="0.1165198004318692"/>
            </c:manualLayout>
          </c:layout>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4"/>
      </c:valAx>
      <c:valAx>
        <c:axId val="1513729024"/>
        <c:scaling>
          <c:orientation val="minMax"/>
          <c:max val="115"/>
          <c:min val="5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Produkce</a:t>
                </a:r>
                <a:r>
                  <a:rPr lang="cs-CZ" sz="700" b="0" i="1" baseline="0">
                    <a:latin typeface="Arial" panose="020B0604020202020204" pitchFamily="34" charset="0"/>
                    <a:cs typeface="Arial" panose="020B0604020202020204" pitchFamily="34" charset="0"/>
                  </a:rPr>
                  <a:t> </a:t>
                </a:r>
                <a:r>
                  <a:rPr lang="cs-CZ" sz="700" b="0" i="1">
                    <a:latin typeface="Arial" panose="020B0604020202020204" pitchFamily="34" charset="0"/>
                    <a:cs typeface="Arial" panose="020B0604020202020204" pitchFamily="34" charset="0"/>
                  </a:rPr>
                  <a:t>v průmyslu (báze 2021=100)</a:t>
                </a:r>
              </a:p>
            </c:rich>
          </c:tx>
          <c:layout>
            <c:manualLayout>
              <c:xMode val="edge"/>
              <c:yMode val="edge"/>
              <c:x val="0.97040158454025283"/>
              <c:y val="0.16649922312229412"/>
            </c:manualLayout>
          </c:layout>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513731104"/>
        <c:crosses val="max"/>
        <c:crossBetween val="between"/>
        <c:majorUnit val="5"/>
      </c:valAx>
      <c:catAx>
        <c:axId val="1513731104"/>
        <c:scaling>
          <c:orientation val="minMax"/>
        </c:scaling>
        <c:delete val="1"/>
        <c:axPos val="b"/>
        <c:numFmt formatCode="General" sourceLinked="1"/>
        <c:majorTickMark val="out"/>
        <c:minorTickMark val="none"/>
        <c:tickLblPos val="nextTo"/>
        <c:crossAx val="1513729024"/>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2.5422495495726866E-2"/>
          <c:y val="0.7932567443166475"/>
          <c:w val="0.95335913646574755"/>
          <c:h val="0.20355147830569023"/>
        </c:manualLayout>
      </c:layout>
      <c:overlay val="0"/>
      <c:spPr>
        <a:ln w="6350">
          <a:solidFill>
            <a:prstClr val="black">
              <a:lumMod val="95000"/>
              <a:lumOff val="5000"/>
            </a:prstClr>
          </a:solidFill>
        </a:ln>
      </c:spPr>
      <c:txPr>
        <a:bodyPr/>
        <a:lstStyle/>
        <a:p>
          <a:pPr>
            <a:defRPr sz="72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88042665536843E-2"/>
          <c:y val="1.5647041011259352E-2"/>
          <c:w val="0.84974974879787502"/>
          <c:h val="0.750636022143085"/>
        </c:manualLayout>
      </c:layout>
      <c:barChart>
        <c:barDir val="col"/>
        <c:grouping val="clustered"/>
        <c:varyColors val="0"/>
        <c:ser>
          <c:idx val="0"/>
          <c:order val="0"/>
          <c:tx>
            <c:strRef>
              <c:f>'výkonnost odvětví 2'!$A$36</c:f>
              <c:strCache>
                <c:ptCount val="1"/>
                <c:pt idx="0">
                  <c:v>Průmyslové zakázky celkem</c:v>
                </c:pt>
              </c:strCache>
            </c:strRef>
          </c:tx>
          <c:spPr>
            <a:solidFill>
              <a:srgbClr val="86BF5E"/>
            </a:solidFill>
            <a:ln>
              <a:noFill/>
            </a:ln>
          </c:spPr>
          <c:invertIfNegative val="0"/>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2'!$AD$36:$BJ$36</c:f>
              <c:numCache>
                <c:formatCode>##0.0</c:formatCode>
                <c:ptCount val="33"/>
                <c:pt idx="0">
                  <c:v>3.2993551214999997</c:v>
                </c:pt>
                <c:pt idx="1">
                  <c:v>2.9773571834000023</c:v>
                </c:pt>
                <c:pt idx="2">
                  <c:v>3.5300064828000046</c:v>
                </c:pt>
                <c:pt idx="3">
                  <c:v>2.4324207204000032</c:v>
                </c:pt>
                <c:pt idx="4">
                  <c:v>3.2234606388999936</c:v>
                </c:pt>
                <c:pt idx="5">
                  <c:v>2.1291359181000047</c:v>
                </c:pt>
                <c:pt idx="6">
                  <c:v>-1.1496242270000039</c:v>
                </c:pt>
                <c:pt idx="7">
                  <c:v>-2.8233445845000062</c:v>
                </c:pt>
                <c:pt idx="8">
                  <c:v>-4.1421474552000035</c:v>
                </c:pt>
                <c:pt idx="9">
                  <c:v>-27.261303375300002</c:v>
                </c:pt>
                <c:pt idx="10">
                  <c:v>-0.61408028729999842</c:v>
                </c:pt>
                <c:pt idx="11">
                  <c:v>6.5219093458999993</c:v>
                </c:pt>
                <c:pt idx="12">
                  <c:v>10.602066683199993</c:v>
                </c:pt>
                <c:pt idx="13">
                  <c:v>46.734027953999998</c:v>
                </c:pt>
                <c:pt idx="14">
                  <c:v>7.4414460278999996</c:v>
                </c:pt>
                <c:pt idx="15">
                  <c:v>4.0145458960000013</c:v>
                </c:pt>
                <c:pt idx="16">
                  <c:v>6.3629553604999955</c:v>
                </c:pt>
                <c:pt idx="17">
                  <c:v>10.097910523699994</c:v>
                </c:pt>
                <c:pt idx="18">
                  <c:v>15.277525986499995</c:v>
                </c:pt>
                <c:pt idx="19">
                  <c:v>12.575771332200006</c:v>
                </c:pt>
                <c:pt idx="20">
                  <c:v>3.1337316676000029</c:v>
                </c:pt>
                <c:pt idx="21">
                  <c:v>-2.2599865078999954</c:v>
                </c:pt>
                <c:pt idx="22">
                  <c:v>-3.8402894136000043</c:v>
                </c:pt>
                <c:pt idx="23">
                  <c:v>-0.93949183089999622</c:v>
                </c:pt>
                <c:pt idx="24">
                  <c:v>4.4754830751000014</c:v>
                </c:pt>
                <c:pt idx="25">
                  <c:v>4.485315818700002</c:v>
                </c:pt>
                <c:pt idx="26">
                  <c:v>4.3869355584999994</c:v>
                </c:pt>
                <c:pt idx="27">
                  <c:v>1.2151640171999958</c:v>
                </c:pt>
                <c:pt idx="28">
                  <c:v>-0.12799306670000021</c:v>
                </c:pt>
                <c:pt idx="29" formatCode="#\ ##0.0">
                  <c:v>3.3995345226000069</c:v>
                </c:pt>
                <c:pt idx="30" formatCode="#\ ##0.0">
                  <c:v>2.2450201407000066</c:v>
                </c:pt>
                <c:pt idx="31" formatCode="#\ ##0.0">
                  <c:v>10.2945626602</c:v>
                </c:pt>
              </c:numCache>
            </c:numRef>
          </c:val>
          <c:extLst>
            <c:ext xmlns:c16="http://schemas.microsoft.com/office/drawing/2014/chart" uri="{C3380CC4-5D6E-409C-BE32-E72D297353CC}">
              <c16:uniqueId val="{00000000-B64A-4067-B6E0-A04F333DFD9C}"/>
            </c:ext>
          </c:extLst>
        </c:ser>
        <c:dLbls>
          <c:showLegendKey val="0"/>
          <c:showVal val="0"/>
          <c:showCatName val="0"/>
          <c:showSerName val="0"/>
          <c:showPercent val="0"/>
          <c:showBubbleSize val="0"/>
        </c:dLbls>
        <c:gapWidth val="30"/>
        <c:axId val="112768128"/>
        <c:axId val="112769664"/>
      </c:barChart>
      <c:lineChart>
        <c:grouping val="standard"/>
        <c:varyColors val="0"/>
        <c:ser>
          <c:idx val="1"/>
          <c:order val="1"/>
          <c:tx>
            <c:strRef>
              <c:f>'výkonnost odvětví 2'!$A$37</c:f>
              <c:strCache>
                <c:ptCount val="1"/>
                <c:pt idx="0">
                  <c:v>z toho: zakázky z tuzemska</c:v>
                </c:pt>
              </c:strCache>
            </c:strRef>
          </c:tx>
          <c:spPr>
            <a:ln w="15875">
              <a:noFill/>
              <a:prstDash val="sysDot"/>
            </a:ln>
          </c:spPr>
          <c:marker>
            <c:symbol val="circle"/>
            <c:size val="5"/>
            <c:spPr>
              <a:solidFill>
                <a:schemeClr val="bg1"/>
              </a:solidFill>
              <a:ln w="12700">
                <a:solidFill>
                  <a:srgbClr val="85BF5E"/>
                </a:solidFill>
              </a:ln>
            </c:spPr>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2'!$AD$37:$BJ$37</c:f>
              <c:numCache>
                <c:formatCode>##0.0</c:formatCode>
                <c:ptCount val="33"/>
                <c:pt idx="0">
                  <c:v>2.1530605192999985</c:v>
                </c:pt>
                <c:pt idx="1">
                  <c:v>2.440306231799994</c:v>
                </c:pt>
                <c:pt idx="2">
                  <c:v>4.7510172912000002</c:v>
                </c:pt>
                <c:pt idx="3">
                  <c:v>3.3084884759999937</c:v>
                </c:pt>
                <c:pt idx="4">
                  <c:v>7.6964313707999992</c:v>
                </c:pt>
                <c:pt idx="5">
                  <c:v>5.9656126075999936</c:v>
                </c:pt>
                <c:pt idx="6">
                  <c:v>0.2850715043000065</c:v>
                </c:pt>
                <c:pt idx="7">
                  <c:v>-0.84674153630000148</c:v>
                </c:pt>
                <c:pt idx="8">
                  <c:v>0.84542569580000304</c:v>
                </c:pt>
                <c:pt idx="9">
                  <c:v>-25.680778364399998</c:v>
                </c:pt>
                <c:pt idx="10">
                  <c:v>-3.379983194199994</c:v>
                </c:pt>
                <c:pt idx="11">
                  <c:v>5.566224000099993</c:v>
                </c:pt>
                <c:pt idx="12">
                  <c:v>2.2000447382000061</c:v>
                </c:pt>
                <c:pt idx="13">
                  <c:v>42.216312892800005</c:v>
                </c:pt>
                <c:pt idx="14">
                  <c:v>9.2699996399000071</c:v>
                </c:pt>
                <c:pt idx="15">
                  <c:v>5.7633315440999979</c:v>
                </c:pt>
                <c:pt idx="16">
                  <c:v>8.7211151614999949</c:v>
                </c:pt>
                <c:pt idx="17">
                  <c:v>15.4518467276</c:v>
                </c:pt>
                <c:pt idx="18">
                  <c:v>26.230113619700006</c:v>
                </c:pt>
                <c:pt idx="19">
                  <c:v>19.294974516799996</c:v>
                </c:pt>
                <c:pt idx="20">
                  <c:v>11.970278561000001</c:v>
                </c:pt>
                <c:pt idx="21">
                  <c:v>2.3758644261999962</c:v>
                </c:pt>
                <c:pt idx="22">
                  <c:v>-6.7655627147999979</c:v>
                </c:pt>
                <c:pt idx="23">
                  <c:v>-0.67711067199999775</c:v>
                </c:pt>
                <c:pt idx="24">
                  <c:v>3.4837125815000007</c:v>
                </c:pt>
                <c:pt idx="25">
                  <c:v>3.0828713233999991</c:v>
                </c:pt>
                <c:pt idx="26">
                  <c:v>7.8595010221000052</c:v>
                </c:pt>
                <c:pt idx="27">
                  <c:v>2.419199062399997</c:v>
                </c:pt>
                <c:pt idx="28">
                  <c:v>0.47666051660000619</c:v>
                </c:pt>
                <c:pt idx="29" formatCode="#\ ##0.0">
                  <c:v>2.3801168512000004</c:v>
                </c:pt>
                <c:pt idx="30" formatCode="#\ ##0.0">
                  <c:v>4.4991561675000042</c:v>
                </c:pt>
                <c:pt idx="31" formatCode="#\ ##0.0">
                  <c:v>0.18329621809999708</c:v>
                </c:pt>
              </c:numCache>
            </c:numRef>
          </c:val>
          <c:smooth val="0"/>
          <c:extLst>
            <c:ext xmlns:c16="http://schemas.microsoft.com/office/drawing/2014/chart" uri="{C3380CC4-5D6E-409C-BE32-E72D297353CC}">
              <c16:uniqueId val="{00000001-B64A-4067-B6E0-A04F333DFD9C}"/>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2"/>
          <c:order val="2"/>
          <c:tx>
            <c:strRef>
              <c:f>'výkonnost odvětví 2'!$A$38</c:f>
              <c:strCache>
                <c:ptCount val="1"/>
                <c:pt idx="0">
                  <c:v>Využití výrob. kapacit v průmyslu celkem</c:v>
                </c:pt>
              </c:strCache>
            </c:strRef>
          </c:tx>
          <c:spPr>
            <a:ln w="15875">
              <a:solidFill>
                <a:srgbClr val="CC9610"/>
              </a:solidFill>
            </a:ln>
          </c:spPr>
          <c:marker>
            <c:symbol val="none"/>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2'!$AD$38:$BJ$38</c:f>
              <c:numCache>
                <c:formatCode>##0.0</c:formatCode>
                <c:ptCount val="33"/>
                <c:pt idx="0">
                  <c:v>85.33</c:v>
                </c:pt>
                <c:pt idx="1">
                  <c:v>84.89</c:v>
                </c:pt>
                <c:pt idx="2">
                  <c:v>85.13</c:v>
                </c:pt>
                <c:pt idx="3">
                  <c:v>84.76</c:v>
                </c:pt>
                <c:pt idx="4">
                  <c:v>84.93</c:v>
                </c:pt>
                <c:pt idx="5">
                  <c:v>85.19</c:v>
                </c:pt>
                <c:pt idx="6">
                  <c:v>83.6</c:v>
                </c:pt>
                <c:pt idx="7">
                  <c:v>83.7</c:v>
                </c:pt>
                <c:pt idx="8">
                  <c:v>84.2</c:v>
                </c:pt>
                <c:pt idx="9">
                  <c:v>70.400000000000006</c:v>
                </c:pt>
                <c:pt idx="10">
                  <c:v>76.3</c:v>
                </c:pt>
                <c:pt idx="11">
                  <c:v>82.7</c:v>
                </c:pt>
                <c:pt idx="12">
                  <c:v>85.8</c:v>
                </c:pt>
                <c:pt idx="13">
                  <c:v>84.4</c:v>
                </c:pt>
                <c:pt idx="14">
                  <c:v>86.41</c:v>
                </c:pt>
                <c:pt idx="15">
                  <c:v>77.599999999999994</c:v>
                </c:pt>
                <c:pt idx="16">
                  <c:v>83.6</c:v>
                </c:pt>
                <c:pt idx="17">
                  <c:v>82.17</c:v>
                </c:pt>
                <c:pt idx="18">
                  <c:v>83.5</c:v>
                </c:pt>
                <c:pt idx="19">
                  <c:v>81.099999999999994</c:v>
                </c:pt>
                <c:pt idx="20">
                  <c:v>81.400000000000006</c:v>
                </c:pt>
                <c:pt idx="21">
                  <c:v>83.7</c:v>
                </c:pt>
                <c:pt idx="22">
                  <c:v>83.5</c:v>
                </c:pt>
                <c:pt idx="23">
                  <c:v>83.6</c:v>
                </c:pt>
                <c:pt idx="24">
                  <c:v>83.1</c:v>
                </c:pt>
                <c:pt idx="25">
                  <c:v>83</c:v>
                </c:pt>
                <c:pt idx="26">
                  <c:v>80.599999999999994</c:v>
                </c:pt>
                <c:pt idx="27">
                  <c:v>82.47</c:v>
                </c:pt>
                <c:pt idx="28">
                  <c:v>82.7</c:v>
                </c:pt>
                <c:pt idx="29">
                  <c:v>83.36</c:v>
                </c:pt>
                <c:pt idx="30">
                  <c:v>84.2</c:v>
                </c:pt>
                <c:pt idx="31">
                  <c:v>84.334999999999994</c:v>
                </c:pt>
                <c:pt idx="32">
                  <c:v>81.96</c:v>
                </c:pt>
              </c:numCache>
            </c:numRef>
          </c:val>
          <c:smooth val="0"/>
          <c:extLst>
            <c:ext xmlns:c16="http://schemas.microsoft.com/office/drawing/2014/chart" uri="{C3380CC4-5D6E-409C-BE32-E72D297353CC}">
              <c16:uniqueId val="{00000002-B64A-4067-B6E0-A04F333DFD9C}"/>
            </c:ext>
          </c:extLst>
        </c:ser>
        <c:ser>
          <c:idx val="3"/>
          <c:order val="3"/>
          <c:tx>
            <c:strRef>
              <c:f>'výkonnost odvětví 2'!$A$39</c:f>
              <c:strCache>
                <c:ptCount val="1"/>
                <c:pt idx="0">
                  <c:v>Využití výrob. kapacit v automobil. prům.</c:v>
                </c:pt>
              </c:strCache>
            </c:strRef>
          </c:tx>
          <c:spPr>
            <a:ln w="15875">
              <a:solidFill>
                <a:srgbClr val="E6C45B"/>
              </a:solidFill>
              <a:prstDash val="sysDash"/>
            </a:ln>
          </c:spPr>
          <c:marker>
            <c:symbol val="none"/>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2'!$AD$39:$BJ$39</c:f>
              <c:numCache>
                <c:formatCode>##0.0</c:formatCode>
                <c:ptCount val="33"/>
                <c:pt idx="0">
                  <c:v>91.4</c:v>
                </c:pt>
                <c:pt idx="1">
                  <c:v>91.3</c:v>
                </c:pt>
                <c:pt idx="2">
                  <c:v>92.9</c:v>
                </c:pt>
                <c:pt idx="3">
                  <c:v>92.5</c:v>
                </c:pt>
                <c:pt idx="4">
                  <c:v>92.9</c:v>
                </c:pt>
                <c:pt idx="5">
                  <c:v>92.7</c:v>
                </c:pt>
                <c:pt idx="6">
                  <c:v>92.8</c:v>
                </c:pt>
                <c:pt idx="7">
                  <c:v>93</c:v>
                </c:pt>
                <c:pt idx="8">
                  <c:v>90.6</c:v>
                </c:pt>
                <c:pt idx="9">
                  <c:v>45</c:v>
                </c:pt>
                <c:pt idx="10">
                  <c:v>79.099999999999994</c:v>
                </c:pt>
                <c:pt idx="11">
                  <c:v>96.9</c:v>
                </c:pt>
                <c:pt idx="12">
                  <c:v>94.9</c:v>
                </c:pt>
                <c:pt idx="13">
                  <c:v>89.6</c:v>
                </c:pt>
                <c:pt idx="14">
                  <c:v>95.3</c:v>
                </c:pt>
                <c:pt idx="15">
                  <c:v>55.8</c:v>
                </c:pt>
                <c:pt idx="16">
                  <c:v>84.5</c:v>
                </c:pt>
                <c:pt idx="17">
                  <c:v>76.7</c:v>
                </c:pt>
                <c:pt idx="18">
                  <c:v>79</c:v>
                </c:pt>
                <c:pt idx="19">
                  <c:v>74.099999999999994</c:v>
                </c:pt>
                <c:pt idx="20">
                  <c:v>79.400000000000006</c:v>
                </c:pt>
                <c:pt idx="21">
                  <c:v>92.7</c:v>
                </c:pt>
                <c:pt idx="22">
                  <c:v>92.2</c:v>
                </c:pt>
                <c:pt idx="23">
                  <c:v>92.2</c:v>
                </c:pt>
                <c:pt idx="24">
                  <c:v>92.7</c:v>
                </c:pt>
                <c:pt idx="25">
                  <c:v>93.5</c:v>
                </c:pt>
                <c:pt idx="26">
                  <c:v>89.9</c:v>
                </c:pt>
                <c:pt idx="27">
                  <c:v>92.9</c:v>
                </c:pt>
                <c:pt idx="28">
                  <c:v>93.100000000000009</c:v>
                </c:pt>
                <c:pt idx="29">
                  <c:v>91.5</c:v>
                </c:pt>
                <c:pt idx="30">
                  <c:v>99.9</c:v>
                </c:pt>
                <c:pt idx="31">
                  <c:v>99.4</c:v>
                </c:pt>
                <c:pt idx="32">
                  <c:v>89.6</c:v>
                </c:pt>
              </c:numCache>
            </c:numRef>
          </c:val>
          <c:smooth val="0"/>
          <c:extLst>
            <c:ext xmlns:c16="http://schemas.microsoft.com/office/drawing/2014/chart" uri="{C3380CC4-5D6E-409C-BE32-E72D297353CC}">
              <c16:uniqueId val="{00000003-B64A-4067-B6E0-A04F333DFD9C}"/>
            </c:ext>
          </c:extLst>
        </c:ser>
        <c:ser>
          <c:idx val="4"/>
          <c:order val="4"/>
          <c:tx>
            <c:strRef>
              <c:f>'výkonnost odvětví 2'!$A$40</c:f>
              <c:strCache>
                <c:ptCount val="1"/>
                <c:pt idx="0">
                  <c:v>Bariéra růstu: nedostatečná poptávka</c:v>
                </c:pt>
              </c:strCache>
            </c:strRef>
          </c:tx>
          <c:spPr>
            <a:ln w="15875">
              <a:solidFill>
                <a:srgbClr val="8390A7"/>
              </a:solidFill>
              <a:prstDash val="solid"/>
            </a:ln>
          </c:spPr>
          <c:marker>
            <c:symbol val="none"/>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2'!$AD$40:$BJ$40</c:f>
              <c:numCache>
                <c:formatCode>#\ ##0.0</c:formatCode>
                <c:ptCount val="33"/>
                <c:pt idx="0">
                  <c:v>35.4</c:v>
                </c:pt>
                <c:pt idx="1">
                  <c:v>36.299999999999997</c:v>
                </c:pt>
                <c:pt idx="2">
                  <c:v>32.4</c:v>
                </c:pt>
                <c:pt idx="3">
                  <c:v>32.9</c:v>
                </c:pt>
                <c:pt idx="4">
                  <c:v>33.799999999999997</c:v>
                </c:pt>
                <c:pt idx="5">
                  <c:v>36.200000000000003</c:v>
                </c:pt>
                <c:pt idx="6">
                  <c:v>41</c:v>
                </c:pt>
                <c:pt idx="7">
                  <c:v>47.1</c:v>
                </c:pt>
                <c:pt idx="8">
                  <c:v>49.8</c:v>
                </c:pt>
                <c:pt idx="9">
                  <c:v>58.8</c:v>
                </c:pt>
                <c:pt idx="10">
                  <c:v>63</c:v>
                </c:pt>
                <c:pt idx="11">
                  <c:v>44.4</c:v>
                </c:pt>
                <c:pt idx="12">
                  <c:v>46.9</c:v>
                </c:pt>
                <c:pt idx="13">
                  <c:v>38.700000000000003</c:v>
                </c:pt>
                <c:pt idx="14">
                  <c:v>25.4</c:v>
                </c:pt>
                <c:pt idx="15">
                  <c:v>27.9</c:v>
                </c:pt>
                <c:pt idx="16">
                  <c:v>29.9</c:v>
                </c:pt>
                <c:pt idx="17">
                  <c:v>21.3</c:v>
                </c:pt>
                <c:pt idx="18">
                  <c:v>18.7</c:v>
                </c:pt>
                <c:pt idx="19">
                  <c:v>29.4</c:v>
                </c:pt>
                <c:pt idx="20">
                  <c:v>42.5</c:v>
                </c:pt>
                <c:pt idx="21">
                  <c:v>42</c:v>
                </c:pt>
                <c:pt idx="22">
                  <c:v>44.3</c:v>
                </c:pt>
                <c:pt idx="23">
                  <c:v>46.2</c:v>
                </c:pt>
                <c:pt idx="24">
                  <c:v>47.5</c:v>
                </c:pt>
                <c:pt idx="25">
                  <c:v>49.8</c:v>
                </c:pt>
                <c:pt idx="26">
                  <c:v>52</c:v>
                </c:pt>
                <c:pt idx="27">
                  <c:v>49</c:v>
                </c:pt>
                <c:pt idx="28">
                  <c:v>63.5</c:v>
                </c:pt>
                <c:pt idx="29">
                  <c:v>51.7</c:v>
                </c:pt>
                <c:pt idx="30">
                  <c:v>52.7</c:v>
                </c:pt>
                <c:pt idx="31">
                  <c:v>54.2</c:v>
                </c:pt>
                <c:pt idx="32">
                  <c:v>53</c:v>
                </c:pt>
              </c:numCache>
            </c:numRef>
          </c:val>
          <c:smooth val="0"/>
          <c:extLst>
            <c:ext xmlns:c16="http://schemas.microsoft.com/office/drawing/2014/chart" uri="{C3380CC4-5D6E-409C-BE32-E72D297353CC}">
              <c16:uniqueId val="{00000004-B64A-4067-B6E0-A04F333DFD9C}"/>
            </c:ext>
          </c:extLst>
        </c:ser>
        <c:ser>
          <c:idx val="5"/>
          <c:order val="5"/>
          <c:tx>
            <c:strRef>
              <c:f>'výkonnost odvětví 2'!$A$41</c:f>
              <c:strCache>
                <c:ptCount val="1"/>
                <c:pt idx="0">
                  <c:v>Bariéra růstu: nedostatek pracovníků</c:v>
                </c:pt>
              </c:strCache>
            </c:strRef>
          </c:tx>
          <c:spPr>
            <a:ln w="15875">
              <a:solidFill>
                <a:srgbClr val="858972"/>
              </a:solidFill>
              <a:prstDash val="sysDash"/>
            </a:ln>
          </c:spPr>
          <c:marker>
            <c:symbol val="none"/>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2'!$AD$41:$BJ$41</c:f>
              <c:numCache>
                <c:formatCode>#\ ##0.0</c:formatCode>
                <c:ptCount val="33"/>
                <c:pt idx="0">
                  <c:v>43.5</c:v>
                </c:pt>
                <c:pt idx="1">
                  <c:v>42.3</c:v>
                </c:pt>
                <c:pt idx="2">
                  <c:v>43.2</c:v>
                </c:pt>
                <c:pt idx="3">
                  <c:v>46.3</c:v>
                </c:pt>
                <c:pt idx="4">
                  <c:v>39</c:v>
                </c:pt>
                <c:pt idx="5">
                  <c:v>35.1</c:v>
                </c:pt>
                <c:pt idx="6">
                  <c:v>40.200000000000003</c:v>
                </c:pt>
                <c:pt idx="7">
                  <c:v>39.200000000000003</c:v>
                </c:pt>
                <c:pt idx="8">
                  <c:v>27.7</c:v>
                </c:pt>
                <c:pt idx="9">
                  <c:v>13.5</c:v>
                </c:pt>
                <c:pt idx="10">
                  <c:v>16.7</c:v>
                </c:pt>
                <c:pt idx="11">
                  <c:v>17.600000000000001</c:v>
                </c:pt>
                <c:pt idx="12">
                  <c:v>22</c:v>
                </c:pt>
                <c:pt idx="13">
                  <c:v>18.399999999999999</c:v>
                </c:pt>
                <c:pt idx="14">
                  <c:v>27.6</c:v>
                </c:pt>
                <c:pt idx="15">
                  <c:v>22.6</c:v>
                </c:pt>
                <c:pt idx="16">
                  <c:v>24.9</c:v>
                </c:pt>
                <c:pt idx="17">
                  <c:v>18.600000000000001</c:v>
                </c:pt>
                <c:pt idx="18">
                  <c:v>26.1</c:v>
                </c:pt>
                <c:pt idx="19">
                  <c:v>24.9</c:v>
                </c:pt>
                <c:pt idx="20">
                  <c:v>16.600000000000001</c:v>
                </c:pt>
                <c:pt idx="21">
                  <c:v>20.6</c:v>
                </c:pt>
                <c:pt idx="22">
                  <c:v>18.899999999999999</c:v>
                </c:pt>
                <c:pt idx="23">
                  <c:v>22.5</c:v>
                </c:pt>
                <c:pt idx="24">
                  <c:v>14.6</c:v>
                </c:pt>
                <c:pt idx="25">
                  <c:v>11.8</c:v>
                </c:pt>
                <c:pt idx="26">
                  <c:v>12.8</c:v>
                </c:pt>
                <c:pt idx="27">
                  <c:v>17.8</c:v>
                </c:pt>
                <c:pt idx="28">
                  <c:v>13.2</c:v>
                </c:pt>
                <c:pt idx="29">
                  <c:v>10.6</c:v>
                </c:pt>
                <c:pt idx="30">
                  <c:v>9.6</c:v>
                </c:pt>
                <c:pt idx="31">
                  <c:v>11.8</c:v>
                </c:pt>
                <c:pt idx="32">
                  <c:v>10.7</c:v>
                </c:pt>
              </c:numCache>
            </c:numRef>
          </c:val>
          <c:smooth val="0"/>
          <c:extLst>
            <c:ext xmlns:c16="http://schemas.microsoft.com/office/drawing/2014/chart" uri="{C3380CC4-5D6E-409C-BE32-E72D297353CC}">
              <c16:uniqueId val="{00000005-B64A-4067-B6E0-A04F333DFD9C}"/>
            </c:ext>
          </c:extLst>
        </c:ser>
        <c:ser>
          <c:idx val="6"/>
          <c:order val="6"/>
          <c:tx>
            <c:strRef>
              <c:f>'výkonnost odvětví 2'!$A$42</c:f>
              <c:strCache>
                <c:ptCount val="1"/>
                <c:pt idx="0">
                  <c:v>Bariéra růstu: nedost. materiálu a zařízení</c:v>
                </c:pt>
              </c:strCache>
            </c:strRef>
          </c:tx>
          <c:spPr>
            <a:ln w="15875">
              <a:solidFill>
                <a:srgbClr val="B8BBC0"/>
              </a:solidFill>
              <a:prstDash val="dash"/>
            </a:ln>
          </c:spPr>
          <c:marker>
            <c:symbol val="none"/>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2'!$AD$42:$BJ$42</c:f>
              <c:numCache>
                <c:formatCode>#\ ##0.0</c:formatCode>
                <c:ptCount val="33"/>
                <c:pt idx="0">
                  <c:v>11.9</c:v>
                </c:pt>
                <c:pt idx="1">
                  <c:v>11.7</c:v>
                </c:pt>
                <c:pt idx="2">
                  <c:v>13.9</c:v>
                </c:pt>
                <c:pt idx="3">
                  <c:v>23.5</c:v>
                </c:pt>
                <c:pt idx="4">
                  <c:v>26.4</c:v>
                </c:pt>
                <c:pt idx="5">
                  <c:v>24.7</c:v>
                </c:pt>
                <c:pt idx="6">
                  <c:v>22</c:v>
                </c:pt>
                <c:pt idx="7">
                  <c:v>10.5</c:v>
                </c:pt>
                <c:pt idx="8">
                  <c:v>17.899999999999999</c:v>
                </c:pt>
                <c:pt idx="9">
                  <c:v>10.199999999999999</c:v>
                </c:pt>
                <c:pt idx="10">
                  <c:v>6.7</c:v>
                </c:pt>
                <c:pt idx="11">
                  <c:v>10.9</c:v>
                </c:pt>
                <c:pt idx="12">
                  <c:v>23.1</c:v>
                </c:pt>
                <c:pt idx="13">
                  <c:v>32.1</c:v>
                </c:pt>
                <c:pt idx="14">
                  <c:v>45.9</c:v>
                </c:pt>
                <c:pt idx="15">
                  <c:v>41.2</c:v>
                </c:pt>
                <c:pt idx="16">
                  <c:v>39.299999999999997</c:v>
                </c:pt>
                <c:pt idx="17">
                  <c:v>47.8</c:v>
                </c:pt>
                <c:pt idx="18">
                  <c:v>53.4</c:v>
                </c:pt>
                <c:pt idx="19">
                  <c:v>46.4</c:v>
                </c:pt>
                <c:pt idx="20">
                  <c:v>37.4</c:v>
                </c:pt>
                <c:pt idx="21">
                  <c:v>32.5</c:v>
                </c:pt>
                <c:pt idx="22">
                  <c:v>20.6</c:v>
                </c:pt>
                <c:pt idx="23">
                  <c:v>17.100000000000001</c:v>
                </c:pt>
                <c:pt idx="24">
                  <c:v>32.700000000000003</c:v>
                </c:pt>
                <c:pt idx="25">
                  <c:v>28.1</c:v>
                </c:pt>
                <c:pt idx="26">
                  <c:v>13</c:v>
                </c:pt>
                <c:pt idx="27">
                  <c:v>24.7</c:v>
                </c:pt>
                <c:pt idx="28">
                  <c:v>11.9</c:v>
                </c:pt>
                <c:pt idx="29">
                  <c:v>25</c:v>
                </c:pt>
                <c:pt idx="30">
                  <c:v>11</c:v>
                </c:pt>
                <c:pt idx="31">
                  <c:v>11.2</c:v>
                </c:pt>
                <c:pt idx="32">
                  <c:v>11.4</c:v>
                </c:pt>
              </c:numCache>
            </c:numRef>
          </c:val>
          <c:smooth val="0"/>
          <c:extLst>
            <c:ext xmlns:c16="http://schemas.microsoft.com/office/drawing/2014/chart" uri="{C3380CC4-5D6E-409C-BE32-E72D297353CC}">
              <c16:uniqueId val="{00000006-B64A-4067-B6E0-A04F333DFD9C}"/>
            </c:ext>
          </c:extLst>
        </c:ser>
        <c:ser>
          <c:idx val="7"/>
          <c:order val="7"/>
          <c:tx>
            <c:strRef>
              <c:f>'výkonnost odvětví 2'!$A$43</c:f>
              <c:strCache>
                <c:ptCount val="1"/>
                <c:pt idx="0">
                  <c:v>Saldo souhrn. indik. důvěry v průmyslu</c:v>
                </c:pt>
              </c:strCache>
            </c:strRef>
          </c:tx>
          <c:spPr>
            <a:ln w="15875">
              <a:solidFill>
                <a:schemeClr val="bg2">
                  <a:lumMod val="50000"/>
                </a:schemeClr>
              </a:solidFill>
              <a:prstDash val="sysDot"/>
            </a:ln>
          </c:spPr>
          <c:marker>
            <c:symbol val="diamond"/>
            <c:size val="5"/>
            <c:spPr>
              <a:solidFill>
                <a:srgbClr val="E6C45B"/>
              </a:solidFill>
              <a:ln>
                <a:solidFill>
                  <a:srgbClr val="E6C45B"/>
                </a:solidFill>
              </a:ln>
            </c:spPr>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2'!$AD$43:$BJ$43</c:f>
              <c:numCache>
                <c:formatCode>#\ ##0.0</c:formatCode>
                <c:ptCount val="33"/>
                <c:pt idx="0">
                  <c:v>3.7</c:v>
                </c:pt>
                <c:pt idx="1">
                  <c:v>2</c:v>
                </c:pt>
                <c:pt idx="2">
                  <c:v>2.2999999999999998</c:v>
                </c:pt>
                <c:pt idx="3">
                  <c:v>2.2999999999999998</c:v>
                </c:pt>
                <c:pt idx="4">
                  <c:v>0.3</c:v>
                </c:pt>
                <c:pt idx="5">
                  <c:v>-2</c:v>
                </c:pt>
                <c:pt idx="6">
                  <c:v>-3</c:v>
                </c:pt>
                <c:pt idx="7">
                  <c:v>-6.7</c:v>
                </c:pt>
                <c:pt idx="8">
                  <c:v>-5</c:v>
                </c:pt>
                <c:pt idx="9">
                  <c:v>-25</c:v>
                </c:pt>
                <c:pt idx="10">
                  <c:v>-6.3</c:v>
                </c:pt>
                <c:pt idx="11">
                  <c:v>-10</c:v>
                </c:pt>
                <c:pt idx="12">
                  <c:v>-1.3</c:v>
                </c:pt>
                <c:pt idx="13">
                  <c:v>5.3</c:v>
                </c:pt>
                <c:pt idx="14">
                  <c:v>-1.3</c:v>
                </c:pt>
                <c:pt idx="15">
                  <c:v>-5.3</c:v>
                </c:pt>
                <c:pt idx="16">
                  <c:v>-0.3</c:v>
                </c:pt>
                <c:pt idx="17">
                  <c:v>8.3000000000000007</c:v>
                </c:pt>
                <c:pt idx="18">
                  <c:v>-1.7</c:v>
                </c:pt>
                <c:pt idx="19">
                  <c:v>-8.3000000000000007</c:v>
                </c:pt>
                <c:pt idx="20">
                  <c:v>-10.1</c:v>
                </c:pt>
                <c:pt idx="21">
                  <c:v>-7</c:v>
                </c:pt>
                <c:pt idx="22">
                  <c:v>-7</c:v>
                </c:pt>
                <c:pt idx="23">
                  <c:v>-6</c:v>
                </c:pt>
                <c:pt idx="24">
                  <c:v>-14</c:v>
                </c:pt>
                <c:pt idx="25">
                  <c:v>-8.6999999999999993</c:v>
                </c:pt>
                <c:pt idx="26">
                  <c:v>-7.7</c:v>
                </c:pt>
                <c:pt idx="27">
                  <c:v>-8.3000000000000007</c:v>
                </c:pt>
                <c:pt idx="28">
                  <c:v>-6</c:v>
                </c:pt>
                <c:pt idx="29">
                  <c:v>-5.3</c:v>
                </c:pt>
                <c:pt idx="30">
                  <c:v>-6</c:v>
                </c:pt>
                <c:pt idx="31">
                  <c:v>-6.3</c:v>
                </c:pt>
                <c:pt idx="32">
                  <c:v>-2.2999999999999998</c:v>
                </c:pt>
              </c:numCache>
            </c:numRef>
          </c:val>
          <c:smooth val="0"/>
          <c:extLst>
            <c:ext xmlns:c16="http://schemas.microsoft.com/office/drawing/2014/chart" uri="{C3380CC4-5D6E-409C-BE32-E72D297353CC}">
              <c16:uniqueId val="{00000007-B64A-4067-B6E0-A04F333DFD9C}"/>
            </c:ext>
          </c:extLst>
        </c:ser>
        <c:dLbls>
          <c:showLegendKey val="0"/>
          <c:showVal val="0"/>
          <c:showCatName val="0"/>
          <c:showSerName val="0"/>
          <c:showPercent val="0"/>
          <c:showBubbleSize val="0"/>
        </c:dLbls>
        <c:marker val="1"/>
        <c:smooth val="0"/>
        <c:axId val="1239819375"/>
        <c:axId val="1239826863"/>
      </c:lineChart>
      <c:catAx>
        <c:axId val="112768128"/>
        <c:scaling>
          <c:orientation val="minMax"/>
        </c:scaling>
        <c:delete val="0"/>
        <c:axPos val="b"/>
        <c:numFmt formatCode="General" sourceLinked="1"/>
        <c:majorTickMark val="out"/>
        <c:minorTickMark val="none"/>
        <c:tickLblPos val="low"/>
        <c:crossAx val="112769664"/>
        <c:crosses val="autoZero"/>
        <c:auto val="1"/>
        <c:lblAlgn val="ctr"/>
        <c:lblOffset val="0"/>
        <c:noMultiLvlLbl val="0"/>
      </c:catAx>
      <c:valAx>
        <c:axId val="112769664"/>
        <c:scaling>
          <c:orientation val="minMax"/>
          <c:max val="100"/>
          <c:min val="-30"/>
        </c:scaling>
        <c:delete val="0"/>
        <c:axPos val="l"/>
        <c:majorGridlines>
          <c:spPr>
            <a:ln>
              <a:solidFill>
                <a:srgbClr val="BEBEBE"/>
              </a:solidFill>
            </a:ln>
          </c:spPr>
        </c:majorGridlines>
        <c:title>
          <c:tx>
            <c:rich>
              <a:bodyPr/>
              <a:lstStyle/>
              <a:p>
                <a:pPr>
                  <a:defRPr sz="700" b="0" i="1"/>
                </a:pPr>
                <a:r>
                  <a:rPr lang="cs-CZ" sz="700" b="0" i="1"/>
                  <a:t>Zakázky</a:t>
                </a:r>
              </a:p>
            </c:rich>
          </c:tx>
          <c:overlay val="0"/>
        </c:title>
        <c:numFmt formatCode="0" sourceLinked="0"/>
        <c:majorTickMark val="out"/>
        <c:minorTickMark val="none"/>
        <c:tickLblPos val="nextTo"/>
        <c:crossAx val="112768128"/>
        <c:crosses val="autoZero"/>
        <c:crossBetween val="between"/>
        <c:majorUnit val="10"/>
      </c:valAx>
      <c:valAx>
        <c:axId val="1239826863"/>
        <c:scaling>
          <c:orientation val="minMax"/>
          <c:max val="100"/>
          <c:min val="-30"/>
        </c:scaling>
        <c:delete val="0"/>
        <c:axPos val="r"/>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sz="700" b="0" i="1"/>
                  <a:t>Využití výrob.</a:t>
                </a:r>
                <a:r>
                  <a:rPr lang="cs-CZ" sz="700" b="0" i="1" baseline="0"/>
                  <a:t> </a:t>
                </a:r>
                <a:r>
                  <a:rPr lang="cs-CZ" sz="700" b="0" i="1"/>
                  <a:t>kapacit, bariéry růstu, </a:t>
                </a:r>
                <a:r>
                  <a:rPr lang="cs-CZ" sz="700" b="0" i="1" baseline="0">
                    <a:effectLst/>
                  </a:rPr>
                  <a:t>saldo důvěry</a:t>
                </a:r>
                <a:endParaRPr lang="cs-CZ" sz="700" i="1">
                  <a:effectLst/>
                </a:endParaRPr>
              </a:p>
            </c:rich>
          </c:tx>
          <c:overlay val="0"/>
        </c:title>
        <c:numFmt formatCode="#,##0" sourceLinked="0"/>
        <c:majorTickMark val="out"/>
        <c:minorTickMark val="none"/>
        <c:tickLblPos val="nextTo"/>
        <c:crossAx val="1239819375"/>
        <c:crosses val="max"/>
        <c:crossBetween val="between"/>
        <c:majorUnit val="10"/>
      </c:valAx>
      <c:catAx>
        <c:axId val="1239819375"/>
        <c:scaling>
          <c:orientation val="minMax"/>
        </c:scaling>
        <c:delete val="1"/>
        <c:axPos val="b"/>
        <c:numFmt formatCode="General" sourceLinked="1"/>
        <c:majorTickMark val="out"/>
        <c:minorTickMark val="none"/>
        <c:tickLblPos val="nextTo"/>
        <c:crossAx val="12398268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0"/>
          <c:y val="0.85237242835695315"/>
          <c:w val="0.9918210452108337"/>
          <c:h val="0.14064337133398228"/>
        </c:manualLayout>
      </c:layout>
      <c:overlay val="0"/>
      <c:spPr>
        <a:ln w="6350">
          <a:solidFill>
            <a:prstClr val="black">
              <a:lumMod val="95000"/>
              <a:lumOff val="5000"/>
            </a:prstClr>
          </a:solidFill>
        </a:ln>
      </c:spPr>
      <c:txPr>
        <a:bodyPr/>
        <a:lstStyle/>
        <a:p>
          <a:pPr>
            <a:defRPr sz="78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95346289980312E-2"/>
          <c:y val="1.5663550999370279E-2"/>
          <c:w val="0.85237839893753009"/>
          <c:h val="0.75413191483370345"/>
        </c:manualLayout>
      </c:layout>
      <c:barChart>
        <c:barDir val="col"/>
        <c:grouping val="stacked"/>
        <c:varyColors val="0"/>
        <c:ser>
          <c:idx val="1"/>
          <c:order val="1"/>
          <c:tx>
            <c:strRef>
              <c:f>'výkonnost odvětví 3'!$Y$10</c:f>
              <c:strCache>
                <c:ptCount val="1"/>
                <c:pt idx="0">
                  <c:v>Pozemní stavitelství (příspěvek v p. b.)</c:v>
                </c:pt>
              </c:strCache>
            </c:strRef>
          </c:tx>
          <c:spPr>
            <a:solidFill>
              <a:srgbClr val="9FC9D7"/>
            </a:solidFill>
            <a:ln>
              <a:noFill/>
            </a:ln>
          </c:spPr>
          <c:invertIfNegative val="0"/>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3'!$Y$39:$Y$75</c:f>
              <c:numCache>
                <c:formatCode>0.0</c:formatCode>
                <c:ptCount val="37"/>
                <c:pt idx="0">
                  <c:v>1.818439140996319</c:v>
                </c:pt>
                <c:pt idx="1">
                  <c:v>9.5161866462127662</c:v>
                </c:pt>
                <c:pt idx="2">
                  <c:v>3.2650480956647083</c:v>
                </c:pt>
                <c:pt idx="3">
                  <c:v>2.30805126241866</c:v>
                </c:pt>
                <c:pt idx="4">
                  <c:v>13.039459362857237</c:v>
                </c:pt>
                <c:pt idx="5">
                  <c:v>5.6850806062932753</c:v>
                </c:pt>
                <c:pt idx="6">
                  <c:v>7.036028465591686</c:v>
                </c:pt>
                <c:pt idx="7">
                  <c:v>2.3869078764089537</c:v>
                </c:pt>
                <c:pt idx="8">
                  <c:v>2.4727635166988868</c:v>
                </c:pt>
                <c:pt idx="9">
                  <c:v>2.9341574628565144</c:v>
                </c:pt>
                <c:pt idx="10">
                  <c:v>-0.67535503037810629</c:v>
                </c:pt>
                <c:pt idx="11">
                  <c:v>1.7116954805541678</c:v>
                </c:pt>
                <c:pt idx="12">
                  <c:v>-0.69584828605035332</c:v>
                </c:pt>
                <c:pt idx="13">
                  <c:v>-7.7523651360071959</c:v>
                </c:pt>
                <c:pt idx="14">
                  <c:v>-7.0746218433619372</c:v>
                </c:pt>
                <c:pt idx="15">
                  <c:v>-7.7412313848499075</c:v>
                </c:pt>
                <c:pt idx="16">
                  <c:v>-5.0660837283894127</c:v>
                </c:pt>
                <c:pt idx="17">
                  <c:v>2.4656819622014705</c:v>
                </c:pt>
                <c:pt idx="18">
                  <c:v>2.7078036992242112</c:v>
                </c:pt>
                <c:pt idx="19">
                  <c:v>5.3885116062898586</c:v>
                </c:pt>
                <c:pt idx="20">
                  <c:v>7.2599370375691361</c:v>
                </c:pt>
                <c:pt idx="21">
                  <c:v>3.5228521802835968</c:v>
                </c:pt>
                <c:pt idx="22">
                  <c:v>-0.76086526249632169</c:v>
                </c:pt>
                <c:pt idx="23">
                  <c:v>-1.4422238162798067</c:v>
                </c:pt>
                <c:pt idx="24">
                  <c:v>2.0785501415796661</c:v>
                </c:pt>
                <c:pt idx="25">
                  <c:v>-1.7940004523509017</c:v>
                </c:pt>
                <c:pt idx="26">
                  <c:v>-0.44420059250800503</c:v>
                </c:pt>
                <c:pt idx="27">
                  <c:v>-2.3463867721548444</c:v>
                </c:pt>
                <c:pt idx="28">
                  <c:v>-5.1543406570414874</c:v>
                </c:pt>
                <c:pt idx="29">
                  <c:v>-3.1463977386870448</c:v>
                </c:pt>
                <c:pt idx="30">
                  <c:v>-1.8872107153037683</c:v>
                </c:pt>
                <c:pt idx="31">
                  <c:v>1.6874158785106754</c:v>
                </c:pt>
                <c:pt idx="32">
                  <c:v>7.1050689620756158</c:v>
                </c:pt>
                <c:pt idx="33">
                  <c:v>7.3083691806545366</c:v>
                </c:pt>
                <c:pt idx="34">
                  <c:v>8.1561639741042313</c:v>
                </c:pt>
                <c:pt idx="35">
                  <c:v>4.934183736192943</c:v>
                </c:pt>
              </c:numCache>
            </c:numRef>
          </c:val>
          <c:extLst>
            <c:ext xmlns:c16="http://schemas.microsoft.com/office/drawing/2014/chart" uri="{C3380CC4-5D6E-409C-BE32-E72D297353CC}">
              <c16:uniqueId val="{00000000-41AE-4D82-9B11-74C60939CA59}"/>
            </c:ext>
          </c:extLst>
        </c:ser>
        <c:ser>
          <c:idx val="2"/>
          <c:order val="2"/>
          <c:tx>
            <c:strRef>
              <c:f>'výkonnost odvětví 3'!$Z$10</c:f>
              <c:strCache>
                <c:ptCount val="1"/>
                <c:pt idx="0">
                  <c:v>Inženýrské stavitelství (příspěvek v p. b.)</c:v>
                </c:pt>
              </c:strCache>
            </c:strRef>
          </c:tx>
          <c:spPr>
            <a:solidFill>
              <a:srgbClr val="009CB5"/>
            </a:solidFill>
            <a:ln>
              <a:noFill/>
            </a:ln>
          </c:spPr>
          <c:invertIfNegative val="0"/>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3'!$Z$39:$Z$75</c:f>
              <c:numCache>
                <c:formatCode>0.0</c:formatCode>
                <c:ptCount val="37"/>
                <c:pt idx="0">
                  <c:v>-4.1473356084740605</c:v>
                </c:pt>
                <c:pt idx="1">
                  <c:v>-1.1362269417632547</c:v>
                </c:pt>
                <c:pt idx="2">
                  <c:v>-1.6997694917449739</c:v>
                </c:pt>
                <c:pt idx="3">
                  <c:v>0.18912136047288933</c:v>
                </c:pt>
                <c:pt idx="4">
                  <c:v>2.313855161184069</c:v>
                </c:pt>
                <c:pt idx="5">
                  <c:v>1.4433818342413158</c:v>
                </c:pt>
                <c:pt idx="6">
                  <c:v>5.805340800033207</c:v>
                </c:pt>
                <c:pt idx="7">
                  <c:v>2.0257219814852485</c:v>
                </c:pt>
                <c:pt idx="8">
                  <c:v>2.8832113797347176</c:v>
                </c:pt>
                <c:pt idx="9">
                  <c:v>2.2916559515195796</c:v>
                </c:pt>
                <c:pt idx="10">
                  <c:v>0.1275103650053056</c:v>
                </c:pt>
                <c:pt idx="11">
                  <c:v>0.80716183036284428</c:v>
                </c:pt>
                <c:pt idx="12">
                  <c:v>2.6239701687748576</c:v>
                </c:pt>
                <c:pt idx="13">
                  <c:v>0.26317263154607262</c:v>
                </c:pt>
                <c:pt idx="14">
                  <c:v>-3.3347590514483532</c:v>
                </c:pt>
                <c:pt idx="15">
                  <c:v>-0.42839190612109307</c:v>
                </c:pt>
                <c:pt idx="16">
                  <c:v>-0.39522301308242569</c:v>
                </c:pt>
                <c:pt idx="17">
                  <c:v>1.8600290235434405</c:v>
                </c:pt>
                <c:pt idx="18">
                  <c:v>0.52162218280948758</c:v>
                </c:pt>
                <c:pt idx="19">
                  <c:v>-1.0553579383328437</c:v>
                </c:pt>
                <c:pt idx="20">
                  <c:v>5.3542662490461961</c:v>
                </c:pt>
                <c:pt idx="21">
                  <c:v>1.3478592062038046</c:v>
                </c:pt>
                <c:pt idx="22">
                  <c:v>0.66736359398673328</c:v>
                </c:pt>
                <c:pt idx="23">
                  <c:v>1.4188446024940988</c:v>
                </c:pt>
                <c:pt idx="24">
                  <c:v>-3.8410888445248759</c:v>
                </c:pt>
                <c:pt idx="25">
                  <c:v>-2.3631236527439059</c:v>
                </c:pt>
                <c:pt idx="26">
                  <c:v>-0.13182183197812178</c:v>
                </c:pt>
                <c:pt idx="27">
                  <c:v>-0.56534456319622506</c:v>
                </c:pt>
                <c:pt idx="28">
                  <c:v>1.1608192067090914</c:v>
                </c:pt>
                <c:pt idx="29">
                  <c:v>-1.4573196686113525</c:v>
                </c:pt>
                <c:pt idx="30">
                  <c:v>0.30856458109758472</c:v>
                </c:pt>
                <c:pt idx="31">
                  <c:v>1.5095691516466947</c:v>
                </c:pt>
                <c:pt idx="32">
                  <c:v>2.8429452920484981</c:v>
                </c:pt>
                <c:pt idx="33">
                  <c:v>4.6745610681433529</c:v>
                </c:pt>
                <c:pt idx="34">
                  <c:v>5.5844079848996229</c:v>
                </c:pt>
                <c:pt idx="35">
                  <c:v>2.8341560537560264</c:v>
                </c:pt>
              </c:numCache>
            </c:numRef>
          </c:val>
          <c:extLst>
            <c:ext xmlns:c16="http://schemas.microsoft.com/office/drawing/2014/chart" uri="{C3380CC4-5D6E-409C-BE32-E72D297353CC}">
              <c16:uniqueId val="{00000001-41AE-4D82-9B11-74C60939CA59}"/>
            </c:ext>
          </c:extLst>
        </c:ser>
        <c:dLbls>
          <c:showLegendKey val="0"/>
          <c:showVal val="0"/>
          <c:showCatName val="0"/>
          <c:showSerName val="0"/>
          <c:showPercent val="0"/>
          <c:showBubbleSize val="0"/>
        </c:dLbls>
        <c:gapWidth val="30"/>
        <c:overlap val="100"/>
        <c:axId val="112768128"/>
        <c:axId val="112769664"/>
      </c:barChart>
      <c:lineChart>
        <c:grouping val="standard"/>
        <c:varyColors val="0"/>
        <c:ser>
          <c:idx val="0"/>
          <c:order val="0"/>
          <c:tx>
            <c:strRef>
              <c:f>'výkonnost odvětví 3'!$X$10</c:f>
              <c:strCache>
                <c:ptCount val="1"/>
                <c:pt idx="0">
                  <c:v>Celková stavební produkce</c:v>
                </c:pt>
              </c:strCache>
            </c:strRef>
          </c:tx>
          <c:spPr>
            <a:ln>
              <a:noFill/>
            </a:ln>
          </c:spPr>
          <c:marker>
            <c:symbol val="dash"/>
            <c:size val="5"/>
            <c:spPr>
              <a:solidFill>
                <a:schemeClr val="bg1"/>
              </a:solidFill>
              <a:ln>
                <a:solidFill>
                  <a:schemeClr val="tx1">
                    <a:lumMod val="95000"/>
                    <a:lumOff val="5000"/>
                  </a:schemeClr>
                </a:solidFill>
              </a:ln>
            </c:spPr>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3'!$X$39:$X$75</c:f>
              <c:numCache>
                <c:formatCode>0.0</c:formatCode>
                <c:ptCount val="37"/>
                <c:pt idx="0">
                  <c:v>-2.3288964674777333</c:v>
                </c:pt>
                <c:pt idx="1">
                  <c:v>8.3799597044495187</c:v>
                </c:pt>
                <c:pt idx="2">
                  <c:v>1.5652786039197082</c:v>
                </c:pt>
                <c:pt idx="3">
                  <c:v>2.4971726228915543</c:v>
                </c:pt>
                <c:pt idx="4">
                  <c:v>15.353314524041323</c:v>
                </c:pt>
                <c:pt idx="5">
                  <c:v>7.1284624405346051</c:v>
                </c:pt>
                <c:pt idx="6">
                  <c:v>12.84136926562492</c:v>
                </c:pt>
                <c:pt idx="7">
                  <c:v>4.4126298578942169</c:v>
                </c:pt>
                <c:pt idx="8">
                  <c:v>5.355974896433608</c:v>
                </c:pt>
                <c:pt idx="9">
                  <c:v>5.2258134143760628</c:v>
                </c:pt>
                <c:pt idx="10">
                  <c:v>-0.54784466537280707</c:v>
                </c:pt>
                <c:pt idx="11">
                  <c:v>2.5188573109169852</c:v>
                </c:pt>
                <c:pt idx="12">
                  <c:v>1.9281218528000039</c:v>
                </c:pt>
                <c:pt idx="13">
                  <c:v>-7.489192773100001</c:v>
                </c:pt>
                <c:pt idx="14">
                  <c:v>-10.409380949899997</c:v>
                </c:pt>
                <c:pt idx="15">
                  <c:v>-8.1696229805999963</c:v>
                </c:pt>
                <c:pt idx="16">
                  <c:v>-5.448363291299998</c:v>
                </c:pt>
                <c:pt idx="17">
                  <c:v>4.340077427500006</c:v>
                </c:pt>
                <c:pt idx="18">
                  <c:v>3.2436634414000025</c:v>
                </c:pt>
                <c:pt idx="19">
                  <c:v>4.3475266303999973</c:v>
                </c:pt>
                <c:pt idx="20">
                  <c:v>12.614194286399993</c:v>
                </c:pt>
                <c:pt idx="21">
                  <c:v>4.8707077411999933</c:v>
                </c:pt>
                <c:pt idx="22">
                  <c:v>-9.3499784900004101E-2</c:v>
                </c:pt>
                <c:pt idx="23">
                  <c:v>-2.3343182600001455E-2</c:v>
                </c:pt>
                <c:pt idx="24">
                  <c:v>-1.7625549866999961</c:v>
                </c:pt>
                <c:pt idx="25">
                  <c:v>-4.1571301672999965</c:v>
                </c:pt>
                <c:pt idx="26">
                  <c:v>-0.57602261179999914</c:v>
                </c:pt>
                <c:pt idx="27">
                  <c:v>-2.9117254235000019</c:v>
                </c:pt>
                <c:pt idx="28">
                  <c:v>-3.993495977799995</c:v>
                </c:pt>
                <c:pt idx="29">
                  <c:v>-4.6037206132999984</c:v>
                </c:pt>
                <c:pt idx="30">
                  <c:v>-1.5786533195999937</c:v>
                </c:pt>
                <c:pt idx="31">
                  <c:v>3.1969845301999982</c:v>
                </c:pt>
                <c:pt idx="32">
                  <c:v>9.9480144370999994</c:v>
                </c:pt>
                <c:pt idx="33">
                  <c:v>11.982931347600001</c:v>
                </c:pt>
                <c:pt idx="34">
                  <c:v>13.740578300300001</c:v>
                </c:pt>
                <c:pt idx="35">
                  <c:v>7.7683406686000041</c:v>
                </c:pt>
              </c:numCache>
            </c:numRef>
          </c:val>
          <c:smooth val="0"/>
          <c:extLst>
            <c:ext xmlns:c16="http://schemas.microsoft.com/office/drawing/2014/chart" uri="{C3380CC4-5D6E-409C-BE32-E72D297353CC}">
              <c16:uniqueId val="{00000002-41AE-4D82-9B11-74C60939CA59}"/>
            </c:ext>
          </c:extLst>
        </c:ser>
        <c:ser>
          <c:idx val="3"/>
          <c:order val="3"/>
          <c:tx>
            <c:strRef>
              <c:f>'výkonnost odvětví 3'!$AA$10</c:f>
              <c:strCache>
                <c:ptCount val="1"/>
                <c:pt idx="0">
                  <c:v>Nové stavební zakázky v tuzemsku</c:v>
                </c:pt>
              </c:strCache>
            </c:strRef>
          </c:tx>
          <c:spPr>
            <a:ln w="9525">
              <a:solidFill>
                <a:schemeClr val="bg2">
                  <a:lumMod val="50000"/>
                </a:schemeClr>
              </a:solidFill>
              <a:prstDash val="sysDot"/>
            </a:ln>
          </c:spPr>
          <c:marker>
            <c:symbol val="circle"/>
            <c:size val="5"/>
            <c:spPr>
              <a:solidFill>
                <a:srgbClr val="85BF5E"/>
              </a:solidFill>
              <a:ln>
                <a:noFill/>
              </a:ln>
            </c:spPr>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3'!$AA$39:$AA$75</c:f>
              <c:numCache>
                <c:formatCode>0.0</c:formatCode>
                <c:ptCount val="37"/>
                <c:pt idx="0">
                  <c:v>16.173746788552307</c:v>
                </c:pt>
                <c:pt idx="1">
                  <c:v>9.5373244037895972</c:v>
                </c:pt>
                <c:pt idx="2">
                  <c:v>-1.2817324431350698</c:v>
                </c:pt>
                <c:pt idx="3">
                  <c:v>15.620806693503823</c:v>
                </c:pt>
                <c:pt idx="4">
                  <c:v>30.10697387368856</c:v>
                </c:pt>
                <c:pt idx="5">
                  <c:v>32.836878110611963</c:v>
                </c:pt>
                <c:pt idx="6">
                  <c:v>5.2768249907951201</c:v>
                </c:pt>
                <c:pt idx="7">
                  <c:v>1.8944565811032277</c:v>
                </c:pt>
                <c:pt idx="8">
                  <c:v>14.157231796980014</c:v>
                </c:pt>
                <c:pt idx="9">
                  <c:v>-9.3844758149390373</c:v>
                </c:pt>
                <c:pt idx="10">
                  <c:v>17.407475242057217</c:v>
                </c:pt>
                <c:pt idx="11">
                  <c:v>5.8323004254463768</c:v>
                </c:pt>
                <c:pt idx="12">
                  <c:v>-12.441624458376552</c:v>
                </c:pt>
                <c:pt idx="13">
                  <c:v>7.4967780657944729</c:v>
                </c:pt>
                <c:pt idx="14">
                  <c:v>2.0603176860339403</c:v>
                </c:pt>
                <c:pt idx="15">
                  <c:v>7.5507850088630164</c:v>
                </c:pt>
                <c:pt idx="16">
                  <c:v>28.856340981154375</c:v>
                </c:pt>
                <c:pt idx="17">
                  <c:v>22.0478670382426</c:v>
                </c:pt>
                <c:pt idx="18">
                  <c:v>10.015015612184257</c:v>
                </c:pt>
                <c:pt idx="19">
                  <c:v>1.0053213537781147</c:v>
                </c:pt>
                <c:pt idx="20">
                  <c:v>13.067478460417888</c:v>
                </c:pt>
                <c:pt idx="21">
                  <c:v>17.619167772184284</c:v>
                </c:pt>
                <c:pt idx="22">
                  <c:v>12.421954480552543</c:v>
                </c:pt>
                <c:pt idx="23">
                  <c:v>13.031852753748723</c:v>
                </c:pt>
                <c:pt idx="24">
                  <c:v>-10.144501025957553</c:v>
                </c:pt>
                <c:pt idx="25">
                  <c:v>-18.697561390531931</c:v>
                </c:pt>
                <c:pt idx="26">
                  <c:v>27.514816854662854</c:v>
                </c:pt>
                <c:pt idx="27">
                  <c:v>9.3063425617587683</c:v>
                </c:pt>
                <c:pt idx="28">
                  <c:v>30.48574840110382</c:v>
                </c:pt>
                <c:pt idx="29">
                  <c:v>24.810378988741093</c:v>
                </c:pt>
                <c:pt idx="30">
                  <c:v>-2.1445567903011948</c:v>
                </c:pt>
                <c:pt idx="31">
                  <c:v>17.246427278094785</c:v>
                </c:pt>
                <c:pt idx="32">
                  <c:v>14.966548023920552</c:v>
                </c:pt>
                <c:pt idx="33">
                  <c:v>18.397953312123349</c:v>
                </c:pt>
                <c:pt idx="34">
                  <c:v>8.8509967247769197</c:v>
                </c:pt>
                <c:pt idx="35">
                  <c:v>-2.6142731987564503</c:v>
                </c:pt>
              </c:numCache>
            </c:numRef>
          </c:val>
          <c:smooth val="0"/>
          <c:extLst>
            <c:ext xmlns:c16="http://schemas.microsoft.com/office/drawing/2014/chart" uri="{C3380CC4-5D6E-409C-BE32-E72D297353CC}">
              <c16:uniqueId val="{00000003-41AE-4D82-9B11-74C60939CA59}"/>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4"/>
          <c:order val="4"/>
          <c:tx>
            <c:strRef>
              <c:f>'výkonnost odvětví 3'!$AB$10</c:f>
              <c:strCache>
                <c:ptCount val="1"/>
                <c:pt idx="0">
                  <c:v>Bariéra růstu: nedostatečná poptávka</c:v>
                </c:pt>
              </c:strCache>
            </c:strRef>
          </c:tx>
          <c:spPr>
            <a:ln w="15875">
              <a:solidFill>
                <a:srgbClr val="8390A7"/>
              </a:solidFill>
              <a:prstDash val="solid"/>
            </a:ln>
          </c:spPr>
          <c:marker>
            <c:symbol val="none"/>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3'!$AB$39:$AB$75</c:f>
              <c:numCache>
                <c:formatCode>0.0</c:formatCode>
                <c:ptCount val="37"/>
                <c:pt idx="0">
                  <c:v>56</c:v>
                </c:pt>
                <c:pt idx="1">
                  <c:v>54</c:v>
                </c:pt>
                <c:pt idx="2">
                  <c:v>49.4</c:v>
                </c:pt>
                <c:pt idx="3">
                  <c:v>46.9</c:v>
                </c:pt>
                <c:pt idx="4">
                  <c:v>40</c:v>
                </c:pt>
                <c:pt idx="5">
                  <c:v>38.299999999999997</c:v>
                </c:pt>
                <c:pt idx="6">
                  <c:v>33.1</c:v>
                </c:pt>
                <c:pt idx="7">
                  <c:v>24.9</c:v>
                </c:pt>
                <c:pt idx="8">
                  <c:v>25.9</c:v>
                </c:pt>
                <c:pt idx="9">
                  <c:v>25.3</c:v>
                </c:pt>
                <c:pt idx="10">
                  <c:v>19.899999999999999</c:v>
                </c:pt>
                <c:pt idx="11">
                  <c:v>20.7</c:v>
                </c:pt>
                <c:pt idx="12">
                  <c:v>29.7</c:v>
                </c:pt>
                <c:pt idx="13">
                  <c:v>30.3</c:v>
                </c:pt>
                <c:pt idx="14">
                  <c:v>37.9</c:v>
                </c:pt>
                <c:pt idx="15">
                  <c:v>38.200000000000003</c:v>
                </c:pt>
                <c:pt idx="16">
                  <c:v>30.4</c:v>
                </c:pt>
                <c:pt idx="17">
                  <c:v>33.5</c:v>
                </c:pt>
                <c:pt idx="18">
                  <c:v>23.7</c:v>
                </c:pt>
                <c:pt idx="19">
                  <c:v>20</c:v>
                </c:pt>
                <c:pt idx="20">
                  <c:v>21.1</c:v>
                </c:pt>
                <c:pt idx="21">
                  <c:v>20.2</c:v>
                </c:pt>
                <c:pt idx="22">
                  <c:v>19.8</c:v>
                </c:pt>
                <c:pt idx="23">
                  <c:v>22.2</c:v>
                </c:pt>
                <c:pt idx="24">
                  <c:v>30.5</c:v>
                </c:pt>
                <c:pt idx="25">
                  <c:v>31.5</c:v>
                </c:pt>
                <c:pt idx="26">
                  <c:v>34.4</c:v>
                </c:pt>
                <c:pt idx="27">
                  <c:v>29.2</c:v>
                </c:pt>
                <c:pt idx="28">
                  <c:v>22.6</c:v>
                </c:pt>
                <c:pt idx="29">
                  <c:v>22.5</c:v>
                </c:pt>
                <c:pt idx="30">
                  <c:v>23.3</c:v>
                </c:pt>
                <c:pt idx="31">
                  <c:v>25.2</c:v>
                </c:pt>
                <c:pt idx="32">
                  <c:v>26</c:v>
                </c:pt>
                <c:pt idx="33">
                  <c:v>34</c:v>
                </c:pt>
                <c:pt idx="34">
                  <c:v>31.6</c:v>
                </c:pt>
                <c:pt idx="35">
                  <c:v>32.9</c:v>
                </c:pt>
                <c:pt idx="36">
                  <c:v>31.5</c:v>
                </c:pt>
              </c:numCache>
            </c:numRef>
          </c:val>
          <c:smooth val="0"/>
          <c:extLst>
            <c:ext xmlns:c16="http://schemas.microsoft.com/office/drawing/2014/chart" uri="{C3380CC4-5D6E-409C-BE32-E72D297353CC}">
              <c16:uniqueId val="{00000004-41AE-4D82-9B11-74C60939CA59}"/>
            </c:ext>
          </c:extLst>
        </c:ser>
        <c:ser>
          <c:idx val="5"/>
          <c:order val="5"/>
          <c:tx>
            <c:strRef>
              <c:f>'výkonnost odvětví 3'!$AC$10</c:f>
              <c:strCache>
                <c:ptCount val="1"/>
                <c:pt idx="0">
                  <c:v>Bariéra růstu: nedostatek pracovníků</c:v>
                </c:pt>
              </c:strCache>
            </c:strRef>
          </c:tx>
          <c:spPr>
            <a:ln w="15875">
              <a:solidFill>
                <a:srgbClr val="858972"/>
              </a:solidFill>
              <a:prstDash val="sysDash"/>
            </a:ln>
          </c:spPr>
          <c:marker>
            <c:symbol val="none"/>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3'!$AC$39:$AC$75</c:f>
              <c:numCache>
                <c:formatCode>0.0</c:formatCode>
                <c:ptCount val="37"/>
                <c:pt idx="0">
                  <c:v>13.6</c:v>
                </c:pt>
                <c:pt idx="1">
                  <c:v>14.8</c:v>
                </c:pt>
                <c:pt idx="2">
                  <c:v>21.9</c:v>
                </c:pt>
                <c:pt idx="3">
                  <c:v>21.5</c:v>
                </c:pt>
                <c:pt idx="4">
                  <c:v>26.4</c:v>
                </c:pt>
                <c:pt idx="5">
                  <c:v>30.1</c:v>
                </c:pt>
                <c:pt idx="6">
                  <c:v>28.8</c:v>
                </c:pt>
                <c:pt idx="7">
                  <c:v>38.9</c:v>
                </c:pt>
                <c:pt idx="8">
                  <c:v>35.6</c:v>
                </c:pt>
                <c:pt idx="9">
                  <c:v>43.4</c:v>
                </c:pt>
                <c:pt idx="10">
                  <c:v>51</c:v>
                </c:pt>
                <c:pt idx="11">
                  <c:v>47</c:v>
                </c:pt>
                <c:pt idx="12">
                  <c:v>50.5</c:v>
                </c:pt>
                <c:pt idx="13">
                  <c:v>46</c:v>
                </c:pt>
                <c:pt idx="14">
                  <c:v>36.299999999999997</c:v>
                </c:pt>
                <c:pt idx="15">
                  <c:v>32.6</c:v>
                </c:pt>
                <c:pt idx="16">
                  <c:v>46.6</c:v>
                </c:pt>
                <c:pt idx="17">
                  <c:v>31.7</c:v>
                </c:pt>
                <c:pt idx="18">
                  <c:v>41.9</c:v>
                </c:pt>
                <c:pt idx="19">
                  <c:v>43.2</c:v>
                </c:pt>
                <c:pt idx="20">
                  <c:v>55.6</c:v>
                </c:pt>
                <c:pt idx="21">
                  <c:v>44.3</c:v>
                </c:pt>
                <c:pt idx="22">
                  <c:v>40</c:v>
                </c:pt>
                <c:pt idx="23">
                  <c:v>48.1</c:v>
                </c:pt>
                <c:pt idx="24">
                  <c:v>38.4</c:v>
                </c:pt>
                <c:pt idx="25">
                  <c:v>35.5</c:v>
                </c:pt>
                <c:pt idx="26">
                  <c:v>30.8</c:v>
                </c:pt>
                <c:pt idx="27">
                  <c:v>31.5</c:v>
                </c:pt>
                <c:pt idx="28">
                  <c:v>52.8</c:v>
                </c:pt>
                <c:pt idx="29">
                  <c:v>46.7</c:v>
                </c:pt>
                <c:pt idx="30">
                  <c:v>42.8</c:v>
                </c:pt>
                <c:pt idx="31">
                  <c:v>42.6</c:v>
                </c:pt>
                <c:pt idx="32">
                  <c:v>53.7</c:v>
                </c:pt>
                <c:pt idx="33">
                  <c:v>49.3</c:v>
                </c:pt>
                <c:pt idx="34">
                  <c:v>46.7</c:v>
                </c:pt>
                <c:pt idx="35">
                  <c:v>43.8</c:v>
                </c:pt>
                <c:pt idx="36">
                  <c:v>56.6</c:v>
                </c:pt>
              </c:numCache>
            </c:numRef>
          </c:val>
          <c:smooth val="0"/>
          <c:extLst>
            <c:ext xmlns:c16="http://schemas.microsoft.com/office/drawing/2014/chart" uri="{C3380CC4-5D6E-409C-BE32-E72D297353CC}">
              <c16:uniqueId val="{00000005-41AE-4D82-9B11-74C60939CA59}"/>
            </c:ext>
          </c:extLst>
        </c:ser>
        <c:ser>
          <c:idx val="6"/>
          <c:order val="6"/>
          <c:tx>
            <c:strRef>
              <c:f>'výkonnost odvětví 3'!$AD$10</c:f>
              <c:strCache>
                <c:ptCount val="1"/>
                <c:pt idx="0">
                  <c:v>Bariéra růstu: nedost. materiálu a vybavení</c:v>
                </c:pt>
              </c:strCache>
            </c:strRef>
          </c:tx>
          <c:spPr>
            <a:ln w="15875">
              <a:solidFill>
                <a:srgbClr val="B8BBC0"/>
              </a:solidFill>
              <a:prstDash val="dash"/>
            </a:ln>
          </c:spPr>
          <c:marker>
            <c:symbol val="none"/>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3'!$AD$39:$AD$75</c:f>
              <c:numCache>
                <c:formatCode>0.0</c:formatCode>
                <c:ptCount val="37"/>
                <c:pt idx="0">
                  <c:v>0.8</c:v>
                </c:pt>
                <c:pt idx="1">
                  <c:v>0.3</c:v>
                </c:pt>
                <c:pt idx="2">
                  <c:v>2.8</c:v>
                </c:pt>
                <c:pt idx="3">
                  <c:v>4</c:v>
                </c:pt>
                <c:pt idx="4">
                  <c:v>6</c:v>
                </c:pt>
                <c:pt idx="5">
                  <c:v>1.2</c:v>
                </c:pt>
                <c:pt idx="6">
                  <c:v>6.3</c:v>
                </c:pt>
                <c:pt idx="7">
                  <c:v>3.3</c:v>
                </c:pt>
                <c:pt idx="8">
                  <c:v>4.8</c:v>
                </c:pt>
                <c:pt idx="9">
                  <c:v>5.7</c:v>
                </c:pt>
                <c:pt idx="10">
                  <c:v>4.8</c:v>
                </c:pt>
                <c:pt idx="11">
                  <c:v>3.8</c:v>
                </c:pt>
                <c:pt idx="12">
                  <c:v>2.4</c:v>
                </c:pt>
                <c:pt idx="13">
                  <c:v>3.4</c:v>
                </c:pt>
                <c:pt idx="14">
                  <c:v>0.8</c:v>
                </c:pt>
                <c:pt idx="15">
                  <c:v>0.6</c:v>
                </c:pt>
                <c:pt idx="16">
                  <c:v>1.8</c:v>
                </c:pt>
                <c:pt idx="17">
                  <c:v>4.3</c:v>
                </c:pt>
                <c:pt idx="18">
                  <c:v>15.8</c:v>
                </c:pt>
                <c:pt idx="19">
                  <c:v>22.6</c:v>
                </c:pt>
                <c:pt idx="20">
                  <c:v>25.2</c:v>
                </c:pt>
                <c:pt idx="21">
                  <c:v>41.3</c:v>
                </c:pt>
                <c:pt idx="22">
                  <c:v>38.1</c:v>
                </c:pt>
                <c:pt idx="23">
                  <c:v>23.2</c:v>
                </c:pt>
                <c:pt idx="24">
                  <c:v>20</c:v>
                </c:pt>
                <c:pt idx="25">
                  <c:v>17</c:v>
                </c:pt>
                <c:pt idx="26">
                  <c:v>12.5</c:v>
                </c:pt>
                <c:pt idx="27">
                  <c:v>13.8</c:v>
                </c:pt>
                <c:pt idx="28">
                  <c:v>23</c:v>
                </c:pt>
                <c:pt idx="29">
                  <c:v>22.2</c:v>
                </c:pt>
                <c:pt idx="30">
                  <c:v>21.7</c:v>
                </c:pt>
                <c:pt idx="31">
                  <c:v>17.899999999999999</c:v>
                </c:pt>
                <c:pt idx="32">
                  <c:v>16</c:v>
                </c:pt>
                <c:pt idx="33">
                  <c:v>5.3</c:v>
                </c:pt>
                <c:pt idx="34">
                  <c:v>5.3</c:v>
                </c:pt>
                <c:pt idx="35">
                  <c:v>4.2</c:v>
                </c:pt>
                <c:pt idx="36">
                  <c:v>4.3</c:v>
                </c:pt>
              </c:numCache>
            </c:numRef>
          </c:val>
          <c:smooth val="0"/>
          <c:extLst>
            <c:ext xmlns:c16="http://schemas.microsoft.com/office/drawing/2014/chart" uri="{C3380CC4-5D6E-409C-BE32-E72D297353CC}">
              <c16:uniqueId val="{00000006-41AE-4D82-9B11-74C60939CA59}"/>
            </c:ext>
          </c:extLst>
        </c:ser>
        <c:ser>
          <c:idx val="7"/>
          <c:order val="7"/>
          <c:tx>
            <c:strRef>
              <c:f>'výkonnost odvětví 3'!$AE$10</c:f>
              <c:strCache>
                <c:ptCount val="1"/>
                <c:pt idx="0">
                  <c:v>Saldo indikátoru důvěry ve stavebnictví</c:v>
                </c:pt>
              </c:strCache>
            </c:strRef>
          </c:tx>
          <c:spPr>
            <a:ln w="15875">
              <a:solidFill>
                <a:schemeClr val="bg2">
                  <a:lumMod val="50000"/>
                </a:schemeClr>
              </a:solidFill>
              <a:prstDash val="sysDot"/>
            </a:ln>
          </c:spPr>
          <c:marker>
            <c:symbol val="diamond"/>
            <c:size val="5"/>
            <c:spPr>
              <a:solidFill>
                <a:srgbClr val="E6C45B"/>
              </a:solidFill>
              <a:ln>
                <a:solidFill>
                  <a:srgbClr val="E6C45B"/>
                </a:solidFill>
              </a:ln>
            </c:spPr>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3'!$AE$39:$AE$75</c:f>
              <c:numCache>
                <c:formatCode>0.0</c:formatCode>
                <c:ptCount val="37"/>
                <c:pt idx="0">
                  <c:v>-22.5</c:v>
                </c:pt>
                <c:pt idx="1">
                  <c:v>-24.5</c:v>
                </c:pt>
                <c:pt idx="2">
                  <c:v>-18.5</c:v>
                </c:pt>
                <c:pt idx="3">
                  <c:v>-15</c:v>
                </c:pt>
                <c:pt idx="4">
                  <c:v>-9</c:v>
                </c:pt>
                <c:pt idx="5">
                  <c:v>-6</c:v>
                </c:pt>
                <c:pt idx="6">
                  <c:v>-2</c:v>
                </c:pt>
                <c:pt idx="7">
                  <c:v>1</c:v>
                </c:pt>
                <c:pt idx="8">
                  <c:v>3.5</c:v>
                </c:pt>
                <c:pt idx="9">
                  <c:v>4</c:v>
                </c:pt>
                <c:pt idx="10">
                  <c:v>-1</c:v>
                </c:pt>
                <c:pt idx="11">
                  <c:v>1</c:v>
                </c:pt>
                <c:pt idx="12">
                  <c:v>-3</c:v>
                </c:pt>
                <c:pt idx="13">
                  <c:v>-15</c:v>
                </c:pt>
                <c:pt idx="14">
                  <c:v>-13</c:v>
                </c:pt>
                <c:pt idx="15">
                  <c:v>-11.5</c:v>
                </c:pt>
                <c:pt idx="16">
                  <c:v>-6</c:v>
                </c:pt>
                <c:pt idx="17">
                  <c:v>-5.5</c:v>
                </c:pt>
                <c:pt idx="18">
                  <c:v>-4.5</c:v>
                </c:pt>
                <c:pt idx="19">
                  <c:v>-6.5</c:v>
                </c:pt>
                <c:pt idx="20">
                  <c:v>6.5</c:v>
                </c:pt>
                <c:pt idx="21">
                  <c:v>-2</c:v>
                </c:pt>
                <c:pt idx="22">
                  <c:v>-9</c:v>
                </c:pt>
                <c:pt idx="23">
                  <c:v>-4.5</c:v>
                </c:pt>
                <c:pt idx="24">
                  <c:v>-11.5</c:v>
                </c:pt>
                <c:pt idx="25">
                  <c:v>-15.5</c:v>
                </c:pt>
                <c:pt idx="26">
                  <c:v>-16.5</c:v>
                </c:pt>
                <c:pt idx="27">
                  <c:v>-11</c:v>
                </c:pt>
                <c:pt idx="28">
                  <c:v>-7</c:v>
                </c:pt>
                <c:pt idx="29">
                  <c:v>-14</c:v>
                </c:pt>
                <c:pt idx="30">
                  <c:v>-12</c:v>
                </c:pt>
                <c:pt idx="31">
                  <c:v>-5</c:v>
                </c:pt>
                <c:pt idx="32">
                  <c:v>-4</c:v>
                </c:pt>
                <c:pt idx="33">
                  <c:v>-4</c:v>
                </c:pt>
                <c:pt idx="34">
                  <c:v>2.5</c:v>
                </c:pt>
                <c:pt idx="35">
                  <c:v>-4.5</c:v>
                </c:pt>
                <c:pt idx="36">
                  <c:v>-2</c:v>
                </c:pt>
              </c:numCache>
            </c:numRef>
          </c:val>
          <c:smooth val="0"/>
          <c:extLst>
            <c:ext xmlns:c16="http://schemas.microsoft.com/office/drawing/2014/chart" uri="{C3380CC4-5D6E-409C-BE32-E72D297353CC}">
              <c16:uniqueId val="{00000007-41AE-4D82-9B11-74C60939CA59}"/>
            </c:ext>
          </c:extLst>
        </c:ser>
        <c:dLbls>
          <c:showLegendKey val="0"/>
          <c:showVal val="0"/>
          <c:showCatName val="0"/>
          <c:showSerName val="0"/>
          <c:showPercent val="0"/>
          <c:showBubbleSize val="0"/>
        </c:dLbls>
        <c:marker val="1"/>
        <c:smooth val="0"/>
        <c:axId val="1118074639"/>
        <c:axId val="1118080463"/>
      </c:lineChart>
      <c:catAx>
        <c:axId val="112768128"/>
        <c:scaling>
          <c:orientation val="minMax"/>
        </c:scaling>
        <c:delete val="0"/>
        <c:axPos val="b"/>
        <c:numFmt formatCode="General" sourceLinked="1"/>
        <c:majorTickMark val="out"/>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70"/>
          <c:min val="-20"/>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Zakázky, příspěvky k změně stavební produkce</a:t>
                </a:r>
              </a:p>
            </c:rich>
          </c:tx>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10"/>
      </c:valAx>
      <c:valAx>
        <c:axId val="1118080463"/>
        <c:scaling>
          <c:orientation val="minMax"/>
          <c:max val="80"/>
          <c:min val="-10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Saldo důvěry, bariéry růstu</a:t>
                </a:r>
              </a:p>
            </c:rich>
          </c:tx>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118074639"/>
        <c:crosses val="max"/>
        <c:crossBetween val="between"/>
        <c:majorUnit val="20"/>
      </c:valAx>
      <c:catAx>
        <c:axId val="1118074639"/>
        <c:scaling>
          <c:orientation val="minMax"/>
        </c:scaling>
        <c:delete val="1"/>
        <c:axPos val="b"/>
        <c:numFmt formatCode="General" sourceLinked="1"/>
        <c:majorTickMark val="out"/>
        <c:minorTickMark val="none"/>
        <c:tickLblPos val="nextTo"/>
        <c:crossAx val="11180804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7.6126793553942364E-3"/>
          <c:y val="0.85936703322638608"/>
          <c:w val="0.9801437714811797"/>
          <c:h val="0.13362821778942557"/>
        </c:manualLayout>
      </c:layout>
      <c:overlay val="0"/>
      <c:spPr>
        <a:ln w="6350">
          <a:solidFill>
            <a:prstClr val="black">
              <a:lumMod val="95000"/>
              <a:lumOff val="5000"/>
            </a:prstClr>
          </a:solidFill>
        </a:ln>
      </c:spPr>
      <c:txPr>
        <a:bodyPr/>
        <a:lstStyle/>
        <a:p>
          <a:pPr>
            <a:defRPr sz="75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95346289980312E-2"/>
          <c:y val="1.5663550999370279E-2"/>
          <c:w val="0.85237839893753009"/>
          <c:h val="0.72173975637017407"/>
        </c:manualLayout>
      </c:layout>
      <c:barChart>
        <c:barDir val="col"/>
        <c:grouping val="stacked"/>
        <c:varyColors val="0"/>
        <c:ser>
          <c:idx val="1"/>
          <c:order val="1"/>
          <c:tx>
            <c:strRef>
              <c:f>'Služby-příspěvky k růstu-4'!$D$33</c:f>
              <c:strCache>
                <c:ptCount val="1"/>
                <c:pt idx="0">
                  <c:v>Doprava a skladování (p. b.)</c:v>
                </c:pt>
              </c:strCache>
            </c:strRef>
          </c:tx>
          <c:spPr>
            <a:solidFill>
              <a:srgbClr val="85BF5E"/>
            </a:solidFill>
            <a:ln>
              <a:noFill/>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růstu-4'!$D$54:$D$90</c:f>
              <c:numCache>
                <c:formatCode>0.0</c:formatCode>
                <c:ptCount val="37"/>
                <c:pt idx="0">
                  <c:v>1.5263972119400016</c:v>
                </c:pt>
                <c:pt idx="1">
                  <c:v>1.1521454566619995</c:v>
                </c:pt>
                <c:pt idx="2">
                  <c:v>1.0720497862294982</c:v>
                </c:pt>
                <c:pt idx="3">
                  <c:v>0.58918413629500188</c:v>
                </c:pt>
                <c:pt idx="4">
                  <c:v>1.7082299710979987</c:v>
                </c:pt>
                <c:pt idx="5">
                  <c:v>1.8083069263660012</c:v>
                </c:pt>
                <c:pt idx="6">
                  <c:v>1.4974720441600007</c:v>
                </c:pt>
                <c:pt idx="7">
                  <c:v>0.47561421751099942</c:v>
                </c:pt>
                <c:pt idx="8">
                  <c:v>8.7578802067999673E-2</c:v>
                </c:pt>
                <c:pt idx="9">
                  <c:v>-0.12479570965699863</c:v>
                </c:pt>
                <c:pt idx="10">
                  <c:v>-0.33009412391300075</c:v>
                </c:pt>
                <c:pt idx="11">
                  <c:v>-6.4047576908001405E-2</c:v>
                </c:pt>
                <c:pt idx="12">
                  <c:v>-1.5377184525560006</c:v>
                </c:pt>
                <c:pt idx="13">
                  <c:v>-6.3637634696130005</c:v>
                </c:pt>
                <c:pt idx="14">
                  <c:v>-3.934521076104728</c:v>
                </c:pt>
                <c:pt idx="15">
                  <c:v>-1.3585310721215986</c:v>
                </c:pt>
                <c:pt idx="16">
                  <c:v>0.3485705495405001</c:v>
                </c:pt>
                <c:pt idx="17">
                  <c:v>6.4654016349024008</c:v>
                </c:pt>
                <c:pt idx="18">
                  <c:v>3.6945235606700009</c:v>
                </c:pt>
                <c:pt idx="19">
                  <c:v>3.3121137866018078</c:v>
                </c:pt>
                <c:pt idx="20">
                  <c:v>3.941437873437065</c:v>
                </c:pt>
                <c:pt idx="21">
                  <c:v>4.0146538354025321</c:v>
                </c:pt>
                <c:pt idx="22">
                  <c:v>3.2327008007835936</c:v>
                </c:pt>
                <c:pt idx="23">
                  <c:v>0.6986528346455998</c:v>
                </c:pt>
                <c:pt idx="24">
                  <c:v>-1.2205103635839987</c:v>
                </c:pt>
                <c:pt idx="25">
                  <c:v>-3.0846310875990697</c:v>
                </c:pt>
                <c:pt idx="26">
                  <c:v>-3.4620811413295405</c:v>
                </c:pt>
                <c:pt idx="27">
                  <c:v>-2.6102747168486595</c:v>
                </c:pt>
                <c:pt idx="28">
                  <c:v>0.23136625295890914</c:v>
                </c:pt>
                <c:pt idx="29">
                  <c:v>1.1297570185805759</c:v>
                </c:pt>
                <c:pt idx="30">
                  <c:v>1.5852865187527032</c:v>
                </c:pt>
                <c:pt idx="31">
                  <c:v>1.3972952454802492</c:v>
                </c:pt>
                <c:pt idx="32">
                  <c:v>0.80326947943739524</c:v>
                </c:pt>
                <c:pt idx="33">
                  <c:v>0.54008314934182355</c:v>
                </c:pt>
                <c:pt idx="34" formatCode="##0.0">
                  <c:v>-0.18713686208799768</c:v>
                </c:pt>
                <c:pt idx="35" formatCode="##0.0">
                  <c:v>0.33249028954790916</c:v>
                </c:pt>
              </c:numCache>
            </c:numRef>
          </c:val>
          <c:extLst>
            <c:ext xmlns:c16="http://schemas.microsoft.com/office/drawing/2014/chart" uri="{C3380CC4-5D6E-409C-BE32-E72D297353CC}">
              <c16:uniqueId val="{00000000-D5D8-491D-B5AB-1E753B58EAB2}"/>
            </c:ext>
          </c:extLst>
        </c:ser>
        <c:ser>
          <c:idx val="2"/>
          <c:order val="2"/>
          <c:tx>
            <c:strRef>
              <c:f>'Služby-příspěvky k růstu-4'!$E$33</c:f>
              <c:strCache>
                <c:ptCount val="1"/>
                <c:pt idx="0">
                  <c:v>Ubytování, stravování a pohostinství (p. b.)</c:v>
                </c:pt>
              </c:strCache>
            </c:strRef>
          </c:tx>
          <c:spPr>
            <a:solidFill>
              <a:srgbClr val="9FC9D7"/>
            </a:solidFill>
            <a:ln>
              <a:noFill/>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růstu-4'!$E$54:$E$90</c:f>
              <c:numCache>
                <c:formatCode>0.0</c:formatCode>
                <c:ptCount val="37"/>
                <c:pt idx="0">
                  <c:v>0.91096663563750013</c:v>
                </c:pt>
                <c:pt idx="1">
                  <c:v>1.2304877458891996</c:v>
                </c:pt>
                <c:pt idx="2">
                  <c:v>0.55493142006040053</c:v>
                </c:pt>
                <c:pt idx="3">
                  <c:v>0.45642475154119982</c:v>
                </c:pt>
                <c:pt idx="4">
                  <c:v>0.20160703635719993</c:v>
                </c:pt>
                <c:pt idx="5">
                  <c:v>5.4186477104800478E-2</c:v>
                </c:pt>
                <c:pt idx="6">
                  <c:v>6.304785530440038E-2</c:v>
                </c:pt>
                <c:pt idx="7">
                  <c:v>-3.5769700815199798E-2</c:v>
                </c:pt>
                <c:pt idx="8">
                  <c:v>-0.36389872223099973</c:v>
                </c:pt>
                <c:pt idx="9">
                  <c:v>-0.67075056773680031</c:v>
                </c:pt>
                <c:pt idx="10">
                  <c:v>0.56238486272900035</c:v>
                </c:pt>
                <c:pt idx="11">
                  <c:v>0.81049357889639961</c:v>
                </c:pt>
                <c:pt idx="12">
                  <c:v>-1.0128920367128378</c:v>
                </c:pt>
                <c:pt idx="13">
                  <c:v>-4.7570396620580002</c:v>
                </c:pt>
                <c:pt idx="14">
                  <c:v>-1.8801498047572016</c:v>
                </c:pt>
                <c:pt idx="15">
                  <c:v>-4.4950874362854814</c:v>
                </c:pt>
                <c:pt idx="16">
                  <c:v>-3.6427251882312501</c:v>
                </c:pt>
                <c:pt idx="17">
                  <c:v>1.4037378448911324</c:v>
                </c:pt>
                <c:pt idx="18">
                  <c:v>0.65956457504429966</c:v>
                </c:pt>
                <c:pt idx="19">
                  <c:v>2.8954177718329572</c:v>
                </c:pt>
                <c:pt idx="20">
                  <c:v>2.8323902906459999</c:v>
                </c:pt>
                <c:pt idx="21">
                  <c:v>2.435136189891193</c:v>
                </c:pt>
                <c:pt idx="22">
                  <c:v>-0.4578613660474572</c:v>
                </c:pt>
                <c:pt idx="23">
                  <c:v>0.56715158973689961</c:v>
                </c:pt>
                <c:pt idx="24">
                  <c:v>0.47226803810000034</c:v>
                </c:pt>
                <c:pt idx="25">
                  <c:v>-2.9181983171386136E-2</c:v>
                </c:pt>
                <c:pt idx="26">
                  <c:v>0.13057911183302909</c:v>
                </c:pt>
                <c:pt idx="27">
                  <c:v>7.6430683538271954E-2</c:v>
                </c:pt>
                <c:pt idx="28">
                  <c:v>0.20156376207540999</c:v>
                </c:pt>
                <c:pt idx="29">
                  <c:v>0.17225875056711848</c:v>
                </c:pt>
                <c:pt idx="30" formatCode="0.00">
                  <c:v>-0.15262614105368355</c:v>
                </c:pt>
                <c:pt idx="31">
                  <c:v>-2.0668311154938869E-3</c:v>
                </c:pt>
                <c:pt idx="32">
                  <c:v>-7.2380596572990313E-2</c:v>
                </c:pt>
                <c:pt idx="33">
                  <c:v>0.1860334381850369</c:v>
                </c:pt>
                <c:pt idx="34" formatCode="##0.0">
                  <c:v>9.6401478361983858E-2</c:v>
                </c:pt>
                <c:pt idx="35" formatCode="##0.0">
                  <c:v>0.10550538006091609</c:v>
                </c:pt>
              </c:numCache>
            </c:numRef>
          </c:val>
          <c:extLst>
            <c:ext xmlns:c16="http://schemas.microsoft.com/office/drawing/2014/chart" uri="{C3380CC4-5D6E-409C-BE32-E72D297353CC}">
              <c16:uniqueId val="{00000001-D5D8-491D-B5AB-1E753B58EAB2}"/>
            </c:ext>
          </c:extLst>
        </c:ser>
        <c:ser>
          <c:idx val="3"/>
          <c:order val="3"/>
          <c:tx>
            <c:strRef>
              <c:f>'Služby-příspěvky k růstu-4'!$F$33</c:f>
              <c:strCache>
                <c:ptCount val="1"/>
                <c:pt idx="0">
                  <c:v>Informační a komunikační činnosti (p. b.)</c:v>
                </c:pt>
              </c:strCache>
            </c:strRef>
          </c:tx>
          <c:spPr>
            <a:solidFill>
              <a:srgbClr val="E6C45B"/>
            </a:solidFill>
            <a:ln w="9525">
              <a:noFill/>
              <a:prstDash val="sysDot"/>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růstu-4'!$F$54:$F$90</c:f>
              <c:numCache>
                <c:formatCode>0.0</c:formatCode>
                <c:ptCount val="37"/>
                <c:pt idx="0">
                  <c:v>0.79975113924000141</c:v>
                </c:pt>
                <c:pt idx="1">
                  <c:v>0.86680100254300019</c:v>
                </c:pt>
                <c:pt idx="2">
                  <c:v>0.7085217628999998</c:v>
                </c:pt>
                <c:pt idx="3">
                  <c:v>0.58371605800999971</c:v>
                </c:pt>
                <c:pt idx="4">
                  <c:v>1.4561011044459988</c:v>
                </c:pt>
                <c:pt idx="5">
                  <c:v>0.80755492679599916</c:v>
                </c:pt>
                <c:pt idx="6">
                  <c:v>1.4696943404520006</c:v>
                </c:pt>
                <c:pt idx="7">
                  <c:v>1.0851966136360012</c:v>
                </c:pt>
                <c:pt idx="8">
                  <c:v>0.5897957895590008</c:v>
                </c:pt>
                <c:pt idx="9">
                  <c:v>1.4271581528860011</c:v>
                </c:pt>
                <c:pt idx="10">
                  <c:v>1.6628200479000008</c:v>
                </c:pt>
                <c:pt idx="11">
                  <c:v>0.8045399962857992</c:v>
                </c:pt>
                <c:pt idx="12">
                  <c:v>0.70533263821849879</c:v>
                </c:pt>
                <c:pt idx="13">
                  <c:v>-0.13049924960159906</c:v>
                </c:pt>
                <c:pt idx="14">
                  <c:v>-0.44751399710599854</c:v>
                </c:pt>
                <c:pt idx="15">
                  <c:v>-0.76987000599350008</c:v>
                </c:pt>
                <c:pt idx="16">
                  <c:v>0.73358769341499996</c:v>
                </c:pt>
                <c:pt idx="17">
                  <c:v>1.7119328870655743</c:v>
                </c:pt>
                <c:pt idx="18">
                  <c:v>1.7410146380858</c:v>
                </c:pt>
                <c:pt idx="19">
                  <c:v>2.1117441102410957</c:v>
                </c:pt>
                <c:pt idx="20">
                  <c:v>1.7465138285348005</c:v>
                </c:pt>
                <c:pt idx="21">
                  <c:v>0.98444175225600128</c:v>
                </c:pt>
                <c:pt idx="22">
                  <c:v>0.77334822417096716</c:v>
                </c:pt>
                <c:pt idx="23">
                  <c:v>0.38113921743529455</c:v>
                </c:pt>
                <c:pt idx="24">
                  <c:v>0.58132404699840079</c:v>
                </c:pt>
                <c:pt idx="25">
                  <c:v>-5.2521499900483508E-3</c:v>
                </c:pt>
                <c:pt idx="26">
                  <c:v>-0.79116739152140025</c:v>
                </c:pt>
                <c:pt idx="27">
                  <c:v>-0.79112125742080253</c:v>
                </c:pt>
                <c:pt idx="28">
                  <c:v>0.10721773848414559</c:v>
                </c:pt>
                <c:pt idx="29">
                  <c:v>0.47802774306016416</c:v>
                </c:pt>
                <c:pt idx="30">
                  <c:v>0.83818270799786943</c:v>
                </c:pt>
                <c:pt idx="31">
                  <c:v>0.51256005892858814</c:v>
                </c:pt>
                <c:pt idx="32">
                  <c:v>0.98604614598830598</c:v>
                </c:pt>
                <c:pt idx="33">
                  <c:v>0.74160132433083503</c:v>
                </c:pt>
                <c:pt idx="34" formatCode="##0.0">
                  <c:v>0.1148673537199736</c:v>
                </c:pt>
                <c:pt idx="35" formatCode="##0.0">
                  <c:v>0.67836208923361319</c:v>
                </c:pt>
              </c:numCache>
            </c:numRef>
          </c:val>
          <c:extLst>
            <c:ext xmlns:c16="http://schemas.microsoft.com/office/drawing/2014/chart" uri="{C3380CC4-5D6E-409C-BE32-E72D297353CC}">
              <c16:uniqueId val="{00000002-D5D8-491D-B5AB-1E753B58EAB2}"/>
            </c:ext>
          </c:extLst>
        </c:ser>
        <c:ser>
          <c:idx val="4"/>
          <c:order val="4"/>
          <c:tx>
            <c:strRef>
              <c:f>'Služby-příspěvky k růstu-4'!$G$33</c:f>
              <c:strCache>
                <c:ptCount val="1"/>
                <c:pt idx="0">
                  <c:v>Činnosti v oblasti nemovitostí (p. b.)</c:v>
                </c:pt>
              </c:strCache>
            </c:strRef>
          </c:tx>
          <c:spPr>
            <a:solidFill>
              <a:srgbClr val="8390A7"/>
            </a:solidFill>
            <a:ln w="15875">
              <a:noFill/>
              <a:prstDash val="solid"/>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růstu-4'!$G$54:$G$90</c:f>
              <c:numCache>
                <c:formatCode>0.0</c:formatCode>
                <c:ptCount val="37"/>
                <c:pt idx="0">
                  <c:v>0.21404222779400017</c:v>
                </c:pt>
                <c:pt idx="1">
                  <c:v>0.44428056703740071</c:v>
                </c:pt>
                <c:pt idx="2">
                  <c:v>-2.3313403729999609E-2</c:v>
                </c:pt>
                <c:pt idx="3">
                  <c:v>0.1397148328565998</c:v>
                </c:pt>
                <c:pt idx="4">
                  <c:v>2.4371524468799519E-2</c:v>
                </c:pt>
                <c:pt idx="5">
                  <c:v>-0.24750495341219952</c:v>
                </c:pt>
                <c:pt idx="6">
                  <c:v>-0.12632001451980002</c:v>
                </c:pt>
                <c:pt idx="7">
                  <c:v>-0.22280827277219931</c:v>
                </c:pt>
                <c:pt idx="8">
                  <c:v>-0.59230499212500043</c:v>
                </c:pt>
                <c:pt idx="9">
                  <c:v>-0.14963028671039991</c:v>
                </c:pt>
                <c:pt idx="10">
                  <c:v>0.15919844821020035</c:v>
                </c:pt>
                <c:pt idx="11">
                  <c:v>0.41214543758999994</c:v>
                </c:pt>
                <c:pt idx="12">
                  <c:v>0.4376088325236</c:v>
                </c:pt>
                <c:pt idx="13">
                  <c:v>-0.3129705582585004</c:v>
                </c:pt>
                <c:pt idx="14">
                  <c:v>-0.26042458979333294</c:v>
                </c:pt>
                <c:pt idx="15">
                  <c:v>-0.23202769506919951</c:v>
                </c:pt>
                <c:pt idx="16">
                  <c:v>-0.20493642480289984</c:v>
                </c:pt>
                <c:pt idx="17">
                  <c:v>0.49389763410824949</c:v>
                </c:pt>
                <c:pt idx="18">
                  <c:v>-1.3480794651999375E-2</c:v>
                </c:pt>
                <c:pt idx="19">
                  <c:v>0.25760149947839961</c:v>
                </c:pt>
                <c:pt idx="20">
                  <c:v>0.96345448971199943</c:v>
                </c:pt>
                <c:pt idx="21">
                  <c:v>0.47159042328799955</c:v>
                </c:pt>
                <c:pt idx="22">
                  <c:v>0.2185622188815784</c:v>
                </c:pt>
                <c:pt idx="23">
                  <c:v>0.33309446355833333</c:v>
                </c:pt>
                <c:pt idx="24">
                  <c:v>0.16012954609680044</c:v>
                </c:pt>
                <c:pt idx="25">
                  <c:v>-0.18624032886239958</c:v>
                </c:pt>
                <c:pt idx="26">
                  <c:v>-0.27795457738857821</c:v>
                </c:pt>
                <c:pt idx="27">
                  <c:v>-0.2089599685726716</c:v>
                </c:pt>
                <c:pt idx="28">
                  <c:v>-0.20651327563660776</c:v>
                </c:pt>
                <c:pt idx="29">
                  <c:v>0.27793895598753937</c:v>
                </c:pt>
                <c:pt idx="30">
                  <c:v>-0.11784164354918217</c:v>
                </c:pt>
                <c:pt idx="31">
                  <c:v>-4.2577128381585134E-3</c:v>
                </c:pt>
                <c:pt idx="32">
                  <c:v>0.24983684273778797</c:v>
                </c:pt>
                <c:pt idx="33">
                  <c:v>-3.5129585766133953E-2</c:v>
                </c:pt>
                <c:pt idx="34" formatCode="##0.00">
                  <c:v>7.2348490771794213E-2</c:v>
                </c:pt>
                <c:pt idx="35" formatCode="##0.00">
                  <c:v>-2.6007249512033318E-3</c:v>
                </c:pt>
              </c:numCache>
            </c:numRef>
          </c:val>
          <c:extLst>
            <c:ext xmlns:c16="http://schemas.microsoft.com/office/drawing/2014/chart" uri="{C3380CC4-5D6E-409C-BE32-E72D297353CC}">
              <c16:uniqueId val="{00000003-D5D8-491D-B5AB-1E753B58EAB2}"/>
            </c:ext>
          </c:extLst>
        </c:ser>
        <c:ser>
          <c:idx val="5"/>
          <c:order val="5"/>
          <c:tx>
            <c:strRef>
              <c:f>'Služby-příspěvky k růstu-4'!$H$33</c:f>
              <c:strCache>
                <c:ptCount val="1"/>
                <c:pt idx="0">
                  <c:v>Profesní, vědecké a technické činnosti (p. b.)</c:v>
                </c:pt>
              </c:strCache>
            </c:strRef>
          </c:tx>
          <c:spPr>
            <a:solidFill>
              <a:srgbClr val="D8A7B7"/>
            </a:solidFill>
            <a:ln w="15875">
              <a:noFill/>
              <a:prstDash val="sysDash"/>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růstu-4'!$H$54:$H$90</c:f>
              <c:numCache>
                <c:formatCode>0.0</c:formatCode>
                <c:ptCount val="37"/>
                <c:pt idx="0">
                  <c:v>0.98301471473999991</c:v>
                </c:pt>
                <c:pt idx="1">
                  <c:v>0.60289217538800066</c:v>
                </c:pt>
                <c:pt idx="2">
                  <c:v>0.29296090665239971</c:v>
                </c:pt>
                <c:pt idx="3">
                  <c:v>0.39545347720550122</c:v>
                </c:pt>
                <c:pt idx="4">
                  <c:v>1.0377388749657004</c:v>
                </c:pt>
                <c:pt idx="5">
                  <c:v>0.52795912771610132</c:v>
                </c:pt>
                <c:pt idx="6">
                  <c:v>0.33128275319889955</c:v>
                </c:pt>
                <c:pt idx="7">
                  <c:v>-0.32335157261830122</c:v>
                </c:pt>
                <c:pt idx="8">
                  <c:v>-0.22442800317910014</c:v>
                </c:pt>
                <c:pt idx="9">
                  <c:v>0.92864418130900139</c:v>
                </c:pt>
                <c:pt idx="10">
                  <c:v>-1.1905556335669008</c:v>
                </c:pt>
                <c:pt idx="11">
                  <c:v>0.12967121395800008</c:v>
                </c:pt>
                <c:pt idx="12">
                  <c:v>-1.2594010229457007</c:v>
                </c:pt>
                <c:pt idx="13">
                  <c:v>-3.4364785420139987</c:v>
                </c:pt>
                <c:pt idx="14">
                  <c:v>-1.730371529016393</c:v>
                </c:pt>
                <c:pt idx="15">
                  <c:v>-1.6762623702279009</c:v>
                </c:pt>
                <c:pt idx="16">
                  <c:v>-1.8460033079172407</c:v>
                </c:pt>
                <c:pt idx="17">
                  <c:v>2.6347487878244005</c:v>
                </c:pt>
                <c:pt idx="18">
                  <c:v>1.7641259138861987</c:v>
                </c:pt>
                <c:pt idx="19">
                  <c:v>2.2229354426597943</c:v>
                </c:pt>
                <c:pt idx="20">
                  <c:v>2.2737358553676001</c:v>
                </c:pt>
                <c:pt idx="21">
                  <c:v>1.3856227896222229</c:v>
                </c:pt>
                <c:pt idx="22">
                  <c:v>0.99391885813043546</c:v>
                </c:pt>
                <c:pt idx="23">
                  <c:v>0.1421335534285707</c:v>
                </c:pt>
                <c:pt idx="24">
                  <c:v>0.81953126781209973</c:v>
                </c:pt>
                <c:pt idx="25">
                  <c:v>0.82106868193752403</c:v>
                </c:pt>
                <c:pt idx="26">
                  <c:v>0.12923231255105044</c:v>
                </c:pt>
                <c:pt idx="27">
                  <c:v>0.83751215536408319</c:v>
                </c:pt>
                <c:pt idx="28">
                  <c:v>0.47506983729129498</c:v>
                </c:pt>
                <c:pt idx="29">
                  <c:v>0.68160503891420543</c:v>
                </c:pt>
                <c:pt idx="30">
                  <c:v>0.2657026600157707</c:v>
                </c:pt>
                <c:pt idx="31">
                  <c:v>5.2509565434282257E-2</c:v>
                </c:pt>
                <c:pt idx="32">
                  <c:v>1.1346911843593392</c:v>
                </c:pt>
                <c:pt idx="33">
                  <c:v>0.78536830321745721</c:v>
                </c:pt>
                <c:pt idx="34" formatCode="##0.0">
                  <c:v>0.42615290836578112</c:v>
                </c:pt>
                <c:pt idx="35" formatCode="##0.0">
                  <c:v>0.81663903189926468</c:v>
                </c:pt>
              </c:numCache>
            </c:numRef>
          </c:val>
          <c:extLst>
            <c:ext xmlns:c16="http://schemas.microsoft.com/office/drawing/2014/chart" uri="{C3380CC4-5D6E-409C-BE32-E72D297353CC}">
              <c16:uniqueId val="{00000004-D5D8-491D-B5AB-1E753B58EAB2}"/>
            </c:ext>
          </c:extLst>
        </c:ser>
        <c:ser>
          <c:idx val="6"/>
          <c:order val="6"/>
          <c:tx>
            <c:strRef>
              <c:f>'Služby-příspěvky k růstu-4'!$I$33</c:f>
              <c:strCache>
                <c:ptCount val="1"/>
                <c:pt idx="0">
                  <c:v>Administr. a podpůrné čin. (příspěvek v p. b.)</c:v>
                </c:pt>
              </c:strCache>
            </c:strRef>
          </c:tx>
          <c:spPr>
            <a:solidFill>
              <a:srgbClr val="BC5B80"/>
            </a:solidFill>
            <a:ln w="15875">
              <a:noFill/>
              <a:prstDash val="dash"/>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růstu-4'!$I$54:$I$90</c:f>
              <c:numCache>
                <c:formatCode>0.0</c:formatCode>
                <c:ptCount val="37"/>
                <c:pt idx="0">
                  <c:v>1.2711366665920003</c:v>
                </c:pt>
                <c:pt idx="1">
                  <c:v>1.1146800750025008</c:v>
                </c:pt>
                <c:pt idx="2">
                  <c:v>0.67890344957800031</c:v>
                </c:pt>
                <c:pt idx="3">
                  <c:v>0.27956598839150021</c:v>
                </c:pt>
                <c:pt idx="4">
                  <c:v>0.54934461190249961</c:v>
                </c:pt>
                <c:pt idx="5">
                  <c:v>0.38115955639220078</c:v>
                </c:pt>
                <c:pt idx="6">
                  <c:v>0.39493334022210069</c:v>
                </c:pt>
                <c:pt idx="7">
                  <c:v>-3.4631397924000239E-2</c:v>
                </c:pt>
                <c:pt idx="8">
                  <c:v>-1.2005370156462005</c:v>
                </c:pt>
                <c:pt idx="9">
                  <c:v>0.45407540916639949</c:v>
                </c:pt>
                <c:pt idx="10">
                  <c:v>-0.39889254166379967</c:v>
                </c:pt>
                <c:pt idx="11">
                  <c:v>1.3109329456980003</c:v>
                </c:pt>
                <c:pt idx="12">
                  <c:v>-1.1343690284759997</c:v>
                </c:pt>
                <c:pt idx="13">
                  <c:v>-5.28274232805955</c:v>
                </c:pt>
                <c:pt idx="14">
                  <c:v>-4.9394629012368423</c:v>
                </c:pt>
                <c:pt idx="15">
                  <c:v>-2.9777822451920004</c:v>
                </c:pt>
                <c:pt idx="16">
                  <c:v>-1.4090224874890003</c:v>
                </c:pt>
                <c:pt idx="17">
                  <c:v>2.2489366135893936</c:v>
                </c:pt>
                <c:pt idx="18">
                  <c:v>2.1176111028400002</c:v>
                </c:pt>
                <c:pt idx="19">
                  <c:v>1.4315715582961834</c:v>
                </c:pt>
                <c:pt idx="20">
                  <c:v>1.7141956457703218</c:v>
                </c:pt>
                <c:pt idx="21">
                  <c:v>3.1132718885355142</c:v>
                </c:pt>
                <c:pt idx="22">
                  <c:v>2.2147560104235504</c:v>
                </c:pt>
                <c:pt idx="23">
                  <c:v>0.75873802832519943</c:v>
                </c:pt>
                <c:pt idx="24">
                  <c:v>0.44446992933960033</c:v>
                </c:pt>
                <c:pt idx="25">
                  <c:v>0.17274794169589636</c:v>
                </c:pt>
                <c:pt idx="26">
                  <c:v>-0.14160160109817077</c:v>
                </c:pt>
                <c:pt idx="27">
                  <c:v>-4.4406367348499426E-2</c:v>
                </c:pt>
                <c:pt idx="28">
                  <c:v>0.38639916772040217</c:v>
                </c:pt>
                <c:pt idx="29">
                  <c:v>0.14229025552145014</c:v>
                </c:pt>
                <c:pt idx="30">
                  <c:v>0.42489637821976656</c:v>
                </c:pt>
                <c:pt idx="31">
                  <c:v>0.17528601156412052</c:v>
                </c:pt>
                <c:pt idx="32">
                  <c:v>0.20111254666950251</c:v>
                </c:pt>
                <c:pt idx="33">
                  <c:v>-6.0958086133285773E-2</c:v>
                </c:pt>
                <c:pt idx="34" formatCode="##0.0">
                  <c:v>-0.29810048214742974</c:v>
                </c:pt>
                <c:pt idx="35" formatCode="##0.0">
                  <c:v>0.21792221115991436</c:v>
                </c:pt>
              </c:numCache>
            </c:numRef>
          </c:val>
          <c:extLst>
            <c:ext xmlns:c16="http://schemas.microsoft.com/office/drawing/2014/chart" uri="{C3380CC4-5D6E-409C-BE32-E72D297353CC}">
              <c16:uniqueId val="{00000005-D5D8-491D-B5AB-1E753B58EAB2}"/>
            </c:ext>
          </c:extLst>
        </c:ser>
        <c:dLbls>
          <c:showLegendKey val="0"/>
          <c:showVal val="0"/>
          <c:showCatName val="0"/>
          <c:showSerName val="0"/>
          <c:showPercent val="0"/>
          <c:showBubbleSize val="0"/>
        </c:dLbls>
        <c:gapWidth val="30"/>
        <c:overlap val="100"/>
        <c:axId val="112768128"/>
        <c:axId val="112769664"/>
      </c:barChart>
      <c:lineChart>
        <c:grouping val="standard"/>
        <c:varyColors val="0"/>
        <c:ser>
          <c:idx val="0"/>
          <c:order val="0"/>
          <c:tx>
            <c:strRef>
              <c:f>'Služby-příspěvky k růstu-4'!$C$33</c:f>
              <c:strCache>
                <c:ptCount val="1"/>
                <c:pt idx="0">
                  <c:v>Služby celkem (meziroční růst v %)</c:v>
                </c:pt>
              </c:strCache>
            </c:strRef>
          </c:tx>
          <c:spPr>
            <a:ln>
              <a:noFill/>
            </a:ln>
          </c:spPr>
          <c:marker>
            <c:symbol val="diamond"/>
            <c:size val="4"/>
            <c:spPr>
              <a:solidFill>
                <a:schemeClr val="bg1"/>
              </a:solidFill>
              <a:ln>
                <a:solidFill>
                  <a:schemeClr val="tx1">
                    <a:lumMod val="95000"/>
                    <a:lumOff val="5000"/>
                  </a:schemeClr>
                </a:solidFill>
              </a:ln>
            </c:spPr>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růstu-4'!$C$54:$C$90</c:f>
              <c:numCache>
                <c:formatCode>0.0</c:formatCode>
                <c:ptCount val="37"/>
                <c:pt idx="0">
                  <c:v>5.3647828491999974</c:v>
                </c:pt>
                <c:pt idx="1">
                  <c:v>5.5575414804000047</c:v>
                </c:pt>
                <c:pt idx="2">
                  <c:v>3.2904940545000017</c:v>
                </c:pt>
                <c:pt idx="3">
                  <c:v>2.4382592428000009</c:v>
                </c:pt>
                <c:pt idx="4">
                  <c:v>4.8746710973999967</c:v>
                </c:pt>
                <c:pt idx="5">
                  <c:v>3.1480367534999942</c:v>
                </c:pt>
                <c:pt idx="6">
                  <c:v>3.5116979830000048</c:v>
                </c:pt>
                <c:pt idx="7">
                  <c:v>0.966230831499999</c:v>
                </c:pt>
                <c:pt idx="8" formatCode="##0.0">
                  <c:v>-2.0936015643000019</c:v>
                </c:pt>
                <c:pt idx="9" formatCode="##0.0">
                  <c:v>2.0109283859000016</c:v>
                </c:pt>
                <c:pt idx="10" formatCode="##0.0">
                  <c:v>0.48272099109999544</c:v>
                </c:pt>
                <c:pt idx="11" formatCode="##0.0">
                  <c:v>3.681455815700005</c:v>
                </c:pt>
                <c:pt idx="12" formatCode="##0.0">
                  <c:v>-3.665306176200005</c:v>
                </c:pt>
                <c:pt idx="13" formatCode="##0.0">
                  <c:v>-20.479508761800005</c:v>
                </c:pt>
                <c:pt idx="14" formatCode="##0.0">
                  <c:v>-13.814933561800004</c:v>
                </c:pt>
                <c:pt idx="15" formatCode="##0.0">
                  <c:v>-12.688963449699997</c:v>
                </c:pt>
                <c:pt idx="16" formatCode="##0.0">
                  <c:v>-6.4130355653000066</c:v>
                </c:pt>
                <c:pt idx="17" formatCode="##0.0">
                  <c:v>14.468254601799998</c:v>
                </c:pt>
                <c:pt idx="18" formatCode="##0.0">
                  <c:v>9.8317963500000047</c:v>
                </c:pt>
                <c:pt idx="19" formatCode="##0.0">
                  <c:v>12.456771227999994</c:v>
                </c:pt>
                <c:pt idx="20" formatCode="##0.0">
                  <c:v>13.607452187800007</c:v>
                </c:pt>
                <c:pt idx="21" formatCode="##0.0">
                  <c:v>12.572499333099998</c:v>
                </c:pt>
                <c:pt idx="22" formatCode="##0.0">
                  <c:v>6.878984581200001</c:v>
                </c:pt>
                <c:pt idx="23" formatCode="##0.0">
                  <c:v>3.1289116276000044</c:v>
                </c:pt>
                <c:pt idx="24" formatCode="##0.0">
                  <c:v>1.6159037823999967</c:v>
                </c:pt>
                <c:pt idx="25" formatCode="##0.0">
                  <c:v>-1.654671913200005</c:v>
                </c:pt>
                <c:pt idx="26" formatCode="##0.0">
                  <c:v>-3.8568949799000052</c:v>
                </c:pt>
                <c:pt idx="27" formatCode="##0.0">
                  <c:v>-2.1922303097999958</c:v>
                </c:pt>
                <c:pt idx="28" formatCode="##0.0">
                  <c:v>1.1689286468999995</c:v>
                </c:pt>
                <c:pt idx="29" formatCode="##0.0">
                  <c:v>2.8899965786000053</c:v>
                </c:pt>
                <c:pt idx="30" formatCode="##0.0">
                  <c:v>2.8757436141000028</c:v>
                </c:pt>
                <c:pt idx="31" formatCode="##0.0">
                  <c:v>2.1315315078000054</c:v>
                </c:pt>
                <c:pt idx="32" formatCode="##0.0">
                  <c:v>3.3035634542000025</c:v>
                </c:pt>
                <c:pt idx="33" formatCode="##0.0">
                  <c:v>2.1533888090000062</c:v>
                </c:pt>
                <c:pt idx="34" formatCode="##0.0">
                  <c:v>0.23029246989999308</c:v>
                </c:pt>
                <c:pt idx="35" formatCode="##0.0">
                  <c:v>2.1483191355000031</c:v>
                </c:pt>
              </c:numCache>
            </c:numRef>
          </c:val>
          <c:smooth val="0"/>
          <c:extLst>
            <c:ext xmlns:c16="http://schemas.microsoft.com/office/drawing/2014/chart" uri="{C3380CC4-5D6E-409C-BE32-E72D297353CC}">
              <c16:uniqueId val="{00000006-D5D8-491D-B5AB-1E753B58EAB2}"/>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7"/>
          <c:order val="7"/>
          <c:tx>
            <c:strRef>
              <c:f>'Služby-příspěvky k růstu-4'!$J$33</c:f>
              <c:strCache>
                <c:ptCount val="1"/>
                <c:pt idx="0">
                  <c:v>Saldo indikátoru důvěry ve službách</c:v>
                </c:pt>
              </c:strCache>
            </c:strRef>
          </c:tx>
          <c:spPr>
            <a:ln w="15875">
              <a:solidFill>
                <a:srgbClr val="CC9610"/>
              </a:solidFill>
              <a:prstDash val="sysDot"/>
            </a:ln>
          </c:spPr>
          <c:marker>
            <c:symbol val="diamond"/>
            <c:size val="5"/>
            <c:spPr>
              <a:solidFill>
                <a:srgbClr val="E6C45B"/>
              </a:solidFill>
              <a:ln>
                <a:solidFill>
                  <a:srgbClr val="E6C45B"/>
                </a:solidFill>
              </a:ln>
            </c:spPr>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růstu-4'!$J$54:$J$90</c:f>
              <c:numCache>
                <c:formatCode>#\ ##0.0</c:formatCode>
                <c:ptCount val="37"/>
                <c:pt idx="0">
                  <c:v>35.299999999999997</c:v>
                </c:pt>
                <c:pt idx="1">
                  <c:v>37.700000000000003</c:v>
                </c:pt>
                <c:pt idx="2">
                  <c:v>37.299999999999997</c:v>
                </c:pt>
                <c:pt idx="3">
                  <c:v>35.700000000000003</c:v>
                </c:pt>
                <c:pt idx="4">
                  <c:v>38.299999999999997</c:v>
                </c:pt>
                <c:pt idx="5">
                  <c:v>37</c:v>
                </c:pt>
                <c:pt idx="6">
                  <c:v>38.299999999999997</c:v>
                </c:pt>
                <c:pt idx="7">
                  <c:v>40.700000000000003</c:v>
                </c:pt>
                <c:pt idx="8">
                  <c:v>39.299999999999997</c:v>
                </c:pt>
                <c:pt idx="9">
                  <c:v>33.700000000000003</c:v>
                </c:pt>
                <c:pt idx="10">
                  <c:v>35</c:v>
                </c:pt>
                <c:pt idx="11">
                  <c:v>32.700000000000003</c:v>
                </c:pt>
                <c:pt idx="12">
                  <c:v>29</c:v>
                </c:pt>
                <c:pt idx="13">
                  <c:v>-13.3</c:v>
                </c:pt>
                <c:pt idx="14">
                  <c:v>1</c:v>
                </c:pt>
                <c:pt idx="15">
                  <c:v>-5</c:v>
                </c:pt>
                <c:pt idx="16">
                  <c:v>8</c:v>
                </c:pt>
                <c:pt idx="17">
                  <c:v>22.3</c:v>
                </c:pt>
                <c:pt idx="18">
                  <c:v>24.3</c:v>
                </c:pt>
                <c:pt idx="19">
                  <c:v>27</c:v>
                </c:pt>
                <c:pt idx="20">
                  <c:v>31</c:v>
                </c:pt>
                <c:pt idx="21">
                  <c:v>40</c:v>
                </c:pt>
                <c:pt idx="22">
                  <c:v>27.7</c:v>
                </c:pt>
                <c:pt idx="23">
                  <c:v>21.3</c:v>
                </c:pt>
                <c:pt idx="24">
                  <c:v>24</c:v>
                </c:pt>
                <c:pt idx="25" formatCode="0.0">
                  <c:v>28</c:v>
                </c:pt>
                <c:pt idx="26" formatCode="0.0">
                  <c:v>25.7</c:v>
                </c:pt>
                <c:pt idx="27" formatCode="0.0">
                  <c:v>22.7</c:v>
                </c:pt>
                <c:pt idx="28" formatCode="0.0">
                  <c:v>21.3</c:v>
                </c:pt>
                <c:pt idx="29" formatCode="0.0">
                  <c:v>30.1</c:v>
                </c:pt>
                <c:pt idx="30" formatCode="0.0">
                  <c:v>21.7</c:v>
                </c:pt>
                <c:pt idx="31" formatCode="0.0">
                  <c:v>33.700000000000003</c:v>
                </c:pt>
                <c:pt idx="32" formatCode="0.0">
                  <c:v>31.3</c:v>
                </c:pt>
                <c:pt idx="33" formatCode="0.0">
                  <c:v>39.700000000000003</c:v>
                </c:pt>
                <c:pt idx="34" formatCode="0.0">
                  <c:v>41</c:v>
                </c:pt>
                <c:pt idx="35" formatCode="0.0">
                  <c:v>38</c:v>
                </c:pt>
                <c:pt idx="36" formatCode="0.0">
                  <c:v>32</c:v>
                </c:pt>
              </c:numCache>
            </c:numRef>
          </c:val>
          <c:smooth val="0"/>
          <c:extLst>
            <c:ext xmlns:c16="http://schemas.microsoft.com/office/drawing/2014/chart" uri="{C3380CC4-5D6E-409C-BE32-E72D297353CC}">
              <c16:uniqueId val="{00000007-D5D8-491D-B5AB-1E753B58EAB2}"/>
            </c:ext>
          </c:extLst>
        </c:ser>
        <c:ser>
          <c:idx val="8"/>
          <c:order val="8"/>
          <c:tx>
            <c:strRef>
              <c:f>'Služby-příspěvky k růstu-4'!$K$33</c:f>
              <c:strCache>
                <c:ptCount val="1"/>
                <c:pt idx="0">
                  <c:v>Bariéra růstu: nedostatečná poptávka</c:v>
                </c:pt>
              </c:strCache>
            </c:strRef>
          </c:tx>
          <c:spPr>
            <a:ln w="15875">
              <a:solidFill>
                <a:srgbClr val="85BF5E"/>
              </a:solidFill>
            </a:ln>
          </c:spPr>
          <c:marker>
            <c:symbol val="none"/>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růstu-4'!$K$54:$K$90</c:f>
              <c:numCache>
                <c:formatCode>#\ ##0.0</c:formatCode>
                <c:ptCount val="37"/>
                <c:pt idx="0">
                  <c:v>25.8</c:v>
                </c:pt>
                <c:pt idx="1">
                  <c:v>20.5</c:v>
                </c:pt>
                <c:pt idx="2">
                  <c:v>18.399999999999999</c:v>
                </c:pt>
                <c:pt idx="3">
                  <c:v>21.6</c:v>
                </c:pt>
                <c:pt idx="4">
                  <c:v>16.899999999999999</c:v>
                </c:pt>
                <c:pt idx="5">
                  <c:v>19.399999999999999</c:v>
                </c:pt>
                <c:pt idx="6">
                  <c:v>17.899999999999999</c:v>
                </c:pt>
                <c:pt idx="7">
                  <c:v>20.7</c:v>
                </c:pt>
                <c:pt idx="8">
                  <c:v>20.6</c:v>
                </c:pt>
                <c:pt idx="9">
                  <c:v>16.899999999999999</c:v>
                </c:pt>
                <c:pt idx="10">
                  <c:v>20.5</c:v>
                </c:pt>
                <c:pt idx="11">
                  <c:v>14.4</c:v>
                </c:pt>
                <c:pt idx="12">
                  <c:v>21.3</c:v>
                </c:pt>
                <c:pt idx="13">
                  <c:v>30.2</c:v>
                </c:pt>
                <c:pt idx="14">
                  <c:v>30.4</c:v>
                </c:pt>
                <c:pt idx="15">
                  <c:v>39.200000000000003</c:v>
                </c:pt>
                <c:pt idx="16">
                  <c:v>34.799999999999997</c:v>
                </c:pt>
                <c:pt idx="17">
                  <c:v>36.799999999999997</c:v>
                </c:pt>
                <c:pt idx="18">
                  <c:v>28.9</c:v>
                </c:pt>
                <c:pt idx="19">
                  <c:v>26.3</c:v>
                </c:pt>
                <c:pt idx="20">
                  <c:v>31.6</c:v>
                </c:pt>
                <c:pt idx="21">
                  <c:v>15</c:v>
                </c:pt>
                <c:pt idx="22">
                  <c:v>30.2</c:v>
                </c:pt>
                <c:pt idx="23">
                  <c:v>17.600000000000001</c:v>
                </c:pt>
                <c:pt idx="24">
                  <c:v>25.4</c:v>
                </c:pt>
                <c:pt idx="25">
                  <c:v>19.100000000000001</c:v>
                </c:pt>
                <c:pt idx="26">
                  <c:v>26</c:v>
                </c:pt>
                <c:pt idx="27">
                  <c:v>23</c:v>
                </c:pt>
                <c:pt idx="28">
                  <c:v>18.5</c:v>
                </c:pt>
                <c:pt idx="29">
                  <c:v>19.2</c:v>
                </c:pt>
                <c:pt idx="30">
                  <c:v>17.8</c:v>
                </c:pt>
                <c:pt idx="31">
                  <c:v>29.6</c:v>
                </c:pt>
                <c:pt idx="32">
                  <c:v>24.4</c:v>
                </c:pt>
                <c:pt idx="33">
                  <c:v>17.5</c:v>
                </c:pt>
                <c:pt idx="34">
                  <c:v>17</c:v>
                </c:pt>
                <c:pt idx="35">
                  <c:v>15</c:v>
                </c:pt>
                <c:pt idx="36">
                  <c:v>16.899999999999999</c:v>
                </c:pt>
              </c:numCache>
            </c:numRef>
          </c:val>
          <c:smooth val="0"/>
          <c:extLst>
            <c:ext xmlns:c16="http://schemas.microsoft.com/office/drawing/2014/chart" uri="{C3380CC4-5D6E-409C-BE32-E72D297353CC}">
              <c16:uniqueId val="{00000008-D5D8-491D-B5AB-1E753B58EAB2}"/>
            </c:ext>
          </c:extLst>
        </c:ser>
        <c:ser>
          <c:idx val="9"/>
          <c:order val="9"/>
          <c:tx>
            <c:strRef>
              <c:f>'Služby-příspěvky k růstu-4'!$L$33</c:f>
              <c:strCache>
                <c:ptCount val="1"/>
                <c:pt idx="0">
                  <c:v>Bariéra růstu: nedostatek pracovníků</c:v>
                </c:pt>
              </c:strCache>
            </c:strRef>
          </c:tx>
          <c:spPr>
            <a:ln w="15875">
              <a:solidFill>
                <a:srgbClr val="85BF5E"/>
              </a:solidFill>
              <a:prstDash val="sysDash"/>
            </a:ln>
          </c:spPr>
          <c:marker>
            <c:symbol val="none"/>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růstu-4'!$L$54:$L$90</c:f>
              <c:numCache>
                <c:formatCode>#\ ##0.0</c:formatCode>
                <c:ptCount val="37"/>
                <c:pt idx="0">
                  <c:v>9.4</c:v>
                </c:pt>
                <c:pt idx="1">
                  <c:v>9.6999999999999993</c:v>
                </c:pt>
                <c:pt idx="2">
                  <c:v>9.8000000000000007</c:v>
                </c:pt>
                <c:pt idx="3">
                  <c:v>12.8</c:v>
                </c:pt>
                <c:pt idx="4">
                  <c:v>13.9</c:v>
                </c:pt>
                <c:pt idx="5">
                  <c:v>16.3</c:v>
                </c:pt>
                <c:pt idx="6">
                  <c:v>17.5</c:v>
                </c:pt>
                <c:pt idx="7">
                  <c:v>18.899999999999999</c:v>
                </c:pt>
                <c:pt idx="8">
                  <c:v>19.3</c:v>
                </c:pt>
                <c:pt idx="9">
                  <c:v>15</c:v>
                </c:pt>
                <c:pt idx="10">
                  <c:v>21.5</c:v>
                </c:pt>
                <c:pt idx="11">
                  <c:v>19.8</c:v>
                </c:pt>
                <c:pt idx="12">
                  <c:v>19.5</c:v>
                </c:pt>
                <c:pt idx="13">
                  <c:v>10</c:v>
                </c:pt>
                <c:pt idx="14">
                  <c:v>10</c:v>
                </c:pt>
                <c:pt idx="15">
                  <c:v>12.6</c:v>
                </c:pt>
                <c:pt idx="16">
                  <c:v>12.7</c:v>
                </c:pt>
                <c:pt idx="17">
                  <c:v>8.5</c:v>
                </c:pt>
                <c:pt idx="18">
                  <c:v>17.399999999999999</c:v>
                </c:pt>
                <c:pt idx="19">
                  <c:v>20.6</c:v>
                </c:pt>
                <c:pt idx="20">
                  <c:v>20.2</c:v>
                </c:pt>
                <c:pt idx="21">
                  <c:v>10.9</c:v>
                </c:pt>
                <c:pt idx="22">
                  <c:v>17.899999999999999</c:v>
                </c:pt>
                <c:pt idx="23">
                  <c:v>6.6</c:v>
                </c:pt>
                <c:pt idx="24">
                  <c:v>9.3000000000000007</c:v>
                </c:pt>
                <c:pt idx="25">
                  <c:v>9.7000000000000011</c:v>
                </c:pt>
                <c:pt idx="26">
                  <c:v>9.2000000000000011</c:v>
                </c:pt>
                <c:pt idx="27">
                  <c:v>12.3</c:v>
                </c:pt>
                <c:pt idx="28">
                  <c:v>8.3000000000000007</c:v>
                </c:pt>
                <c:pt idx="29">
                  <c:v>8.1</c:v>
                </c:pt>
                <c:pt idx="30">
                  <c:v>8.3000000000000007</c:v>
                </c:pt>
                <c:pt idx="31">
                  <c:v>15.3</c:v>
                </c:pt>
                <c:pt idx="32">
                  <c:v>12.9</c:v>
                </c:pt>
                <c:pt idx="33">
                  <c:v>10.4</c:v>
                </c:pt>
                <c:pt idx="34">
                  <c:v>11.1</c:v>
                </c:pt>
                <c:pt idx="35">
                  <c:v>12.4</c:v>
                </c:pt>
                <c:pt idx="36">
                  <c:v>15.4</c:v>
                </c:pt>
              </c:numCache>
            </c:numRef>
          </c:val>
          <c:smooth val="0"/>
          <c:extLst>
            <c:ext xmlns:c16="http://schemas.microsoft.com/office/drawing/2014/chart" uri="{C3380CC4-5D6E-409C-BE32-E72D297353CC}">
              <c16:uniqueId val="{00000009-D5D8-491D-B5AB-1E753B58EAB2}"/>
            </c:ext>
          </c:extLst>
        </c:ser>
        <c:ser>
          <c:idx val="10"/>
          <c:order val="10"/>
          <c:tx>
            <c:strRef>
              <c:f>'Služby-příspěvky k růstu-4'!$M$33</c:f>
              <c:strCache>
                <c:ptCount val="1"/>
                <c:pt idx="0">
                  <c:v>Tržby celkem (báze 2021=100, stálé ceny)</c:v>
                </c:pt>
              </c:strCache>
            </c:strRef>
          </c:tx>
          <c:spPr>
            <a:ln w="15875">
              <a:solidFill>
                <a:srgbClr val="8390A7"/>
              </a:solidFill>
            </a:ln>
          </c:spPr>
          <c:marker>
            <c:symbol val="none"/>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růstu-4'!$M$54:$M$90</c:f>
              <c:numCache>
                <c:formatCode>0.0</c:formatCode>
                <c:ptCount val="37"/>
                <c:pt idx="0">
                  <c:v>101.3103696867</c:v>
                </c:pt>
                <c:pt idx="1">
                  <c:v>102.4505228467</c:v>
                </c:pt>
                <c:pt idx="2">
                  <c:v>102.19772858669999</c:v>
                </c:pt>
                <c:pt idx="3">
                  <c:v>103.1881377867</c:v>
                </c:pt>
                <c:pt idx="4">
                  <c:v>106.5943521733</c:v>
                </c:pt>
                <c:pt idx="5">
                  <c:v>105.18413051669999</c:v>
                </c:pt>
                <c:pt idx="6">
                  <c:v>105.3944372233</c:v>
                </c:pt>
                <c:pt idx="7">
                  <c:v>103.8500266467</c:v>
                </c:pt>
                <c:pt idx="8">
                  <c:v>104.6467169333</c:v>
                </c:pt>
                <c:pt idx="9">
                  <c:v>106.91058812999999</c:v>
                </c:pt>
                <c:pt idx="10">
                  <c:v>106.2934946667</c:v>
                </c:pt>
                <c:pt idx="11">
                  <c:v>106.28785271</c:v>
                </c:pt>
                <c:pt idx="12">
                  <c:v>100.71959776999999</c:v>
                </c:pt>
                <c:pt idx="13">
                  <c:v>86.421491253300005</c:v>
                </c:pt>
                <c:pt idx="14">
                  <c:v>94.121928769999997</c:v>
                </c:pt>
                <c:pt idx="15">
                  <c:v>92.153521023300002</c:v>
                </c:pt>
                <c:pt idx="16">
                  <c:v>92.740798113300002</c:v>
                </c:pt>
                <c:pt idx="17">
                  <c:v>97.887145360000005</c:v>
                </c:pt>
                <c:pt idx="18">
                  <c:v>102.5861086133</c:v>
                </c:pt>
                <c:pt idx="19">
                  <c:v>104.42462921329999</c:v>
                </c:pt>
                <c:pt idx="20">
                  <c:v>106.2203731467</c:v>
                </c:pt>
                <c:pt idx="21">
                  <c:v>108.82402591</c:v>
                </c:pt>
                <c:pt idx="22">
                  <c:v>109.5375674933</c:v>
                </c:pt>
                <c:pt idx="23">
                  <c:v>108.88972540330001</c:v>
                </c:pt>
                <c:pt idx="24">
                  <c:v>107.89265618330001</c:v>
                </c:pt>
                <c:pt idx="25">
                  <c:v>106.47284000330001</c:v>
                </c:pt>
                <c:pt idx="26">
                  <c:v>106.1452937033</c:v>
                </c:pt>
                <c:pt idx="27">
                  <c:v>106.7300147533</c:v>
                </c:pt>
                <c:pt idx="28">
                  <c:v>108.3666475233</c:v>
                </c:pt>
                <c:pt idx="29">
                  <c:v>109.22856376</c:v>
                </c:pt>
                <c:pt idx="30">
                  <c:v>109.59292566000001</c:v>
                </c:pt>
                <c:pt idx="31">
                  <c:v>109.5619541667</c:v>
                </c:pt>
                <c:pt idx="32">
                  <c:v>111.2442762</c:v>
                </c:pt>
                <c:pt idx="33">
                  <c:v>111.22493681</c:v>
                </c:pt>
                <c:pt idx="34">
                  <c:v>110.81492887</c:v>
                </c:pt>
                <c:pt idx="35">
                  <c:v>112.04138072329999</c:v>
                </c:pt>
              </c:numCache>
            </c:numRef>
          </c:val>
          <c:smooth val="0"/>
          <c:extLst>
            <c:ext xmlns:c16="http://schemas.microsoft.com/office/drawing/2014/chart" uri="{C3380CC4-5D6E-409C-BE32-E72D297353CC}">
              <c16:uniqueId val="{0000000A-D5D8-491D-B5AB-1E753B58EAB2}"/>
            </c:ext>
          </c:extLst>
        </c:ser>
        <c:ser>
          <c:idx val="11"/>
          <c:order val="11"/>
          <c:tx>
            <c:strRef>
              <c:f>'Služby-příspěvky k růstu-4'!$N$33</c:f>
              <c:strCache>
                <c:ptCount val="1"/>
                <c:pt idx="0">
                  <c:v>Tržby celkem (báze 2021=100, běžné ceny)</c:v>
                </c:pt>
              </c:strCache>
            </c:strRef>
          </c:tx>
          <c:spPr>
            <a:ln w="15875">
              <a:solidFill>
                <a:srgbClr val="8390A7"/>
              </a:solidFill>
              <a:prstDash val="sysDash"/>
            </a:ln>
          </c:spPr>
          <c:marker>
            <c:symbol val="none"/>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růstu-4'!$N$54:$N$90</c:f>
              <c:numCache>
                <c:formatCode>0.0</c:formatCode>
                <c:ptCount val="37"/>
                <c:pt idx="0">
                  <c:v>92.691732329999994</c:v>
                </c:pt>
                <c:pt idx="1">
                  <c:v>94.115856679999993</c:v>
                </c:pt>
                <c:pt idx="2">
                  <c:v>94.319341730000005</c:v>
                </c:pt>
                <c:pt idx="3">
                  <c:v>95.780285509999999</c:v>
                </c:pt>
                <c:pt idx="4">
                  <c:v>99.270322656700003</c:v>
                </c:pt>
                <c:pt idx="5">
                  <c:v>98.680097553300001</c:v>
                </c:pt>
                <c:pt idx="6">
                  <c:v>99.536279973299997</c:v>
                </c:pt>
                <c:pt idx="7">
                  <c:v>98.766521846700002</c:v>
                </c:pt>
                <c:pt idx="8">
                  <c:v>99.799181393300003</c:v>
                </c:pt>
                <c:pt idx="9">
                  <c:v>103.21380694</c:v>
                </c:pt>
                <c:pt idx="10">
                  <c:v>102.8875462667</c:v>
                </c:pt>
                <c:pt idx="11">
                  <c:v>103.45525177330001</c:v>
                </c:pt>
                <c:pt idx="12">
                  <c:v>98.765138603300002</c:v>
                </c:pt>
                <c:pt idx="13">
                  <c:v>84.855234093299998</c:v>
                </c:pt>
                <c:pt idx="14">
                  <c:v>92.664253926699999</c:v>
                </c:pt>
                <c:pt idx="15">
                  <c:v>91.364765526699998</c:v>
                </c:pt>
                <c:pt idx="16">
                  <c:v>92.099220836699999</c:v>
                </c:pt>
                <c:pt idx="17">
                  <c:v>97.160346033300002</c:v>
                </c:pt>
                <c:pt idx="18">
                  <c:v>102.5062810467</c:v>
                </c:pt>
                <c:pt idx="19">
                  <c:v>105.9317908733</c:v>
                </c:pt>
                <c:pt idx="20">
                  <c:v>109.8347650067</c:v>
                </c:pt>
                <c:pt idx="21">
                  <c:v>114.93434286999999</c:v>
                </c:pt>
                <c:pt idx="22">
                  <c:v>118.01055770000001</c:v>
                </c:pt>
                <c:pt idx="23">
                  <c:v>119.44318436330001</c:v>
                </c:pt>
                <c:pt idx="24">
                  <c:v>120.6354371</c:v>
                </c:pt>
                <c:pt idx="25">
                  <c:v>121.1657712467</c:v>
                </c:pt>
                <c:pt idx="26">
                  <c:v>121.99903937000001</c:v>
                </c:pt>
                <c:pt idx="27">
                  <c:v>124.0312188333</c:v>
                </c:pt>
                <c:pt idx="28">
                  <c:v>126.9093693033</c:v>
                </c:pt>
                <c:pt idx="29">
                  <c:v>128.71997758329999</c:v>
                </c:pt>
                <c:pt idx="30">
                  <c:v>130.21519756999999</c:v>
                </c:pt>
                <c:pt idx="31">
                  <c:v>131.28241823330001</c:v>
                </c:pt>
                <c:pt idx="32">
                  <c:v>133.7936677733</c:v>
                </c:pt>
                <c:pt idx="33">
                  <c:v>134.68375806329999</c:v>
                </c:pt>
                <c:pt idx="34">
                  <c:v>135.19499444670001</c:v>
                </c:pt>
                <c:pt idx="35">
                  <c:v>137.48589445670001</c:v>
                </c:pt>
              </c:numCache>
            </c:numRef>
          </c:val>
          <c:smooth val="0"/>
          <c:extLst>
            <c:ext xmlns:c16="http://schemas.microsoft.com/office/drawing/2014/chart" uri="{C3380CC4-5D6E-409C-BE32-E72D297353CC}">
              <c16:uniqueId val="{0000000B-D5D8-491D-B5AB-1E753B58EAB2}"/>
            </c:ext>
          </c:extLst>
        </c:ser>
        <c:dLbls>
          <c:showLegendKey val="0"/>
          <c:showVal val="0"/>
          <c:showCatName val="0"/>
          <c:showSerName val="0"/>
          <c:showPercent val="0"/>
          <c:showBubbleSize val="0"/>
        </c:dLbls>
        <c:marker val="1"/>
        <c:smooth val="0"/>
        <c:axId val="1118074639"/>
        <c:axId val="1118080463"/>
      </c:lineChart>
      <c:catAx>
        <c:axId val="112768128"/>
        <c:scaling>
          <c:orientation val="minMax"/>
        </c:scaling>
        <c:delete val="0"/>
        <c:axPos val="b"/>
        <c:numFmt formatCode="General" sourceLinked="1"/>
        <c:majorTickMark val="out"/>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15"/>
          <c:min val="-30"/>
        </c:scaling>
        <c:delete val="0"/>
        <c:axPos val="l"/>
        <c:majorGridlines>
          <c:spPr>
            <a:ln>
              <a:solidFill>
                <a:srgbClr val="BEBEBE"/>
              </a:solidFill>
            </a:ln>
          </c:spPr>
        </c:majorGridlines>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sz="700" b="0" i="1" u="none" strike="noStrike" kern="1200" baseline="0">
                    <a:solidFill>
                      <a:sysClr val="windowText" lastClr="000000"/>
                    </a:solidFill>
                    <a:latin typeface="Arial" pitchFamily="34" charset="0"/>
                  </a:rPr>
                  <a:t>Tržby (příspěvky k meziroční změně)</a:t>
                </a:r>
              </a:p>
            </c:rich>
          </c:tx>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5"/>
      </c:valAx>
      <c:valAx>
        <c:axId val="1118080463"/>
        <c:scaling>
          <c:orientation val="minMax"/>
          <c:max val="150"/>
          <c:min val="-3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u="none" strike="noStrike" kern="1200" baseline="0">
                    <a:solidFill>
                      <a:sysClr val="windowText" lastClr="000000"/>
                    </a:solidFill>
                    <a:effectLst/>
                    <a:latin typeface="Arial" pitchFamily="34" charset="0"/>
                  </a:rPr>
                  <a:t>Tržby (báze 2021=100)</a:t>
                </a:r>
                <a:r>
                  <a:rPr lang="cs-CZ" sz="700" b="0" i="1" u="none" strike="noStrike" kern="1200" baseline="0">
                    <a:solidFill>
                      <a:sysClr val="windowText" lastClr="000000"/>
                    </a:solidFill>
                    <a:latin typeface="Arial" pitchFamily="34" charset="0"/>
                  </a:rPr>
                  <a:t>, saldo důvěry, bariéry růstu</a:t>
                </a:r>
              </a:p>
            </c:rich>
          </c:tx>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118074639"/>
        <c:crosses val="max"/>
        <c:crossBetween val="between"/>
        <c:majorUnit val="20"/>
      </c:valAx>
      <c:catAx>
        <c:axId val="1118074639"/>
        <c:scaling>
          <c:orientation val="minMax"/>
        </c:scaling>
        <c:delete val="1"/>
        <c:axPos val="b"/>
        <c:numFmt formatCode="General" sourceLinked="1"/>
        <c:majorTickMark val="out"/>
        <c:minorTickMark val="none"/>
        <c:tickLblPos val="nextTo"/>
        <c:crossAx val="11180804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0"/>
          <c:y val="0.81977661598035723"/>
          <c:w val="0.99257862455218637"/>
          <c:h val="0.17302512701806255"/>
        </c:manualLayout>
      </c:layout>
      <c:overlay val="0"/>
      <c:spPr>
        <a:ln w="6350">
          <a:solidFill>
            <a:prstClr val="black">
              <a:lumMod val="95000"/>
              <a:lumOff val="5000"/>
            </a:prstClr>
          </a:solidFill>
        </a:ln>
      </c:spPr>
      <c:txPr>
        <a:bodyPr/>
        <a:lstStyle/>
        <a:p>
          <a:pPr>
            <a:defRPr sz="75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461666861125732E-2"/>
          <c:y val="1.5803328678987455E-2"/>
          <c:w val="0.85878628700879256"/>
          <c:h val="0.73450553497678983"/>
        </c:manualLayout>
      </c:layout>
      <c:barChart>
        <c:barDir val="col"/>
        <c:grouping val="stacked"/>
        <c:varyColors val="0"/>
        <c:ser>
          <c:idx val="0"/>
          <c:order val="1"/>
          <c:tx>
            <c:strRef>
              <c:f>'výkonnost odvětví 5a'!$E$66</c:f>
              <c:strCache>
                <c:ptCount val="1"/>
                <c:pt idx="0">
                  <c:v>Maloobchod s potravinami (příspěvek)</c:v>
                </c:pt>
              </c:strCache>
            </c:strRef>
          </c:tx>
          <c:spPr>
            <a:solidFill>
              <a:srgbClr val="85BF5E"/>
            </a:solidFill>
            <a:ln w="15875">
              <a:noFill/>
            </a:ln>
          </c:spPr>
          <c:invertIfNegative val="0"/>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5a'!$E$75:$E$111</c:f>
              <c:numCache>
                <c:formatCode>#\ ##0.0</c:formatCode>
                <c:ptCount val="37"/>
                <c:pt idx="0">
                  <c:v>0.80503504339803023</c:v>
                </c:pt>
                <c:pt idx="1">
                  <c:v>1.3226920132878939</c:v>
                </c:pt>
                <c:pt idx="2">
                  <c:v>1.1093879971303187</c:v>
                </c:pt>
                <c:pt idx="3">
                  <c:v>0.91879711672543174</c:v>
                </c:pt>
                <c:pt idx="4">
                  <c:v>1.4408811390667347</c:v>
                </c:pt>
                <c:pt idx="5">
                  <c:v>0.56586951487910242</c:v>
                </c:pt>
                <c:pt idx="6">
                  <c:v>0.91859130788294596</c:v>
                </c:pt>
                <c:pt idx="7">
                  <c:v>0.39031471099013937</c:v>
                </c:pt>
                <c:pt idx="8">
                  <c:v>-0.26042517082700345</c:v>
                </c:pt>
                <c:pt idx="9">
                  <c:v>1.387192807046131</c:v>
                </c:pt>
                <c:pt idx="10">
                  <c:v>0.12221175641062032</c:v>
                </c:pt>
                <c:pt idx="11">
                  <c:v>1.4203949898468426</c:v>
                </c:pt>
                <c:pt idx="12">
                  <c:v>0.68045099807767828</c:v>
                </c:pt>
                <c:pt idx="13">
                  <c:v>-1.8622979821914807</c:v>
                </c:pt>
                <c:pt idx="14">
                  <c:v>-0.62992808617830609</c:v>
                </c:pt>
                <c:pt idx="15">
                  <c:v>-0.29233058819401747</c:v>
                </c:pt>
                <c:pt idx="16">
                  <c:v>-0.60459877221603142</c:v>
                </c:pt>
                <c:pt idx="17">
                  <c:v>0.49323760887485901</c:v>
                </c:pt>
                <c:pt idx="18">
                  <c:v>-0.29141252480594659</c:v>
                </c:pt>
                <c:pt idx="19">
                  <c:v>6.1314084169630878E-3</c:v>
                </c:pt>
                <c:pt idx="20">
                  <c:v>-6.1582310189856965E-2</c:v>
                </c:pt>
                <c:pt idx="21">
                  <c:v>-1.1002096142625197</c:v>
                </c:pt>
                <c:pt idx="22">
                  <c:v>-2.2861265791925276</c:v>
                </c:pt>
                <c:pt idx="23">
                  <c:v>-3.2428703644656567</c:v>
                </c:pt>
                <c:pt idx="24">
                  <c:v>-3.1021139074787172</c:v>
                </c:pt>
                <c:pt idx="25">
                  <c:v>-2.8566724669708714</c:v>
                </c:pt>
                <c:pt idx="26">
                  <c:v>-1.6912288131334752</c:v>
                </c:pt>
                <c:pt idx="27">
                  <c:v>-0.73752339334120764</c:v>
                </c:pt>
                <c:pt idx="28">
                  <c:v>0.86271920525660772</c:v>
                </c:pt>
                <c:pt idx="29">
                  <c:v>1.1155734788058358</c:v>
                </c:pt>
                <c:pt idx="30">
                  <c:v>0.85837007365499784</c:v>
                </c:pt>
                <c:pt idx="31">
                  <c:v>0.65165796895764594</c:v>
                </c:pt>
                <c:pt idx="32">
                  <c:v>0.26555288583920228</c:v>
                </c:pt>
                <c:pt idx="33">
                  <c:v>0.44329749816029373</c:v>
                </c:pt>
                <c:pt idx="34">
                  <c:v>-0.20290194657775004</c:v>
                </c:pt>
                <c:pt idx="35">
                  <c:v>0.15578977489472409</c:v>
                </c:pt>
              </c:numCache>
            </c:numRef>
          </c:val>
          <c:extLst>
            <c:ext xmlns:c16="http://schemas.microsoft.com/office/drawing/2014/chart" uri="{C3380CC4-5D6E-409C-BE32-E72D297353CC}">
              <c16:uniqueId val="{00000000-2782-408F-ACD1-C48AD6CA2AF5}"/>
            </c:ext>
          </c:extLst>
        </c:ser>
        <c:ser>
          <c:idx val="1"/>
          <c:order val="2"/>
          <c:tx>
            <c:strRef>
              <c:f>'výkonnost odvětví 5a'!$F$66</c:f>
              <c:strCache>
                <c:ptCount val="1"/>
                <c:pt idx="0">
                  <c:v>Mal. s nepotravinářským zbož. (příspěvek)</c:v>
                </c:pt>
              </c:strCache>
            </c:strRef>
          </c:tx>
          <c:spPr>
            <a:solidFill>
              <a:srgbClr val="9FC9D7"/>
            </a:solidFill>
            <a:ln w="15875">
              <a:noFill/>
            </a:ln>
          </c:spPr>
          <c:invertIfNegative val="0"/>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5a'!$F$75:$F$111</c:f>
              <c:numCache>
                <c:formatCode>#\ ##0.0</c:formatCode>
                <c:ptCount val="37"/>
                <c:pt idx="0">
                  <c:v>3.5378642331475767</c:v>
                </c:pt>
                <c:pt idx="1">
                  <c:v>4.4102109114000001</c:v>
                </c:pt>
                <c:pt idx="2">
                  <c:v>4.0630860017156882</c:v>
                </c:pt>
                <c:pt idx="3">
                  <c:v>4.5677642987344473</c:v>
                </c:pt>
                <c:pt idx="4">
                  <c:v>3.9514660526469991</c:v>
                </c:pt>
                <c:pt idx="5">
                  <c:v>3.3660973740063671</c:v>
                </c:pt>
                <c:pt idx="6">
                  <c:v>2.5766562177543419</c:v>
                </c:pt>
                <c:pt idx="7">
                  <c:v>3.7137432546421087</c:v>
                </c:pt>
                <c:pt idx="8">
                  <c:v>1.3164914821905218</c:v>
                </c:pt>
                <c:pt idx="9">
                  <c:v>2.4403334275714292</c:v>
                </c:pt>
                <c:pt idx="10">
                  <c:v>4.2880747845793561</c:v>
                </c:pt>
                <c:pt idx="11">
                  <c:v>5.6732186094086785</c:v>
                </c:pt>
                <c:pt idx="12">
                  <c:v>0.37453831110718883</c:v>
                </c:pt>
                <c:pt idx="13">
                  <c:v>-0.33252785160352938</c:v>
                </c:pt>
                <c:pt idx="14">
                  <c:v>1.4214288755441682</c:v>
                </c:pt>
                <c:pt idx="15">
                  <c:v>-1.845799940094685</c:v>
                </c:pt>
                <c:pt idx="16">
                  <c:v>-0.21409474415983107</c:v>
                </c:pt>
                <c:pt idx="17">
                  <c:v>5.5786493935518759</c:v>
                </c:pt>
                <c:pt idx="18">
                  <c:v>3.6268068459923546</c:v>
                </c:pt>
                <c:pt idx="19">
                  <c:v>5.6725803161902153</c:v>
                </c:pt>
                <c:pt idx="20">
                  <c:v>5.9914505475347823</c:v>
                </c:pt>
                <c:pt idx="21">
                  <c:v>-0.95235070609145533</c:v>
                </c:pt>
                <c:pt idx="22">
                  <c:v>-3.9412942318952147</c:v>
                </c:pt>
                <c:pt idx="23">
                  <c:v>-5.6406113675036629</c:v>
                </c:pt>
                <c:pt idx="24">
                  <c:v>-4.7850553749902662</c:v>
                </c:pt>
                <c:pt idx="25">
                  <c:v>-4.490697704925017</c:v>
                </c:pt>
                <c:pt idx="26">
                  <c:v>-2.4590574167395673</c:v>
                </c:pt>
                <c:pt idx="27">
                  <c:v>0.45135939696203864</c:v>
                </c:pt>
                <c:pt idx="28">
                  <c:v>2.7879626008679734</c:v>
                </c:pt>
                <c:pt idx="29">
                  <c:v>2.5926645389599337</c:v>
                </c:pt>
                <c:pt idx="30">
                  <c:v>3.3692227083047981</c:v>
                </c:pt>
                <c:pt idx="31">
                  <c:v>3.5075439569744433</c:v>
                </c:pt>
                <c:pt idx="32">
                  <c:v>2.1099581107723591</c:v>
                </c:pt>
                <c:pt idx="33">
                  <c:v>2.848436864487339</c:v>
                </c:pt>
                <c:pt idx="34">
                  <c:v>1.6087390634926666</c:v>
                </c:pt>
                <c:pt idx="35">
                  <c:v>2.1200938642067571</c:v>
                </c:pt>
              </c:numCache>
            </c:numRef>
          </c:val>
          <c:extLst>
            <c:ext xmlns:c16="http://schemas.microsoft.com/office/drawing/2014/chart" uri="{C3380CC4-5D6E-409C-BE32-E72D297353CC}">
              <c16:uniqueId val="{00000001-2782-408F-ACD1-C48AD6CA2AF5}"/>
            </c:ext>
          </c:extLst>
        </c:ser>
        <c:ser>
          <c:idx val="4"/>
          <c:order val="3"/>
          <c:tx>
            <c:strRef>
              <c:f>'výkonnost odvětví 5a'!$G$66</c:f>
              <c:strCache>
                <c:ptCount val="1"/>
                <c:pt idx="0">
                  <c:v>Maloobchodní prodej PHM (příspěvek)</c:v>
                </c:pt>
              </c:strCache>
            </c:strRef>
          </c:tx>
          <c:spPr>
            <a:solidFill>
              <a:srgbClr val="D8A7B7"/>
            </a:solidFill>
            <a:ln w="15875">
              <a:noFill/>
            </a:ln>
          </c:spPr>
          <c:invertIfNegative val="0"/>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5a'!$G$75:$G$111</c:f>
              <c:numCache>
                <c:formatCode>#\ ##0.0</c:formatCode>
                <c:ptCount val="37"/>
                <c:pt idx="0">
                  <c:v>0.33272608336231924</c:v>
                </c:pt>
                <c:pt idx="1">
                  <c:v>0.75457656335789458</c:v>
                </c:pt>
                <c:pt idx="2">
                  <c:v>0.84343448068247284</c:v>
                </c:pt>
                <c:pt idx="3">
                  <c:v>0.68530271370933171</c:v>
                </c:pt>
                <c:pt idx="4">
                  <c:v>0.66498076739870349</c:v>
                </c:pt>
                <c:pt idx="5">
                  <c:v>0.5949365062021188</c:v>
                </c:pt>
                <c:pt idx="6">
                  <c:v>0.37393648150629555</c:v>
                </c:pt>
                <c:pt idx="7">
                  <c:v>0.43227375511872002</c:v>
                </c:pt>
                <c:pt idx="8">
                  <c:v>0.17780110877268776</c:v>
                </c:pt>
                <c:pt idx="9">
                  <c:v>0.36931457791630756</c:v>
                </c:pt>
                <c:pt idx="10">
                  <c:v>0.27034475786666656</c:v>
                </c:pt>
                <c:pt idx="11">
                  <c:v>0.19682777384424532</c:v>
                </c:pt>
                <c:pt idx="12">
                  <c:v>-0.61213507449246762</c:v>
                </c:pt>
                <c:pt idx="13">
                  <c:v>-1.9736438752214194</c:v>
                </c:pt>
                <c:pt idx="14">
                  <c:v>8.5192850240832507E-2</c:v>
                </c:pt>
                <c:pt idx="15">
                  <c:v>-1.0745172260826921</c:v>
                </c:pt>
                <c:pt idx="16">
                  <c:v>-0.81634971421508096</c:v>
                </c:pt>
                <c:pt idx="17">
                  <c:v>1.0665313424666174</c:v>
                </c:pt>
                <c:pt idx="18">
                  <c:v>0.37055273984166581</c:v>
                </c:pt>
                <c:pt idx="19">
                  <c:v>0.92310461803521004</c:v>
                </c:pt>
                <c:pt idx="20">
                  <c:v>1.2424053535443074</c:v>
                </c:pt>
                <c:pt idx="21">
                  <c:v>-0.71067911894328362</c:v>
                </c:pt>
                <c:pt idx="22">
                  <c:v>-1.4491227214108995</c:v>
                </c:pt>
                <c:pt idx="23">
                  <c:v>-0.43020947746484245</c:v>
                </c:pt>
                <c:pt idx="24">
                  <c:v>9.5887241849914734E-2</c:v>
                </c:pt>
                <c:pt idx="25">
                  <c:v>1.0484499317684191</c:v>
                </c:pt>
                <c:pt idx="26">
                  <c:v>1.0259046084806165</c:v>
                </c:pt>
                <c:pt idx="27">
                  <c:v>0.21056685921275967</c:v>
                </c:pt>
                <c:pt idx="28">
                  <c:v>0.60375654450034388</c:v>
                </c:pt>
                <c:pt idx="29">
                  <c:v>0.24887449874246392</c:v>
                </c:pt>
                <c:pt idx="30">
                  <c:v>0.4324214825082664</c:v>
                </c:pt>
                <c:pt idx="31">
                  <c:v>1.0777257521870729</c:v>
                </c:pt>
                <c:pt idx="32">
                  <c:v>0.84758906664488498</c:v>
                </c:pt>
                <c:pt idx="33">
                  <c:v>1.43335185034885</c:v>
                </c:pt>
                <c:pt idx="34">
                  <c:v>1.1264817396958606</c:v>
                </c:pt>
                <c:pt idx="35">
                  <c:v>0.51031465808389365</c:v>
                </c:pt>
              </c:numCache>
            </c:numRef>
          </c:val>
          <c:extLst>
            <c:ext xmlns:c16="http://schemas.microsoft.com/office/drawing/2014/chart" uri="{C3380CC4-5D6E-409C-BE32-E72D297353CC}">
              <c16:uniqueId val="{00000002-2782-408F-ACD1-C48AD6CA2AF5}"/>
            </c:ext>
          </c:extLst>
        </c:ser>
        <c:dLbls>
          <c:showLegendKey val="0"/>
          <c:showVal val="0"/>
          <c:showCatName val="0"/>
          <c:showSerName val="0"/>
          <c:showPercent val="0"/>
          <c:showBubbleSize val="0"/>
        </c:dLbls>
        <c:gapWidth val="31"/>
        <c:overlap val="100"/>
        <c:axId val="156100864"/>
        <c:axId val="156573696"/>
      </c:barChart>
      <c:lineChart>
        <c:grouping val="standard"/>
        <c:varyColors val="0"/>
        <c:ser>
          <c:idx val="3"/>
          <c:order val="0"/>
          <c:tx>
            <c:strRef>
              <c:f>'výkonnost odvětví 5a'!$D$66</c:f>
              <c:strCache>
                <c:ptCount val="1"/>
                <c:pt idx="0">
                  <c:v>Maloobchod celkem (meziroční růst)</c:v>
                </c:pt>
              </c:strCache>
            </c:strRef>
          </c:tx>
          <c:spPr>
            <a:ln>
              <a:noFill/>
            </a:ln>
          </c:spPr>
          <c:marker>
            <c:symbol val="dash"/>
            <c:size val="6"/>
            <c:spPr>
              <a:solidFill>
                <a:schemeClr val="tx1">
                  <a:lumMod val="85000"/>
                  <a:lumOff val="15000"/>
                </a:schemeClr>
              </a:solidFill>
              <a:ln w="6350">
                <a:solidFill>
                  <a:schemeClr val="tx1">
                    <a:lumMod val="95000"/>
                    <a:lumOff val="5000"/>
                  </a:schemeClr>
                </a:solidFill>
              </a:ln>
            </c:spPr>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5a'!$D$75:$D$111</c:f>
              <c:numCache>
                <c:formatCode>#\ ##0.0</c:formatCode>
                <c:ptCount val="37"/>
                <c:pt idx="0">
                  <c:v>4.3620748262000006</c:v>
                </c:pt>
                <c:pt idx="1">
                  <c:v>6.1514795296999978</c:v>
                </c:pt>
                <c:pt idx="2">
                  <c:v>5.695332340899995</c:v>
                </c:pt>
                <c:pt idx="3">
                  <c:v>5.8139714787999992</c:v>
                </c:pt>
                <c:pt idx="4">
                  <c:v>5.9180843605000035</c:v>
                </c:pt>
                <c:pt idx="5">
                  <c:v>4.4338705679000014</c:v>
                </c:pt>
                <c:pt idx="6">
                  <c:v>3.8240798302000059</c:v>
                </c:pt>
                <c:pt idx="7">
                  <c:v>4.3570988037999996</c:v>
                </c:pt>
                <c:pt idx="8">
                  <c:v>1.1507172347999983</c:v>
                </c:pt>
                <c:pt idx="9">
                  <c:v>4.1650200169000016</c:v>
                </c:pt>
                <c:pt idx="10">
                  <c:v>4.4978565960000054</c:v>
                </c:pt>
                <c:pt idx="11">
                  <c:v>7.2188301332000009</c:v>
                </c:pt>
                <c:pt idx="12">
                  <c:v>0.40058883060000028</c:v>
                </c:pt>
                <c:pt idx="13">
                  <c:v>-4.2822479934000057</c:v>
                </c:pt>
                <c:pt idx="14">
                  <c:v>0.836536897000002</c:v>
                </c:pt>
                <c:pt idx="15">
                  <c:v>-3.147863998899993</c:v>
                </c:pt>
                <c:pt idx="16">
                  <c:v>-1.6909872142999944</c:v>
                </c:pt>
                <c:pt idx="17">
                  <c:v>6.9698101226999967</c:v>
                </c:pt>
                <c:pt idx="18">
                  <c:v>3.5903392145000055</c:v>
                </c:pt>
                <c:pt idx="19">
                  <c:v>6.5026074013999988</c:v>
                </c:pt>
                <c:pt idx="20">
                  <c:v>6.7657643783000054</c:v>
                </c:pt>
                <c:pt idx="21">
                  <c:v>-2.8035638672999994</c:v>
                </c:pt>
                <c:pt idx="22">
                  <c:v>-7.6556463837000024</c:v>
                </c:pt>
                <c:pt idx="23">
                  <c:v>-9.3145502957000019</c:v>
                </c:pt>
                <c:pt idx="24">
                  <c:v>-7.7729465094000005</c:v>
                </c:pt>
                <c:pt idx="25">
                  <c:v>-6.285529826100003</c:v>
                </c:pt>
                <c:pt idx="26">
                  <c:v>-3.142215465700005</c:v>
                </c:pt>
                <c:pt idx="27">
                  <c:v>-0.13905421660000172</c:v>
                </c:pt>
                <c:pt idx="28">
                  <c:v>4.2508866608999938</c:v>
                </c:pt>
                <c:pt idx="29">
                  <c:v>3.9576767644000057</c:v>
                </c:pt>
                <c:pt idx="30">
                  <c:v>4.6596597167000056</c:v>
                </c:pt>
                <c:pt idx="31">
                  <c:v>5.2359629954000013</c:v>
                </c:pt>
                <c:pt idx="32">
                  <c:v>3.2222303133000025</c:v>
                </c:pt>
                <c:pt idx="33">
                  <c:v>4.7254126336000013</c:v>
                </c:pt>
                <c:pt idx="34">
                  <c:v>2.5318910023000001</c:v>
                </c:pt>
                <c:pt idx="35">
                  <c:v>2.7870056648999935</c:v>
                </c:pt>
              </c:numCache>
            </c:numRef>
          </c:val>
          <c:smooth val="0"/>
          <c:extLst>
            <c:ext xmlns:c16="http://schemas.microsoft.com/office/drawing/2014/chart" uri="{C3380CC4-5D6E-409C-BE32-E72D297353CC}">
              <c16:uniqueId val="{00000003-2782-408F-ACD1-C48AD6CA2AF5}"/>
            </c:ext>
          </c:extLst>
        </c:ser>
        <c:dLbls>
          <c:showLegendKey val="0"/>
          <c:showVal val="0"/>
          <c:showCatName val="0"/>
          <c:showSerName val="0"/>
          <c:showPercent val="0"/>
          <c:showBubbleSize val="0"/>
        </c:dLbls>
        <c:marker val="1"/>
        <c:smooth val="0"/>
        <c:axId val="156100864"/>
        <c:axId val="156573696"/>
      </c:lineChart>
      <c:lineChart>
        <c:grouping val="standard"/>
        <c:varyColors val="0"/>
        <c:ser>
          <c:idx val="5"/>
          <c:order val="4"/>
          <c:tx>
            <c:strRef>
              <c:f>'výkonnost odvětví 5a'!$H$66</c:f>
              <c:strCache>
                <c:ptCount val="1"/>
                <c:pt idx="0">
                  <c:v>Maloobchod, bez motor. segm. (2021=100)</c:v>
                </c:pt>
              </c:strCache>
            </c:strRef>
          </c:tx>
          <c:spPr>
            <a:ln w="15875">
              <a:solidFill>
                <a:srgbClr val="8390A7"/>
              </a:solidFill>
              <a:prstDash val="solid"/>
            </a:ln>
          </c:spPr>
          <c:marker>
            <c:symbol val="none"/>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5a'!$H$75:$H$111</c:f>
              <c:numCache>
                <c:formatCode>#\ ##0.0</c:formatCode>
                <c:ptCount val="37"/>
                <c:pt idx="0">
                  <c:v>87.363961106700003</c:v>
                </c:pt>
                <c:pt idx="1">
                  <c:v>89.101366663299999</c:v>
                </c:pt>
                <c:pt idx="2">
                  <c:v>90.129141573300004</c:v>
                </c:pt>
                <c:pt idx="3">
                  <c:v>90.462224816700001</c:v>
                </c:pt>
                <c:pt idx="4">
                  <c:v>93.00060388</c:v>
                </c:pt>
                <c:pt idx="5">
                  <c:v>93.180065510000006</c:v>
                </c:pt>
                <c:pt idx="6">
                  <c:v>93.466034969999995</c:v>
                </c:pt>
                <c:pt idx="7">
                  <c:v>93.443529976700006</c:v>
                </c:pt>
                <c:pt idx="8">
                  <c:v>94.9061846667</c:v>
                </c:pt>
                <c:pt idx="9">
                  <c:v>97.714283146699998</c:v>
                </c:pt>
                <c:pt idx="10">
                  <c:v>97.4024124667</c:v>
                </c:pt>
                <c:pt idx="11">
                  <c:v>98.790444260000001</c:v>
                </c:pt>
                <c:pt idx="12">
                  <c:v>95.462904703299998</c:v>
                </c:pt>
                <c:pt idx="13">
                  <c:v>94.180640983299995</c:v>
                </c:pt>
                <c:pt idx="14">
                  <c:v>98.312227893300005</c:v>
                </c:pt>
                <c:pt idx="15">
                  <c:v>95.2433243933</c:v>
                </c:pt>
                <c:pt idx="16">
                  <c:v>92.928266769999993</c:v>
                </c:pt>
                <c:pt idx="17">
                  <c:v>100.65021960670001</c:v>
                </c:pt>
                <c:pt idx="18">
                  <c:v>102.09946060670001</c:v>
                </c:pt>
                <c:pt idx="19">
                  <c:v>101.60203237330001</c:v>
                </c:pt>
                <c:pt idx="20">
                  <c:v>99.523359249999999</c:v>
                </c:pt>
                <c:pt idx="21">
                  <c:v>97.741813693300003</c:v>
                </c:pt>
                <c:pt idx="22">
                  <c:v>94.933864310000004</c:v>
                </c:pt>
                <c:pt idx="23">
                  <c:v>92.870258969999995</c:v>
                </c:pt>
                <c:pt idx="24">
                  <c:v>91.574203240000003</c:v>
                </c:pt>
                <c:pt idx="25">
                  <c:v>91.301061406700001</c:v>
                </c:pt>
                <c:pt idx="26">
                  <c:v>91.908352769999993</c:v>
                </c:pt>
                <c:pt idx="27">
                  <c:v>92.815649043299999</c:v>
                </c:pt>
                <c:pt idx="28">
                  <c:v>94.946744010000003</c:v>
                </c:pt>
                <c:pt idx="29">
                  <c:v>95.154560459999999</c:v>
                </c:pt>
                <c:pt idx="30">
                  <c:v>96.613943120000002</c:v>
                </c:pt>
                <c:pt idx="31">
                  <c:v>97.443948553300004</c:v>
                </c:pt>
                <c:pt idx="32">
                  <c:v>97.833670350000006</c:v>
                </c:pt>
                <c:pt idx="33">
                  <c:v>99.341645130000003</c:v>
                </c:pt>
                <c:pt idx="34">
                  <c:v>99.379786460000005</c:v>
                </c:pt>
                <c:pt idx="35">
                  <c:v>100.3924424633</c:v>
                </c:pt>
              </c:numCache>
            </c:numRef>
          </c:val>
          <c:smooth val="0"/>
          <c:extLst>
            <c:ext xmlns:c16="http://schemas.microsoft.com/office/drawing/2014/chart" uri="{C3380CC4-5D6E-409C-BE32-E72D297353CC}">
              <c16:uniqueId val="{00000004-2782-408F-ACD1-C48AD6CA2AF5}"/>
            </c:ext>
          </c:extLst>
        </c:ser>
        <c:ser>
          <c:idx val="2"/>
          <c:order val="5"/>
          <c:tx>
            <c:strRef>
              <c:f>'výkonnost odvětví 5a'!$I$66</c:f>
              <c:strCache>
                <c:ptCount val="1"/>
                <c:pt idx="0">
                  <c:v>z toho: maloobchod.prodej PHM (2021=100)</c:v>
                </c:pt>
              </c:strCache>
            </c:strRef>
          </c:tx>
          <c:spPr>
            <a:ln w="15875">
              <a:solidFill>
                <a:srgbClr val="8390A7"/>
              </a:solidFill>
              <a:prstDash val="sysDash"/>
            </a:ln>
          </c:spPr>
          <c:marker>
            <c:symbol val="none"/>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5a'!$I$75:$I$111</c:f>
              <c:numCache>
                <c:formatCode>#\ ##0.0</c:formatCode>
                <c:ptCount val="37"/>
                <c:pt idx="0">
                  <c:v>95.749977333299995</c:v>
                </c:pt>
                <c:pt idx="1">
                  <c:v>97.600769810000003</c:v>
                </c:pt>
                <c:pt idx="2">
                  <c:v>99.127924750000005</c:v>
                </c:pt>
                <c:pt idx="3">
                  <c:v>100.1696827833</c:v>
                </c:pt>
                <c:pt idx="4">
                  <c:v>101.84621694330001</c:v>
                </c:pt>
                <c:pt idx="5">
                  <c:v>102.26597986</c:v>
                </c:pt>
                <c:pt idx="6">
                  <c:v>101.82584908</c:v>
                </c:pt>
                <c:pt idx="7">
                  <c:v>101.7161366</c:v>
                </c:pt>
                <c:pt idx="8">
                  <c:v>105.33320152669999</c:v>
                </c:pt>
                <c:pt idx="9">
                  <c:v>106.8745536667</c:v>
                </c:pt>
                <c:pt idx="10">
                  <c:v>102.3076605733</c:v>
                </c:pt>
                <c:pt idx="11">
                  <c:v>102.47872723330001</c:v>
                </c:pt>
                <c:pt idx="12">
                  <c:v>102.4278461</c:v>
                </c:pt>
                <c:pt idx="13">
                  <c:v>89.424229656700007</c:v>
                </c:pt>
                <c:pt idx="14">
                  <c:v>98.604605936699997</c:v>
                </c:pt>
                <c:pt idx="15">
                  <c:v>92.299073946700005</c:v>
                </c:pt>
                <c:pt idx="16">
                  <c:v>96.109310343299995</c:v>
                </c:pt>
                <c:pt idx="17">
                  <c:v>100.9109553033</c:v>
                </c:pt>
                <c:pt idx="18">
                  <c:v>102.10944587669999</c:v>
                </c:pt>
                <c:pt idx="19">
                  <c:v>100.0442907533</c:v>
                </c:pt>
                <c:pt idx="20">
                  <c:v>100.4837390567</c:v>
                </c:pt>
                <c:pt idx="21">
                  <c:v>95.887619340000001</c:v>
                </c:pt>
                <c:pt idx="22">
                  <c:v>95.207275056699999</c:v>
                </c:pt>
                <c:pt idx="23">
                  <c:v>97.958486166699998</c:v>
                </c:pt>
                <c:pt idx="24">
                  <c:v>98.911290039999997</c:v>
                </c:pt>
                <c:pt idx="25">
                  <c:v>101.93560023329999</c:v>
                </c:pt>
                <c:pt idx="26">
                  <c:v>102.8947768667</c:v>
                </c:pt>
                <c:pt idx="27">
                  <c:v>101.7954757067</c:v>
                </c:pt>
                <c:pt idx="28">
                  <c:v>104.35718131</c:v>
                </c:pt>
                <c:pt idx="29">
                  <c:v>104.54336572</c:v>
                </c:pt>
                <c:pt idx="30">
                  <c:v>107.00663887330001</c:v>
                </c:pt>
                <c:pt idx="31">
                  <c:v>111.0462678633</c:v>
                </c:pt>
                <c:pt idx="32">
                  <c:v>111.9671461033</c:v>
                </c:pt>
                <c:pt idx="33">
                  <c:v>115.0617583967</c:v>
                </c:pt>
                <c:pt idx="34">
                  <c:v>116.44289761</c:v>
                </c:pt>
                <c:pt idx="35">
                  <c:v>117.5486445233</c:v>
                </c:pt>
              </c:numCache>
            </c:numRef>
          </c:val>
          <c:smooth val="0"/>
          <c:extLst>
            <c:ext xmlns:c16="http://schemas.microsoft.com/office/drawing/2014/chart" uri="{C3380CC4-5D6E-409C-BE32-E72D297353CC}">
              <c16:uniqueId val="{00000005-2782-408F-ACD1-C48AD6CA2AF5}"/>
            </c:ext>
          </c:extLst>
        </c:ser>
        <c:ser>
          <c:idx val="6"/>
          <c:order val="6"/>
          <c:tx>
            <c:strRef>
              <c:f>'výkonnost odvětví 5a'!$J$66</c:f>
              <c:strCache>
                <c:ptCount val="1"/>
                <c:pt idx="0">
                  <c:v>Obchod a opravy motor. vozidel (2021=100)</c:v>
                </c:pt>
              </c:strCache>
            </c:strRef>
          </c:tx>
          <c:spPr>
            <a:ln w="15875">
              <a:solidFill>
                <a:srgbClr val="B8BBC0"/>
              </a:solidFill>
              <a:prstDash val="lgDash"/>
            </a:ln>
          </c:spPr>
          <c:marker>
            <c:symbol val="none"/>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5a'!$J$75:$J$111</c:f>
              <c:numCache>
                <c:formatCode>#\ ##0.0</c:formatCode>
                <c:ptCount val="37"/>
                <c:pt idx="0">
                  <c:v>109.64916972</c:v>
                </c:pt>
                <c:pt idx="1">
                  <c:v>110.1730534867</c:v>
                </c:pt>
                <c:pt idx="2">
                  <c:v>109.37546021670001</c:v>
                </c:pt>
                <c:pt idx="3">
                  <c:v>110.32722577</c:v>
                </c:pt>
                <c:pt idx="4">
                  <c:v>108.82251635670001</c:v>
                </c:pt>
                <c:pt idx="5">
                  <c:v>108.5589416633</c:v>
                </c:pt>
                <c:pt idx="6">
                  <c:v>108.4297535533</c:v>
                </c:pt>
                <c:pt idx="7">
                  <c:v>106.8586683767</c:v>
                </c:pt>
                <c:pt idx="8">
                  <c:v>108.79305033999999</c:v>
                </c:pt>
                <c:pt idx="9">
                  <c:v>109.2669854267</c:v>
                </c:pt>
                <c:pt idx="10">
                  <c:v>107.42212271</c:v>
                </c:pt>
                <c:pt idx="11">
                  <c:v>107.20196076000001</c:v>
                </c:pt>
                <c:pt idx="12">
                  <c:v>94.998715326699994</c:v>
                </c:pt>
                <c:pt idx="13">
                  <c:v>78.881855509999994</c:v>
                </c:pt>
                <c:pt idx="14">
                  <c:v>99.514476250000001</c:v>
                </c:pt>
                <c:pt idx="15">
                  <c:v>99.432766406699997</c:v>
                </c:pt>
                <c:pt idx="16">
                  <c:v>101.4397472867</c:v>
                </c:pt>
                <c:pt idx="17">
                  <c:v>101.27105395</c:v>
                </c:pt>
                <c:pt idx="18">
                  <c:v>98.638678266699998</c:v>
                </c:pt>
                <c:pt idx="19">
                  <c:v>97.392576509999998</c:v>
                </c:pt>
                <c:pt idx="20">
                  <c:v>96.616950979999999</c:v>
                </c:pt>
                <c:pt idx="21">
                  <c:v>95.576368220000006</c:v>
                </c:pt>
                <c:pt idx="22">
                  <c:v>95.592086106699995</c:v>
                </c:pt>
                <c:pt idx="23">
                  <c:v>96.074211756699995</c:v>
                </c:pt>
                <c:pt idx="24">
                  <c:v>98.817260133299996</c:v>
                </c:pt>
                <c:pt idx="25">
                  <c:v>99.567897636699996</c:v>
                </c:pt>
                <c:pt idx="26">
                  <c:v>100.9640650067</c:v>
                </c:pt>
                <c:pt idx="27">
                  <c:v>101.5145535833</c:v>
                </c:pt>
                <c:pt idx="28">
                  <c:v>101.2981159</c:v>
                </c:pt>
                <c:pt idx="29">
                  <c:v>101.0396875933</c:v>
                </c:pt>
                <c:pt idx="30">
                  <c:v>100.46779127329999</c:v>
                </c:pt>
                <c:pt idx="31">
                  <c:v>101.77873984999999</c:v>
                </c:pt>
                <c:pt idx="32">
                  <c:v>103.2498025133</c:v>
                </c:pt>
                <c:pt idx="33">
                  <c:v>103.11733217</c:v>
                </c:pt>
                <c:pt idx="34">
                  <c:v>103.61647794</c:v>
                </c:pt>
                <c:pt idx="35">
                  <c:v>102.7319377967</c:v>
                </c:pt>
              </c:numCache>
            </c:numRef>
          </c:val>
          <c:smooth val="0"/>
          <c:extLst>
            <c:ext xmlns:c16="http://schemas.microsoft.com/office/drawing/2014/chart" uri="{C3380CC4-5D6E-409C-BE32-E72D297353CC}">
              <c16:uniqueId val="{00000006-2782-408F-ACD1-C48AD6CA2AF5}"/>
            </c:ext>
          </c:extLst>
        </c:ser>
        <c:ser>
          <c:idx val="7"/>
          <c:order val="7"/>
          <c:tx>
            <c:strRef>
              <c:f>'výkonnost odvětví 5a'!$K$66</c:f>
              <c:strCache>
                <c:ptCount val="1"/>
              </c:strCache>
            </c:strRef>
          </c:tx>
          <c:spPr>
            <a:ln w="3175">
              <a:noFill/>
              <a:prstDash val="sysDash"/>
            </a:ln>
          </c:spPr>
          <c:marker>
            <c:symbol val="none"/>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5a'!$K$75:$K$111</c:f>
              <c:numCache>
                <c:formatCode>#\ ##0.0</c:formatCode>
                <c:ptCount val="37"/>
                <c:pt idx="0">
                  <c:v>-0.31355053370792552</c:v>
                </c:pt>
                <c:pt idx="1">
                  <c:v>-0.33599995834579033</c:v>
                </c:pt>
                <c:pt idx="2">
                  <c:v>-0.32057613862848477</c:v>
                </c:pt>
                <c:pt idx="3">
                  <c:v>-0.35789265036921147</c:v>
                </c:pt>
                <c:pt idx="4">
                  <c:v>-0.13924359861243329</c:v>
                </c:pt>
                <c:pt idx="5">
                  <c:v>-9.3032827187586653E-2</c:v>
                </c:pt>
                <c:pt idx="6">
                  <c:v>-4.5104176943577601E-2</c:v>
                </c:pt>
                <c:pt idx="7">
                  <c:v>-0.17923291695096844</c:v>
                </c:pt>
                <c:pt idx="8">
                  <c:v>-8.315018533620791E-2</c:v>
                </c:pt>
                <c:pt idx="9">
                  <c:v>-3.182079563386625E-2</c:v>
                </c:pt>
                <c:pt idx="10">
                  <c:v>-0.18277470285663766</c:v>
                </c:pt>
                <c:pt idx="11">
                  <c:v>-7.1611239899765589E-2</c:v>
                </c:pt>
                <c:pt idx="12">
                  <c:v>-4.2265404092399206E-2</c:v>
                </c:pt>
                <c:pt idx="13">
                  <c:v>-0.11377828438357618</c:v>
                </c:pt>
                <c:pt idx="14">
                  <c:v>-4.0156742606692608E-2</c:v>
                </c:pt>
                <c:pt idx="15">
                  <c:v>6.4783755471401694E-2</c:v>
                </c:pt>
                <c:pt idx="16">
                  <c:v>-5.5943983709051071E-2</c:v>
                </c:pt>
                <c:pt idx="17">
                  <c:v>-0.16860822219335536</c:v>
                </c:pt>
                <c:pt idx="18">
                  <c:v>-0.11560784652806844</c:v>
                </c:pt>
                <c:pt idx="19">
                  <c:v>-9.920894124238977E-2</c:v>
                </c:pt>
                <c:pt idx="20">
                  <c:v>-0.4065092125892269</c:v>
                </c:pt>
                <c:pt idx="21">
                  <c:v>-4.032442800274072E-2</c:v>
                </c:pt>
                <c:pt idx="22">
                  <c:v>2.0897148798639797E-2</c:v>
                </c:pt>
                <c:pt idx="23">
                  <c:v>-8.5908626583991454E-4</c:v>
                </c:pt>
                <c:pt idx="24">
                  <c:v>1.8335531219068141E-2</c:v>
                </c:pt>
                <c:pt idx="25">
                  <c:v>1.3390414027466324E-2</c:v>
                </c:pt>
                <c:pt idx="26">
                  <c:v>-1.783384430757895E-2</c:v>
                </c:pt>
                <c:pt idx="27">
                  <c:v>-6.3457079433592384E-2</c:v>
                </c:pt>
                <c:pt idx="28">
                  <c:v>-3.5516897249310286E-3</c:v>
                </c:pt>
                <c:pt idx="29">
                  <c:v>5.6424789177234036E-4</c:v>
                </c:pt>
                <c:pt idx="30">
                  <c:v>-3.5454776805687871E-4</c:v>
                </c:pt>
                <c:pt idx="31">
                  <c:v>-9.6468271916072545E-4</c:v>
                </c:pt>
              </c:numCache>
            </c:numRef>
          </c:val>
          <c:smooth val="0"/>
          <c:extLst>
            <c:ext xmlns:c16="http://schemas.microsoft.com/office/drawing/2014/chart" uri="{C3380CC4-5D6E-409C-BE32-E72D297353CC}">
              <c16:uniqueId val="{00000007-2782-408F-ACD1-C48AD6CA2AF5}"/>
            </c:ext>
          </c:extLst>
        </c:ser>
        <c:ser>
          <c:idx val="8"/>
          <c:order val="8"/>
          <c:tx>
            <c:strRef>
              <c:f>'výkonnost odvětví 5a'!$L$66</c:f>
              <c:strCache>
                <c:ptCount val="1"/>
                <c:pt idx="0">
                  <c:v>Saldo indikátoru důvěry spotřebitelů</c:v>
                </c:pt>
              </c:strCache>
            </c:strRef>
          </c:tx>
          <c:spPr>
            <a:ln w="12700">
              <a:noFill/>
              <a:prstDash val="sysDot"/>
            </a:ln>
          </c:spPr>
          <c:marker>
            <c:symbol val="circle"/>
            <c:size val="5"/>
            <c:spPr>
              <a:solidFill>
                <a:srgbClr val="E6C45B"/>
              </a:solidFill>
              <a:ln>
                <a:solidFill>
                  <a:srgbClr val="E6C45B"/>
                </a:solidFill>
              </a:ln>
            </c:spPr>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5a'!$L$75:$L$111</c:f>
              <c:numCache>
                <c:formatCode>0.0</c:formatCode>
                <c:ptCount val="37"/>
                <c:pt idx="0">
                  <c:v>1.25</c:v>
                </c:pt>
                <c:pt idx="1">
                  <c:v>-0.5</c:v>
                </c:pt>
                <c:pt idx="2">
                  <c:v>0.5</c:v>
                </c:pt>
                <c:pt idx="3">
                  <c:v>5</c:v>
                </c:pt>
                <c:pt idx="4">
                  <c:v>3.75</c:v>
                </c:pt>
                <c:pt idx="5">
                  <c:v>6</c:v>
                </c:pt>
                <c:pt idx="6">
                  <c:v>4</c:v>
                </c:pt>
                <c:pt idx="7">
                  <c:v>1</c:v>
                </c:pt>
                <c:pt idx="8">
                  <c:v>3.25</c:v>
                </c:pt>
                <c:pt idx="9">
                  <c:v>0</c:v>
                </c:pt>
                <c:pt idx="10">
                  <c:v>2.25</c:v>
                </c:pt>
                <c:pt idx="11">
                  <c:v>-0.5</c:v>
                </c:pt>
                <c:pt idx="12">
                  <c:v>-1.75</c:v>
                </c:pt>
                <c:pt idx="13">
                  <c:v>-9.25</c:v>
                </c:pt>
                <c:pt idx="14">
                  <c:v>-8.75</c:v>
                </c:pt>
                <c:pt idx="15">
                  <c:v>-18.5</c:v>
                </c:pt>
                <c:pt idx="16">
                  <c:v>-16.25</c:v>
                </c:pt>
                <c:pt idx="17">
                  <c:v>-6.75</c:v>
                </c:pt>
                <c:pt idx="18">
                  <c:v>-4.5</c:v>
                </c:pt>
                <c:pt idx="19">
                  <c:v>-17</c:v>
                </c:pt>
                <c:pt idx="20">
                  <c:v>-16.5</c:v>
                </c:pt>
                <c:pt idx="21">
                  <c:v>-31</c:v>
                </c:pt>
                <c:pt idx="22">
                  <c:v>-29.8</c:v>
                </c:pt>
                <c:pt idx="23">
                  <c:v>-30.8</c:v>
                </c:pt>
                <c:pt idx="24">
                  <c:v>-21</c:v>
                </c:pt>
                <c:pt idx="25">
                  <c:v>-20.3</c:v>
                </c:pt>
                <c:pt idx="26">
                  <c:v>-18</c:v>
                </c:pt>
                <c:pt idx="27">
                  <c:v>-18.3</c:v>
                </c:pt>
                <c:pt idx="28">
                  <c:v>-15.8</c:v>
                </c:pt>
                <c:pt idx="29">
                  <c:v>-9</c:v>
                </c:pt>
                <c:pt idx="30">
                  <c:v>-12.8</c:v>
                </c:pt>
                <c:pt idx="31">
                  <c:v>-9</c:v>
                </c:pt>
                <c:pt idx="32">
                  <c:v>-13.5</c:v>
                </c:pt>
                <c:pt idx="33">
                  <c:v>-9.8000000000000007</c:v>
                </c:pt>
                <c:pt idx="34">
                  <c:v>-11.3</c:v>
                </c:pt>
                <c:pt idx="35">
                  <c:v>0</c:v>
                </c:pt>
                <c:pt idx="36">
                  <c:v>-3.5</c:v>
                </c:pt>
              </c:numCache>
            </c:numRef>
          </c:val>
          <c:smooth val="0"/>
          <c:extLst>
            <c:ext xmlns:c16="http://schemas.microsoft.com/office/drawing/2014/chart" uri="{C3380CC4-5D6E-409C-BE32-E72D297353CC}">
              <c16:uniqueId val="{00000008-2782-408F-ACD1-C48AD6CA2AF5}"/>
            </c:ext>
          </c:extLst>
        </c:ser>
        <c:ser>
          <c:idx val="9"/>
          <c:order val="9"/>
          <c:tx>
            <c:strRef>
              <c:f>'výkonnost odvětví 5a'!$M$66</c:f>
              <c:strCache>
                <c:ptCount val="1"/>
                <c:pt idx="0">
                  <c:v>Saldo indikátoru důvěry obchodníků</c:v>
                </c:pt>
              </c:strCache>
            </c:strRef>
          </c:tx>
          <c:spPr>
            <a:ln w="6350">
              <a:solidFill>
                <a:schemeClr val="bg1">
                  <a:lumMod val="65000"/>
                </a:schemeClr>
              </a:solidFill>
              <a:prstDash val="sysDash"/>
            </a:ln>
          </c:spPr>
          <c:marker>
            <c:symbol val="triangle"/>
            <c:size val="5"/>
            <c:spPr>
              <a:solidFill>
                <a:schemeClr val="bg1"/>
              </a:solidFill>
              <a:ln>
                <a:solidFill>
                  <a:schemeClr val="bg1">
                    <a:lumMod val="50000"/>
                  </a:schemeClr>
                </a:solidFill>
              </a:ln>
            </c:spPr>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5a'!$M$75:$M$111</c:f>
              <c:numCache>
                <c:formatCode>0.0</c:formatCode>
                <c:ptCount val="37"/>
                <c:pt idx="0">
                  <c:v>24.3</c:v>
                </c:pt>
                <c:pt idx="1">
                  <c:v>17.3</c:v>
                </c:pt>
                <c:pt idx="2">
                  <c:v>22.7</c:v>
                </c:pt>
                <c:pt idx="3">
                  <c:v>21.7</c:v>
                </c:pt>
                <c:pt idx="4">
                  <c:v>23.3</c:v>
                </c:pt>
                <c:pt idx="5">
                  <c:v>17.3</c:v>
                </c:pt>
                <c:pt idx="6">
                  <c:v>15.6</c:v>
                </c:pt>
                <c:pt idx="7">
                  <c:v>15</c:v>
                </c:pt>
                <c:pt idx="8">
                  <c:v>12.7</c:v>
                </c:pt>
                <c:pt idx="9">
                  <c:v>12.3</c:v>
                </c:pt>
                <c:pt idx="10">
                  <c:v>14.7</c:v>
                </c:pt>
                <c:pt idx="11">
                  <c:v>14.7</c:v>
                </c:pt>
                <c:pt idx="12">
                  <c:v>18.7</c:v>
                </c:pt>
                <c:pt idx="13">
                  <c:v>-1</c:v>
                </c:pt>
                <c:pt idx="14">
                  <c:v>12</c:v>
                </c:pt>
                <c:pt idx="15">
                  <c:v>7</c:v>
                </c:pt>
                <c:pt idx="16">
                  <c:v>1.3</c:v>
                </c:pt>
                <c:pt idx="17">
                  <c:v>15</c:v>
                </c:pt>
                <c:pt idx="18">
                  <c:v>18.3</c:v>
                </c:pt>
                <c:pt idx="19">
                  <c:v>21.3</c:v>
                </c:pt>
                <c:pt idx="20">
                  <c:v>19.7</c:v>
                </c:pt>
                <c:pt idx="21">
                  <c:v>19.600000000000001</c:v>
                </c:pt>
                <c:pt idx="22">
                  <c:v>10.3</c:v>
                </c:pt>
                <c:pt idx="23">
                  <c:v>14.7</c:v>
                </c:pt>
                <c:pt idx="24">
                  <c:v>9.3000000000000007</c:v>
                </c:pt>
                <c:pt idx="25">
                  <c:v>13.3</c:v>
                </c:pt>
                <c:pt idx="26">
                  <c:v>5.7</c:v>
                </c:pt>
                <c:pt idx="27">
                  <c:v>3.3</c:v>
                </c:pt>
                <c:pt idx="28">
                  <c:v>1.7</c:v>
                </c:pt>
                <c:pt idx="29">
                  <c:v>11.3</c:v>
                </c:pt>
                <c:pt idx="30">
                  <c:v>9.3000000000000007</c:v>
                </c:pt>
                <c:pt idx="31">
                  <c:v>11.3</c:v>
                </c:pt>
                <c:pt idx="32">
                  <c:v>15</c:v>
                </c:pt>
                <c:pt idx="33">
                  <c:v>13.3</c:v>
                </c:pt>
                <c:pt idx="34">
                  <c:v>13.3</c:v>
                </c:pt>
                <c:pt idx="35">
                  <c:v>11.7</c:v>
                </c:pt>
                <c:pt idx="36">
                  <c:v>11.3</c:v>
                </c:pt>
              </c:numCache>
            </c:numRef>
          </c:val>
          <c:smooth val="0"/>
          <c:extLst>
            <c:ext xmlns:c16="http://schemas.microsoft.com/office/drawing/2014/chart" uri="{C3380CC4-5D6E-409C-BE32-E72D297353CC}">
              <c16:uniqueId val="{00000009-2782-408F-ACD1-C48AD6CA2AF5}"/>
            </c:ext>
          </c:extLst>
        </c:ser>
        <c:dLbls>
          <c:showLegendKey val="0"/>
          <c:showVal val="0"/>
          <c:showCatName val="0"/>
          <c:showSerName val="0"/>
          <c:showPercent val="0"/>
          <c:showBubbleSize val="0"/>
        </c:dLbls>
        <c:marker val="1"/>
        <c:smooth val="0"/>
        <c:axId val="1875570767"/>
        <c:axId val="1875563695"/>
      </c:lineChart>
      <c:catAx>
        <c:axId val="156100864"/>
        <c:scaling>
          <c:orientation val="minMax"/>
        </c:scaling>
        <c:delete val="0"/>
        <c:axPos val="b"/>
        <c:numFmt formatCode="General" sourceLinked="0"/>
        <c:majorTickMark val="out"/>
        <c:minorTickMark val="none"/>
        <c:tickLblPos val="low"/>
        <c:txPr>
          <a:bodyPr/>
          <a:lstStyle/>
          <a:p>
            <a:pPr>
              <a:defRPr sz="800"/>
            </a:pPr>
            <a:endParaRPr lang="cs-CZ"/>
          </a:p>
        </c:txPr>
        <c:crossAx val="156573696"/>
        <c:crosses val="autoZero"/>
        <c:auto val="1"/>
        <c:lblAlgn val="ctr"/>
        <c:lblOffset val="0"/>
        <c:noMultiLvlLbl val="0"/>
      </c:catAx>
      <c:valAx>
        <c:axId val="156573696"/>
        <c:scaling>
          <c:orientation val="minMax"/>
          <c:max val="12"/>
          <c:min val="-10"/>
        </c:scaling>
        <c:delete val="0"/>
        <c:axPos val="l"/>
        <c:majorGridlines>
          <c:spPr>
            <a:ln w="6350">
              <a:solidFill>
                <a:schemeClr val="bg1">
                  <a:lumMod val="75000"/>
                </a:schemeClr>
              </a:solidFill>
            </a:ln>
          </c:spPr>
        </c:majorGridlines>
        <c:title>
          <c:tx>
            <c:rich>
              <a:bodyPr/>
              <a:lstStyle/>
              <a:p>
                <a:pPr>
                  <a:defRPr sz="750" b="0" i="1"/>
                </a:pPr>
                <a:r>
                  <a:rPr lang="cs-CZ" sz="750" b="0" i="1"/>
                  <a:t>Tržby</a:t>
                </a:r>
                <a:r>
                  <a:rPr lang="cs-CZ" sz="750" b="0" i="1" baseline="0"/>
                  <a:t> (příspěvky k meziroč. změně)</a:t>
                </a:r>
                <a:endParaRPr lang="cs-CZ" sz="750" b="0" i="1"/>
              </a:p>
            </c:rich>
          </c:tx>
          <c:layout>
            <c:manualLayout>
              <c:xMode val="edge"/>
              <c:yMode val="edge"/>
              <c:x val="2.6086947381477195E-3"/>
              <c:y val="0.16393316671713359"/>
            </c:manualLayout>
          </c:layout>
          <c:overlay val="0"/>
        </c:title>
        <c:numFmt formatCode="0" sourceLinked="0"/>
        <c:majorTickMark val="out"/>
        <c:minorTickMark val="none"/>
        <c:tickLblPos val="nextTo"/>
        <c:txPr>
          <a:bodyPr/>
          <a:lstStyle/>
          <a:p>
            <a:pPr>
              <a:defRPr sz="800"/>
            </a:pPr>
            <a:endParaRPr lang="cs-CZ"/>
          </a:p>
        </c:txPr>
        <c:crossAx val="156100864"/>
        <c:crosses val="autoZero"/>
        <c:crossBetween val="between"/>
        <c:majorUnit val="2"/>
      </c:valAx>
      <c:valAx>
        <c:axId val="1875563695"/>
        <c:scaling>
          <c:orientation val="minMax"/>
          <c:max val="125"/>
          <c:min val="-40"/>
        </c:scaling>
        <c:delete val="0"/>
        <c:axPos val="r"/>
        <c:title>
          <c:tx>
            <c:rich>
              <a:bodyPr/>
              <a:lstStyle/>
              <a:p>
                <a:pPr>
                  <a:defRPr sz="750" b="0" i="1"/>
                </a:pPr>
                <a:r>
                  <a:rPr lang="cs-CZ" sz="750" b="0" i="1">
                    <a:latin typeface="Arial" panose="020B0604020202020204" pitchFamily="34" charset="0"/>
                    <a:cs typeface="Arial" panose="020B0604020202020204" pitchFamily="34" charset="0"/>
                  </a:rPr>
                  <a:t>Tržby</a:t>
                </a:r>
                <a:r>
                  <a:rPr lang="cs-CZ" sz="750" b="0" i="1" baseline="0">
                    <a:latin typeface="Arial" panose="020B0604020202020204" pitchFamily="34" charset="0"/>
                    <a:cs typeface="Arial" panose="020B0604020202020204" pitchFamily="34" charset="0"/>
                  </a:rPr>
                  <a:t> (rok 2021=100), </a:t>
                </a:r>
                <a:r>
                  <a:rPr lang="cs-CZ" sz="750" b="0" i="1" u="none" strike="noStrike" baseline="0">
                    <a:effectLst/>
                    <a:latin typeface="Arial" panose="020B0604020202020204" pitchFamily="34" charset="0"/>
                    <a:cs typeface="Arial" panose="020B0604020202020204" pitchFamily="34" charset="0"/>
                  </a:rPr>
                  <a:t>saldo důvěry</a:t>
                </a:r>
                <a:endParaRPr lang="cs-CZ" sz="750" b="0" i="1">
                  <a:latin typeface="Arial" panose="020B0604020202020204" pitchFamily="34" charset="0"/>
                  <a:cs typeface="Arial" panose="020B0604020202020204" pitchFamily="34" charset="0"/>
                </a:endParaRPr>
              </a:p>
            </c:rich>
          </c:tx>
          <c:layout>
            <c:manualLayout>
              <c:xMode val="edge"/>
              <c:yMode val="edge"/>
              <c:x val="0.96896265019335537"/>
              <c:y val="0.1743397117509615"/>
            </c:manualLayout>
          </c:layout>
          <c:overlay val="0"/>
        </c:title>
        <c:numFmt formatCode="#,##0" sourceLinked="0"/>
        <c:majorTickMark val="out"/>
        <c:minorTickMark val="none"/>
        <c:tickLblPos val="nextTo"/>
        <c:txPr>
          <a:bodyPr/>
          <a:lstStyle/>
          <a:p>
            <a:pPr>
              <a:defRPr sz="800"/>
            </a:pPr>
            <a:endParaRPr lang="cs-CZ"/>
          </a:p>
        </c:txPr>
        <c:crossAx val="1875570767"/>
        <c:crosses val="max"/>
        <c:crossBetween val="between"/>
        <c:majorUnit val="15"/>
      </c:valAx>
      <c:catAx>
        <c:axId val="1875570767"/>
        <c:scaling>
          <c:orientation val="minMax"/>
        </c:scaling>
        <c:delete val="1"/>
        <c:axPos val="b"/>
        <c:numFmt formatCode="General" sourceLinked="1"/>
        <c:majorTickMark val="out"/>
        <c:minorTickMark val="none"/>
        <c:tickLblPos val="nextTo"/>
        <c:crossAx val="1875563695"/>
        <c:crosses val="autoZero"/>
        <c:auto val="1"/>
        <c:lblAlgn val="ctr"/>
        <c:lblOffset val="100"/>
        <c:noMultiLvlLbl val="0"/>
      </c:catAx>
      <c:spPr>
        <a:ln>
          <a:solidFill>
            <a:schemeClr val="tx1"/>
          </a:solidFill>
        </a:ln>
      </c:spPr>
    </c:plotArea>
    <c:legend>
      <c:legendPos val="r"/>
      <c:layout>
        <c:manualLayout>
          <c:xMode val="edge"/>
          <c:yMode val="edge"/>
          <c:x val="2.468684205823891E-3"/>
          <c:y val="0.83019315530312354"/>
          <c:w val="0.98989464522781667"/>
          <c:h val="0.16278392037883976"/>
        </c:manualLayout>
      </c:layout>
      <c:overlay val="0"/>
      <c:spPr>
        <a:ln w="6350">
          <a:solidFill>
            <a:schemeClr val="tx1"/>
          </a:solidFill>
        </a:ln>
      </c:spPr>
      <c:txPr>
        <a:bodyPr/>
        <a:lstStyle/>
        <a:p>
          <a:pPr>
            <a:defRPr sz="750"/>
          </a:pPr>
          <a:endParaRPr lang="cs-CZ"/>
        </a:p>
      </c:txPr>
    </c:legend>
    <c:plotVisOnly val="1"/>
    <c:dispBlanksAs val="gap"/>
    <c:showDLblsOverMax val="0"/>
  </c:chart>
  <c:spPr>
    <a:ln>
      <a:noFill/>
    </a:ln>
  </c:spPr>
  <c:txPr>
    <a:bodyPr/>
    <a:lstStyle/>
    <a:p>
      <a:pPr>
        <a:defRPr sz="1500" baseline="0">
          <a:latin typeface="Arial" pitchFamily="34" charset="0"/>
        </a:defRPr>
      </a:pPr>
      <a:endParaRPr lang="cs-C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3CEA5EB905EA4A80C471566B3EA34E" ma:contentTypeVersion="4" ma:contentTypeDescription="Vytvoří nový dokument" ma:contentTypeScope="" ma:versionID="665595f58a29ebd0fb50f52fd1a3fb16">
  <xsd:schema xmlns:xsd="http://www.w3.org/2001/XMLSchema" xmlns:xs="http://www.w3.org/2001/XMLSchema" xmlns:p="http://schemas.microsoft.com/office/2006/metadata/properties" xmlns:ns2="7af72279-59da-4f02-a702-8316938752d7" targetNamespace="http://schemas.microsoft.com/office/2006/metadata/properties" ma:root="true" ma:fieldsID="8b23c26673a00a9a43ab51476a2e445e" ns2:_="">
    <xsd:import namespace="7af72279-59da-4f02-a702-8316938752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2279-59da-4f02-a702-831693875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C6C72-FE0A-4006-8736-F1547CB67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2279-59da-4f02-a702-831693875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681AD-41B0-431A-9D34-CF6700A12F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4.xml><?xml version="1.0" encoding="utf-8"?>
<ds:datastoreItem xmlns:ds="http://schemas.openxmlformats.org/officeDocument/2006/customXml" ds:itemID="{81508513-78FC-4939-82F8-E0A4971F1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5528</Words>
  <Characters>32619</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38071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6</cp:revision>
  <cp:lastPrinted>2014-07-17T14:07:00Z</cp:lastPrinted>
  <dcterms:created xsi:type="dcterms:W3CDTF">2026-03-20T11:45:00Z</dcterms:created>
  <dcterms:modified xsi:type="dcterms:W3CDTF">2026-03-20T11:56:00Z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0x010100A83CEA5EB905EA4A80C471566B3EA34E</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