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40" w:rsidRDefault="00FC2440" w:rsidP="00FC2440">
      <w:pPr>
        <w:pStyle w:val="Nadpis3"/>
        <w:spacing w:after="120"/>
        <w:ind w:left="-567"/>
      </w:pPr>
      <w:bookmarkStart w:id="0" w:name="_Toc451180174"/>
      <w:bookmarkStart w:id="1" w:name="_Toc451180523"/>
      <w:r>
        <w:t>Tabulka 10 Analytická tabulka základních ukazatelů sektoru kultury za rok 2014</w:t>
      </w:r>
      <w:bookmarkEnd w:id="0"/>
      <w:bookmarkEnd w:id="1"/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3"/>
        <w:gridCol w:w="1063"/>
        <w:gridCol w:w="1063"/>
        <w:gridCol w:w="1063"/>
        <w:gridCol w:w="1063"/>
        <w:gridCol w:w="1063"/>
        <w:gridCol w:w="1063"/>
        <w:gridCol w:w="1063"/>
        <w:gridCol w:w="922"/>
        <w:gridCol w:w="1134"/>
        <w:gridCol w:w="992"/>
        <w:gridCol w:w="1134"/>
        <w:gridCol w:w="1134"/>
      </w:tblGrid>
      <w:tr w:rsidR="00503E39" w:rsidTr="00A12C6B">
        <w:trPr>
          <w:trHeight w:val="534"/>
        </w:trPr>
        <w:tc>
          <w:tcPr>
            <w:tcW w:w="2978" w:type="dxa"/>
            <w:gridSpan w:val="2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OBLAST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Veřejné zdroje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Úroveň hospodaření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Hrubá přidaná hodnota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Zaměstnanci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Mzdy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Investice</w:t>
            </w:r>
          </w:p>
        </w:tc>
      </w:tr>
      <w:tr w:rsidR="00FC2440" w:rsidTr="00FC2440">
        <w:trPr>
          <w:trHeight w:val="997"/>
        </w:trPr>
        <w:tc>
          <w:tcPr>
            <w:tcW w:w="2978" w:type="dxa"/>
            <w:gridSpan w:val="2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 tis. Kč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podíl na sektoru (%)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FC2440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stupeň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soběstač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nosti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%)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zisková marže (%)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 mil. Kč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podíl na sektoru (%)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počet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podíl na sektoru (%)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FC2440" w:rsidRPr="00044667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průměrná měsíční mzda v Kč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FC2440" w:rsidRPr="00882FF9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82FF9">
              <w:rPr>
                <w:rFonts w:cs="Arial"/>
                <w:b/>
                <w:sz w:val="18"/>
                <w:szCs w:val="18"/>
              </w:rPr>
              <w:t>Index k </w:t>
            </w:r>
          </w:p>
          <w:p w:rsidR="00FC2440" w:rsidRDefault="00FC2440" w:rsidP="00FC2440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882FF9">
              <w:rPr>
                <w:rFonts w:cs="Arial"/>
                <w:b/>
                <w:sz w:val="18"/>
                <w:szCs w:val="18"/>
              </w:rPr>
              <w:t>průměrné mzdě sektoru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FC2440" w:rsidRDefault="00FC2440" w:rsidP="00FC244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 tis. Kč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FC2440" w:rsidRPr="00FC2440" w:rsidRDefault="00FC2440" w:rsidP="00FC2440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Podíl krytý dotacemi a granty (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%)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Kulturní dědictví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13 607 675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37,9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51,9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12,6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8 643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10,3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17 343</w:t>
            </w:r>
          </w:p>
        </w:tc>
        <w:tc>
          <w:tcPr>
            <w:tcW w:w="922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19 893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1 879 023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54,9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Interpretační umění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4 864 479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13,6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34,8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6 770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14 761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17 299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1 286 667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21,1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Výtvarné umění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63 039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144,9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12,9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2 901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3 192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16 278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268 145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16,0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Periodický a neperiodický tisk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52 191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102,3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12 572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15,0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14 835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29 020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113,4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909 333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1,0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882FF9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 xml:space="preserve">Audiovizuální a interaktivní </w:t>
            </w:r>
            <w:r w:rsidR="00882FF9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1 718 578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82,8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10,6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23 202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27,8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8 554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43 852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3 647 555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0,7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Architektura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9,6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7 814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6 930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26 323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102,9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1 444 061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4,7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Reklama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13 432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16,1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11 854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28 903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2 584 767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0,3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A12C6B">
            <w:pPr>
              <w:spacing w:after="0" w:line="264" w:lineRule="auto"/>
              <w:ind w:right="-208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Umělecké vzdělávání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7 586 469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21,1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76,2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18,6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5 841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679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22 516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22 080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95,9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C2440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Správa a podpora kulturní činnosti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neznámá oblast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7 988 385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22,2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37,2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2 370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2 592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26 119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24 453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96,8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F3F3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35 880 816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89,4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6,9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83 546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80 740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25 588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249" w:right="-3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12 066 084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12,2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extDirection w:val="btLr"/>
            <w:vAlign w:val="center"/>
          </w:tcPr>
          <w:p w:rsidR="00FC2440" w:rsidRPr="00044667" w:rsidRDefault="00FC2440" w:rsidP="00FC2440">
            <w:pPr>
              <w:spacing w:after="0" w:line="264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toho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Kulturní sektor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26 114 985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72,8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54,3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10,6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23 417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28,1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35 316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18 470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3 330 877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40,8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Kulturní průmysly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1 770 769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92,3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7,7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35 774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42,8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23 389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34 445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134,6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4 556 888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2,6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Kreativní průmysl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6 677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21 985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26,3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19 443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24,1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27 790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4 153 866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1,8</w:t>
            </w:r>
          </w:p>
        </w:tc>
      </w:tr>
      <w:tr w:rsidR="00FC2440" w:rsidRPr="00FC2440" w:rsidTr="00503E39">
        <w:trPr>
          <w:cantSplit/>
          <w:trHeight w:val="505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C2440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Správa a podpora </w:t>
            </w:r>
          </w:p>
          <w:p w:rsidR="00FC2440" w:rsidRPr="00044667" w:rsidRDefault="00FC2440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kulturní činnosti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 w:right="-37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1 661 203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4,6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37,2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2 370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2 592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26 119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24 453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96,8</w:t>
            </w:r>
          </w:p>
        </w:tc>
      </w:tr>
    </w:tbl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145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6D" w:rsidRDefault="00987D6D" w:rsidP="00E71A58">
      <w:r>
        <w:separator/>
      </w:r>
    </w:p>
  </w:endnote>
  <w:endnote w:type="continuationSeparator" w:id="0">
    <w:p w:rsidR="00987D6D" w:rsidRDefault="00987D6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5F03CB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45FC6">
      <w:rPr>
        <w:szCs w:val="16"/>
      </w:rPr>
      <w:t>26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5F03CB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45FC6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6" w:rsidRDefault="00145F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6D" w:rsidRPr="00311229" w:rsidRDefault="00987D6D" w:rsidP="00311229">
      <w:pPr>
        <w:pStyle w:val="Zpat"/>
      </w:pPr>
    </w:p>
  </w:footnote>
  <w:footnote w:type="continuationSeparator" w:id="0">
    <w:p w:rsidR="00987D6D" w:rsidRPr="00311229" w:rsidRDefault="00987D6D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6" w:rsidRDefault="00145FC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6" w:rsidRDefault="00145F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6" w:rsidRDefault="00145FC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181A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45FC6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38D4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03CB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438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381F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87D6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0074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95DF-6E8E-4DA3-B633-D591E626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2016-05-30T08:48:00Z</cp:lastPrinted>
  <dcterms:created xsi:type="dcterms:W3CDTF">2016-05-30T09:44:00Z</dcterms:created>
  <dcterms:modified xsi:type="dcterms:W3CDTF">2016-05-30T09:44:00Z</dcterms:modified>
</cp:coreProperties>
</file>