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D71C" w14:textId="11C1B117" w:rsidR="00A75E40" w:rsidRPr="00A00994" w:rsidRDefault="00073B58" w:rsidP="006C3495">
      <w:pPr>
        <w:jc w:val="center"/>
        <w:rPr>
          <w:lang w:val="en-GB" w:eastAsia="ar-SA"/>
        </w:rPr>
        <w:sectPr w:rsidR="00A75E40" w:rsidRPr="00A00994" w:rsidSect="0085114D">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63872" behindDoc="0" locked="1" layoutInCell="1" allowOverlap="1" wp14:anchorId="303E9292" wp14:editId="1CE05E87">
                <wp:simplePos x="0" y="0"/>
                <wp:positionH relativeFrom="page">
                  <wp:posOffset>621030</wp:posOffset>
                </wp:positionH>
                <wp:positionV relativeFrom="page">
                  <wp:posOffset>503555</wp:posOffset>
                </wp:positionV>
                <wp:extent cx="2162810" cy="510540"/>
                <wp:effectExtent l="0" t="0" r="8890" b="3810"/>
                <wp:wrapSquare wrapText="bothSides"/>
                <wp:docPr id="4" name="Skupina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62810" cy="510540"/>
                          <a:chOff x="0" y="0"/>
                          <a:chExt cx="1671002" cy="395288"/>
                        </a:xfrm>
                      </wpg:grpSpPr>
                      <wps:wsp>
                        <wps:cNvPr id="7" name="Rectangle 5"/>
                        <wps:cNvSpPr>
                          <a:spLocks noChangeArrowheads="1"/>
                        </wps:cNvSpPr>
                        <wps:spPr bwMode="auto">
                          <a:xfrm>
                            <a:off x="395287" y="4763"/>
                            <a:ext cx="419100" cy="98425"/>
                          </a:xfrm>
                          <a:prstGeom prst="rect">
                            <a:avLst/>
                          </a:prstGeom>
                          <a:solidFill>
                            <a:srgbClr val="0071B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0" y="147638"/>
                            <a:ext cx="814705" cy="97790"/>
                          </a:xfrm>
                          <a:prstGeom prst="rect">
                            <a:avLst/>
                          </a:prstGeom>
                          <a:solidFill>
                            <a:srgbClr val="0071B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357187" y="295275"/>
                            <a:ext cx="457200" cy="97790"/>
                          </a:xfrm>
                          <a:prstGeom prst="rect">
                            <a:avLst/>
                          </a:prstGeom>
                          <a:solidFill>
                            <a:srgbClr val="0071B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8"/>
                        <wps:cNvSpPr>
                          <a:spLocks noEditPoints="1"/>
                        </wps:cNvSpPr>
                        <wps:spPr bwMode="auto">
                          <a:xfrm>
                            <a:off x="862012" y="290513"/>
                            <a:ext cx="455295" cy="104775"/>
                          </a:xfrm>
                          <a:custGeom>
                            <a:avLst/>
                            <a:gdLst>
                              <a:gd name="T0" fmla="*/ 34559 w 1436"/>
                              <a:gd name="T1" fmla="*/ 3175 h 330"/>
                              <a:gd name="T2" fmla="*/ 14268 w 1436"/>
                              <a:gd name="T3" fmla="*/ 16193 h 330"/>
                              <a:gd name="T4" fmla="*/ 1268 w 1436"/>
                              <a:gd name="T5" fmla="*/ 40640 h 330"/>
                              <a:gd name="T6" fmla="*/ 2536 w 1436"/>
                              <a:gd name="T7" fmla="*/ 67628 h 330"/>
                              <a:gd name="T8" fmla="*/ 15536 w 1436"/>
                              <a:gd name="T9" fmla="*/ 89535 h 330"/>
                              <a:gd name="T10" fmla="*/ 37096 w 1436"/>
                              <a:gd name="T11" fmla="*/ 102235 h 330"/>
                              <a:gd name="T12" fmla="*/ 63729 w 1436"/>
                              <a:gd name="T13" fmla="*/ 103823 h 330"/>
                              <a:gd name="T14" fmla="*/ 85923 w 1436"/>
                              <a:gd name="T15" fmla="*/ 95250 h 330"/>
                              <a:gd name="T16" fmla="*/ 103044 w 1436"/>
                              <a:gd name="T17" fmla="*/ 74613 h 330"/>
                              <a:gd name="T18" fmla="*/ 107483 w 1436"/>
                              <a:gd name="T19" fmla="*/ 47308 h 330"/>
                              <a:gd name="T20" fmla="*/ 99873 w 1436"/>
                              <a:gd name="T21" fmla="*/ 24448 h 330"/>
                              <a:gd name="T22" fmla="*/ 81167 w 1436"/>
                              <a:gd name="T23" fmla="*/ 6350 h 330"/>
                              <a:gd name="T24" fmla="*/ 53900 w 1436"/>
                              <a:gd name="T25" fmla="*/ 0 h 330"/>
                              <a:gd name="T26" fmla="*/ 62143 w 1436"/>
                              <a:gd name="T27" fmla="*/ 26353 h 330"/>
                              <a:gd name="T28" fmla="*/ 73557 w 1436"/>
                              <a:gd name="T29" fmla="*/ 33020 h 330"/>
                              <a:gd name="T30" fmla="*/ 80216 w 1436"/>
                              <a:gd name="T31" fmla="*/ 44133 h 330"/>
                              <a:gd name="T32" fmla="*/ 81167 w 1436"/>
                              <a:gd name="T33" fmla="*/ 58103 h 330"/>
                              <a:gd name="T34" fmla="*/ 75143 w 1436"/>
                              <a:gd name="T35" fmla="*/ 70168 h 330"/>
                              <a:gd name="T36" fmla="*/ 64363 w 1436"/>
                              <a:gd name="T37" fmla="*/ 78105 h 330"/>
                              <a:gd name="T38" fmla="*/ 51046 w 1436"/>
                              <a:gd name="T39" fmla="*/ 80010 h 330"/>
                              <a:gd name="T40" fmla="*/ 38364 w 1436"/>
                              <a:gd name="T41" fmla="*/ 75248 h 330"/>
                              <a:gd name="T42" fmla="*/ 29803 w 1436"/>
                              <a:gd name="T43" fmla="*/ 65405 h 330"/>
                              <a:gd name="T44" fmla="*/ 26633 w 1436"/>
                              <a:gd name="T45" fmla="*/ 52070 h 330"/>
                              <a:gd name="T46" fmla="*/ 29803 w 1436"/>
                              <a:gd name="T47" fmla="*/ 39053 h 330"/>
                              <a:gd name="T48" fmla="*/ 38681 w 1436"/>
                              <a:gd name="T49" fmla="*/ 29528 h 330"/>
                              <a:gd name="T50" fmla="*/ 51046 w 1436"/>
                              <a:gd name="T51" fmla="*/ 25083 h 330"/>
                              <a:gd name="T52" fmla="*/ 120482 w 1436"/>
                              <a:gd name="T53" fmla="*/ 3175 h 330"/>
                              <a:gd name="T54" fmla="*/ 173748 w 1436"/>
                              <a:gd name="T55" fmla="*/ 40958 h 330"/>
                              <a:gd name="T56" fmla="*/ 248890 w 1436"/>
                              <a:gd name="T57" fmla="*/ 3175 h 330"/>
                              <a:gd name="T58" fmla="*/ 246037 w 1436"/>
                              <a:gd name="T59" fmla="*/ 62548 h 330"/>
                              <a:gd name="T60" fmla="*/ 290742 w 1436"/>
                              <a:gd name="T61" fmla="*/ 3175 h 330"/>
                              <a:gd name="T62" fmla="*/ 380152 w 1436"/>
                              <a:gd name="T63" fmla="*/ 6033 h 330"/>
                              <a:gd name="T64" fmla="*/ 351617 w 1436"/>
                              <a:gd name="T65" fmla="*/ 1270 h 330"/>
                              <a:gd name="T66" fmla="*/ 327838 w 1436"/>
                              <a:gd name="T67" fmla="*/ 9843 h 330"/>
                              <a:gd name="T68" fmla="*/ 311668 w 1436"/>
                              <a:gd name="T69" fmla="*/ 27940 h 330"/>
                              <a:gd name="T70" fmla="*/ 305327 w 1436"/>
                              <a:gd name="T71" fmla="*/ 53023 h 330"/>
                              <a:gd name="T72" fmla="*/ 310717 w 1436"/>
                              <a:gd name="T73" fmla="*/ 75565 h 330"/>
                              <a:gd name="T74" fmla="*/ 326887 w 1436"/>
                              <a:gd name="T75" fmla="*/ 93980 h 330"/>
                              <a:gd name="T76" fmla="*/ 351934 w 1436"/>
                              <a:gd name="T77" fmla="*/ 103505 h 330"/>
                              <a:gd name="T78" fmla="*/ 380152 w 1436"/>
                              <a:gd name="T79" fmla="*/ 99060 h 330"/>
                              <a:gd name="T80" fmla="*/ 369689 w 1436"/>
                              <a:gd name="T81" fmla="*/ 76835 h 330"/>
                              <a:gd name="T82" fmla="*/ 355739 w 1436"/>
                              <a:gd name="T83" fmla="*/ 79375 h 330"/>
                              <a:gd name="T84" fmla="*/ 340520 w 1436"/>
                              <a:gd name="T85" fmla="*/ 73025 h 330"/>
                              <a:gd name="T86" fmla="*/ 333228 w 1436"/>
                              <a:gd name="T87" fmla="*/ 61595 h 330"/>
                              <a:gd name="T88" fmla="*/ 332277 w 1436"/>
                              <a:gd name="T89" fmla="*/ 46990 h 330"/>
                              <a:gd name="T90" fmla="*/ 337984 w 1436"/>
                              <a:gd name="T91" fmla="*/ 35560 h 330"/>
                              <a:gd name="T92" fmla="*/ 347812 w 1436"/>
                              <a:gd name="T93" fmla="*/ 27940 h 330"/>
                              <a:gd name="T94" fmla="*/ 361129 w 1436"/>
                              <a:gd name="T95" fmla="*/ 26035 h 330"/>
                              <a:gd name="T96" fmla="*/ 375396 w 1436"/>
                              <a:gd name="T97" fmla="*/ 31750 h 330"/>
                              <a:gd name="T98" fmla="*/ 455295 w 1436"/>
                              <a:gd name="T99" fmla="*/ 3175 h 330"/>
                              <a:gd name="T100" fmla="*/ 425175 w 1436"/>
                              <a:gd name="T101" fmla="*/ 79693 h 330"/>
                              <a:gd name="T102" fmla="*/ 425175 w 1436"/>
                              <a:gd name="T103" fmla="*/ 24765 h 33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EditPoints="1"/>
                        </wps:cNvSpPr>
                        <wps:spPr bwMode="auto">
                          <a:xfrm>
                            <a:off x="862012" y="147638"/>
                            <a:ext cx="808990" cy="102870"/>
                          </a:xfrm>
                          <a:custGeom>
                            <a:avLst/>
                            <a:gdLst>
                              <a:gd name="T0" fmla="*/ 45067 w 2549"/>
                              <a:gd name="T1" fmla="*/ 317 h 325"/>
                              <a:gd name="T2" fmla="*/ 20629 w 2549"/>
                              <a:gd name="T3" fmla="*/ 3482 h 325"/>
                              <a:gd name="T4" fmla="*/ 6348 w 2549"/>
                              <a:gd name="T5" fmla="*/ 19308 h 325"/>
                              <a:gd name="T6" fmla="*/ 5078 w 2549"/>
                              <a:gd name="T7" fmla="*/ 41465 h 325"/>
                              <a:gd name="T8" fmla="*/ 18408 w 2549"/>
                              <a:gd name="T9" fmla="*/ 56025 h 325"/>
                              <a:gd name="T10" fmla="*/ 44115 w 2549"/>
                              <a:gd name="T11" fmla="*/ 66153 h 325"/>
                              <a:gd name="T12" fmla="*/ 41894 w 2549"/>
                              <a:gd name="T13" fmla="*/ 78181 h 325"/>
                              <a:gd name="T14" fmla="*/ 25073 w 2549"/>
                              <a:gd name="T15" fmla="*/ 79764 h 325"/>
                              <a:gd name="T16" fmla="*/ 4126 w 2549"/>
                              <a:gd name="T17" fmla="*/ 94007 h 325"/>
                              <a:gd name="T18" fmla="*/ 33642 w 2549"/>
                              <a:gd name="T19" fmla="*/ 102237 h 325"/>
                              <a:gd name="T20" fmla="*/ 59349 w 2549"/>
                              <a:gd name="T21" fmla="*/ 95273 h 325"/>
                              <a:gd name="T22" fmla="*/ 71409 w 2549"/>
                              <a:gd name="T23" fmla="*/ 75649 h 325"/>
                              <a:gd name="T24" fmla="*/ 67601 w 2549"/>
                              <a:gd name="T25" fmla="*/ 52226 h 325"/>
                              <a:gd name="T26" fmla="*/ 47924 w 2549"/>
                              <a:gd name="T27" fmla="*/ 40515 h 325"/>
                              <a:gd name="T28" fmla="*/ 30468 w 2549"/>
                              <a:gd name="T29" fmla="*/ 31019 h 325"/>
                              <a:gd name="T30" fmla="*/ 36816 w 2549"/>
                              <a:gd name="T31" fmla="*/ 21524 h 325"/>
                              <a:gd name="T32" fmla="*/ 53954 w 2549"/>
                              <a:gd name="T33" fmla="*/ 24689 h 325"/>
                              <a:gd name="T34" fmla="*/ 79026 w 2549"/>
                              <a:gd name="T35" fmla="*/ 23739 h 325"/>
                              <a:gd name="T36" fmla="*/ 244379 w 2549"/>
                              <a:gd name="T37" fmla="*/ 100021 h 325"/>
                              <a:gd name="T38" fmla="*/ 204072 w 2549"/>
                              <a:gd name="T39" fmla="*/ 63621 h 325"/>
                              <a:gd name="T40" fmla="*/ 240571 w 2549"/>
                              <a:gd name="T41" fmla="*/ 1899 h 325"/>
                              <a:gd name="T42" fmla="*/ 320867 w 2549"/>
                              <a:gd name="T43" fmla="*/ 1899 h 325"/>
                              <a:gd name="T44" fmla="*/ 419888 w 2549"/>
                              <a:gd name="T45" fmla="*/ 2849 h 325"/>
                              <a:gd name="T46" fmla="*/ 393228 w 2549"/>
                              <a:gd name="T47" fmla="*/ 317 h 325"/>
                              <a:gd name="T48" fmla="*/ 374186 w 2549"/>
                              <a:gd name="T49" fmla="*/ 11078 h 325"/>
                              <a:gd name="T50" fmla="*/ 366886 w 2549"/>
                              <a:gd name="T51" fmla="*/ 32918 h 325"/>
                              <a:gd name="T52" fmla="*/ 372916 w 2549"/>
                              <a:gd name="T53" fmla="*/ 50327 h 325"/>
                              <a:gd name="T54" fmla="*/ 401163 w 2549"/>
                              <a:gd name="T55" fmla="*/ 62672 h 325"/>
                              <a:gd name="T56" fmla="*/ 408462 w 2549"/>
                              <a:gd name="T57" fmla="*/ 73433 h 325"/>
                              <a:gd name="T58" fmla="*/ 396402 w 2549"/>
                              <a:gd name="T59" fmla="*/ 81030 h 325"/>
                              <a:gd name="T60" fmla="*/ 377042 w 2549"/>
                              <a:gd name="T61" fmla="*/ 73433 h 325"/>
                              <a:gd name="T62" fmla="*/ 384024 w 2549"/>
                              <a:gd name="T63" fmla="*/ 100654 h 325"/>
                              <a:gd name="T64" fmla="*/ 412588 w 2549"/>
                              <a:gd name="T65" fmla="*/ 100021 h 325"/>
                              <a:gd name="T66" fmla="*/ 430996 w 2549"/>
                              <a:gd name="T67" fmla="*/ 85778 h 325"/>
                              <a:gd name="T68" fmla="*/ 433852 w 2549"/>
                              <a:gd name="T69" fmla="*/ 58240 h 325"/>
                              <a:gd name="T70" fmla="*/ 424331 w 2549"/>
                              <a:gd name="T71" fmla="*/ 45896 h 325"/>
                              <a:gd name="T72" fmla="*/ 395767 w 2549"/>
                              <a:gd name="T73" fmla="*/ 34184 h 325"/>
                              <a:gd name="T74" fmla="*/ 395450 w 2549"/>
                              <a:gd name="T75" fmla="*/ 24689 h 325"/>
                              <a:gd name="T76" fmla="*/ 408462 w 2549"/>
                              <a:gd name="T77" fmla="*/ 21524 h 325"/>
                              <a:gd name="T78" fmla="*/ 508435 w 2549"/>
                              <a:gd name="T79" fmla="*/ 23739 h 325"/>
                              <a:gd name="T80" fmla="*/ 487489 w 2549"/>
                              <a:gd name="T81" fmla="*/ 23739 h 325"/>
                              <a:gd name="T82" fmla="*/ 629673 w 2549"/>
                              <a:gd name="T83" fmla="*/ 2849 h 325"/>
                              <a:gd name="T84" fmla="*/ 592857 w 2549"/>
                              <a:gd name="T85" fmla="*/ 3798 h 325"/>
                              <a:gd name="T86" fmla="*/ 567785 w 2549"/>
                              <a:gd name="T87" fmla="*/ 26904 h 325"/>
                              <a:gd name="T88" fmla="*/ 562389 w 2549"/>
                              <a:gd name="T89" fmla="*/ 61405 h 325"/>
                              <a:gd name="T90" fmla="*/ 578575 w 2549"/>
                              <a:gd name="T91" fmla="*/ 89260 h 325"/>
                              <a:gd name="T92" fmla="*/ 613487 w 2549"/>
                              <a:gd name="T93" fmla="*/ 102870 h 325"/>
                              <a:gd name="T94" fmla="*/ 631260 w 2549"/>
                              <a:gd name="T95" fmla="*/ 72167 h 325"/>
                              <a:gd name="T96" fmla="*/ 611900 w 2549"/>
                              <a:gd name="T97" fmla="*/ 77865 h 325"/>
                              <a:gd name="T98" fmla="*/ 596666 w 2549"/>
                              <a:gd name="T99" fmla="*/ 71534 h 325"/>
                              <a:gd name="T100" fmla="*/ 588097 w 2549"/>
                              <a:gd name="T101" fmla="*/ 54758 h 325"/>
                              <a:gd name="T102" fmla="*/ 592540 w 2549"/>
                              <a:gd name="T103" fmla="*/ 36400 h 325"/>
                              <a:gd name="T104" fmla="*/ 606187 w 2549"/>
                              <a:gd name="T105" fmla="*/ 25638 h 325"/>
                              <a:gd name="T106" fmla="*/ 626499 w 2549"/>
                              <a:gd name="T107" fmla="*/ 27221 h 325"/>
                              <a:gd name="T108" fmla="*/ 717268 w 2549"/>
                              <a:gd name="T109" fmla="*/ 100021 h 325"/>
                              <a:gd name="T110" fmla="*/ 710921 w 2549"/>
                              <a:gd name="T111" fmla="*/ 82929 h 325"/>
                              <a:gd name="T112" fmla="*/ 753767 w 2549"/>
                              <a:gd name="T113" fmla="*/ 100021 h 325"/>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noEditPoints="1"/>
                        </wps:cNvSpPr>
                        <wps:spPr bwMode="auto">
                          <a:xfrm>
                            <a:off x="862012" y="0"/>
                            <a:ext cx="421005" cy="102870"/>
                          </a:xfrm>
                          <a:custGeom>
                            <a:avLst/>
                            <a:gdLst>
                              <a:gd name="T0" fmla="*/ 57107 w 1327"/>
                              <a:gd name="T1" fmla="*/ 317 h 325"/>
                              <a:gd name="T2" fmla="*/ 36168 w 1327"/>
                              <a:gd name="T3" fmla="*/ 2532 h 325"/>
                              <a:gd name="T4" fmla="*/ 18718 w 1327"/>
                              <a:gd name="T5" fmla="*/ 12028 h 325"/>
                              <a:gd name="T6" fmla="*/ 6345 w 1327"/>
                              <a:gd name="T7" fmla="*/ 26904 h 325"/>
                              <a:gd name="T8" fmla="*/ 635 w 1327"/>
                              <a:gd name="T9" fmla="*/ 46529 h 325"/>
                              <a:gd name="T10" fmla="*/ 2221 w 1327"/>
                              <a:gd name="T11" fmla="*/ 65837 h 325"/>
                              <a:gd name="T12" fmla="*/ 9835 w 1327"/>
                              <a:gd name="T13" fmla="*/ 82296 h 325"/>
                              <a:gd name="T14" fmla="*/ 25698 w 1327"/>
                              <a:gd name="T15" fmla="*/ 95590 h 325"/>
                              <a:gd name="T16" fmla="*/ 46637 w 1327"/>
                              <a:gd name="T17" fmla="*/ 102553 h 325"/>
                              <a:gd name="T18" fmla="*/ 66942 w 1327"/>
                              <a:gd name="T19" fmla="*/ 100338 h 325"/>
                              <a:gd name="T20" fmla="*/ 69797 w 1327"/>
                              <a:gd name="T21" fmla="*/ 72167 h 325"/>
                              <a:gd name="T22" fmla="*/ 58693 w 1327"/>
                              <a:gd name="T23" fmla="*/ 77548 h 325"/>
                              <a:gd name="T24" fmla="*/ 47906 w 1327"/>
                              <a:gd name="T25" fmla="*/ 77548 h 325"/>
                              <a:gd name="T26" fmla="*/ 39340 w 1327"/>
                              <a:gd name="T27" fmla="*/ 74383 h 325"/>
                              <a:gd name="T28" fmla="*/ 31409 w 1327"/>
                              <a:gd name="T29" fmla="*/ 67419 h 325"/>
                              <a:gd name="T30" fmla="*/ 26967 w 1327"/>
                              <a:gd name="T31" fmla="*/ 57607 h 325"/>
                              <a:gd name="T32" fmla="*/ 26967 w 1327"/>
                              <a:gd name="T33" fmla="*/ 46212 h 325"/>
                              <a:gd name="T34" fmla="*/ 30774 w 1327"/>
                              <a:gd name="T35" fmla="*/ 36084 h 325"/>
                              <a:gd name="T36" fmla="*/ 37754 w 1327"/>
                              <a:gd name="T37" fmla="*/ 29120 h 325"/>
                              <a:gd name="T38" fmla="*/ 47272 w 1327"/>
                              <a:gd name="T39" fmla="*/ 25005 h 325"/>
                              <a:gd name="T40" fmla="*/ 59010 w 1327"/>
                              <a:gd name="T41" fmla="*/ 25322 h 325"/>
                              <a:gd name="T42" fmla="*/ 70115 w 1327"/>
                              <a:gd name="T43" fmla="*/ 30703 h 325"/>
                              <a:gd name="T44" fmla="*/ 123732 w 1327"/>
                              <a:gd name="T45" fmla="*/ 78181 h 325"/>
                              <a:gd name="T46" fmla="*/ 127222 w 1327"/>
                              <a:gd name="T47" fmla="*/ 23739 h 325"/>
                              <a:gd name="T48" fmla="*/ 123732 w 1327"/>
                              <a:gd name="T49" fmla="*/ 78181 h 325"/>
                              <a:gd name="T50" fmla="*/ 179570 w 1327"/>
                              <a:gd name="T51" fmla="*/ 100021 h 325"/>
                              <a:gd name="T52" fmla="*/ 204950 w 1327"/>
                              <a:gd name="T53" fmla="*/ 61405 h 325"/>
                              <a:gd name="T54" fmla="*/ 204950 w 1327"/>
                              <a:gd name="T55" fmla="*/ 23739 h 325"/>
                              <a:gd name="T56" fmla="*/ 308060 w 1327"/>
                              <a:gd name="T57" fmla="*/ 1266 h 325"/>
                              <a:gd name="T58" fmla="*/ 286804 w 1327"/>
                              <a:gd name="T59" fmla="*/ 1266 h 325"/>
                              <a:gd name="T60" fmla="*/ 268085 w 1327"/>
                              <a:gd name="T61" fmla="*/ 8863 h 325"/>
                              <a:gd name="T62" fmla="*/ 254126 w 1327"/>
                              <a:gd name="T63" fmla="*/ 22790 h 325"/>
                              <a:gd name="T64" fmla="*/ 246194 w 1327"/>
                              <a:gd name="T65" fmla="*/ 41148 h 325"/>
                              <a:gd name="T66" fmla="*/ 246194 w 1327"/>
                              <a:gd name="T67" fmla="*/ 61405 h 325"/>
                              <a:gd name="T68" fmla="*/ 252540 w 1327"/>
                              <a:gd name="T69" fmla="*/ 78181 h 325"/>
                              <a:gd name="T70" fmla="*/ 266499 w 1327"/>
                              <a:gd name="T71" fmla="*/ 93058 h 325"/>
                              <a:gd name="T72" fmla="*/ 286169 w 1327"/>
                              <a:gd name="T73" fmla="*/ 101604 h 325"/>
                              <a:gd name="T74" fmla="*/ 306791 w 1327"/>
                              <a:gd name="T75" fmla="*/ 101604 h 325"/>
                              <a:gd name="T76" fmla="*/ 317578 w 1327"/>
                              <a:gd name="T77" fmla="*/ 70268 h 325"/>
                              <a:gd name="T78" fmla="*/ 306791 w 1327"/>
                              <a:gd name="T79" fmla="*/ 76599 h 325"/>
                              <a:gd name="T80" fmla="*/ 295687 w 1327"/>
                              <a:gd name="T81" fmla="*/ 77865 h 325"/>
                              <a:gd name="T82" fmla="*/ 286804 w 1327"/>
                              <a:gd name="T83" fmla="*/ 75332 h 325"/>
                              <a:gd name="T84" fmla="*/ 278238 w 1327"/>
                              <a:gd name="T85" fmla="*/ 69635 h 325"/>
                              <a:gd name="T86" fmla="*/ 272844 w 1327"/>
                              <a:gd name="T87" fmla="*/ 60456 h 325"/>
                              <a:gd name="T88" fmla="*/ 271892 w 1327"/>
                              <a:gd name="T89" fmla="*/ 48745 h 325"/>
                              <a:gd name="T90" fmla="*/ 274748 w 1327"/>
                              <a:gd name="T91" fmla="*/ 38616 h 325"/>
                              <a:gd name="T92" fmla="*/ 281093 w 1327"/>
                              <a:gd name="T93" fmla="*/ 30703 h 325"/>
                              <a:gd name="T94" fmla="*/ 289976 w 1327"/>
                              <a:gd name="T95" fmla="*/ 25955 h 325"/>
                              <a:gd name="T96" fmla="*/ 301398 w 1327"/>
                              <a:gd name="T97" fmla="*/ 25005 h 325"/>
                              <a:gd name="T98" fmla="*/ 312819 w 1327"/>
                              <a:gd name="T99" fmla="*/ 29120 h 325"/>
                              <a:gd name="T100" fmla="*/ 319799 w 1327"/>
                              <a:gd name="T101" fmla="*/ 5064 h 325"/>
                              <a:gd name="T102" fmla="*/ 333758 w 1327"/>
                              <a:gd name="T103" fmla="*/ 100021 h 325"/>
                              <a:gd name="T104" fmla="*/ 395624 w 1327"/>
                              <a:gd name="T105" fmla="*/ 100021 h 325"/>
                              <a:gd name="T106" fmla="*/ 395624 w 1327"/>
                              <a:gd name="T107" fmla="*/ 40198 h 32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345504" id="Skupina 37" o:spid="_x0000_s1026" style="position:absolute;margin-left:48.9pt;margin-top:39.65pt;width:170.3pt;height:40.2pt;z-index:251663872;mso-position-horizontal-relative:page;mso-position-vertical-relative:page;mso-width-relative:margin;mso-height-relative:margin" coordsize="16710,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">
                <o:lock v:ext="edit" aspectratio="t"/>
                <v:rect id="Rectangle 5" o:spid="_x0000_s1027" style="position:absolute;left:3952;top:47;width:4191;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rect id="Rectangle 6" o:spid="_x0000_s1028" style="position:absolute;top:1476;width:8147;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" fillcolor="#0071bc" stroked="f"/>
                <v:rect id="Rectangle 7" o:spid="_x0000_s1029" style="position:absolute;left:3571;top:2952;width:4572;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8" o:spid="_x0000_s1030" style="position:absolute;left:8620;top:2905;width:4553;height:1047;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10957200,1008063;4523781,5141278;402029,12903200;804059,21471890;4925810,28427363;11761576,32459613;20205777,32963803;27242557,30241875;32670904,23689628;34078323,15020290;31665514,7762240;25734630,2016125;17089415,0;19702923,8367078;23321821,10483850;25433108,14012228;25734630,18447703;23824674,22278340;20406791,24798338;16184532,25403175;12163605,23891240;9449274,20766088;8444200,16532225;9449274,12399328;12264113,9375140;16184532,7963853;38199758,1008063;55088159,13004165;78912516,1008063;78007950,19858990;92182019,1008063;120530157,1915478;111482912,403225;103943595,3125153;98816770,8870950;96806307,16834803;98515248,23991888;103642073,29838650;111583420,32862838;120530157,31451550;117212781,24395113;112789825,25201563;107964522,23185438;105652536,19556413;105351014,14919325;107160463,11290300;110276507,8870950;114498766,8266113;119022230,10080625;144354831,1008063;134805050,25302528;134805050,7862888" o:connectangles="0,0,0,0,0,0,0,0,0,0,0,0,0,0,0,0,0,0,0,0,0,0,0,0,0,0,0,0,0,0,0,0,0,0,0,0,0,0,0,0,0,0,0,0,0,0,0,0,0,0,0,0"/>
                  <o:lock v:ext="edit" verticies="t"/>
                </v:shape>
                <v:shape id="Freeform 9" o:spid="_x0000_s1031" style="position:absolute;left:8620;top:1476;width:8090;height:1029;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14303159,100338;6547138,1102133;2014699,6111428;1611632,13124629;5842247,17733205;14001018,20938951;13296127,24746091;7957554,25247147;1309491,29755385;10677145,32360370;18835915,30156103;22663463,23944654;21454897,16530734;15209901,12823932;9669795,9818229;11684494,6812843;17123675,7814638;25080912,7513941;77559893,31658955;64767441,20137515;76351327,601077;101835306,601077;133262139,901774;124800910,100338;118757447,3506443;116440606,10419307;118354380,15929657;127319284,19837134;129635808,23243239;125808260,25647865;119663871,23243239;121879786,31859314;130945299,31658955;136787546,27150716;137693970,18434304;134672238,14527143;125606726,10820025;125506118,7814638;129635808,6812843;161364783,7513941;154717037,7513941;199842746,901774;188158252,1202155;180201015,8515737;178488457,19436100;183625496,28252850;194705707,32560729;200346421,22842521;194202033,24646069;189367135,22642162;186647545,17332171;188057644,11521440;192388867,8115019;198835397,8616075;227643248,31658955;225628866,26248942;239227134,31658955" o:connectangles="0,0,0,0,0,0,0,0,0,0,0,0,0,0,0,0,0,0,0,0,0,0,0,0,0,0,0,0,0,0,0,0,0,0,0,0,0,0,0,0,0,0,0,0,0,0,0,0,0,0,0,0,0,0,0,0,0"/>
                  <o:lock v:ext="edit" verticies="t"/>
                </v:shape>
                <v:shape id="Freeform 10" o:spid="_x0000_s1032" style="position:absolute;left:8620;width:4210;height:1028;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18117809,100338;11474686,801436;5938487,3807140;2013019,8515737;201461,14727502;704636,20838930;3120259,26048583;8152966,30256441;14796089,32460391;21238068,31759292;22143848,22842521;18620985,24545732;15198693,24545732;12481037,23543936;9964843,21339669;8555570,18233945;8555570,14627164;9763382,11421419;11977862,9217152;14997550,7914660;18721556,8014997;22244737,9718208;39255306,24746091;40362546,7513941;39255306,24746091;56970511,31658955;65022588,19436100;65022588,7513941;97735343,400718;90991649,400718;85052845,2805344;80624202,7213561;78107690,13024292;78107690,19436100;80121027,24746091;84549670,29455004;90790188,32160011;97332739,32160011;100755031,22241444;97332739,24245351;93809876,24646069;90991649,23844316;88273993,22041084;86562689,19135719;86260657,15428917;87166753,12222855;89179773,9718208;91998000,8215356;95621752,7914660;99245187,9217152;101459667,1602873;105888310,31658955;125515962,31658955;125515962,12723595" o:connectangles="0,0,0,0,0,0,0,0,0,0,0,0,0,0,0,0,0,0,0,0,0,0,0,0,0,0,0,0,0,0,0,0,0,0,0,0,0,0,0,0,0,0,0,0,0,0,0,0,0,0,0,0,0,0"/>
                  <o:lock v:ext="edit" verticies="t"/>
                </v:shape>
                <w10:wrap type="square" anchorx="page" anchory="page"/>
                <w10:anchorlock/>
              </v:group>
            </w:pict>
          </mc:Fallback>
        </mc:AlternateContent>
      </w:r>
      <w:r w:rsidR="00BF4329" w:rsidRPr="00A00994">
        <w:rPr>
          <w:noProof/>
        </w:rPr>
        <mc:AlternateContent>
          <mc:Choice Requires="wps">
            <w:drawing>
              <wp:anchor distT="0" distB="0" distL="114300" distR="114300" simplePos="0" relativeHeight="251656704" behindDoc="0" locked="1" layoutInCell="1" allowOverlap="1" wp14:anchorId="7757952E" wp14:editId="4EB38710">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8CD8" w14:textId="34D91521" w:rsidR="00073B58" w:rsidRPr="00AF6D54" w:rsidRDefault="00073B58" w:rsidP="004924DC">
                            <w:pPr>
                              <w:rPr>
                                <w:lang w:val="en-GB"/>
                              </w:rPr>
                            </w:pPr>
                            <w:r w:rsidRPr="00AF6D54">
                              <w:rPr>
                                <w:lang w:val="en-GB"/>
                              </w:rPr>
                              <w:t>Prepared by: Office of the President of the CZSO</w:t>
                            </w:r>
                          </w:p>
                          <w:p w14:paraId="6CC24131" w14:textId="25B47546" w:rsidR="00073B58" w:rsidRPr="00AF6D54" w:rsidRDefault="00073B58" w:rsidP="004924DC">
                            <w:pPr>
                              <w:rPr>
                                <w:lang w:val="en-GB"/>
                              </w:rPr>
                            </w:pPr>
                            <w:r w:rsidRPr="00AF6D54">
                              <w:rPr>
                                <w:lang w:val="en-GB"/>
                              </w:rPr>
                              <w:t>Director: Egor Sidorov, Ph.D.</w:t>
                            </w:r>
                          </w:p>
                          <w:p w14:paraId="734BD5FB" w14:textId="147AA09D" w:rsidR="00073B58" w:rsidRPr="006C5577" w:rsidRDefault="00073B58" w:rsidP="004924DC">
                            <w:r w:rsidRPr="00AF6D54">
                              <w:rPr>
                                <w:lang w:val="en-GB"/>
                              </w:rPr>
                              <w:t>Contact person: 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7952E"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" filled="f" stroked="f">
                <v:textbox inset="0,0,0,0">
                  <w:txbxContent>
                    <w:p w14:paraId="71628CD8" w14:textId="34D91521" w:rsidR="00073B58" w:rsidRPr="00AF6D54" w:rsidRDefault="00073B58" w:rsidP="004924DC">
                      <w:pPr>
                        <w:rPr>
                          <w:lang w:val="en-GB"/>
                        </w:rPr>
                      </w:pPr>
                      <w:r w:rsidRPr="00AF6D54">
                        <w:rPr>
                          <w:lang w:val="en-GB"/>
                        </w:rPr>
                        <w:t>Prepared by: Office of the President of the CZSO</w:t>
                      </w:r>
                    </w:p>
                    <w:p w14:paraId="6CC24131" w14:textId="25B47546" w:rsidR="00073B58" w:rsidRPr="00AF6D54" w:rsidRDefault="00073B58" w:rsidP="004924DC">
                      <w:pPr>
                        <w:rPr>
                          <w:lang w:val="en-GB"/>
                        </w:rPr>
                      </w:pPr>
                      <w:r w:rsidRPr="00AF6D54">
                        <w:rPr>
                          <w:lang w:val="en-GB"/>
                        </w:rPr>
                        <w:t>Director: Egor Sidorov, Ph.D.</w:t>
                      </w:r>
                    </w:p>
                    <w:p w14:paraId="734BD5FB" w14:textId="147AA09D" w:rsidR="00073B58" w:rsidRPr="006C5577" w:rsidRDefault="00073B58" w:rsidP="004924DC">
                      <w:r w:rsidRPr="00AF6D54">
                        <w:rPr>
                          <w:lang w:val="en-GB"/>
                        </w:rPr>
                        <w:t>Contact person: Karolína Zábojníková</w:t>
                      </w:r>
                      <w:r w:rsidRPr="006C5577">
                        <w:t>,</w:t>
                      </w:r>
                      <w:r>
                        <w:t xml:space="preserve"> e-mail: karolina.zabojnikova@czso.cz</w:t>
                      </w:r>
                    </w:p>
                  </w:txbxContent>
                </v:textbox>
                <w10:wrap anchorx="page" anchory="page"/>
                <w10:anchorlock/>
              </v:shape>
            </w:pict>
          </mc:Fallback>
        </mc:AlternateContent>
      </w:r>
      <w:r w:rsidR="00BF4329" w:rsidRPr="00A00994">
        <w:rPr>
          <w:noProof/>
        </w:rPr>
        <mc:AlternateContent>
          <mc:Choice Requires="wps">
            <w:drawing>
              <wp:anchor distT="0" distB="0" distL="114300" distR="114300" simplePos="0" relativeHeight="251655680" behindDoc="0" locked="1" layoutInCell="1" allowOverlap="1" wp14:anchorId="6AFB96D4" wp14:editId="50D63787">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48DE" w14:textId="1CFBE37C" w:rsidR="00073B58" w:rsidRPr="00F1146D" w:rsidRDefault="00073B58" w:rsidP="004924DC">
                            <w:pPr>
                              <w:pStyle w:val="TLIdentifikace-sted"/>
                              <w:rPr>
                                <w:lang w:val="en-GB"/>
                              </w:rPr>
                            </w:pPr>
                            <w:r w:rsidRPr="00F1146D">
                              <w:rPr>
                                <w:lang w:val="en-GB"/>
                              </w:rPr>
                              <w:t>Summary Data on the Czech Republic</w:t>
                            </w:r>
                          </w:p>
                          <w:p w14:paraId="02C46271" w14:textId="6CCA1230" w:rsidR="00073B58" w:rsidRPr="00F1146D" w:rsidRDefault="00073B58" w:rsidP="004924DC">
                            <w:pPr>
                              <w:pStyle w:val="TLIdentifikace-sted"/>
                              <w:rPr>
                                <w:lang w:val="en-GB"/>
                              </w:rPr>
                            </w:pPr>
                            <w:r>
                              <w:rPr>
                                <w:lang w:val="en-GB"/>
                              </w:rPr>
                              <w:t>Prague, 17</w:t>
                            </w:r>
                            <w:r w:rsidRPr="00F1146D">
                              <w:rPr>
                                <w:vertAlign w:val="superscript"/>
                                <w:lang w:val="en-GB"/>
                              </w:rPr>
                              <w:t>th</w:t>
                            </w:r>
                            <w:r>
                              <w:rPr>
                                <w:lang w:val="en-GB"/>
                              </w:rPr>
                              <w:t xml:space="preserve"> Octo</w:t>
                            </w:r>
                            <w:r w:rsidRPr="00F1146D">
                              <w:rPr>
                                <w:lang w:val="en-GB"/>
                              </w:rPr>
                              <w:t>ber 2022</w:t>
                            </w:r>
                          </w:p>
                          <w:p w14:paraId="43012AD8" w14:textId="58572A9F" w:rsidR="00073B58" w:rsidRPr="00F1146D" w:rsidRDefault="00073B58" w:rsidP="004924DC">
                            <w:pPr>
                              <w:pStyle w:val="TLIdentifikace-sted"/>
                              <w:rPr>
                                <w:lang w:val="en-GB"/>
                              </w:rPr>
                            </w:pPr>
                            <w:r>
                              <w:rPr>
                                <w:lang w:val="en-GB"/>
                              </w:rPr>
                              <w:t>Publication Code: 320194</w:t>
                            </w:r>
                            <w:r w:rsidRPr="00F1146D">
                              <w:rPr>
                                <w:lang w:val="en-GB"/>
                              </w:rPr>
                              <w:t>-22</w:t>
                            </w:r>
                          </w:p>
                          <w:p w14:paraId="1ED5773E" w14:textId="4CA6D7BF" w:rsidR="00073B58" w:rsidRPr="00F1146D" w:rsidRDefault="00073B58" w:rsidP="004924DC">
                            <w:pPr>
                              <w:pStyle w:val="TLIdentifikace-sted"/>
                              <w:rPr>
                                <w:rFonts w:cs="Arial"/>
                                <w:lang w:val="en-GB"/>
                              </w:rPr>
                            </w:pPr>
                            <w:r w:rsidRPr="00F1146D">
                              <w:rPr>
                                <w:rFonts w:cs="Arial"/>
                                <w:lang w:val="en-GB"/>
                              </w:rPr>
                              <w:t xml:space="preserve">Reference </w:t>
                            </w:r>
                            <w:r w:rsidRPr="00073B58">
                              <w:rPr>
                                <w:rFonts w:cs="Arial"/>
                                <w:lang w:val="en-GB"/>
                              </w:rPr>
                              <w:t xml:space="preserve">No: </w:t>
                            </w:r>
                            <w:r w:rsidRPr="00073B58">
                              <w:rPr>
                                <w:rFonts w:eastAsia="Calibri" w:cs="Arial"/>
                                <w:lang w:val="en-GB" w:eastAsia="en-US"/>
                              </w:rPr>
                              <w:t>CSU-012867/2022-01</w:t>
                            </w:r>
                          </w:p>
                          <w:p w14:paraId="7E4C36AC" w14:textId="36572B25" w:rsidR="00073B58" w:rsidRPr="00F1146D" w:rsidRDefault="00073B58" w:rsidP="004924DC">
                            <w:pPr>
                              <w:pStyle w:val="TLIdentifikace-sted"/>
                              <w:rPr>
                                <w:lang w:val="en-GB"/>
                              </w:rPr>
                            </w:pPr>
                            <w:r>
                              <w:rPr>
                                <w:lang w:val="en-GB"/>
                              </w:rPr>
                              <w:t>Yearly Publication Code: 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FB96D4"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14:paraId="6B3C48DE" w14:textId="1CFBE37C" w:rsidR="00073B58" w:rsidRPr="00F1146D" w:rsidRDefault="00073B58" w:rsidP="004924DC">
                      <w:pPr>
                        <w:pStyle w:val="TLIdentifikace-sted"/>
                        <w:rPr>
                          <w:lang w:val="en-GB"/>
                        </w:rPr>
                      </w:pPr>
                      <w:r w:rsidRPr="00F1146D">
                        <w:rPr>
                          <w:lang w:val="en-GB"/>
                        </w:rPr>
                        <w:t>Summary Data on the Czech Republic</w:t>
                      </w:r>
                    </w:p>
                    <w:p w14:paraId="02C46271" w14:textId="6CCA1230" w:rsidR="00073B58" w:rsidRPr="00F1146D" w:rsidRDefault="00073B58" w:rsidP="004924DC">
                      <w:pPr>
                        <w:pStyle w:val="TLIdentifikace-sted"/>
                        <w:rPr>
                          <w:lang w:val="en-GB"/>
                        </w:rPr>
                      </w:pPr>
                      <w:r>
                        <w:rPr>
                          <w:lang w:val="en-GB"/>
                        </w:rPr>
                        <w:t>Prague, 17</w:t>
                      </w:r>
                      <w:r w:rsidRPr="00F1146D">
                        <w:rPr>
                          <w:vertAlign w:val="superscript"/>
                          <w:lang w:val="en-GB"/>
                        </w:rPr>
                        <w:t>th</w:t>
                      </w:r>
                      <w:r>
                        <w:rPr>
                          <w:lang w:val="en-GB"/>
                        </w:rPr>
                        <w:t xml:space="preserve"> Octo</w:t>
                      </w:r>
                      <w:r w:rsidRPr="00F1146D">
                        <w:rPr>
                          <w:lang w:val="en-GB"/>
                        </w:rPr>
                        <w:t>ber 2022</w:t>
                      </w:r>
                    </w:p>
                    <w:p w14:paraId="43012AD8" w14:textId="58572A9F" w:rsidR="00073B58" w:rsidRPr="00F1146D" w:rsidRDefault="00073B58" w:rsidP="004924DC">
                      <w:pPr>
                        <w:pStyle w:val="TLIdentifikace-sted"/>
                        <w:rPr>
                          <w:lang w:val="en-GB"/>
                        </w:rPr>
                      </w:pPr>
                      <w:r>
                        <w:rPr>
                          <w:lang w:val="en-GB"/>
                        </w:rPr>
                        <w:t>Publication Code: 320194</w:t>
                      </w:r>
                      <w:r w:rsidRPr="00F1146D">
                        <w:rPr>
                          <w:lang w:val="en-GB"/>
                        </w:rPr>
                        <w:t>-22</w:t>
                      </w:r>
                    </w:p>
                    <w:p w14:paraId="1ED5773E" w14:textId="4CA6D7BF" w:rsidR="00073B58" w:rsidRPr="00F1146D" w:rsidRDefault="00073B58" w:rsidP="004924DC">
                      <w:pPr>
                        <w:pStyle w:val="TLIdentifikace-sted"/>
                        <w:rPr>
                          <w:rFonts w:cs="Arial"/>
                          <w:lang w:val="en-GB"/>
                        </w:rPr>
                      </w:pPr>
                      <w:r w:rsidRPr="00F1146D">
                        <w:rPr>
                          <w:rFonts w:cs="Arial"/>
                          <w:lang w:val="en-GB"/>
                        </w:rPr>
                        <w:t xml:space="preserve">Reference </w:t>
                      </w:r>
                      <w:r w:rsidRPr="00073B58">
                        <w:rPr>
                          <w:rFonts w:cs="Arial"/>
                          <w:lang w:val="en-GB"/>
                        </w:rPr>
                        <w:t xml:space="preserve">No: </w:t>
                      </w:r>
                      <w:r w:rsidRPr="00073B58">
                        <w:rPr>
                          <w:rFonts w:eastAsia="Calibri" w:cs="Arial"/>
                          <w:lang w:val="en-GB" w:eastAsia="en-US"/>
                        </w:rPr>
                        <w:t>CSU-012867/2022-01</w:t>
                      </w:r>
                    </w:p>
                    <w:p w14:paraId="7E4C36AC" w14:textId="36572B25" w:rsidR="00073B58" w:rsidRPr="00F1146D" w:rsidRDefault="00073B58" w:rsidP="004924DC">
                      <w:pPr>
                        <w:pStyle w:val="TLIdentifikace-sted"/>
                        <w:rPr>
                          <w:lang w:val="en-GB"/>
                        </w:rPr>
                      </w:pPr>
                      <w:r>
                        <w:rPr>
                          <w:lang w:val="en-GB"/>
                        </w:rPr>
                        <w:t>Yearly Publication Code: 1</w:t>
                      </w:r>
                    </w:p>
                  </w:txbxContent>
                </v:textbox>
                <w10:wrap anchorx="page" anchory="page"/>
                <w10:anchorlock/>
              </v:shape>
            </w:pict>
          </mc:Fallback>
        </mc:AlternateContent>
      </w:r>
      <w:r w:rsidR="00BF4329" w:rsidRPr="00A00994">
        <w:rPr>
          <w:noProof/>
        </w:rPr>
        <mc:AlternateContent>
          <mc:Choice Requires="wps">
            <w:drawing>
              <wp:anchor distT="0" distB="0" distL="114300" distR="114300" simplePos="0" relativeHeight="251654656" behindDoc="0" locked="1" layoutInCell="1" allowOverlap="1" wp14:anchorId="451D2144" wp14:editId="099204C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79537" w14:textId="77777777" w:rsidR="00073B58" w:rsidRPr="000E6FBD" w:rsidRDefault="00073B58" w:rsidP="00635C51">
                            <w:pPr>
                              <w:pStyle w:val="Nzev"/>
                            </w:pPr>
                            <w:r>
                              <w:t xml:space="preserve">THE CZECH ECONOMY DEVELOPMENT </w:t>
                            </w:r>
                          </w:p>
                          <w:p w14:paraId="6EF7822F" w14:textId="77777777" w:rsidR="00073B58" w:rsidRPr="0012192F" w:rsidRDefault="00073B58" w:rsidP="0012192F">
                            <w:pPr>
                              <w:pStyle w:val="Podnadpis"/>
                            </w:pPr>
                          </w:p>
                          <w:p w14:paraId="284A2D4D" w14:textId="375D03DF" w:rsidR="00073B58" w:rsidRPr="00635C51" w:rsidRDefault="00073B58" w:rsidP="00720310">
                            <w:pPr>
                              <w:pStyle w:val="Podnadpis"/>
                              <w:rPr>
                                <w:lang w:val="en-GB"/>
                              </w:rPr>
                            </w:pPr>
                            <w:r w:rsidRPr="00635C51">
                              <w:rPr>
                                <w:lang w:val="en-GB"/>
                              </w:rPr>
                              <w:t>First half of 2022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1D2144"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" filled="f" stroked="f">
                <v:textbox style="mso-fit-shape-to-text:t" inset="0,0,0,0">
                  <w:txbxContent>
                    <w:p w14:paraId="28379537" w14:textId="77777777" w:rsidR="00073B58" w:rsidRPr="000E6FBD" w:rsidRDefault="00073B58" w:rsidP="00635C51">
                      <w:pPr>
                        <w:pStyle w:val="Nzev"/>
                      </w:pPr>
                      <w:r>
                        <w:t xml:space="preserve">THE CZECH ECONOMY DEVELOPMENT </w:t>
                      </w:r>
                    </w:p>
                    <w:p w14:paraId="6EF7822F" w14:textId="77777777" w:rsidR="00073B58" w:rsidRPr="0012192F" w:rsidRDefault="00073B58" w:rsidP="0012192F">
                      <w:pPr>
                        <w:pStyle w:val="Podnadpis"/>
                      </w:pPr>
                    </w:p>
                    <w:p w14:paraId="284A2D4D" w14:textId="375D03DF" w:rsidR="00073B58" w:rsidRPr="00635C51" w:rsidRDefault="00073B58" w:rsidP="00720310">
                      <w:pPr>
                        <w:pStyle w:val="Podnadpis"/>
                        <w:rPr>
                          <w:lang w:val="en-GB"/>
                        </w:rPr>
                      </w:pPr>
                      <w:r w:rsidRPr="00635C51">
                        <w:rPr>
                          <w:lang w:val="en-GB"/>
                        </w:rPr>
                        <w:t>First half of 2022</w:t>
                      </w:r>
                    </w:p>
                  </w:txbxContent>
                </v:textbox>
                <w10:wrap anchorx="page" anchory="page"/>
                <w10:anchorlock/>
              </v:shape>
            </w:pict>
          </mc:Fallback>
        </mc:AlternateContent>
      </w:r>
      <w:r w:rsidR="00BF4329" w:rsidRPr="00A00994">
        <w:rPr>
          <w:noProof/>
        </w:rPr>
        <mc:AlternateContent>
          <mc:Choice Requires="wps">
            <w:drawing>
              <wp:anchor distT="0" distB="0" distL="114300" distR="114300" simplePos="0" relativeHeight="251658752" behindDoc="0" locked="1" layoutInCell="1" allowOverlap="1" wp14:anchorId="41CDD5F4" wp14:editId="1095CA0F">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DF7B" w14:textId="36D9D5CA" w:rsidR="00073B58" w:rsidRPr="004924DC" w:rsidRDefault="00073B58" w:rsidP="004924DC">
                            <w:r w:rsidRPr="004924DC">
                              <w:t xml:space="preserve">© </w:t>
                            </w:r>
                            <w:r w:rsidRPr="00352854">
                              <w:rPr>
                                <w:lang w:val="en-GB"/>
                              </w:rPr>
                              <w:t>Czech Statistical Office</w:t>
                            </w:r>
                            <w:r>
                              <w:t>, Prague</w:t>
                            </w:r>
                            <w:r w:rsidRPr="004924DC">
                              <w:t xml:space="preserve">, </w:t>
                            </w:r>
                            <w:r>
                              <w:t>2022</w:t>
                            </w:r>
                          </w:p>
                          <w:p w14:paraId="622736FE" w14:textId="77777777" w:rsidR="00073B58" w:rsidRPr="005251DD" w:rsidRDefault="00073B58" w:rsidP="00665BA4"/>
                          <w:p w14:paraId="157588CA" w14:textId="77777777" w:rsidR="00073B58" w:rsidRPr="005251DD" w:rsidRDefault="00073B58" w:rsidP="00FC684B"/>
                          <w:p w14:paraId="590D710B" w14:textId="77777777" w:rsidR="00073B58" w:rsidRDefault="00073B58"/>
                          <w:p w14:paraId="73B68DA8" w14:textId="77777777" w:rsidR="00073B58" w:rsidRPr="00097407" w:rsidRDefault="00073B58"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3D655DFE" w14:textId="77777777" w:rsidR="00073B58" w:rsidRPr="005251DD" w:rsidRDefault="00073B58" w:rsidP="00665BA4"/>
                          <w:p w14:paraId="74D3ABC4" w14:textId="77777777" w:rsidR="00073B58" w:rsidRPr="005251DD" w:rsidRDefault="00073B58"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DD5F4"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MkugIAALY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FRi&#10;kyS6AgAAtgUAAA4AAAAAAAAAAAAAAAAALgIAAGRycy9lMm9Eb2MueG1sUEsBAi0AFAAGAAgAAAAh&#10;AAdlcHfhAAAADgEAAA8AAAAAAAAAAAAAAAAAFAUAAGRycy9kb3ducmV2LnhtbFBLBQYAAAAABAAE&#10;APMAAAAiBgAAAAA=&#10;" filled="f" stroked="f">
                <v:textbox inset="0,0,0,0">
                  <w:txbxContent>
                    <w:p w14:paraId="0841DF7B" w14:textId="36D9D5CA" w:rsidR="00073B58" w:rsidRPr="004924DC" w:rsidRDefault="00073B58" w:rsidP="004924DC">
                      <w:r w:rsidRPr="004924DC">
                        <w:t xml:space="preserve">© </w:t>
                      </w:r>
                      <w:r w:rsidRPr="00352854">
                        <w:rPr>
                          <w:lang w:val="en-GB"/>
                        </w:rPr>
                        <w:t>Czech Statistical Office</w:t>
                      </w:r>
                      <w:r>
                        <w:t>, Prague</w:t>
                      </w:r>
                      <w:r w:rsidRPr="004924DC">
                        <w:t xml:space="preserve">, </w:t>
                      </w:r>
                      <w:r>
                        <w:t>2022</w:t>
                      </w:r>
                    </w:p>
                    <w:p w14:paraId="622736FE" w14:textId="77777777" w:rsidR="00073B58" w:rsidRPr="005251DD" w:rsidRDefault="00073B58" w:rsidP="00665BA4"/>
                    <w:p w14:paraId="157588CA" w14:textId="77777777" w:rsidR="00073B58" w:rsidRPr="005251DD" w:rsidRDefault="00073B58" w:rsidP="00FC684B"/>
                    <w:p w14:paraId="590D710B" w14:textId="77777777" w:rsidR="00073B58" w:rsidRDefault="00073B58"/>
                    <w:p w14:paraId="73B68DA8" w14:textId="77777777" w:rsidR="00073B58" w:rsidRPr="00097407" w:rsidRDefault="00073B58"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3D655DFE" w14:textId="77777777" w:rsidR="00073B58" w:rsidRPr="005251DD" w:rsidRDefault="00073B58" w:rsidP="00665BA4"/>
                    <w:p w14:paraId="74D3ABC4" w14:textId="77777777" w:rsidR="00073B58" w:rsidRPr="005251DD" w:rsidRDefault="00073B58" w:rsidP="00FC684B"/>
                  </w:txbxContent>
                </v:textbox>
                <w10:wrap anchorx="page" anchory="page"/>
                <w10:anchorlock/>
              </v:shape>
            </w:pict>
          </mc:Fallback>
        </mc:AlternateContent>
      </w:r>
      <w:r w:rsidR="00BF4329" w:rsidRPr="00A00994">
        <w:rPr>
          <w:noProof/>
        </w:rPr>
        <mc:AlternateContent>
          <mc:Choice Requires="wps">
            <w:drawing>
              <wp:anchor distT="4294967293" distB="4294967293" distL="114300" distR="114300" simplePos="0" relativeHeight="251653632" behindDoc="0" locked="1" layoutInCell="0" allowOverlap="1" wp14:anchorId="5D7561D0" wp14:editId="7B364386">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67B4E9"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rsidRPr="00A00994">
        <w:rPr>
          <w:lang w:val="en-GB"/>
        </w:rPr>
        <w:br w:type="page"/>
      </w:r>
      <w:r w:rsidR="00D57677" w:rsidRPr="00A00994">
        <w:rPr>
          <w:lang w:val="en-GB"/>
        </w:rPr>
        <w:lastRenderedPageBreak/>
        <w:br w:type="page"/>
      </w:r>
      <w:r w:rsidR="00BF4329" w:rsidRPr="00A00994">
        <w:rPr>
          <w:noProof/>
        </w:rPr>
        <mc:AlternateContent>
          <mc:Choice Requires="wps">
            <w:drawing>
              <wp:anchor distT="0" distB="0" distL="114300" distR="114300" simplePos="0" relativeHeight="251659776" behindDoc="0" locked="1" layoutInCell="1" allowOverlap="1" wp14:anchorId="6BC95926" wp14:editId="266DEF2F">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5189E" w14:textId="77777777" w:rsidR="00073B58" w:rsidRPr="006F5416" w:rsidRDefault="00073B58" w:rsidP="00AF6D54">
                            <w:pPr>
                              <w:pStyle w:val="TLKontaktyerven"/>
                            </w:pPr>
                            <w:r>
                              <w:t>CONTACTS IN THE HEADQUARTERS</w:t>
                            </w:r>
                          </w:p>
                          <w:p w14:paraId="3BEEAF5F" w14:textId="4247E74C" w:rsidR="00073B58" w:rsidRPr="007D40DF" w:rsidRDefault="00073B58" w:rsidP="00825C4D">
                            <w:pPr>
                              <w:pStyle w:val="TLKontakty"/>
                              <w:spacing w:after="80" w:line="240" w:lineRule="auto"/>
                              <w:contextualSpacing w:val="0"/>
                              <w:rPr>
                                <w:b w:val="0"/>
                                <w:color w:val="auto"/>
                              </w:rPr>
                            </w:pPr>
                            <w:r>
                              <w:t>Czech Statistical Office</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10, ph</w:t>
                            </w:r>
                            <w:r w:rsidRPr="007D40DF">
                              <w:rPr>
                                <w:b w:val="0"/>
                                <w:color w:val="auto"/>
                              </w:rPr>
                              <w:t xml:space="preserve">.: 274 051 111 | </w:t>
                            </w:r>
                            <w:r w:rsidRPr="007D40DF">
                              <w:rPr>
                                <w:color w:val="auto"/>
                              </w:rPr>
                              <w:t>www.czso.cz</w:t>
                            </w:r>
                          </w:p>
                          <w:p w14:paraId="4ECAA215" w14:textId="57612EAC" w:rsidR="00073B58" w:rsidRPr="00D235B7" w:rsidRDefault="00073B58" w:rsidP="00825C4D">
                            <w:pPr>
                              <w:pStyle w:val="TLKontakty"/>
                              <w:spacing w:after="80" w:line="240" w:lineRule="auto"/>
                              <w:contextualSpacing w:val="0"/>
                              <w:rPr>
                                <w:b w:val="0"/>
                                <w:color w:val="auto"/>
                              </w:rPr>
                            </w:pPr>
                            <w:r>
                              <w:rPr>
                                <w:color w:val="auto"/>
                              </w:rPr>
                              <w:t>Information Services</w:t>
                            </w:r>
                            <w:r w:rsidRPr="00D235B7">
                              <w:rPr>
                                <w:b w:val="0"/>
                                <w:color w:val="auto"/>
                              </w:rPr>
                              <w:t xml:space="preserve"> | </w:t>
                            </w:r>
                            <w:r>
                              <w:rPr>
                                <w:b w:val="0"/>
                                <w:color w:val="auto"/>
                              </w:rPr>
                              <w:t>ph</w:t>
                            </w:r>
                            <w:r w:rsidRPr="00D235B7">
                              <w:rPr>
                                <w:b w:val="0"/>
                                <w:color w:val="auto"/>
                              </w:rPr>
                              <w:t>.: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47F327CD" w:rsidR="00073B58" w:rsidRPr="00D235B7" w:rsidRDefault="00073B58" w:rsidP="00825C4D">
                            <w:pPr>
                              <w:pStyle w:val="TLKontakty"/>
                              <w:spacing w:after="80" w:line="240" w:lineRule="auto"/>
                              <w:contextualSpacing w:val="0"/>
                              <w:rPr>
                                <w:b w:val="0"/>
                                <w:color w:val="auto"/>
                              </w:rPr>
                            </w:pPr>
                            <w:r w:rsidRPr="00390CE5">
                              <w:rPr>
                                <w:color w:val="auto"/>
                                <w:lang w:val="en-GB"/>
                              </w:rPr>
                              <w:t>CZSO</w:t>
                            </w:r>
                            <w:r>
                              <w:rPr>
                                <w:color w:val="auto"/>
                              </w:rPr>
                              <w:t xml:space="preserve"> Publication Shop</w:t>
                            </w:r>
                            <w:r w:rsidRPr="00D235B7">
                              <w:rPr>
                                <w:b w:val="0"/>
                                <w:color w:val="auto"/>
                              </w:rPr>
                              <w:t xml:space="preserve"> | </w:t>
                            </w:r>
                            <w:r>
                              <w:rPr>
                                <w:b w:val="0"/>
                                <w:color w:val="auto"/>
                              </w:rPr>
                              <w:t>ph</w:t>
                            </w:r>
                            <w:r w:rsidRPr="00D235B7">
                              <w:rPr>
                                <w:b w:val="0"/>
                                <w:color w:val="auto"/>
                              </w:rPr>
                              <w:t>.: 274</w:t>
                            </w:r>
                            <w:r>
                              <w:rPr>
                                <w:b w:val="0"/>
                                <w:color w:val="auto"/>
                              </w:rPr>
                              <w:t> </w:t>
                            </w:r>
                            <w:r w:rsidRPr="00D235B7">
                              <w:rPr>
                                <w:b w:val="0"/>
                                <w:color w:val="auto"/>
                              </w:rPr>
                              <w:t>052 361 | e-mail: prodejna@czso.cz</w:t>
                            </w:r>
                          </w:p>
                          <w:p w14:paraId="2572D725" w14:textId="4B068CEE" w:rsidR="00073B58" w:rsidRPr="00D235B7" w:rsidRDefault="00073B58" w:rsidP="00825C4D">
                            <w:pPr>
                              <w:pStyle w:val="TLKontakty"/>
                              <w:spacing w:after="80" w:line="240" w:lineRule="auto"/>
                              <w:contextualSpacing w:val="0"/>
                              <w:rPr>
                                <w:b w:val="0"/>
                                <w:color w:val="auto"/>
                              </w:rPr>
                            </w:pPr>
                            <w:r w:rsidRPr="00D235B7">
                              <w:rPr>
                                <w:color w:val="auto"/>
                              </w:rPr>
                              <w:t>E</w:t>
                            </w:r>
                            <w:r>
                              <w:rPr>
                                <w:color w:val="auto"/>
                              </w:rPr>
                              <w:t xml:space="preserve">uropean Data </w:t>
                            </w:r>
                            <w:r w:rsidRPr="00D235B7">
                              <w:rPr>
                                <w:color w:val="auto"/>
                              </w:rPr>
                              <w:t xml:space="preserve">(ESDS), </w:t>
                            </w:r>
                            <w:r>
                              <w:rPr>
                                <w:color w:val="auto"/>
                              </w:rPr>
                              <w:t>international comparison</w:t>
                            </w:r>
                            <w:r w:rsidRPr="00D235B7">
                              <w:rPr>
                                <w:b w:val="0"/>
                                <w:color w:val="auto"/>
                              </w:rPr>
                              <w:t xml:space="preserve"> | </w:t>
                            </w:r>
                            <w:r>
                              <w:rPr>
                                <w:b w:val="0"/>
                                <w:color w:val="auto"/>
                              </w:rPr>
                              <w:t>ph</w:t>
                            </w:r>
                            <w:r w:rsidRPr="00D235B7">
                              <w:rPr>
                                <w:b w:val="0"/>
                                <w:color w:val="auto"/>
                              </w:rPr>
                              <w:t>.: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5843E8BD" w:rsidR="00073B58" w:rsidRPr="00D235B7" w:rsidRDefault="00073B58" w:rsidP="00825C4D">
                            <w:pPr>
                              <w:pStyle w:val="TLKontakty"/>
                              <w:spacing w:after="80" w:line="240" w:lineRule="auto"/>
                              <w:contextualSpacing w:val="0"/>
                              <w:rPr>
                                <w:b w:val="0"/>
                                <w:color w:val="auto"/>
                              </w:rPr>
                            </w:pPr>
                            <w:r>
                              <w:rPr>
                                <w:color w:val="auto"/>
                              </w:rPr>
                              <w:t>Central Statistical Library</w:t>
                            </w:r>
                            <w:r w:rsidRPr="00D235B7">
                              <w:rPr>
                                <w:b w:val="0"/>
                                <w:color w:val="auto"/>
                              </w:rPr>
                              <w:t xml:space="preserve"> | </w:t>
                            </w:r>
                            <w:r>
                              <w:rPr>
                                <w:b w:val="0"/>
                                <w:color w:val="auto"/>
                              </w:rPr>
                              <w:t>ph</w:t>
                            </w:r>
                            <w:r w:rsidRPr="00D235B7">
                              <w:rPr>
                                <w:b w:val="0"/>
                                <w:color w:val="auto"/>
                              </w:rPr>
                              <w:t>.: 274</w:t>
                            </w:r>
                            <w:r>
                              <w:rPr>
                                <w:b w:val="0"/>
                                <w:color w:val="auto"/>
                              </w:rPr>
                              <w:t> </w:t>
                            </w:r>
                            <w:r w:rsidRPr="00D235B7">
                              <w:rPr>
                                <w:b w:val="0"/>
                                <w:color w:val="auto"/>
                              </w:rPr>
                              <w:t>052 361 | e-mail: knihovna@czso.cz</w:t>
                            </w:r>
                          </w:p>
                          <w:p w14:paraId="433A2C62" w14:textId="77777777" w:rsidR="00073B58" w:rsidRPr="004A61C5" w:rsidRDefault="00073B58" w:rsidP="00825C4D">
                            <w:pPr>
                              <w:pStyle w:val="TLKontakty"/>
                              <w:spacing w:after="80" w:line="240" w:lineRule="auto"/>
                              <w:contextualSpacing w:val="0"/>
                              <w:rPr>
                                <w:color w:val="auto"/>
                              </w:rPr>
                            </w:pPr>
                          </w:p>
                          <w:p w14:paraId="37179CA1" w14:textId="1C556BAA" w:rsidR="00073B58" w:rsidRPr="00D66223" w:rsidRDefault="00073B58" w:rsidP="00AF6D54">
                            <w:pPr>
                              <w:pStyle w:val="TLKontaktyerven"/>
                            </w:pPr>
                            <w:r w:rsidRPr="00D66223">
                              <w:t>INFORMA</w:t>
                            </w:r>
                            <w:r>
                              <w:t>tion services in the regions</w:t>
                            </w:r>
                          </w:p>
                          <w:p w14:paraId="181BE30E" w14:textId="477AB784" w:rsidR="00073B58" w:rsidRPr="00992CF3" w:rsidRDefault="00073B58" w:rsidP="00825C4D">
                            <w:pPr>
                              <w:pStyle w:val="TLKontakty"/>
                              <w:spacing w:after="80" w:line="240" w:lineRule="auto"/>
                              <w:rPr>
                                <w:b w:val="0"/>
                                <w:color w:val="auto"/>
                              </w:rPr>
                            </w:pPr>
                            <w:r>
                              <w:t>Capital City Prague</w:t>
                            </w:r>
                            <w:r w:rsidRPr="00992CF3">
                              <w:rPr>
                                <w:b w:val="0"/>
                                <w:color w:val="auto"/>
                              </w:rPr>
                              <w:t xml:space="preserve"> | Na</w:t>
                            </w:r>
                            <w:r>
                              <w:rPr>
                                <w:b w:val="0"/>
                                <w:color w:val="auto"/>
                              </w:rPr>
                              <w:t xml:space="preserve"> padesátém 81, 100 82 Praha 10, ph</w:t>
                            </w:r>
                            <w:r w:rsidRPr="00992CF3">
                              <w:rPr>
                                <w:b w:val="0"/>
                                <w:color w:val="auto"/>
                              </w:rPr>
                              <w:t>.</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073B58" w:rsidRPr="00992CF3" w:rsidRDefault="00073B58"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073B58" w:rsidRPr="004A61C5" w:rsidRDefault="00073B58" w:rsidP="00825C4D">
                            <w:pPr>
                              <w:pStyle w:val="TLKontakty"/>
                              <w:spacing w:after="80" w:line="240" w:lineRule="auto"/>
                              <w:rPr>
                                <w:color w:val="auto"/>
                              </w:rPr>
                            </w:pPr>
                          </w:p>
                          <w:p w14:paraId="39B5FB82" w14:textId="2954AAB3" w:rsidR="00073B58" w:rsidRPr="00992CF3" w:rsidRDefault="00073B58" w:rsidP="00825C4D">
                            <w:pPr>
                              <w:pStyle w:val="TLKontakty"/>
                              <w:spacing w:after="80" w:line="240" w:lineRule="auto"/>
                              <w:rPr>
                                <w:b w:val="0"/>
                                <w:color w:val="auto"/>
                              </w:rPr>
                            </w:pPr>
                            <w:r>
                              <w:t>Central Bohemia</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 xml:space="preserve">10, </w:t>
                            </w:r>
                            <w:r>
                              <w:rPr>
                                <w:b w:val="0"/>
                                <w:color w:val="auto"/>
                              </w:rPr>
                              <w:t>ph</w:t>
                            </w:r>
                            <w:r w:rsidRPr="00992CF3">
                              <w:rPr>
                                <w:b w:val="0"/>
                                <w:color w:val="auto"/>
                              </w:rPr>
                              <w:t>.</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073B58" w:rsidRPr="00992CF3" w:rsidRDefault="00073B58"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073B58" w:rsidRPr="004A61C5" w:rsidRDefault="00073B58" w:rsidP="00825C4D">
                            <w:pPr>
                              <w:pStyle w:val="TLKontakty"/>
                              <w:spacing w:after="80" w:line="240" w:lineRule="auto"/>
                              <w:rPr>
                                <w:color w:val="auto"/>
                              </w:rPr>
                            </w:pPr>
                          </w:p>
                          <w:p w14:paraId="5AF27889" w14:textId="5EC5FECE" w:rsidR="00073B58" w:rsidRPr="00992CF3" w:rsidRDefault="00073B58"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ph</w:t>
                            </w:r>
                            <w:r w:rsidRPr="00992CF3">
                              <w:rPr>
                                <w:b w:val="0"/>
                                <w:color w:val="auto"/>
                              </w:rPr>
                              <w:t>.</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073B58" w:rsidRPr="00992CF3" w:rsidRDefault="00073B58"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073B58" w:rsidRPr="004A61C5" w:rsidRDefault="00073B58" w:rsidP="00825C4D">
                            <w:pPr>
                              <w:pStyle w:val="TLKontakty"/>
                              <w:spacing w:after="80" w:line="240" w:lineRule="auto"/>
                              <w:rPr>
                                <w:color w:val="auto"/>
                              </w:rPr>
                            </w:pPr>
                          </w:p>
                          <w:p w14:paraId="0065AFA0" w14:textId="79CDEDC3" w:rsidR="00073B58" w:rsidRPr="00BC731E" w:rsidRDefault="00073B58"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ph</w:t>
                            </w:r>
                            <w:r w:rsidRPr="004A61C5">
                              <w:rPr>
                                <w:b w:val="0"/>
                                <w:color w:val="auto"/>
                              </w:rPr>
                              <w:t>.</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073B58" w:rsidRPr="004A61C5" w:rsidRDefault="00073B58" w:rsidP="00825C4D">
                            <w:pPr>
                              <w:pStyle w:val="TLKontakty"/>
                              <w:spacing w:after="80" w:line="240" w:lineRule="auto"/>
                              <w:rPr>
                                <w:color w:val="auto"/>
                              </w:rPr>
                            </w:pPr>
                          </w:p>
                          <w:p w14:paraId="345F7961" w14:textId="6323C715" w:rsidR="00073B58" w:rsidRPr="004A61C5" w:rsidRDefault="00073B58"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xml:space="preserve">, </w:t>
                            </w:r>
                            <w:r>
                              <w:rPr>
                                <w:b w:val="0"/>
                                <w:color w:val="auto"/>
                              </w:rPr>
                              <w:t>ph</w:t>
                            </w:r>
                            <w:r w:rsidRPr="004A61C5">
                              <w:rPr>
                                <w:b w:val="0"/>
                                <w:color w:val="auto"/>
                              </w:rPr>
                              <w:t>.</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073B58" w:rsidRPr="004A61C5" w:rsidRDefault="00073B58" w:rsidP="00825C4D">
                            <w:pPr>
                              <w:pStyle w:val="TLKontakty"/>
                              <w:spacing w:after="80" w:line="240" w:lineRule="auto"/>
                              <w:rPr>
                                <w:color w:val="auto"/>
                              </w:rPr>
                            </w:pPr>
                          </w:p>
                          <w:p w14:paraId="766F2288" w14:textId="309D7923" w:rsidR="00073B58" w:rsidRPr="004A61C5" w:rsidRDefault="00073B58"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ph</w:t>
                            </w:r>
                            <w:r w:rsidRPr="004A61C5">
                              <w:rPr>
                                <w:b w:val="0"/>
                                <w:color w:val="auto"/>
                              </w:rPr>
                              <w:t>.</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073B58" w:rsidRPr="004A61C5" w:rsidRDefault="00073B58" w:rsidP="00825C4D">
                            <w:pPr>
                              <w:pStyle w:val="TLKontakty"/>
                              <w:spacing w:after="80" w:line="240" w:lineRule="auto"/>
                              <w:rPr>
                                <w:color w:val="auto"/>
                              </w:rPr>
                            </w:pPr>
                          </w:p>
                          <w:p w14:paraId="0D4652E6" w14:textId="061AE5DA" w:rsidR="00073B58" w:rsidRPr="004A61C5" w:rsidRDefault="00073B58"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 xml:space="preserve">1, </w:t>
                            </w:r>
                            <w:r>
                              <w:rPr>
                                <w:b w:val="0"/>
                                <w:color w:val="auto"/>
                              </w:rPr>
                              <w:t>ph</w:t>
                            </w:r>
                            <w:r w:rsidRPr="004A61C5">
                              <w:rPr>
                                <w:b w:val="0"/>
                                <w:color w:val="auto"/>
                              </w:rPr>
                              <w:t>.</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073B58" w:rsidRPr="004A61C5" w:rsidRDefault="00073B58" w:rsidP="00825C4D">
                            <w:pPr>
                              <w:pStyle w:val="TLKontakty"/>
                              <w:spacing w:after="80" w:line="240" w:lineRule="auto"/>
                              <w:rPr>
                                <w:b w:val="0"/>
                                <w:color w:val="auto"/>
                              </w:rPr>
                            </w:pPr>
                          </w:p>
                          <w:p w14:paraId="231AC323" w14:textId="1AEE8119" w:rsidR="00073B58" w:rsidRPr="004A61C5" w:rsidRDefault="00073B58"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ph.</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073B58" w:rsidRPr="004A61C5" w:rsidRDefault="00073B58" w:rsidP="00825C4D">
                            <w:pPr>
                              <w:pStyle w:val="TLKontakty"/>
                              <w:spacing w:after="80" w:line="240" w:lineRule="auto"/>
                              <w:rPr>
                                <w:color w:val="auto"/>
                              </w:rPr>
                            </w:pPr>
                          </w:p>
                          <w:p w14:paraId="64319B27" w14:textId="3A6630E6" w:rsidR="00073B58" w:rsidRPr="004A61C5" w:rsidRDefault="00073B58"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ph</w:t>
                            </w:r>
                            <w:r w:rsidRPr="004A61C5">
                              <w:rPr>
                                <w:b w:val="0"/>
                                <w:color w:val="auto"/>
                              </w:rPr>
                              <w:t>.</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073B58" w:rsidRPr="004A61C5" w:rsidRDefault="00073B58" w:rsidP="00825C4D">
                            <w:pPr>
                              <w:pStyle w:val="TLKontakty"/>
                              <w:spacing w:after="80" w:line="240" w:lineRule="auto"/>
                              <w:rPr>
                                <w:b w:val="0"/>
                                <w:color w:val="auto"/>
                              </w:rPr>
                            </w:pPr>
                          </w:p>
                          <w:p w14:paraId="4068B566" w14:textId="2345C4B5" w:rsidR="00073B58" w:rsidRPr="004A61C5" w:rsidRDefault="00073B58"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ph.: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073B58" w:rsidRDefault="00073B58" w:rsidP="00825C4D">
                            <w:pPr>
                              <w:pStyle w:val="TLKontakty"/>
                              <w:spacing w:after="80" w:line="240" w:lineRule="auto"/>
                            </w:pPr>
                          </w:p>
                          <w:p w14:paraId="63ACC352" w14:textId="072FCB3A" w:rsidR="00073B58" w:rsidRPr="00BC731E" w:rsidRDefault="00073B58"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ph.: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073B58" w:rsidRPr="004A61C5" w:rsidRDefault="00073B58"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073B58" w:rsidRPr="004A61C5" w:rsidRDefault="00073B58" w:rsidP="00825C4D">
                            <w:pPr>
                              <w:pStyle w:val="TLKontakty"/>
                              <w:spacing w:after="80" w:line="240" w:lineRule="auto"/>
                              <w:rPr>
                                <w:b w:val="0"/>
                                <w:color w:val="auto"/>
                              </w:rPr>
                            </w:pPr>
                          </w:p>
                          <w:p w14:paraId="71AC5E72" w14:textId="39A9D8A2" w:rsidR="00073B58" w:rsidRPr="005E7C78" w:rsidRDefault="00073B58"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ph.: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073B58" w:rsidRPr="005E7C78" w:rsidRDefault="00073B58"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073B58" w:rsidRPr="005E7C78" w:rsidRDefault="00073B58" w:rsidP="00825C4D">
                            <w:pPr>
                              <w:pStyle w:val="TLKontakty"/>
                              <w:spacing w:after="80" w:line="240" w:lineRule="auto"/>
                              <w:rPr>
                                <w:b w:val="0"/>
                                <w:color w:val="auto"/>
                              </w:rPr>
                            </w:pPr>
                          </w:p>
                          <w:p w14:paraId="00E77B80" w14:textId="67C15356" w:rsidR="00073B58" w:rsidRPr="005E7C78" w:rsidRDefault="00073B58"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Pr>
                                <w:b w:val="0"/>
                                <w:color w:val="auto"/>
                              </w:rPr>
                              <w:t>ph</w:t>
                            </w:r>
                            <w:r w:rsidRPr="00BC731E">
                              <w:rPr>
                                <w:b w:val="0"/>
                                <w:color w:val="auto"/>
                              </w:rPr>
                              <w:t>.: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073B58" w:rsidRDefault="00073B58"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073B58" w:rsidRPr="005E7C78" w:rsidRDefault="00073B58" w:rsidP="00095135">
                            <w:pPr>
                              <w:pStyle w:val="TLKontakty"/>
                              <w:spacing w:after="80" w:line="240" w:lineRule="auto"/>
                              <w:rPr>
                                <w:b w:val="0"/>
                                <w:color w:val="auto"/>
                              </w:rPr>
                            </w:pPr>
                          </w:p>
                          <w:p w14:paraId="0275618D" w14:textId="089E6974" w:rsidR="00073B58" w:rsidRPr="005E7C78" w:rsidRDefault="00073B58"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ph.: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073B58" w:rsidRPr="00095135" w:rsidRDefault="00073B58"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C9592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0RmbGr0CAAC3BQAADgAAAAAAAAAAAAAAAAAuAgAAZHJzL2Uyb0RvYy54bWxQSwECLQAUAAYACAAA&#10;ACEArRpGXOAAAAANAQAADwAAAAAAAAAAAAAAAAAXBQAAZHJzL2Rvd25yZXYueG1sUEsFBgAAAAAE&#10;AAQA8wAAACQGAAAAAA==&#10;" filled="f" stroked="f">
                <v:textbox style="mso-fit-shape-to-text:t" inset="0,0,0,0">
                  <w:txbxContent>
                    <w:p w14:paraId="7B55189E" w14:textId="77777777" w:rsidR="00073B58" w:rsidRPr="006F5416" w:rsidRDefault="00073B58" w:rsidP="00AF6D54">
                      <w:pPr>
                        <w:pStyle w:val="TLKontaktyerven"/>
                      </w:pPr>
                      <w:r>
                        <w:t>CONTACTS IN THE HEADQUARTERS</w:t>
                      </w:r>
                    </w:p>
                    <w:p w14:paraId="3BEEAF5F" w14:textId="4247E74C" w:rsidR="00073B58" w:rsidRPr="007D40DF" w:rsidRDefault="00073B58" w:rsidP="00825C4D">
                      <w:pPr>
                        <w:pStyle w:val="TLKontakty"/>
                        <w:spacing w:after="80" w:line="240" w:lineRule="auto"/>
                        <w:contextualSpacing w:val="0"/>
                        <w:rPr>
                          <w:b w:val="0"/>
                          <w:color w:val="auto"/>
                        </w:rPr>
                      </w:pPr>
                      <w:r>
                        <w:t>Czech Statistical Office</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10, ph</w:t>
                      </w:r>
                      <w:r w:rsidRPr="007D40DF">
                        <w:rPr>
                          <w:b w:val="0"/>
                          <w:color w:val="auto"/>
                        </w:rPr>
                        <w:t xml:space="preserve">.: 274 051 111 | </w:t>
                      </w:r>
                      <w:r w:rsidRPr="007D40DF">
                        <w:rPr>
                          <w:color w:val="auto"/>
                        </w:rPr>
                        <w:t>www.czso.cz</w:t>
                      </w:r>
                    </w:p>
                    <w:p w14:paraId="4ECAA215" w14:textId="57612EAC" w:rsidR="00073B58" w:rsidRPr="00D235B7" w:rsidRDefault="00073B58" w:rsidP="00825C4D">
                      <w:pPr>
                        <w:pStyle w:val="TLKontakty"/>
                        <w:spacing w:after="80" w:line="240" w:lineRule="auto"/>
                        <w:contextualSpacing w:val="0"/>
                        <w:rPr>
                          <w:b w:val="0"/>
                          <w:color w:val="auto"/>
                        </w:rPr>
                      </w:pPr>
                      <w:r>
                        <w:rPr>
                          <w:color w:val="auto"/>
                        </w:rPr>
                        <w:t>Information Services</w:t>
                      </w:r>
                      <w:r w:rsidRPr="00D235B7">
                        <w:rPr>
                          <w:b w:val="0"/>
                          <w:color w:val="auto"/>
                        </w:rPr>
                        <w:t xml:space="preserve"> | </w:t>
                      </w:r>
                      <w:r>
                        <w:rPr>
                          <w:b w:val="0"/>
                          <w:color w:val="auto"/>
                        </w:rPr>
                        <w:t>ph</w:t>
                      </w:r>
                      <w:r w:rsidRPr="00D235B7">
                        <w:rPr>
                          <w:b w:val="0"/>
                          <w:color w:val="auto"/>
                        </w:rPr>
                        <w:t>.: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47F327CD" w:rsidR="00073B58" w:rsidRPr="00D235B7" w:rsidRDefault="00073B58" w:rsidP="00825C4D">
                      <w:pPr>
                        <w:pStyle w:val="TLKontakty"/>
                        <w:spacing w:after="80" w:line="240" w:lineRule="auto"/>
                        <w:contextualSpacing w:val="0"/>
                        <w:rPr>
                          <w:b w:val="0"/>
                          <w:color w:val="auto"/>
                        </w:rPr>
                      </w:pPr>
                      <w:r w:rsidRPr="00390CE5">
                        <w:rPr>
                          <w:color w:val="auto"/>
                          <w:lang w:val="en-GB"/>
                        </w:rPr>
                        <w:t>CZSO</w:t>
                      </w:r>
                      <w:r>
                        <w:rPr>
                          <w:color w:val="auto"/>
                        </w:rPr>
                        <w:t xml:space="preserve"> Publication Shop</w:t>
                      </w:r>
                      <w:r w:rsidRPr="00D235B7">
                        <w:rPr>
                          <w:b w:val="0"/>
                          <w:color w:val="auto"/>
                        </w:rPr>
                        <w:t xml:space="preserve"> | </w:t>
                      </w:r>
                      <w:r>
                        <w:rPr>
                          <w:b w:val="0"/>
                          <w:color w:val="auto"/>
                        </w:rPr>
                        <w:t>ph</w:t>
                      </w:r>
                      <w:r w:rsidRPr="00D235B7">
                        <w:rPr>
                          <w:b w:val="0"/>
                          <w:color w:val="auto"/>
                        </w:rPr>
                        <w:t>.: 274</w:t>
                      </w:r>
                      <w:r>
                        <w:rPr>
                          <w:b w:val="0"/>
                          <w:color w:val="auto"/>
                        </w:rPr>
                        <w:t> </w:t>
                      </w:r>
                      <w:r w:rsidRPr="00D235B7">
                        <w:rPr>
                          <w:b w:val="0"/>
                          <w:color w:val="auto"/>
                        </w:rPr>
                        <w:t>052 361 | e-mail: prodejna@czso.cz</w:t>
                      </w:r>
                    </w:p>
                    <w:p w14:paraId="2572D725" w14:textId="4B068CEE" w:rsidR="00073B58" w:rsidRPr="00D235B7" w:rsidRDefault="00073B58" w:rsidP="00825C4D">
                      <w:pPr>
                        <w:pStyle w:val="TLKontakty"/>
                        <w:spacing w:after="80" w:line="240" w:lineRule="auto"/>
                        <w:contextualSpacing w:val="0"/>
                        <w:rPr>
                          <w:b w:val="0"/>
                          <w:color w:val="auto"/>
                        </w:rPr>
                      </w:pPr>
                      <w:r w:rsidRPr="00D235B7">
                        <w:rPr>
                          <w:color w:val="auto"/>
                        </w:rPr>
                        <w:t>E</w:t>
                      </w:r>
                      <w:r>
                        <w:rPr>
                          <w:color w:val="auto"/>
                        </w:rPr>
                        <w:t xml:space="preserve">uropean Data </w:t>
                      </w:r>
                      <w:r w:rsidRPr="00D235B7">
                        <w:rPr>
                          <w:color w:val="auto"/>
                        </w:rPr>
                        <w:t xml:space="preserve">(ESDS), </w:t>
                      </w:r>
                      <w:r>
                        <w:rPr>
                          <w:color w:val="auto"/>
                        </w:rPr>
                        <w:t>international comparison</w:t>
                      </w:r>
                      <w:r w:rsidRPr="00D235B7">
                        <w:rPr>
                          <w:b w:val="0"/>
                          <w:color w:val="auto"/>
                        </w:rPr>
                        <w:t xml:space="preserve"> | </w:t>
                      </w:r>
                      <w:r>
                        <w:rPr>
                          <w:b w:val="0"/>
                          <w:color w:val="auto"/>
                        </w:rPr>
                        <w:t>ph</w:t>
                      </w:r>
                      <w:r w:rsidRPr="00D235B7">
                        <w:rPr>
                          <w:b w:val="0"/>
                          <w:color w:val="auto"/>
                        </w:rPr>
                        <w:t>.: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5843E8BD" w:rsidR="00073B58" w:rsidRPr="00D235B7" w:rsidRDefault="00073B58" w:rsidP="00825C4D">
                      <w:pPr>
                        <w:pStyle w:val="TLKontakty"/>
                        <w:spacing w:after="80" w:line="240" w:lineRule="auto"/>
                        <w:contextualSpacing w:val="0"/>
                        <w:rPr>
                          <w:b w:val="0"/>
                          <w:color w:val="auto"/>
                        </w:rPr>
                      </w:pPr>
                      <w:r>
                        <w:rPr>
                          <w:color w:val="auto"/>
                        </w:rPr>
                        <w:t>Central Statistical Library</w:t>
                      </w:r>
                      <w:r w:rsidRPr="00D235B7">
                        <w:rPr>
                          <w:b w:val="0"/>
                          <w:color w:val="auto"/>
                        </w:rPr>
                        <w:t xml:space="preserve"> | </w:t>
                      </w:r>
                      <w:r>
                        <w:rPr>
                          <w:b w:val="0"/>
                          <w:color w:val="auto"/>
                        </w:rPr>
                        <w:t>ph</w:t>
                      </w:r>
                      <w:r w:rsidRPr="00D235B7">
                        <w:rPr>
                          <w:b w:val="0"/>
                          <w:color w:val="auto"/>
                        </w:rPr>
                        <w:t>.: 274</w:t>
                      </w:r>
                      <w:r>
                        <w:rPr>
                          <w:b w:val="0"/>
                          <w:color w:val="auto"/>
                        </w:rPr>
                        <w:t> </w:t>
                      </w:r>
                      <w:r w:rsidRPr="00D235B7">
                        <w:rPr>
                          <w:b w:val="0"/>
                          <w:color w:val="auto"/>
                        </w:rPr>
                        <w:t>052 361 | e-mail: knihovna@czso.cz</w:t>
                      </w:r>
                    </w:p>
                    <w:p w14:paraId="433A2C62" w14:textId="77777777" w:rsidR="00073B58" w:rsidRPr="004A61C5" w:rsidRDefault="00073B58" w:rsidP="00825C4D">
                      <w:pPr>
                        <w:pStyle w:val="TLKontakty"/>
                        <w:spacing w:after="80" w:line="240" w:lineRule="auto"/>
                        <w:contextualSpacing w:val="0"/>
                        <w:rPr>
                          <w:color w:val="auto"/>
                        </w:rPr>
                      </w:pPr>
                    </w:p>
                    <w:p w14:paraId="37179CA1" w14:textId="1C556BAA" w:rsidR="00073B58" w:rsidRPr="00D66223" w:rsidRDefault="00073B58" w:rsidP="00AF6D54">
                      <w:pPr>
                        <w:pStyle w:val="TLKontaktyerven"/>
                      </w:pPr>
                      <w:r w:rsidRPr="00D66223">
                        <w:t>INFORMA</w:t>
                      </w:r>
                      <w:r>
                        <w:t>tion services in the regions</w:t>
                      </w:r>
                    </w:p>
                    <w:p w14:paraId="181BE30E" w14:textId="477AB784" w:rsidR="00073B58" w:rsidRPr="00992CF3" w:rsidRDefault="00073B58" w:rsidP="00825C4D">
                      <w:pPr>
                        <w:pStyle w:val="TLKontakty"/>
                        <w:spacing w:after="80" w:line="240" w:lineRule="auto"/>
                        <w:rPr>
                          <w:b w:val="0"/>
                          <w:color w:val="auto"/>
                        </w:rPr>
                      </w:pPr>
                      <w:r>
                        <w:t>Capital City Prague</w:t>
                      </w:r>
                      <w:r w:rsidRPr="00992CF3">
                        <w:rPr>
                          <w:b w:val="0"/>
                          <w:color w:val="auto"/>
                        </w:rPr>
                        <w:t xml:space="preserve"> | Na</w:t>
                      </w:r>
                      <w:r>
                        <w:rPr>
                          <w:b w:val="0"/>
                          <w:color w:val="auto"/>
                        </w:rPr>
                        <w:t xml:space="preserve"> padesátém 81, 100 82 Praha 10, ph</w:t>
                      </w:r>
                      <w:r w:rsidRPr="00992CF3">
                        <w:rPr>
                          <w:b w:val="0"/>
                          <w:color w:val="auto"/>
                        </w:rPr>
                        <w:t>.</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073B58" w:rsidRPr="00992CF3" w:rsidRDefault="00073B58"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073B58" w:rsidRPr="004A61C5" w:rsidRDefault="00073B58" w:rsidP="00825C4D">
                      <w:pPr>
                        <w:pStyle w:val="TLKontakty"/>
                        <w:spacing w:after="80" w:line="240" w:lineRule="auto"/>
                        <w:rPr>
                          <w:color w:val="auto"/>
                        </w:rPr>
                      </w:pPr>
                    </w:p>
                    <w:p w14:paraId="39B5FB82" w14:textId="2954AAB3" w:rsidR="00073B58" w:rsidRPr="00992CF3" w:rsidRDefault="00073B58" w:rsidP="00825C4D">
                      <w:pPr>
                        <w:pStyle w:val="TLKontakty"/>
                        <w:spacing w:after="80" w:line="240" w:lineRule="auto"/>
                        <w:rPr>
                          <w:b w:val="0"/>
                          <w:color w:val="auto"/>
                        </w:rPr>
                      </w:pPr>
                      <w:r>
                        <w:t>Central Bohemia</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 xml:space="preserve">10, </w:t>
                      </w:r>
                      <w:r>
                        <w:rPr>
                          <w:b w:val="0"/>
                          <w:color w:val="auto"/>
                        </w:rPr>
                        <w:t>ph</w:t>
                      </w:r>
                      <w:r w:rsidRPr="00992CF3">
                        <w:rPr>
                          <w:b w:val="0"/>
                          <w:color w:val="auto"/>
                        </w:rPr>
                        <w:t>.</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073B58" w:rsidRPr="00992CF3" w:rsidRDefault="00073B58"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073B58" w:rsidRPr="004A61C5" w:rsidRDefault="00073B58" w:rsidP="00825C4D">
                      <w:pPr>
                        <w:pStyle w:val="TLKontakty"/>
                        <w:spacing w:after="80" w:line="240" w:lineRule="auto"/>
                        <w:rPr>
                          <w:color w:val="auto"/>
                        </w:rPr>
                      </w:pPr>
                    </w:p>
                    <w:p w14:paraId="5AF27889" w14:textId="5EC5FECE" w:rsidR="00073B58" w:rsidRPr="00992CF3" w:rsidRDefault="00073B58"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ph</w:t>
                      </w:r>
                      <w:r w:rsidRPr="00992CF3">
                        <w:rPr>
                          <w:b w:val="0"/>
                          <w:color w:val="auto"/>
                        </w:rPr>
                        <w:t>.</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073B58" w:rsidRPr="00992CF3" w:rsidRDefault="00073B58"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073B58" w:rsidRPr="004A61C5" w:rsidRDefault="00073B58" w:rsidP="00825C4D">
                      <w:pPr>
                        <w:pStyle w:val="TLKontakty"/>
                        <w:spacing w:after="80" w:line="240" w:lineRule="auto"/>
                        <w:rPr>
                          <w:color w:val="auto"/>
                        </w:rPr>
                      </w:pPr>
                    </w:p>
                    <w:p w14:paraId="0065AFA0" w14:textId="79CDEDC3" w:rsidR="00073B58" w:rsidRPr="00BC731E" w:rsidRDefault="00073B58"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ph</w:t>
                      </w:r>
                      <w:r w:rsidRPr="004A61C5">
                        <w:rPr>
                          <w:b w:val="0"/>
                          <w:color w:val="auto"/>
                        </w:rPr>
                        <w:t>.</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073B58" w:rsidRPr="004A61C5" w:rsidRDefault="00073B58" w:rsidP="00825C4D">
                      <w:pPr>
                        <w:pStyle w:val="TLKontakty"/>
                        <w:spacing w:after="80" w:line="240" w:lineRule="auto"/>
                        <w:rPr>
                          <w:color w:val="auto"/>
                        </w:rPr>
                      </w:pPr>
                    </w:p>
                    <w:p w14:paraId="345F7961" w14:textId="6323C715" w:rsidR="00073B58" w:rsidRPr="004A61C5" w:rsidRDefault="00073B58"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xml:space="preserve">, </w:t>
                      </w:r>
                      <w:r>
                        <w:rPr>
                          <w:b w:val="0"/>
                          <w:color w:val="auto"/>
                        </w:rPr>
                        <w:t>ph</w:t>
                      </w:r>
                      <w:r w:rsidRPr="004A61C5">
                        <w:rPr>
                          <w:b w:val="0"/>
                          <w:color w:val="auto"/>
                        </w:rPr>
                        <w:t>.</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073B58" w:rsidRPr="004A61C5" w:rsidRDefault="00073B58" w:rsidP="00825C4D">
                      <w:pPr>
                        <w:pStyle w:val="TLKontakty"/>
                        <w:spacing w:after="80" w:line="240" w:lineRule="auto"/>
                        <w:rPr>
                          <w:color w:val="auto"/>
                        </w:rPr>
                      </w:pPr>
                    </w:p>
                    <w:p w14:paraId="766F2288" w14:textId="309D7923" w:rsidR="00073B58" w:rsidRPr="004A61C5" w:rsidRDefault="00073B58"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ph</w:t>
                      </w:r>
                      <w:r w:rsidRPr="004A61C5">
                        <w:rPr>
                          <w:b w:val="0"/>
                          <w:color w:val="auto"/>
                        </w:rPr>
                        <w:t>.</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073B58" w:rsidRPr="004A61C5" w:rsidRDefault="00073B58" w:rsidP="00825C4D">
                      <w:pPr>
                        <w:pStyle w:val="TLKontakty"/>
                        <w:spacing w:after="80" w:line="240" w:lineRule="auto"/>
                        <w:rPr>
                          <w:color w:val="auto"/>
                        </w:rPr>
                      </w:pPr>
                    </w:p>
                    <w:p w14:paraId="0D4652E6" w14:textId="061AE5DA" w:rsidR="00073B58" w:rsidRPr="004A61C5" w:rsidRDefault="00073B58"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 xml:space="preserve">1, </w:t>
                      </w:r>
                      <w:r>
                        <w:rPr>
                          <w:b w:val="0"/>
                          <w:color w:val="auto"/>
                        </w:rPr>
                        <w:t>ph</w:t>
                      </w:r>
                      <w:r w:rsidRPr="004A61C5">
                        <w:rPr>
                          <w:b w:val="0"/>
                          <w:color w:val="auto"/>
                        </w:rPr>
                        <w:t>.</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073B58" w:rsidRPr="004A61C5" w:rsidRDefault="00073B58" w:rsidP="00825C4D">
                      <w:pPr>
                        <w:pStyle w:val="TLKontakty"/>
                        <w:spacing w:after="80" w:line="240" w:lineRule="auto"/>
                        <w:rPr>
                          <w:b w:val="0"/>
                          <w:color w:val="auto"/>
                        </w:rPr>
                      </w:pPr>
                    </w:p>
                    <w:p w14:paraId="231AC323" w14:textId="1AEE8119" w:rsidR="00073B58" w:rsidRPr="004A61C5" w:rsidRDefault="00073B58"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ph.</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073B58" w:rsidRPr="004A61C5" w:rsidRDefault="00073B58" w:rsidP="00825C4D">
                      <w:pPr>
                        <w:pStyle w:val="TLKontakty"/>
                        <w:spacing w:after="80" w:line="240" w:lineRule="auto"/>
                        <w:rPr>
                          <w:color w:val="auto"/>
                        </w:rPr>
                      </w:pPr>
                    </w:p>
                    <w:p w14:paraId="64319B27" w14:textId="3A6630E6" w:rsidR="00073B58" w:rsidRPr="004A61C5" w:rsidRDefault="00073B58"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ph</w:t>
                      </w:r>
                      <w:r w:rsidRPr="004A61C5">
                        <w:rPr>
                          <w:b w:val="0"/>
                          <w:color w:val="auto"/>
                        </w:rPr>
                        <w:t>.</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073B58" w:rsidRPr="004A61C5" w:rsidRDefault="00073B58" w:rsidP="00825C4D">
                      <w:pPr>
                        <w:pStyle w:val="TLKontakty"/>
                        <w:spacing w:after="80" w:line="240" w:lineRule="auto"/>
                        <w:rPr>
                          <w:b w:val="0"/>
                          <w:color w:val="auto"/>
                        </w:rPr>
                      </w:pPr>
                    </w:p>
                    <w:p w14:paraId="4068B566" w14:textId="2345C4B5" w:rsidR="00073B58" w:rsidRPr="004A61C5" w:rsidRDefault="00073B58"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ph.: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073B58" w:rsidRPr="004A61C5" w:rsidRDefault="00073B58"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073B58" w:rsidRDefault="00073B58" w:rsidP="00825C4D">
                      <w:pPr>
                        <w:pStyle w:val="TLKontakty"/>
                        <w:spacing w:after="80" w:line="240" w:lineRule="auto"/>
                      </w:pPr>
                    </w:p>
                    <w:p w14:paraId="63ACC352" w14:textId="072FCB3A" w:rsidR="00073B58" w:rsidRPr="00BC731E" w:rsidRDefault="00073B58"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ph.: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073B58" w:rsidRPr="004A61C5" w:rsidRDefault="00073B58"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073B58" w:rsidRPr="004A61C5" w:rsidRDefault="00073B58" w:rsidP="00825C4D">
                      <w:pPr>
                        <w:pStyle w:val="TLKontakty"/>
                        <w:spacing w:after="80" w:line="240" w:lineRule="auto"/>
                        <w:rPr>
                          <w:b w:val="0"/>
                          <w:color w:val="auto"/>
                        </w:rPr>
                      </w:pPr>
                    </w:p>
                    <w:p w14:paraId="71AC5E72" w14:textId="39A9D8A2" w:rsidR="00073B58" w:rsidRPr="005E7C78" w:rsidRDefault="00073B58"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ph.: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073B58" w:rsidRPr="005E7C78" w:rsidRDefault="00073B58"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073B58" w:rsidRPr="005E7C78" w:rsidRDefault="00073B58" w:rsidP="00825C4D">
                      <w:pPr>
                        <w:pStyle w:val="TLKontakty"/>
                        <w:spacing w:after="80" w:line="240" w:lineRule="auto"/>
                        <w:rPr>
                          <w:b w:val="0"/>
                          <w:color w:val="auto"/>
                        </w:rPr>
                      </w:pPr>
                    </w:p>
                    <w:p w14:paraId="00E77B80" w14:textId="67C15356" w:rsidR="00073B58" w:rsidRPr="005E7C78" w:rsidRDefault="00073B58"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Pr>
                          <w:b w:val="0"/>
                          <w:color w:val="auto"/>
                        </w:rPr>
                        <w:t>ph</w:t>
                      </w:r>
                      <w:r w:rsidRPr="00BC731E">
                        <w:rPr>
                          <w:b w:val="0"/>
                          <w:color w:val="auto"/>
                        </w:rPr>
                        <w:t>.: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073B58" w:rsidRDefault="00073B58"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073B58" w:rsidRPr="005E7C78" w:rsidRDefault="00073B58" w:rsidP="00095135">
                      <w:pPr>
                        <w:pStyle w:val="TLKontakty"/>
                        <w:spacing w:after="80" w:line="240" w:lineRule="auto"/>
                        <w:rPr>
                          <w:b w:val="0"/>
                          <w:color w:val="auto"/>
                        </w:rPr>
                      </w:pPr>
                    </w:p>
                    <w:p w14:paraId="0275618D" w14:textId="089E6974" w:rsidR="00073B58" w:rsidRPr="005E7C78" w:rsidRDefault="00073B58"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ph.: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073B58" w:rsidRPr="00095135" w:rsidRDefault="00073B58"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sidR="00BF4329" w:rsidRPr="00A00994">
        <w:rPr>
          <w:noProof/>
        </w:rPr>
        <mc:AlternateContent>
          <mc:Choice Requires="wps">
            <w:drawing>
              <wp:anchor distT="0" distB="0" distL="114300" distR="114300" simplePos="0" relativeHeight="251661824" behindDoc="0" locked="1" layoutInCell="1" allowOverlap="1" wp14:anchorId="627D9299" wp14:editId="066DDE16">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07B0" w14:textId="57786657" w:rsidR="00073B58" w:rsidRPr="00321924" w:rsidRDefault="00073B58" w:rsidP="00A16E1D">
                            <w:pPr>
                              <w:jc w:val="left"/>
                            </w:pPr>
                            <w:r w:rsidRPr="00321924">
                              <w:br/>
                              <w:t xml:space="preserve">© </w:t>
                            </w:r>
                            <w:r w:rsidRPr="00DE622F">
                              <w:rPr>
                                <w:lang w:val="en-GB"/>
                              </w:rPr>
                              <w:t>Czech Statistical Office</w:t>
                            </w:r>
                            <w:r w:rsidRPr="00321924">
                              <w:t xml:space="preserve">, </w:t>
                            </w:r>
                            <w:r>
                              <w:t>Prague, 2022</w:t>
                            </w:r>
                          </w:p>
                          <w:p w14:paraId="314CB98A" w14:textId="77777777" w:rsidR="00073B58" w:rsidRDefault="00073B58"/>
                          <w:p w14:paraId="6776AB5D" w14:textId="77777777" w:rsidR="00073B58" w:rsidRPr="00841D9F" w:rsidRDefault="00073B58"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073B58" w:rsidRPr="00AF2852" w:rsidRDefault="00073B58"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D9299"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NbuQ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" filled="f" stroked="f">
                <v:textbox inset="0,0,0,0">
                  <w:txbxContent>
                    <w:p w14:paraId="45ED07B0" w14:textId="57786657" w:rsidR="00073B58" w:rsidRPr="00321924" w:rsidRDefault="00073B58" w:rsidP="00A16E1D">
                      <w:pPr>
                        <w:jc w:val="left"/>
                      </w:pPr>
                      <w:r w:rsidRPr="00321924">
                        <w:br/>
                        <w:t xml:space="preserve">© </w:t>
                      </w:r>
                      <w:r w:rsidRPr="00DE622F">
                        <w:rPr>
                          <w:lang w:val="en-GB"/>
                        </w:rPr>
                        <w:t>Czech Statistical Office</w:t>
                      </w:r>
                      <w:r w:rsidRPr="00321924">
                        <w:t xml:space="preserve">, </w:t>
                      </w:r>
                      <w:r>
                        <w:t>Prague, 2022</w:t>
                      </w:r>
                    </w:p>
                    <w:p w14:paraId="314CB98A" w14:textId="77777777" w:rsidR="00073B58" w:rsidRDefault="00073B58"/>
                    <w:p w14:paraId="6776AB5D" w14:textId="77777777" w:rsidR="00073B58" w:rsidRPr="00841D9F" w:rsidRDefault="00073B58"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073B58" w:rsidRPr="00AF2852" w:rsidRDefault="00073B58"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mc:Fallback>
        </mc:AlternateContent>
      </w:r>
      <w:r w:rsidR="00BF4329" w:rsidRPr="00A00994">
        <w:rPr>
          <w:noProof/>
        </w:rPr>
        <mc:AlternateContent>
          <mc:Choice Requires="wps">
            <w:drawing>
              <wp:anchor distT="0" distB="0" distL="114300" distR="114300" simplePos="0" relativeHeight="251660800" behindDoc="0" locked="1" layoutInCell="1" allowOverlap="1" wp14:anchorId="3FEDB80D" wp14:editId="1DBA9E32">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EF20" w14:textId="1748A785" w:rsidR="00073B58" w:rsidRPr="009A1902" w:rsidRDefault="00073B58" w:rsidP="00AF6D54">
                            <w:pPr>
                              <w:rPr>
                                <w:b/>
                                <w:bCs/>
                                <w:i/>
                                <w:sz w:val="24"/>
                              </w:rPr>
                            </w:pPr>
                            <w:r w:rsidRPr="006557C0">
                              <w:rPr>
                                <w:b/>
                                <w:color w:val="0071BC"/>
                                <w:sz w:val="24"/>
                                <w:lang w:val="en-GB"/>
                              </w:rPr>
                              <w:t xml:space="preserve">Are you interested in the latest data connected with inflation, GDP, population, average wages and much more? You can find them on the CZSO web page: </w:t>
                            </w:r>
                            <w:r w:rsidRPr="006557C0">
                              <w:rPr>
                                <w:b/>
                                <w:sz w:val="24"/>
                                <w:lang w:val="en-GB"/>
                              </w:rPr>
                              <w:t>www.czso.cz</w:t>
                            </w:r>
                          </w:p>
                          <w:p w14:paraId="054ED4D1" w14:textId="57D2BBA8" w:rsidR="00073B58" w:rsidRPr="009A1902" w:rsidRDefault="00073B58" w:rsidP="000A3A2C">
                            <w:pPr>
                              <w:rPr>
                                <w:b/>
                                <w:bCs/>
                                <w:i/>
                                <w:sz w:val="24"/>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EDB80D"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" filled="f" stroked="f">
                <v:textbox style="mso-fit-shape-to-text:t" inset="0,0,0,0">
                  <w:txbxContent>
                    <w:p w14:paraId="4A75EF20" w14:textId="1748A785" w:rsidR="00073B58" w:rsidRPr="009A1902" w:rsidRDefault="00073B58" w:rsidP="00AF6D54">
                      <w:pPr>
                        <w:rPr>
                          <w:b/>
                          <w:bCs/>
                          <w:i/>
                          <w:sz w:val="24"/>
                        </w:rPr>
                      </w:pPr>
                      <w:r w:rsidRPr="006557C0">
                        <w:rPr>
                          <w:b/>
                          <w:color w:val="0071BC"/>
                          <w:sz w:val="24"/>
                          <w:lang w:val="en-GB"/>
                        </w:rPr>
                        <w:t xml:space="preserve">Are you interested in the latest data connected with inflation, GDP, population, average wages and much more? You can find them on the CZSO web page: </w:t>
                      </w:r>
                      <w:r w:rsidRPr="006557C0">
                        <w:rPr>
                          <w:b/>
                          <w:sz w:val="24"/>
                          <w:lang w:val="en-GB"/>
                        </w:rPr>
                        <w:t>www.czso.cz</w:t>
                      </w:r>
                    </w:p>
                    <w:p w14:paraId="054ED4D1" w14:textId="57D2BBA8" w:rsidR="00073B58" w:rsidRPr="009A1902" w:rsidRDefault="00073B58" w:rsidP="000A3A2C">
                      <w:pPr>
                        <w:rPr>
                          <w:b/>
                          <w:bCs/>
                          <w:i/>
                          <w:sz w:val="24"/>
                        </w:rPr>
                      </w:pPr>
                    </w:p>
                  </w:txbxContent>
                </v:textbox>
                <w10:wrap anchorx="page" anchory="page"/>
                <w10:anchorlock/>
              </v:shape>
            </w:pict>
          </mc:Fallback>
        </mc:AlternateContent>
      </w:r>
    </w:p>
    <w:sdt>
      <w:sdtPr>
        <w:rPr>
          <w:b w:val="0"/>
          <w:color w:val="auto"/>
          <w:sz w:val="20"/>
          <w:lang w:val="en-GB"/>
        </w:rPr>
        <w:id w:val="5357999"/>
        <w:docPartObj>
          <w:docPartGallery w:val="Table of Contents"/>
          <w:docPartUnique/>
        </w:docPartObj>
      </w:sdtPr>
      <w:sdtContent>
        <w:p w14:paraId="597230E6" w14:textId="34C0C76A" w:rsidR="00867DAB" w:rsidRPr="00A00994" w:rsidRDefault="009B6A37" w:rsidP="00867DAB">
          <w:pPr>
            <w:pStyle w:val="Obsah"/>
            <w:rPr>
              <w:lang w:val="en-GB"/>
            </w:rPr>
          </w:pPr>
          <w:r w:rsidRPr="00A00994">
            <w:rPr>
              <w:lang w:val="en-GB"/>
            </w:rPr>
            <w:t>Contents</w:t>
          </w:r>
        </w:p>
        <w:p w14:paraId="3E58B0DE" w14:textId="240D7380" w:rsidR="00073B58" w:rsidRDefault="007D42E5">
          <w:pPr>
            <w:pStyle w:val="Obsah1"/>
            <w:rPr>
              <w:rFonts w:asciiTheme="minorHAnsi" w:eastAsiaTheme="minorEastAsia" w:hAnsiTheme="minorHAnsi" w:cstheme="minorBidi"/>
              <w:noProof/>
              <w:sz w:val="22"/>
              <w:szCs w:val="22"/>
            </w:rPr>
          </w:pPr>
          <w:r w:rsidRPr="00A00994">
            <w:rPr>
              <w:lang w:val="en-GB"/>
            </w:rPr>
            <w:fldChar w:fldCharType="begin"/>
          </w:r>
          <w:r w:rsidR="00867DAB" w:rsidRPr="00A00994">
            <w:rPr>
              <w:lang w:val="en-GB"/>
            </w:rPr>
            <w:instrText xml:space="preserve"> TOC \o "1-3" \h \z \u </w:instrText>
          </w:r>
          <w:r w:rsidRPr="00A00994">
            <w:rPr>
              <w:lang w:val="en-GB"/>
            </w:rPr>
            <w:fldChar w:fldCharType="separate"/>
          </w:r>
          <w:hyperlink w:anchor="_Toc116642870" w:history="1">
            <w:r w:rsidR="00073B58" w:rsidRPr="00D41A50">
              <w:rPr>
                <w:rStyle w:val="Hypertextovodkaz"/>
                <w:noProof/>
                <w:lang w:val="en-GB"/>
              </w:rPr>
              <w:t>1. Summary</w:t>
            </w:r>
            <w:r w:rsidR="00073B58">
              <w:rPr>
                <w:noProof/>
                <w:webHidden/>
              </w:rPr>
              <w:tab/>
            </w:r>
            <w:r w:rsidR="00073B58">
              <w:rPr>
                <w:noProof/>
                <w:webHidden/>
              </w:rPr>
              <w:fldChar w:fldCharType="begin"/>
            </w:r>
            <w:r w:rsidR="00073B58">
              <w:rPr>
                <w:noProof/>
                <w:webHidden/>
              </w:rPr>
              <w:instrText xml:space="preserve"> PAGEREF _Toc116642870 \h </w:instrText>
            </w:r>
            <w:r w:rsidR="00073B58">
              <w:rPr>
                <w:noProof/>
                <w:webHidden/>
              </w:rPr>
            </w:r>
            <w:r w:rsidR="00073B58">
              <w:rPr>
                <w:noProof/>
                <w:webHidden/>
              </w:rPr>
              <w:fldChar w:fldCharType="separate"/>
            </w:r>
            <w:r w:rsidR="00073B58">
              <w:rPr>
                <w:noProof/>
                <w:webHidden/>
              </w:rPr>
              <w:t>4</w:t>
            </w:r>
            <w:r w:rsidR="00073B58">
              <w:rPr>
                <w:noProof/>
                <w:webHidden/>
              </w:rPr>
              <w:fldChar w:fldCharType="end"/>
            </w:r>
          </w:hyperlink>
        </w:p>
        <w:p w14:paraId="6B860AD0" w14:textId="2AB08B8E" w:rsidR="00073B58" w:rsidRDefault="00073B58">
          <w:pPr>
            <w:pStyle w:val="Obsah1"/>
            <w:rPr>
              <w:rFonts w:asciiTheme="minorHAnsi" w:eastAsiaTheme="minorEastAsia" w:hAnsiTheme="minorHAnsi" w:cstheme="minorBidi"/>
              <w:noProof/>
              <w:sz w:val="22"/>
              <w:szCs w:val="22"/>
            </w:rPr>
          </w:pPr>
          <w:hyperlink w:anchor="_Toc116642871" w:history="1">
            <w:r w:rsidRPr="00D41A50">
              <w:rPr>
                <w:rStyle w:val="Hypertextovodkaz"/>
                <w:noProof/>
                <w:lang w:val="en-GB"/>
              </w:rPr>
              <w:t>2. Overall Economic Performance</w:t>
            </w:r>
            <w:r>
              <w:rPr>
                <w:noProof/>
                <w:webHidden/>
              </w:rPr>
              <w:tab/>
            </w:r>
            <w:r>
              <w:rPr>
                <w:noProof/>
                <w:webHidden/>
              </w:rPr>
              <w:fldChar w:fldCharType="begin"/>
            </w:r>
            <w:r>
              <w:rPr>
                <w:noProof/>
                <w:webHidden/>
              </w:rPr>
              <w:instrText xml:space="preserve"> PAGEREF _Toc116642871 \h </w:instrText>
            </w:r>
            <w:r>
              <w:rPr>
                <w:noProof/>
                <w:webHidden/>
              </w:rPr>
            </w:r>
            <w:r>
              <w:rPr>
                <w:noProof/>
                <w:webHidden/>
              </w:rPr>
              <w:fldChar w:fldCharType="separate"/>
            </w:r>
            <w:r>
              <w:rPr>
                <w:noProof/>
                <w:webHidden/>
              </w:rPr>
              <w:t>7</w:t>
            </w:r>
            <w:r>
              <w:rPr>
                <w:noProof/>
                <w:webHidden/>
              </w:rPr>
              <w:fldChar w:fldCharType="end"/>
            </w:r>
          </w:hyperlink>
        </w:p>
        <w:p w14:paraId="1059C96C" w14:textId="595A15FA" w:rsidR="00073B58" w:rsidRDefault="00073B58">
          <w:pPr>
            <w:pStyle w:val="Obsah1"/>
            <w:rPr>
              <w:rFonts w:asciiTheme="minorHAnsi" w:eastAsiaTheme="minorEastAsia" w:hAnsiTheme="minorHAnsi" w:cstheme="minorBidi"/>
              <w:noProof/>
              <w:sz w:val="22"/>
              <w:szCs w:val="22"/>
            </w:rPr>
          </w:pPr>
          <w:hyperlink w:anchor="_Toc116642872" w:history="1">
            <w:r w:rsidRPr="00D41A50">
              <w:rPr>
                <w:rStyle w:val="Hypertextovodkaz"/>
                <w:noProof/>
                <w:lang w:val="en-GB"/>
              </w:rPr>
              <w:t>3. Branches Performance</w:t>
            </w:r>
            <w:r>
              <w:rPr>
                <w:noProof/>
                <w:webHidden/>
              </w:rPr>
              <w:tab/>
            </w:r>
            <w:r>
              <w:rPr>
                <w:noProof/>
                <w:webHidden/>
              </w:rPr>
              <w:fldChar w:fldCharType="begin"/>
            </w:r>
            <w:r>
              <w:rPr>
                <w:noProof/>
                <w:webHidden/>
              </w:rPr>
              <w:instrText xml:space="preserve"> PAGEREF _Toc116642872 \h </w:instrText>
            </w:r>
            <w:r>
              <w:rPr>
                <w:noProof/>
                <w:webHidden/>
              </w:rPr>
            </w:r>
            <w:r>
              <w:rPr>
                <w:noProof/>
                <w:webHidden/>
              </w:rPr>
              <w:fldChar w:fldCharType="separate"/>
            </w:r>
            <w:r>
              <w:rPr>
                <w:noProof/>
                <w:webHidden/>
              </w:rPr>
              <w:t>11</w:t>
            </w:r>
            <w:r>
              <w:rPr>
                <w:noProof/>
                <w:webHidden/>
              </w:rPr>
              <w:fldChar w:fldCharType="end"/>
            </w:r>
          </w:hyperlink>
        </w:p>
        <w:p w14:paraId="5F90F173" w14:textId="075B5D0A" w:rsidR="00073B58" w:rsidRDefault="00073B58">
          <w:pPr>
            <w:pStyle w:val="Obsah1"/>
            <w:rPr>
              <w:rFonts w:asciiTheme="minorHAnsi" w:eastAsiaTheme="minorEastAsia" w:hAnsiTheme="minorHAnsi" w:cstheme="minorBidi"/>
              <w:noProof/>
              <w:sz w:val="22"/>
              <w:szCs w:val="22"/>
            </w:rPr>
          </w:pPr>
          <w:hyperlink w:anchor="_Toc116642873" w:history="1">
            <w:r w:rsidRPr="00D41A50">
              <w:rPr>
                <w:rStyle w:val="Hypertextovodkaz"/>
                <w:noProof/>
                <w:lang w:val="en-GB"/>
              </w:rPr>
              <w:t>4. External Relations</w:t>
            </w:r>
            <w:r>
              <w:rPr>
                <w:noProof/>
                <w:webHidden/>
              </w:rPr>
              <w:tab/>
            </w:r>
            <w:r>
              <w:rPr>
                <w:noProof/>
                <w:webHidden/>
              </w:rPr>
              <w:fldChar w:fldCharType="begin"/>
            </w:r>
            <w:r>
              <w:rPr>
                <w:noProof/>
                <w:webHidden/>
              </w:rPr>
              <w:instrText xml:space="preserve"> PAGEREF _Toc116642873 \h </w:instrText>
            </w:r>
            <w:r>
              <w:rPr>
                <w:noProof/>
                <w:webHidden/>
              </w:rPr>
            </w:r>
            <w:r>
              <w:rPr>
                <w:noProof/>
                <w:webHidden/>
              </w:rPr>
              <w:fldChar w:fldCharType="separate"/>
            </w:r>
            <w:r>
              <w:rPr>
                <w:noProof/>
                <w:webHidden/>
              </w:rPr>
              <w:t>20</w:t>
            </w:r>
            <w:r>
              <w:rPr>
                <w:noProof/>
                <w:webHidden/>
              </w:rPr>
              <w:fldChar w:fldCharType="end"/>
            </w:r>
          </w:hyperlink>
        </w:p>
        <w:p w14:paraId="568BB1FA" w14:textId="6345D739" w:rsidR="00073B58" w:rsidRDefault="00073B58">
          <w:pPr>
            <w:pStyle w:val="Obsah1"/>
            <w:rPr>
              <w:rFonts w:asciiTheme="minorHAnsi" w:eastAsiaTheme="minorEastAsia" w:hAnsiTheme="minorHAnsi" w:cstheme="minorBidi"/>
              <w:noProof/>
              <w:sz w:val="22"/>
              <w:szCs w:val="22"/>
            </w:rPr>
          </w:pPr>
          <w:hyperlink w:anchor="_Toc116642874" w:history="1">
            <w:r w:rsidRPr="00D41A50">
              <w:rPr>
                <w:rStyle w:val="Hypertextovodkaz"/>
                <w:noProof/>
                <w:lang w:val="en-GB"/>
              </w:rPr>
              <w:t>5. Prices</w:t>
            </w:r>
            <w:r>
              <w:rPr>
                <w:noProof/>
                <w:webHidden/>
              </w:rPr>
              <w:tab/>
            </w:r>
            <w:r>
              <w:rPr>
                <w:noProof/>
                <w:webHidden/>
              </w:rPr>
              <w:fldChar w:fldCharType="begin"/>
            </w:r>
            <w:r>
              <w:rPr>
                <w:noProof/>
                <w:webHidden/>
              </w:rPr>
              <w:instrText xml:space="preserve"> PAGEREF _Toc116642874 \h </w:instrText>
            </w:r>
            <w:r>
              <w:rPr>
                <w:noProof/>
                <w:webHidden/>
              </w:rPr>
            </w:r>
            <w:r>
              <w:rPr>
                <w:noProof/>
                <w:webHidden/>
              </w:rPr>
              <w:fldChar w:fldCharType="separate"/>
            </w:r>
            <w:r>
              <w:rPr>
                <w:noProof/>
                <w:webHidden/>
              </w:rPr>
              <w:t>23</w:t>
            </w:r>
            <w:r>
              <w:rPr>
                <w:noProof/>
                <w:webHidden/>
              </w:rPr>
              <w:fldChar w:fldCharType="end"/>
            </w:r>
          </w:hyperlink>
        </w:p>
        <w:p w14:paraId="48379E8F" w14:textId="25F08868" w:rsidR="00073B58" w:rsidRDefault="00073B58">
          <w:pPr>
            <w:pStyle w:val="Obsah1"/>
            <w:rPr>
              <w:rFonts w:asciiTheme="minorHAnsi" w:eastAsiaTheme="minorEastAsia" w:hAnsiTheme="minorHAnsi" w:cstheme="minorBidi"/>
              <w:noProof/>
              <w:sz w:val="22"/>
              <w:szCs w:val="22"/>
            </w:rPr>
          </w:pPr>
          <w:hyperlink w:anchor="_Toc116642875" w:history="1">
            <w:r w:rsidRPr="00D41A50">
              <w:rPr>
                <w:rStyle w:val="Hypertextovodkaz"/>
                <w:noProof/>
                <w:lang w:val="en-GB"/>
              </w:rPr>
              <w:t>6. Labour Market</w:t>
            </w:r>
            <w:r>
              <w:rPr>
                <w:noProof/>
                <w:webHidden/>
              </w:rPr>
              <w:tab/>
            </w:r>
            <w:r>
              <w:rPr>
                <w:noProof/>
                <w:webHidden/>
              </w:rPr>
              <w:fldChar w:fldCharType="begin"/>
            </w:r>
            <w:r>
              <w:rPr>
                <w:noProof/>
                <w:webHidden/>
              </w:rPr>
              <w:instrText xml:space="preserve"> PAGEREF _Toc116642875 \h </w:instrText>
            </w:r>
            <w:r>
              <w:rPr>
                <w:noProof/>
                <w:webHidden/>
              </w:rPr>
            </w:r>
            <w:r>
              <w:rPr>
                <w:noProof/>
                <w:webHidden/>
              </w:rPr>
              <w:fldChar w:fldCharType="separate"/>
            </w:r>
            <w:r>
              <w:rPr>
                <w:noProof/>
                <w:webHidden/>
              </w:rPr>
              <w:t>29</w:t>
            </w:r>
            <w:r>
              <w:rPr>
                <w:noProof/>
                <w:webHidden/>
              </w:rPr>
              <w:fldChar w:fldCharType="end"/>
            </w:r>
          </w:hyperlink>
        </w:p>
        <w:p w14:paraId="18CAAC84" w14:textId="6BCBBCF9" w:rsidR="00073B58" w:rsidRDefault="00073B58">
          <w:pPr>
            <w:pStyle w:val="Obsah1"/>
            <w:rPr>
              <w:rFonts w:asciiTheme="minorHAnsi" w:eastAsiaTheme="minorEastAsia" w:hAnsiTheme="minorHAnsi" w:cstheme="minorBidi"/>
              <w:noProof/>
              <w:sz w:val="22"/>
              <w:szCs w:val="22"/>
            </w:rPr>
          </w:pPr>
          <w:hyperlink w:anchor="_Toc116642876" w:history="1">
            <w:r w:rsidRPr="00D41A50">
              <w:rPr>
                <w:rStyle w:val="Hypertextovodkaz"/>
                <w:noProof/>
                <w:lang w:val="en-GB"/>
              </w:rPr>
              <w:t>7. Monetary Conditions</w:t>
            </w:r>
            <w:r>
              <w:rPr>
                <w:noProof/>
                <w:webHidden/>
              </w:rPr>
              <w:tab/>
            </w:r>
            <w:r>
              <w:rPr>
                <w:noProof/>
                <w:webHidden/>
              </w:rPr>
              <w:fldChar w:fldCharType="begin"/>
            </w:r>
            <w:r>
              <w:rPr>
                <w:noProof/>
                <w:webHidden/>
              </w:rPr>
              <w:instrText xml:space="preserve"> PAGEREF _Toc116642876 \h </w:instrText>
            </w:r>
            <w:r>
              <w:rPr>
                <w:noProof/>
                <w:webHidden/>
              </w:rPr>
            </w:r>
            <w:r>
              <w:rPr>
                <w:noProof/>
                <w:webHidden/>
              </w:rPr>
              <w:fldChar w:fldCharType="separate"/>
            </w:r>
            <w:r>
              <w:rPr>
                <w:noProof/>
                <w:webHidden/>
              </w:rPr>
              <w:t>35</w:t>
            </w:r>
            <w:r>
              <w:rPr>
                <w:noProof/>
                <w:webHidden/>
              </w:rPr>
              <w:fldChar w:fldCharType="end"/>
            </w:r>
          </w:hyperlink>
        </w:p>
        <w:p w14:paraId="32491241" w14:textId="25A82C0B" w:rsidR="00073B58" w:rsidRDefault="00073B58">
          <w:pPr>
            <w:pStyle w:val="Obsah1"/>
            <w:rPr>
              <w:rFonts w:asciiTheme="minorHAnsi" w:eastAsiaTheme="minorEastAsia" w:hAnsiTheme="minorHAnsi" w:cstheme="minorBidi"/>
              <w:noProof/>
              <w:sz w:val="22"/>
              <w:szCs w:val="22"/>
            </w:rPr>
          </w:pPr>
          <w:hyperlink w:anchor="_Toc116642877" w:history="1">
            <w:r w:rsidRPr="00D41A50">
              <w:rPr>
                <w:rStyle w:val="Hypertextovodkaz"/>
                <w:noProof/>
                <w:lang w:val="en-GB"/>
              </w:rPr>
              <w:t>8. State Budget</w:t>
            </w:r>
            <w:r>
              <w:rPr>
                <w:noProof/>
                <w:webHidden/>
              </w:rPr>
              <w:tab/>
            </w:r>
            <w:r>
              <w:rPr>
                <w:noProof/>
                <w:webHidden/>
              </w:rPr>
              <w:fldChar w:fldCharType="begin"/>
            </w:r>
            <w:r>
              <w:rPr>
                <w:noProof/>
                <w:webHidden/>
              </w:rPr>
              <w:instrText xml:space="preserve"> PAGEREF _Toc116642877 \h </w:instrText>
            </w:r>
            <w:r>
              <w:rPr>
                <w:noProof/>
                <w:webHidden/>
              </w:rPr>
            </w:r>
            <w:r>
              <w:rPr>
                <w:noProof/>
                <w:webHidden/>
              </w:rPr>
              <w:fldChar w:fldCharType="separate"/>
            </w:r>
            <w:r>
              <w:rPr>
                <w:noProof/>
                <w:webHidden/>
              </w:rPr>
              <w:t>37</w:t>
            </w:r>
            <w:r>
              <w:rPr>
                <w:noProof/>
                <w:webHidden/>
              </w:rPr>
              <w:fldChar w:fldCharType="end"/>
            </w:r>
          </w:hyperlink>
        </w:p>
        <w:p w14:paraId="39BB97E5" w14:textId="40314CB6" w:rsidR="00867DAB" w:rsidRPr="00A00994" w:rsidRDefault="007D42E5">
          <w:pPr>
            <w:rPr>
              <w:lang w:val="en-GB"/>
            </w:rPr>
          </w:pPr>
          <w:r w:rsidRPr="00A00994">
            <w:rPr>
              <w:lang w:val="en-GB"/>
            </w:rPr>
            <w:fldChar w:fldCharType="end"/>
          </w:r>
        </w:p>
      </w:sdtContent>
    </w:sdt>
    <w:p w14:paraId="6CBF0906" w14:textId="77777777" w:rsidR="00003F5C" w:rsidRPr="00A00994" w:rsidRDefault="00003F5C" w:rsidP="00003F5C">
      <w:pPr>
        <w:pStyle w:val="Textpoznpodarou"/>
        <w:jc w:val="both"/>
        <w:rPr>
          <w:rFonts w:cs="Arial"/>
          <w:color w:val="000000"/>
          <w:lang w:val="en-GB"/>
        </w:rPr>
      </w:pPr>
    </w:p>
    <w:p w14:paraId="77CA2D67" w14:textId="77777777" w:rsidR="00003F5C" w:rsidRPr="00A00994" w:rsidRDefault="00003F5C" w:rsidP="00003F5C">
      <w:pPr>
        <w:pStyle w:val="Textpoznpodarou"/>
        <w:jc w:val="both"/>
        <w:rPr>
          <w:rFonts w:cs="Arial"/>
          <w:color w:val="000000"/>
          <w:lang w:val="en-GB"/>
        </w:rPr>
      </w:pPr>
    </w:p>
    <w:p w14:paraId="223CBCEF" w14:textId="77777777" w:rsidR="00003F5C" w:rsidRPr="00A00994" w:rsidRDefault="00003F5C" w:rsidP="00003F5C">
      <w:pPr>
        <w:pStyle w:val="Textpoznpodarou"/>
        <w:jc w:val="both"/>
        <w:rPr>
          <w:rFonts w:cs="Arial"/>
          <w:color w:val="000000"/>
          <w:lang w:val="en-GB"/>
        </w:rPr>
      </w:pPr>
    </w:p>
    <w:p w14:paraId="0F28E1B0" w14:textId="77777777" w:rsidR="00003F5C" w:rsidRPr="00A00994" w:rsidRDefault="00003F5C" w:rsidP="00003F5C">
      <w:pPr>
        <w:pStyle w:val="Textpoznpodarou"/>
        <w:jc w:val="both"/>
        <w:rPr>
          <w:rFonts w:cs="Arial"/>
          <w:color w:val="000000"/>
          <w:lang w:val="en-GB"/>
        </w:rPr>
      </w:pPr>
    </w:p>
    <w:p w14:paraId="2E66CDA4" w14:textId="77777777" w:rsidR="00003F5C" w:rsidRPr="00A00994" w:rsidRDefault="00003F5C" w:rsidP="00003F5C">
      <w:pPr>
        <w:pStyle w:val="Textpoznpodarou"/>
        <w:jc w:val="both"/>
        <w:rPr>
          <w:rFonts w:cs="Arial"/>
          <w:color w:val="000000"/>
          <w:lang w:val="en-GB"/>
        </w:rPr>
      </w:pPr>
    </w:p>
    <w:p w14:paraId="2ACF1CBA" w14:textId="77777777" w:rsidR="009B6A37" w:rsidRPr="00A00994" w:rsidRDefault="009B6A37" w:rsidP="009B6A37">
      <w:pPr>
        <w:pStyle w:val="Textpoznpodarou"/>
        <w:jc w:val="both"/>
        <w:rPr>
          <w:rFonts w:cs="Arial"/>
          <w:color w:val="000000"/>
          <w:lang w:val="en-GB"/>
        </w:rPr>
      </w:pPr>
      <w:r w:rsidRPr="00A00994">
        <w:rPr>
          <w:rFonts w:cs="Arial"/>
          <w:color w:val="000000"/>
          <w:lang w:val="en-GB"/>
        </w:rPr>
        <w:t>Source of data in the whole analysis: Czech Statistical Office (CZSO), Ministry of Finance (MF CR), Czech National Bank (CNB), Ministry of Labour and Social Affairs (MLSA), Czech Social Security Administration (CSSA), Eurostat, CZSO calculations.</w:t>
      </w:r>
      <w:bookmarkStart w:id="0" w:name="_GoBack"/>
      <w:bookmarkEnd w:id="0"/>
    </w:p>
    <w:p w14:paraId="668DCE7B" w14:textId="0790AA07" w:rsidR="009B6A37" w:rsidRPr="00A00994" w:rsidRDefault="009B6A37" w:rsidP="009B6A37">
      <w:pPr>
        <w:pStyle w:val="Textpoznpodarou"/>
        <w:jc w:val="both"/>
        <w:rPr>
          <w:rFonts w:cs="Arial"/>
          <w:color w:val="000000"/>
          <w:lang w:val="en-GB"/>
        </w:rPr>
      </w:pPr>
      <w:r w:rsidRPr="00A00994">
        <w:rPr>
          <w:rFonts w:cs="Arial"/>
          <w:color w:val="000000"/>
          <w:lang w:val="en-GB"/>
        </w:rPr>
        <w:t>Latest information provided in this report has been dated the 7</w:t>
      </w:r>
      <w:r w:rsidRPr="00A00994">
        <w:rPr>
          <w:rFonts w:cs="Arial"/>
          <w:color w:val="000000"/>
          <w:vertAlign w:val="superscript"/>
          <w:lang w:val="en-GB"/>
        </w:rPr>
        <w:t>th</w:t>
      </w:r>
      <w:r w:rsidRPr="00A00994">
        <w:rPr>
          <w:rFonts w:cs="Arial"/>
          <w:color w:val="000000"/>
          <w:lang w:val="en-GB"/>
        </w:rPr>
        <w:t xml:space="preserve"> September 2022.</w:t>
      </w:r>
    </w:p>
    <w:p w14:paraId="1D1FFA96" w14:textId="77777777" w:rsidR="002F1D56" w:rsidRPr="00A00994" w:rsidRDefault="002F1D56" w:rsidP="00003F5C">
      <w:pPr>
        <w:pStyle w:val="Textpoznpodarou"/>
        <w:jc w:val="both"/>
        <w:rPr>
          <w:rFonts w:cs="Arial"/>
          <w:color w:val="000000"/>
          <w:lang w:val="en-GB"/>
        </w:rPr>
      </w:pPr>
    </w:p>
    <w:p w14:paraId="6EDD1399" w14:textId="77777777" w:rsidR="002F1D56" w:rsidRPr="00A00994" w:rsidRDefault="002F1D56" w:rsidP="00003F5C">
      <w:pPr>
        <w:pStyle w:val="Textpoznpodarou"/>
        <w:jc w:val="both"/>
        <w:rPr>
          <w:rFonts w:cs="Arial"/>
          <w:lang w:val="en-GB"/>
        </w:rPr>
      </w:pPr>
    </w:p>
    <w:p w14:paraId="7CD2B948" w14:textId="77777777" w:rsidR="001777BA" w:rsidRPr="00A00994" w:rsidRDefault="00087F2B" w:rsidP="001777BA">
      <w:pPr>
        <w:pStyle w:val="Nadpis1"/>
        <w:rPr>
          <w:lang w:val="en-GB"/>
        </w:rPr>
      </w:pPr>
      <w:r w:rsidRPr="00A00994">
        <w:rPr>
          <w:color w:val="auto"/>
          <w:lang w:val="en-GB"/>
        </w:rPr>
        <w:br w:type="page"/>
      </w:r>
      <w:bookmarkStart w:id="1" w:name="_Toc97736114"/>
      <w:bookmarkStart w:id="2" w:name="_Toc444112494"/>
      <w:bookmarkStart w:id="3" w:name="_Toc511215208"/>
      <w:bookmarkStart w:id="4" w:name="_Toc26865017"/>
      <w:bookmarkStart w:id="5" w:name="_Toc74643854"/>
      <w:bookmarkStart w:id="6" w:name="_Toc66719928"/>
      <w:bookmarkStart w:id="7" w:name="_Toc19090676"/>
      <w:bookmarkStart w:id="8" w:name="_Toc58605372"/>
    </w:p>
    <w:p w14:paraId="759F92BB" w14:textId="77777777" w:rsidR="00073B58" w:rsidRPr="00A00994" w:rsidRDefault="00073B58" w:rsidP="00073B58">
      <w:pPr>
        <w:pStyle w:val="Nadpis1"/>
        <w:rPr>
          <w:lang w:val="en-GB"/>
        </w:rPr>
      </w:pPr>
      <w:bookmarkStart w:id="9" w:name="_Toc58605374"/>
      <w:bookmarkStart w:id="10" w:name="_Toc66719930"/>
      <w:bookmarkStart w:id="11" w:name="_Toc532558287"/>
      <w:bookmarkStart w:id="12" w:name="_Toc58605375"/>
      <w:bookmarkStart w:id="13" w:name="_Toc82508186"/>
      <w:bookmarkStart w:id="14" w:name="_Toc116642870"/>
      <w:bookmarkEnd w:id="1"/>
      <w:bookmarkEnd w:id="2"/>
      <w:bookmarkEnd w:id="3"/>
      <w:bookmarkEnd w:id="4"/>
      <w:bookmarkEnd w:id="5"/>
      <w:bookmarkEnd w:id="6"/>
      <w:bookmarkEnd w:id="7"/>
      <w:bookmarkEnd w:id="8"/>
      <w:r w:rsidRPr="00A00994">
        <w:rPr>
          <w:lang w:val="en-GB"/>
        </w:rPr>
        <w:lastRenderedPageBreak/>
        <w:t>1. Summary</w:t>
      </w:r>
      <w:bookmarkEnd w:id="14"/>
    </w:p>
    <w:p w14:paraId="05CD03ED" w14:textId="77777777" w:rsidR="00073B58" w:rsidRPr="00A00994" w:rsidRDefault="00073B58" w:rsidP="00073B58">
      <w:pPr>
        <w:pStyle w:val="Normalodrka"/>
        <w:spacing w:after="120"/>
        <w:rPr>
          <w:spacing w:val="-6"/>
          <w:lang w:val="en-GB"/>
        </w:rPr>
      </w:pPr>
      <w:r w:rsidRPr="00A00994">
        <w:rPr>
          <w:spacing w:val="-6"/>
          <w:lang w:val="en-GB"/>
        </w:rPr>
        <w:t>The year-on-year growth of the Gross domestic product (GDP) slowed to 3.7%</w:t>
      </w:r>
      <w:r w:rsidRPr="00A00994">
        <w:rPr>
          <w:rStyle w:val="Znakapoznpodarou"/>
          <w:spacing w:val="-6"/>
          <w:szCs w:val="20"/>
          <w:lang w:val="en-GB"/>
        </w:rPr>
        <w:footnoteReference w:id="1"/>
      </w:r>
      <w:r w:rsidRPr="00A00994">
        <w:rPr>
          <w:spacing w:val="-6"/>
          <w:lang w:val="en-GB"/>
        </w:rPr>
        <w:t xml:space="preserve"> in Q2 2022. It is a consequence of significantly weaker year-on-year growth of the domestic consumption, which is currently being hindered by the real decline of household income. The influence of low comparative basis of the preceding year also stopped strengthening the year-on-year GDP dynamics, since the pandemic restrictions already ceased to be in place in the last year’s Q2. The gross capital formation contributed to the year-on-year GDP growth the most, mainly thanks to the growth of the inventory stock. The foreign demand was in contrast crimping the GDP growth. Quarter-on-quarter, the GDP increased by 0.5% and again the gross capital formation supported the dynamics the most. The consumption mildly fell quarter-on-quarter. The CR ranked among the group of countries with below average growth of the GDP within the EU. The total year-on-year GDP increase reached 4.2% in the EU in Q2 and quarter-on-quarter the GDP went up by 0.7%.</w:t>
      </w:r>
    </w:p>
    <w:p w14:paraId="251C5578" w14:textId="77777777" w:rsidR="00073B58" w:rsidRPr="00A00994" w:rsidRDefault="00073B58" w:rsidP="00073B58">
      <w:pPr>
        <w:pStyle w:val="Normalodrka"/>
        <w:spacing w:after="120"/>
        <w:rPr>
          <w:spacing w:val="-6"/>
          <w:lang w:val="en-GB"/>
        </w:rPr>
      </w:pPr>
      <w:r w:rsidRPr="00A00994">
        <w:rPr>
          <w:spacing w:val="-6"/>
          <w:lang w:val="en-GB"/>
        </w:rPr>
        <w:t xml:space="preserve">The Gross value added (GVA) rose by 3.4% in Q2 year-on-year. The GVA increased in the majority of branches except for agriculture, forestry and fishing compared to the last year. Especially the services thrived – the GVA grew for other service activities, in the group trade, transportation, accommodation and food service or in information and communication. Construction also markedly grew year-on-year. The GVA was again moderately rising in manufacturing following two year-on-year decreases. Quarter-on-quarter, the GVA went up in total by 0.5%. Many branches of services, especially professional, scientific, technical and administrative activities or information and communication recorded a considerable revival of the GVA. The GVA also slightly increased in manufacturing. </w:t>
      </w:r>
    </w:p>
    <w:p w14:paraId="4B07A32D" w14:textId="77777777" w:rsidR="00073B58" w:rsidRPr="00A00994" w:rsidRDefault="00073B58" w:rsidP="00073B58">
      <w:pPr>
        <w:pStyle w:val="Normalodrka"/>
        <w:spacing w:after="120"/>
        <w:rPr>
          <w:spacing w:val="-6"/>
          <w:lang w:val="en-GB"/>
        </w:rPr>
      </w:pPr>
      <w:r w:rsidRPr="00A00994">
        <w:rPr>
          <w:spacing w:val="-6"/>
          <w:lang w:val="en-GB"/>
        </w:rPr>
        <w:t>Export of goods and services rose by 1.8%</w:t>
      </w:r>
      <w:r w:rsidRPr="00A00994">
        <w:rPr>
          <w:rStyle w:val="Znakapoznpodarou"/>
          <w:spacing w:val="-6"/>
          <w:lang w:val="en-GB"/>
        </w:rPr>
        <w:footnoteReference w:id="2"/>
      </w:r>
      <w:r w:rsidRPr="00A00994">
        <w:rPr>
          <w:spacing w:val="-6"/>
          <w:lang w:val="en-GB"/>
        </w:rPr>
        <w:t xml:space="preserve"> in real terms year-on-year in Q2 2022. However, the import still grew faster and increased by 2.7%. The resulting balance fell into the deficit for the first time since Q2 2004, which amounted to 25.8 CZK bn. It represented a year-on-year worsening by 77.3 bn. Nevertheless, solely the balance of trade with goods was deteriorating, on the contrary the positive balance rose for services. The trade with oil and natural gas, basic metals and coke and refined oil products affected by the increased prices the most contributed to the year-on-year worsening of the trade with goods balance in Q2. The balance of trade with motor vehicles on the contrary again improved year-on-year after four quarters of slumps and the trade with electricity also had a favourable effect. </w:t>
      </w:r>
    </w:p>
    <w:p w14:paraId="7F0BD33B" w14:textId="77777777" w:rsidR="00073B58" w:rsidRPr="00A00994" w:rsidRDefault="00073B58" w:rsidP="00073B58">
      <w:pPr>
        <w:pStyle w:val="Normalodrka"/>
        <w:spacing w:after="120"/>
        <w:rPr>
          <w:spacing w:val="-6"/>
          <w:lang w:val="en-GB"/>
        </w:rPr>
      </w:pPr>
      <w:r w:rsidRPr="00A00994">
        <w:rPr>
          <w:spacing w:val="-6"/>
          <w:lang w:val="en-GB"/>
        </w:rPr>
        <w:t>The year-on-year growth of the total price level (based on the GDP deflator) accelerated to 6.6% in Q2. It is the most since Q3 1998. The price level increased by 2.0% quarter-on-quarter. Further, the year-on-year increase of the consumer prices sharply hiked up to 15.8%. The year-on-year price growth accelerated in the majority of consumer basket divisions, but food, non-alcoholic beverages, housing and energies had the largest effect on the acceleration of the total price growth. Those together with the prices of transportation shared the most on the total year-on-year addition. Industrial producer prices in the CR increased by 27.7% year-on-year in Q2 and by 7.8% quarter-on-quarter.</w:t>
      </w:r>
    </w:p>
    <w:p w14:paraId="03B36F21" w14:textId="77777777" w:rsidR="00073B58" w:rsidRPr="00A00994" w:rsidRDefault="00073B58" w:rsidP="00073B58">
      <w:pPr>
        <w:pStyle w:val="Normalodrka"/>
        <w:spacing w:after="120"/>
        <w:rPr>
          <w:spacing w:val="-6"/>
          <w:lang w:val="en-GB"/>
        </w:rPr>
      </w:pPr>
      <w:r w:rsidRPr="00A00994">
        <w:rPr>
          <w:spacing w:val="-6"/>
          <w:lang w:val="en-GB"/>
        </w:rPr>
        <w:t xml:space="preserve">Also the monetary policy-relevant rates were raised in Q2 2022. Subsequently the client rates on the term deposits increased and the credit financing became more expensive for both households and businesses. The notable spill over of funds from the current accounts to the term deposits thus continued. </w:t>
      </w:r>
    </w:p>
    <w:p w14:paraId="15BAFFA9" w14:textId="77777777" w:rsidR="00073B58" w:rsidRPr="00A00994" w:rsidRDefault="00073B58" w:rsidP="00073B58">
      <w:pPr>
        <w:pStyle w:val="Normalodrka"/>
        <w:spacing w:after="120"/>
        <w:rPr>
          <w:spacing w:val="-6"/>
          <w:lang w:val="en-GB"/>
        </w:rPr>
      </w:pPr>
      <w:r w:rsidRPr="00A00994">
        <w:rPr>
          <w:spacing w:val="-6"/>
          <w:lang w:val="en-GB"/>
        </w:rPr>
        <w:t>The recovery of the labour market continued in Q2. Total employment</w:t>
      </w:r>
      <w:r w:rsidRPr="00A00994">
        <w:rPr>
          <w:rStyle w:val="Znakapoznpodarou"/>
          <w:spacing w:val="-6"/>
          <w:lang w:val="en-GB"/>
        </w:rPr>
        <w:footnoteReference w:id="3"/>
      </w:r>
      <w:r w:rsidRPr="00A00994">
        <w:rPr>
          <w:spacing w:val="-6"/>
          <w:lang w:val="en-GB"/>
        </w:rPr>
        <w:t xml:space="preserve"> expanded by 2.5% year-on-year in Q2 and by 1.6% quarter-on-quarter. At the same time both employees and entrepreneurs participated on the employment growth. The expectations of entrepreneurs were gradually slightly worsening in the course of this year. The general unemployment rate arrived at </w:t>
      </w:r>
      <w:r w:rsidRPr="00A00994">
        <w:rPr>
          <w:color w:val="1D1B11" w:themeColor="background2" w:themeShade="1A"/>
          <w:spacing w:val="-6"/>
          <w:lang w:val="en-GB"/>
        </w:rPr>
        <w:t xml:space="preserve">2.3% in this year’s July. It mildly decreased and was falling more briskly for males rather than females. The average gross monthly nominal wage climbed up to </w:t>
      </w:r>
      <w:r w:rsidRPr="00A00994">
        <w:rPr>
          <w:color w:val="0D0D0D" w:themeColor="text1" w:themeTint="F2"/>
          <w:spacing w:val="-6"/>
          <w:lang w:val="en-GB"/>
        </w:rPr>
        <w:t xml:space="preserve">40 086 CZK in Q2. Its year-on-year growth eased pace to 4.4%, but it can be for the large part ascribed to the slump in the branch health and social care, whose development fundamentally reflected the pay out of extraordinary bonuses last year in </w:t>
      </w:r>
      <w:r>
        <w:rPr>
          <w:color w:val="0D0D0D" w:themeColor="text1" w:themeTint="F2"/>
          <w:spacing w:val="-6"/>
          <w:lang w:val="en-GB"/>
        </w:rPr>
        <w:t>s</w:t>
      </w:r>
      <w:r w:rsidRPr="00A00994">
        <w:rPr>
          <w:color w:val="0D0D0D" w:themeColor="text1" w:themeTint="F2"/>
          <w:spacing w:val="-6"/>
          <w:lang w:val="en-GB"/>
        </w:rPr>
        <w:t xml:space="preserve">pring. The wage increased after seasonal adjustment by </w:t>
      </w:r>
      <w:r w:rsidRPr="00A00994">
        <w:rPr>
          <w:spacing w:val="-6"/>
          <w:lang w:val="en-GB"/>
        </w:rPr>
        <w:t>1.3% quarter-on-quarter. In real terms, the average wage was by 9.8% lower year-on-year and the purchasing power fell for employees in all branches.</w:t>
      </w:r>
    </w:p>
    <w:p w14:paraId="41EEB27D" w14:textId="77777777" w:rsidR="00073B58" w:rsidRPr="00A00994" w:rsidRDefault="00073B58" w:rsidP="00073B58">
      <w:pPr>
        <w:pStyle w:val="Normalodrka"/>
        <w:spacing w:after="120"/>
        <w:rPr>
          <w:spacing w:val="-6"/>
          <w:lang w:val="en-GB"/>
        </w:rPr>
      </w:pPr>
      <w:r w:rsidRPr="00A00994">
        <w:rPr>
          <w:spacing w:val="-6"/>
          <w:lang w:val="en-GB"/>
        </w:rPr>
        <w:lastRenderedPageBreak/>
        <w:t xml:space="preserve">State budget ended in deficit of 183 CZK bn in H1 2022. The negative balance was lower in comparison to the same period of both years 2020 and 2021. </w:t>
      </w:r>
      <w:bookmarkStart w:id="15" w:name="_Toc90395910"/>
      <w:bookmarkStart w:id="16" w:name="_Toc98245441"/>
      <w:r w:rsidRPr="00A00994">
        <w:rPr>
          <w:spacing w:val="-6"/>
          <w:lang w:val="en-GB"/>
        </w:rPr>
        <w:t>The pressure on the extraordinary expenditures connected to the termination of counter pandemic restrictions loosened and simultaneously the economy kept further recovering. The unprecedented strong price growth as well as the need for unforeseen expenditures associated with the refugee wave from Ukraine however led to a significant quarter-on-quarter deepening of the budget deficit. The total tax income exceeded the level of the comparable period before the onset of pandemics this year in H1.</w:t>
      </w:r>
    </w:p>
    <w:bookmarkEnd w:id="15"/>
    <w:bookmarkEnd w:id="16"/>
    <w:p w14:paraId="7D4232CF" w14:textId="77777777" w:rsidR="00073B58" w:rsidRPr="00A00994" w:rsidRDefault="00073B58" w:rsidP="00073B58">
      <w:pPr>
        <w:pStyle w:val="Normalodrka"/>
        <w:numPr>
          <w:ilvl w:val="0"/>
          <w:numId w:val="0"/>
        </w:numPr>
        <w:rPr>
          <w:spacing w:val="-4"/>
          <w:lang w:val="en-GB"/>
        </w:rPr>
      </w:pPr>
    </w:p>
    <w:p w14:paraId="6FA42163" w14:textId="77777777" w:rsidR="00073B58" w:rsidRPr="00A00994" w:rsidRDefault="00073B58" w:rsidP="00073B58">
      <w:pPr>
        <w:pStyle w:val="Normalodrka"/>
        <w:numPr>
          <w:ilvl w:val="0"/>
          <w:numId w:val="0"/>
        </w:numPr>
        <w:rPr>
          <w:b/>
          <w:bCs/>
          <w:spacing w:val="-4"/>
          <w:lang w:val="en-GB"/>
        </w:rPr>
      </w:pPr>
      <w:r w:rsidRPr="00923DCA">
        <w:rPr>
          <w:noProof/>
        </w:rPr>
        <w:lastRenderedPageBreak/>
        <w:drawing>
          <wp:inline distT="0" distB="0" distL="0" distR="0" wp14:anchorId="49339073" wp14:editId="5A39682A">
            <wp:extent cx="5837555" cy="879284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7555" cy="8792845"/>
                    </a:xfrm>
                    <a:prstGeom prst="rect">
                      <a:avLst/>
                    </a:prstGeom>
                    <a:noFill/>
                    <a:ln>
                      <a:noFill/>
                    </a:ln>
                  </pic:spPr>
                </pic:pic>
              </a:graphicData>
            </a:graphic>
          </wp:inline>
        </w:drawing>
      </w:r>
    </w:p>
    <w:p w14:paraId="06A1CC47" w14:textId="77777777" w:rsidR="00073B58" w:rsidRPr="00A00994" w:rsidRDefault="00073B58" w:rsidP="00073B58">
      <w:pPr>
        <w:pStyle w:val="Nadpis1"/>
        <w:rPr>
          <w:lang w:val="en-GB"/>
        </w:rPr>
      </w:pPr>
      <w:bookmarkStart w:id="17" w:name="_Toc116642871"/>
      <w:r w:rsidRPr="00A00994">
        <w:rPr>
          <w:lang w:val="en-GB"/>
        </w:rPr>
        <w:lastRenderedPageBreak/>
        <w:t>2. Overall Economic Performance</w:t>
      </w:r>
      <w:bookmarkEnd w:id="17"/>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073B58" w:rsidRPr="00A00994" w14:paraId="4AC6EC0F" w14:textId="77777777" w:rsidTr="00073B58">
        <w:trPr>
          <w:trHeight w:val="145"/>
        </w:trPr>
        <w:tc>
          <w:tcPr>
            <w:tcW w:w="1806" w:type="dxa"/>
            <w:shd w:val="clear" w:color="auto" w:fill="auto"/>
            <w:tcMar>
              <w:left w:w="0" w:type="dxa"/>
            </w:tcMar>
          </w:tcPr>
          <w:p w14:paraId="08267645" w14:textId="77777777" w:rsidR="00073B58" w:rsidRPr="00A00994" w:rsidRDefault="00073B58" w:rsidP="00073B58">
            <w:pPr>
              <w:pStyle w:val="Marginlie"/>
              <w:rPr>
                <w:lang w:val="en-GB"/>
              </w:rPr>
            </w:pPr>
            <w:r w:rsidRPr="00A00994">
              <w:rPr>
                <w:lang w:val="en-GB"/>
              </w:rPr>
              <w:t>The Czech economy has continued growing.</w:t>
            </w:r>
          </w:p>
        </w:tc>
        <w:tc>
          <w:tcPr>
            <w:tcW w:w="223" w:type="dxa"/>
            <w:shd w:val="clear" w:color="auto" w:fill="auto"/>
            <w:tcMar>
              <w:left w:w="0" w:type="dxa"/>
            </w:tcMar>
          </w:tcPr>
          <w:p w14:paraId="4693EA91"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339A8AAD" w14:textId="77777777" w:rsidR="00073B58" w:rsidRPr="00A00994" w:rsidRDefault="00073B58" w:rsidP="00073B58">
            <w:pPr>
              <w:rPr>
                <w:spacing w:val="-2"/>
                <w:lang w:val="en-GB"/>
              </w:rPr>
            </w:pPr>
            <w:r w:rsidRPr="00A00994">
              <w:rPr>
                <w:spacing w:val="-2"/>
                <w:lang w:val="en-GB"/>
              </w:rPr>
              <w:t>The Gross domestic product (GDP) sustained growth in Q2 2022 and increased by 0.5%</w:t>
            </w:r>
            <w:r w:rsidRPr="00A00994">
              <w:rPr>
                <w:rStyle w:val="Znakapoznpodarou"/>
                <w:rFonts w:cs="Arial"/>
                <w:spacing w:val="-2"/>
                <w:lang w:val="en-GB"/>
              </w:rPr>
              <w:footnoteReference w:id="4"/>
            </w:r>
            <w:r w:rsidRPr="00A00994">
              <w:rPr>
                <w:spacing w:val="-2"/>
                <w:lang w:val="en-GB"/>
              </w:rPr>
              <w:t xml:space="preserve"> in real terms quarter-on-quarter. The economic development was marked by widespread uncertainty. Thus mainly the gross capital formation contributed to the quarter-on-quarter GDP growth, especially the change of the inventory stock. On the contrary, the domestic consumption again slightly fell quarter-on-quarter. The favourable effect of the foreign demand, which boosted the GDP growth in the last two quarters also ceased. The year-on-year addition to Gross domestic product slowed down to 3.7%. The effect of the weak comparative basis, which was reflected in the year-on-year GDP development in the last year also dissipated after a longer time period. The gross capital formation also favourably affected the year-on-year GDP dynamics. The consumption, especially the government consumption, also weakly contributed. The foreign demand had exerted a negative influence. According to the data in constant prices, the GDP overtook in real terms the level of the same period of year 2019 by 0.9% in Q2 and it moved close to the total pre-pandemic peak from Q4 2019. </w:t>
            </w:r>
          </w:p>
        </w:tc>
      </w:tr>
      <w:tr w:rsidR="00073B58" w:rsidRPr="00A00994" w14:paraId="4C9CF1FD" w14:textId="77777777" w:rsidTr="00073B58">
        <w:trPr>
          <w:trHeight w:val="170"/>
        </w:trPr>
        <w:tc>
          <w:tcPr>
            <w:tcW w:w="1806" w:type="dxa"/>
            <w:vMerge w:val="restart"/>
            <w:shd w:val="clear" w:color="auto" w:fill="auto"/>
            <w:tcMar>
              <w:left w:w="0" w:type="dxa"/>
            </w:tcMar>
          </w:tcPr>
          <w:p w14:paraId="4C5AD3CA" w14:textId="77777777" w:rsidR="00073B58" w:rsidRPr="00A00994" w:rsidRDefault="00073B58" w:rsidP="00073B58">
            <w:pPr>
              <w:pStyle w:val="Marginlie"/>
              <w:rPr>
                <w:lang w:val="en-GB"/>
              </w:rPr>
            </w:pPr>
          </w:p>
        </w:tc>
        <w:tc>
          <w:tcPr>
            <w:tcW w:w="223" w:type="dxa"/>
            <w:vMerge w:val="restart"/>
            <w:shd w:val="clear" w:color="auto" w:fill="auto"/>
            <w:tcMar>
              <w:left w:w="0" w:type="dxa"/>
            </w:tcMar>
          </w:tcPr>
          <w:p w14:paraId="537BCC24"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4F536029" w14:textId="77777777" w:rsidR="00073B58" w:rsidRPr="00A00994" w:rsidRDefault="00073B58" w:rsidP="00073B58">
            <w:pPr>
              <w:spacing w:after="0"/>
              <w:rPr>
                <w:b/>
                <w:szCs w:val="20"/>
                <w:lang w:val="en-GB"/>
              </w:rPr>
            </w:pPr>
            <w:r w:rsidRPr="00A00994">
              <w:rPr>
                <w:rFonts w:cs="Arial"/>
                <w:b/>
                <w:bCs/>
                <w:color w:val="000000"/>
                <w:szCs w:val="20"/>
                <w:lang w:val="en-GB"/>
              </w:rPr>
              <w:t>Chart 1 GDP</w:t>
            </w:r>
            <w:r w:rsidRPr="00A00994">
              <w:rPr>
                <w:rFonts w:cs="Arial"/>
                <w:b/>
                <w:szCs w:val="20"/>
                <w:lang w:val="en-GB" w:eastAsia="en-US"/>
              </w:rPr>
              <w:t xml:space="preserve"> </w:t>
            </w:r>
            <w:r w:rsidRPr="00A00994">
              <w:rPr>
                <w:rFonts w:cs="Arial"/>
                <w:bCs/>
                <w:szCs w:val="20"/>
                <w:lang w:val="en-GB" w:eastAsia="en-US"/>
              </w:rPr>
              <w:t>(volume indices, adjusted for seasonal and calendar effects, in %)</w:t>
            </w:r>
          </w:p>
        </w:tc>
      </w:tr>
      <w:tr w:rsidR="00073B58" w:rsidRPr="00A00994" w14:paraId="46FC0004" w14:textId="77777777" w:rsidTr="00073B58">
        <w:tblPrEx>
          <w:tblCellMar>
            <w:left w:w="70" w:type="dxa"/>
            <w:right w:w="70" w:type="dxa"/>
          </w:tblCellMar>
        </w:tblPrEx>
        <w:trPr>
          <w:trHeight w:val="170"/>
        </w:trPr>
        <w:tc>
          <w:tcPr>
            <w:tcW w:w="1806" w:type="dxa"/>
            <w:vMerge/>
            <w:shd w:val="clear" w:color="auto" w:fill="auto"/>
          </w:tcPr>
          <w:p w14:paraId="3BFC62BC" w14:textId="77777777" w:rsidR="00073B58" w:rsidRPr="00A00994" w:rsidRDefault="00073B58" w:rsidP="00073B58">
            <w:pPr>
              <w:pStyle w:val="Marginlie"/>
              <w:rPr>
                <w:lang w:val="en-GB"/>
              </w:rPr>
            </w:pPr>
          </w:p>
        </w:tc>
        <w:tc>
          <w:tcPr>
            <w:tcW w:w="223" w:type="dxa"/>
            <w:vMerge/>
            <w:shd w:val="clear" w:color="auto" w:fill="auto"/>
          </w:tcPr>
          <w:p w14:paraId="5C648862" w14:textId="77777777" w:rsidR="00073B58" w:rsidRPr="00A00994" w:rsidRDefault="00073B58" w:rsidP="00073B58">
            <w:pPr>
              <w:pStyle w:val="Textpoznpodarou"/>
              <w:jc w:val="both"/>
              <w:rPr>
                <w:spacing w:val="-4"/>
                <w:lang w:val="en-GB"/>
              </w:rPr>
            </w:pPr>
          </w:p>
        </w:tc>
        <w:tc>
          <w:tcPr>
            <w:tcW w:w="7610" w:type="dxa"/>
            <w:shd w:val="clear" w:color="auto" w:fill="auto"/>
          </w:tcPr>
          <w:p w14:paraId="17D0F963" w14:textId="77777777" w:rsidR="00073B58" w:rsidRPr="00A00994" w:rsidRDefault="00073B58" w:rsidP="00073B58">
            <w:pPr>
              <w:spacing w:after="0"/>
              <w:rPr>
                <w:lang w:val="en-GB"/>
              </w:rPr>
            </w:pPr>
            <w:r>
              <w:rPr>
                <w:noProof/>
              </w:rPr>
              <w:drawing>
                <wp:inline distT="0" distB="0" distL="0" distR="0" wp14:anchorId="675DEBAC" wp14:editId="19270C37">
                  <wp:extent cx="4737600" cy="3553200"/>
                  <wp:effectExtent l="0" t="0" r="6350" b="0"/>
                  <wp:docPr id="25" name="Graf 2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73B58" w:rsidRPr="00A00994" w14:paraId="21402AB4" w14:textId="77777777" w:rsidTr="00073B58">
        <w:trPr>
          <w:trHeight w:val="170"/>
        </w:trPr>
        <w:tc>
          <w:tcPr>
            <w:tcW w:w="1806" w:type="dxa"/>
            <w:vMerge/>
            <w:shd w:val="clear" w:color="auto" w:fill="auto"/>
            <w:tcMar>
              <w:left w:w="0" w:type="dxa"/>
            </w:tcMar>
          </w:tcPr>
          <w:p w14:paraId="4C996402" w14:textId="77777777" w:rsidR="00073B58" w:rsidRPr="00A00994" w:rsidRDefault="00073B58" w:rsidP="00073B58">
            <w:pPr>
              <w:pStyle w:val="Marginlie"/>
              <w:rPr>
                <w:lang w:val="en-GB"/>
              </w:rPr>
            </w:pPr>
          </w:p>
        </w:tc>
        <w:tc>
          <w:tcPr>
            <w:tcW w:w="223" w:type="dxa"/>
            <w:vMerge/>
            <w:shd w:val="clear" w:color="auto" w:fill="auto"/>
            <w:tcMar>
              <w:left w:w="0" w:type="dxa"/>
            </w:tcMar>
          </w:tcPr>
          <w:p w14:paraId="339E704D"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60471010" w14:textId="77777777" w:rsidR="00073B58" w:rsidRPr="00A00994" w:rsidRDefault="00073B58" w:rsidP="00073B58">
            <w:pPr>
              <w:spacing w:after="220"/>
              <w:rPr>
                <w:sz w:val="14"/>
                <w:szCs w:val="14"/>
                <w:lang w:val="en-GB"/>
              </w:rPr>
            </w:pPr>
            <w:r w:rsidRPr="00A00994">
              <w:rPr>
                <w:sz w:val="14"/>
                <w:szCs w:val="14"/>
                <w:lang w:val="en-GB"/>
              </w:rPr>
              <w:t>Source: CZSO, Eurostat</w:t>
            </w:r>
          </w:p>
        </w:tc>
      </w:tr>
      <w:tr w:rsidR="00073B58" w:rsidRPr="00A00994" w14:paraId="551CFB3E" w14:textId="77777777" w:rsidTr="00073B58">
        <w:trPr>
          <w:trHeight w:val="145"/>
        </w:trPr>
        <w:tc>
          <w:tcPr>
            <w:tcW w:w="1806" w:type="dxa"/>
            <w:shd w:val="clear" w:color="auto" w:fill="auto"/>
            <w:tcMar>
              <w:left w:w="0" w:type="dxa"/>
            </w:tcMar>
          </w:tcPr>
          <w:p w14:paraId="35B2FCA7" w14:textId="77777777" w:rsidR="00073B58" w:rsidRPr="00A00994" w:rsidRDefault="00073B58" w:rsidP="00073B58">
            <w:pPr>
              <w:pStyle w:val="Marginlie"/>
              <w:rPr>
                <w:lang w:val="en-GB"/>
              </w:rPr>
            </w:pPr>
            <w:r w:rsidRPr="00A00994">
              <w:rPr>
                <w:lang w:val="en-GB"/>
              </w:rPr>
              <w:t xml:space="preserve">Mainly the EU economies with a large share of industry face difficulties.  </w:t>
            </w:r>
          </w:p>
        </w:tc>
        <w:tc>
          <w:tcPr>
            <w:tcW w:w="223" w:type="dxa"/>
            <w:shd w:val="clear" w:color="auto" w:fill="auto"/>
            <w:tcMar>
              <w:left w:w="0" w:type="dxa"/>
            </w:tcMar>
          </w:tcPr>
          <w:p w14:paraId="2E937487"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69EA1B0F" w14:textId="77777777" w:rsidR="00073B58" w:rsidRPr="00A00994" w:rsidRDefault="00073B58" w:rsidP="00073B58">
            <w:pPr>
              <w:rPr>
                <w:lang w:val="en-GB"/>
              </w:rPr>
            </w:pPr>
            <w:r w:rsidRPr="00A00994">
              <w:rPr>
                <w:lang w:val="en-GB"/>
              </w:rPr>
              <w:t xml:space="preserve">The year-on-year GDP growth </w:t>
            </w:r>
            <w:r>
              <w:rPr>
                <w:lang w:val="en-GB"/>
              </w:rPr>
              <w:t xml:space="preserve">in the EU </w:t>
            </w:r>
            <w:r w:rsidRPr="00A00994">
              <w:rPr>
                <w:lang w:val="en-GB"/>
              </w:rPr>
              <w:t>slowed down to 4.2%</w:t>
            </w:r>
            <w:r w:rsidRPr="00A00994">
              <w:rPr>
                <w:rStyle w:val="Znakapoznpodarou"/>
                <w:lang w:val="en-GB"/>
              </w:rPr>
              <w:footnoteReference w:id="5"/>
            </w:r>
            <w:r w:rsidRPr="00A00994">
              <w:rPr>
                <w:lang w:val="en-GB"/>
              </w:rPr>
              <w:t xml:space="preserve"> in Q2. Counter growth factors, such as shortage of components or rising prices of energies, mostly hit the countries featuring a large share of industry. Estonia (0.3%), Slovakia (1.7%) and Germany (1.7%) thus recorded the smallest year-on-year GDP addition. The Czech Republic also ranked below the Europe-wide average. The GDP on the other hand grew the most in Ireland (10.8%), Malta (8.9%) and Slovenia (8.3%) and the large economies of the South, such as Spain (6.3%) and Italy (4.7%) were also above the Europe-wide average. Quarter-on-quarter, the GDP expanded by 0.7% in the EU and it thus maintained a stable pace already third quarter in a row. The Polish (−2.1%), Estonian (−1.3%), Latvian (−1.0%) and Lithuanian (−0.5%) economies decreased </w:t>
            </w:r>
            <w:r w:rsidRPr="00A00994">
              <w:rPr>
                <w:lang w:val="en-GB"/>
              </w:rPr>
              <w:lastRenderedPageBreak/>
              <w:t>quarter-on-quarter. Portugal stagnated and the GDP grew only slightly in Germany (0.1%). The largest quarter-on-quarter GDP increase occurred in the Netherlands (2.6%), Romania (2.1%) and in Croatia (2.0%).</w:t>
            </w:r>
          </w:p>
        </w:tc>
      </w:tr>
      <w:tr w:rsidR="00073B58" w:rsidRPr="00A00994" w14:paraId="69989177" w14:textId="77777777" w:rsidTr="00073B58">
        <w:trPr>
          <w:trHeight w:val="145"/>
        </w:trPr>
        <w:tc>
          <w:tcPr>
            <w:tcW w:w="1806" w:type="dxa"/>
            <w:shd w:val="clear" w:color="auto" w:fill="auto"/>
            <w:tcMar>
              <w:left w:w="0" w:type="dxa"/>
            </w:tcMar>
          </w:tcPr>
          <w:p w14:paraId="53DF6FD6" w14:textId="77777777" w:rsidR="00073B58" w:rsidRPr="00A00994" w:rsidRDefault="00073B58" w:rsidP="00073B58">
            <w:pPr>
              <w:pStyle w:val="Marginlie"/>
              <w:rPr>
                <w:lang w:val="en-GB"/>
              </w:rPr>
            </w:pPr>
            <w:r w:rsidRPr="00A00994">
              <w:rPr>
                <w:lang w:val="en-GB"/>
              </w:rPr>
              <w:lastRenderedPageBreak/>
              <w:t xml:space="preserve">Even the relatively strong rise of wages and salaries did not cover the jump in prices. </w:t>
            </w:r>
          </w:p>
        </w:tc>
        <w:tc>
          <w:tcPr>
            <w:tcW w:w="223" w:type="dxa"/>
            <w:shd w:val="clear" w:color="auto" w:fill="auto"/>
            <w:tcMar>
              <w:left w:w="0" w:type="dxa"/>
            </w:tcMar>
          </w:tcPr>
          <w:p w14:paraId="3DD23750"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44A0D858" w14:textId="77777777" w:rsidR="00073B58" w:rsidRPr="00A00994" w:rsidRDefault="00073B58" w:rsidP="00073B58">
            <w:pPr>
              <w:rPr>
                <w:spacing w:val="-2"/>
                <w:lang w:val="en-GB"/>
              </w:rPr>
            </w:pPr>
            <w:r w:rsidRPr="00A00994">
              <w:rPr>
                <w:spacing w:val="-2"/>
                <w:lang w:val="en-GB"/>
              </w:rPr>
              <w:t>The volume of paid out wages and salaries expanded by 8.5% in Q2 2022 year-on-year. Total employment was by 2.5% higher year-on-year</w:t>
            </w:r>
            <w:r w:rsidRPr="00A00994">
              <w:rPr>
                <w:rStyle w:val="Znakapoznpodarou"/>
                <w:spacing w:val="-2"/>
                <w:lang w:val="en-GB"/>
              </w:rPr>
              <w:footnoteReference w:id="6"/>
            </w:r>
            <w:r w:rsidRPr="00A00994">
              <w:rPr>
                <w:spacing w:val="-2"/>
                <w:lang w:val="en-GB"/>
              </w:rPr>
              <w:t>. Even though the nominal increase of wages and salaries was relatively high, it did not suffice to cover the sharply hiking price level and thus the volume of wages and salaries fell by 6.7%</w:t>
            </w:r>
            <w:r w:rsidRPr="00A00994">
              <w:rPr>
                <w:rStyle w:val="Znakapoznpodarou"/>
                <w:spacing w:val="-2"/>
                <w:lang w:val="en-GB"/>
              </w:rPr>
              <w:footnoteReference w:id="7"/>
            </w:r>
            <w:r w:rsidRPr="00A00994">
              <w:rPr>
                <w:spacing w:val="-2"/>
                <w:lang w:val="en-GB"/>
              </w:rPr>
              <w:t xml:space="preserve"> in real terms. With the exception of branches with the dominant government sector</w:t>
            </w:r>
            <w:r w:rsidRPr="00A00994">
              <w:rPr>
                <w:rStyle w:val="Znakapoznpodarou"/>
                <w:spacing w:val="-2"/>
                <w:lang w:val="en-GB"/>
              </w:rPr>
              <w:footnoteReference w:id="8"/>
            </w:r>
            <w:r w:rsidRPr="00A00994">
              <w:rPr>
                <w:spacing w:val="-2"/>
                <w:lang w:val="en-GB"/>
              </w:rPr>
              <w:t>, where under the influence of high comparative basis</w:t>
            </w:r>
            <w:r w:rsidRPr="00A00994">
              <w:rPr>
                <w:rStyle w:val="Znakapoznpodarou"/>
                <w:spacing w:val="-2"/>
                <w:lang w:val="en-GB"/>
              </w:rPr>
              <w:footnoteReference w:id="9"/>
            </w:r>
            <w:r w:rsidRPr="00A00994">
              <w:rPr>
                <w:spacing w:val="-2"/>
                <w:lang w:val="en-GB"/>
              </w:rPr>
              <w:t xml:space="preserve"> the paid out wages fell by 4.9% year-on-year, compensations to employees grew in the whole economy. The expanded volume of wages and salaries was also supported by hiring in some branches, mostly in services. The wages and salaries recorded the largest year-on-year addition in other service activities (24.1% given the employment growth of 2.9%), in group trade, transportation, accommodation and food service (21.3% with employment increase by 4.1%), real estate activities (18.3%, employment addition by 6.4%) and in information and communication (16.0% given the employment growth of 3.3%). The volume of paid out wages and salaries also grew strongly in professional, scientific, technical and administrative activities (10.9% with employment growth by 0.5%), in construction (10.6%, employment increased by 3.8%) and in manufacturing (9.3%, employment growth 1.6%). The addition to wages and salaries ended below the overall average in agriculture, forestry and fishing (8.3% with employment growth of 3.0%) and in financial and insurance activities (6.7%). Financial and insurance activities was also the only branch, where the employment dropped year-on-year (−1.4%).  </w:t>
            </w:r>
          </w:p>
        </w:tc>
      </w:tr>
      <w:tr w:rsidR="00073B58" w:rsidRPr="00A00994" w14:paraId="24C065D1" w14:textId="77777777" w:rsidTr="00073B58">
        <w:trPr>
          <w:trHeight w:val="170"/>
        </w:trPr>
        <w:tc>
          <w:tcPr>
            <w:tcW w:w="1806" w:type="dxa"/>
            <w:vMerge w:val="restart"/>
            <w:shd w:val="clear" w:color="auto" w:fill="auto"/>
            <w:tcMar>
              <w:left w:w="0" w:type="dxa"/>
            </w:tcMar>
          </w:tcPr>
          <w:p w14:paraId="1D1178D8" w14:textId="77777777" w:rsidR="00073B58" w:rsidRPr="00A00994" w:rsidRDefault="00073B58" w:rsidP="00073B58">
            <w:pPr>
              <w:pStyle w:val="Marginlie"/>
              <w:rPr>
                <w:lang w:val="en-GB"/>
              </w:rPr>
            </w:pPr>
          </w:p>
        </w:tc>
        <w:tc>
          <w:tcPr>
            <w:tcW w:w="223" w:type="dxa"/>
            <w:vMerge w:val="restart"/>
            <w:shd w:val="clear" w:color="auto" w:fill="auto"/>
            <w:tcMar>
              <w:left w:w="0" w:type="dxa"/>
            </w:tcMar>
          </w:tcPr>
          <w:p w14:paraId="4255BE8D"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6E7BF705" w14:textId="77777777" w:rsidR="00073B58" w:rsidRPr="00A00994" w:rsidRDefault="00073B58" w:rsidP="00073B58">
            <w:pPr>
              <w:spacing w:after="0"/>
              <w:rPr>
                <w:szCs w:val="20"/>
                <w:lang w:val="en-GB"/>
              </w:rPr>
            </w:pPr>
            <w:r w:rsidRPr="00A00994">
              <w:rPr>
                <w:b/>
                <w:szCs w:val="20"/>
                <w:lang w:val="en-GB"/>
              </w:rPr>
              <w:t>Chart 2 Contribution of expenditure items to real GDP change</w:t>
            </w:r>
            <w:r w:rsidRPr="00A00994">
              <w:rPr>
                <w:rFonts w:cs="Arial"/>
                <w:b/>
                <w:szCs w:val="20"/>
                <w:lang w:val="en-GB" w:eastAsia="en-US"/>
              </w:rPr>
              <w:t xml:space="preserve">* </w:t>
            </w:r>
            <w:r w:rsidRPr="00A00994">
              <w:rPr>
                <w:rFonts w:cs="Arial"/>
                <w:bCs/>
                <w:szCs w:val="20"/>
                <w:lang w:val="en-GB" w:eastAsia="en-US"/>
              </w:rPr>
              <w:t>(volume indices, year-on-year growth, contributions in p.p., GDP in %)</w:t>
            </w:r>
          </w:p>
        </w:tc>
      </w:tr>
      <w:tr w:rsidR="00073B58" w:rsidRPr="00A00994" w14:paraId="1A49AB5B" w14:textId="77777777" w:rsidTr="00073B58">
        <w:tblPrEx>
          <w:tblCellMar>
            <w:left w:w="70" w:type="dxa"/>
            <w:right w:w="70" w:type="dxa"/>
          </w:tblCellMar>
        </w:tblPrEx>
        <w:trPr>
          <w:trHeight w:val="170"/>
        </w:trPr>
        <w:tc>
          <w:tcPr>
            <w:tcW w:w="1806" w:type="dxa"/>
            <w:vMerge/>
            <w:shd w:val="clear" w:color="auto" w:fill="auto"/>
          </w:tcPr>
          <w:p w14:paraId="040EC517" w14:textId="77777777" w:rsidR="00073B58" w:rsidRPr="00A00994" w:rsidRDefault="00073B58" w:rsidP="00073B58">
            <w:pPr>
              <w:pStyle w:val="Marginlie"/>
              <w:rPr>
                <w:lang w:val="en-GB"/>
              </w:rPr>
            </w:pPr>
          </w:p>
        </w:tc>
        <w:tc>
          <w:tcPr>
            <w:tcW w:w="223" w:type="dxa"/>
            <w:vMerge/>
            <w:shd w:val="clear" w:color="auto" w:fill="auto"/>
          </w:tcPr>
          <w:p w14:paraId="45ABC5BE" w14:textId="77777777" w:rsidR="00073B58" w:rsidRPr="00A00994" w:rsidRDefault="00073B58" w:rsidP="00073B58">
            <w:pPr>
              <w:pStyle w:val="Textpoznpodarou"/>
              <w:jc w:val="both"/>
              <w:rPr>
                <w:spacing w:val="-4"/>
                <w:lang w:val="en-GB"/>
              </w:rPr>
            </w:pPr>
          </w:p>
        </w:tc>
        <w:tc>
          <w:tcPr>
            <w:tcW w:w="7610" w:type="dxa"/>
            <w:shd w:val="clear" w:color="auto" w:fill="auto"/>
          </w:tcPr>
          <w:p w14:paraId="69CDE150" w14:textId="77777777" w:rsidR="00073B58" w:rsidRPr="00A00994" w:rsidRDefault="00073B58" w:rsidP="00073B58">
            <w:pPr>
              <w:spacing w:after="0"/>
              <w:rPr>
                <w:lang w:val="en-GB"/>
              </w:rPr>
            </w:pPr>
            <w:r>
              <w:rPr>
                <w:noProof/>
              </w:rPr>
              <w:drawing>
                <wp:inline distT="0" distB="0" distL="0" distR="0" wp14:anchorId="0A0C4E95" wp14:editId="152F713D">
                  <wp:extent cx="4737600" cy="3553200"/>
                  <wp:effectExtent l="0" t="0" r="6350" b="0"/>
                  <wp:docPr id="42" name="Graf 4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73B58" w:rsidRPr="00A00994" w14:paraId="6F243372" w14:textId="77777777" w:rsidTr="00073B58">
        <w:trPr>
          <w:trHeight w:val="170"/>
        </w:trPr>
        <w:tc>
          <w:tcPr>
            <w:tcW w:w="1806" w:type="dxa"/>
            <w:vMerge/>
            <w:shd w:val="clear" w:color="auto" w:fill="auto"/>
            <w:tcMar>
              <w:left w:w="0" w:type="dxa"/>
            </w:tcMar>
          </w:tcPr>
          <w:p w14:paraId="173F8E1D" w14:textId="77777777" w:rsidR="00073B58" w:rsidRPr="00A00994" w:rsidRDefault="00073B58" w:rsidP="00073B58">
            <w:pPr>
              <w:pStyle w:val="Marginlie"/>
              <w:rPr>
                <w:lang w:val="en-GB"/>
              </w:rPr>
            </w:pPr>
          </w:p>
        </w:tc>
        <w:tc>
          <w:tcPr>
            <w:tcW w:w="223" w:type="dxa"/>
            <w:vMerge/>
            <w:shd w:val="clear" w:color="auto" w:fill="auto"/>
            <w:tcMar>
              <w:left w:w="0" w:type="dxa"/>
            </w:tcMar>
          </w:tcPr>
          <w:p w14:paraId="7C3BB005"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18DCA695" w14:textId="77777777" w:rsidR="00073B58" w:rsidRDefault="00073B58" w:rsidP="00073B58">
            <w:pPr>
              <w:spacing w:after="0"/>
              <w:rPr>
                <w:sz w:val="14"/>
                <w:szCs w:val="14"/>
                <w:lang w:val="en-GB"/>
              </w:rPr>
            </w:pPr>
            <w:r w:rsidRPr="00A00994">
              <w:rPr>
                <w:sz w:val="14"/>
                <w:szCs w:val="14"/>
                <w:lang w:val="en-GB"/>
              </w:rPr>
              <w:t>Source: CZSO</w:t>
            </w:r>
          </w:p>
          <w:p w14:paraId="63EF51DB" w14:textId="77777777" w:rsidR="00073B58" w:rsidRPr="00A00994" w:rsidRDefault="00073B58" w:rsidP="00073B58">
            <w:pPr>
              <w:spacing w:after="0"/>
              <w:rPr>
                <w:lang w:val="en-GB"/>
              </w:rPr>
            </w:pPr>
            <w:r w:rsidRPr="00A00994">
              <w:rPr>
                <w:sz w:val="14"/>
                <w:szCs w:val="14"/>
                <w:lang w:val="en-GB"/>
              </w:rPr>
              <w:t>*after exclusion of imports for final use</w:t>
            </w:r>
          </w:p>
        </w:tc>
      </w:tr>
      <w:tr w:rsidR="00073B58" w:rsidRPr="00A00994" w14:paraId="79736237" w14:textId="77777777" w:rsidTr="00073B58">
        <w:trPr>
          <w:trHeight w:val="145"/>
        </w:trPr>
        <w:tc>
          <w:tcPr>
            <w:tcW w:w="1806" w:type="dxa"/>
            <w:shd w:val="clear" w:color="auto" w:fill="auto"/>
            <w:tcMar>
              <w:left w:w="0" w:type="dxa"/>
            </w:tcMar>
          </w:tcPr>
          <w:p w14:paraId="5AD6840A" w14:textId="77777777" w:rsidR="00073B58" w:rsidRPr="00A00994" w:rsidRDefault="00073B58" w:rsidP="00073B58">
            <w:pPr>
              <w:pStyle w:val="Marginlie"/>
              <w:rPr>
                <w:lang w:val="en-GB"/>
              </w:rPr>
            </w:pPr>
            <w:r w:rsidRPr="00A00994">
              <w:rPr>
                <w:lang w:val="en-GB"/>
              </w:rPr>
              <w:lastRenderedPageBreak/>
              <w:t xml:space="preserve">Domestic consumption grew only negligibly year-on-year. </w:t>
            </w:r>
          </w:p>
        </w:tc>
        <w:tc>
          <w:tcPr>
            <w:tcW w:w="223" w:type="dxa"/>
            <w:shd w:val="clear" w:color="auto" w:fill="auto"/>
            <w:tcMar>
              <w:left w:w="0" w:type="dxa"/>
            </w:tcMar>
          </w:tcPr>
          <w:p w14:paraId="72945590"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3FA35EA9" w14:textId="77777777" w:rsidR="00073B58" w:rsidRPr="00A00994" w:rsidRDefault="00073B58" w:rsidP="00073B58">
            <w:pPr>
              <w:rPr>
                <w:lang w:val="en-GB"/>
              </w:rPr>
            </w:pPr>
            <w:r w:rsidRPr="00A00994">
              <w:rPr>
                <w:spacing w:val="-2"/>
                <w:lang w:val="en-GB"/>
              </w:rPr>
              <w:t>The domestic consumption was by 0.7% higher year-on-year in Q2. It represented a marked weakening compared to the previous four quarters, which were affected by a weak comparative basis. The abolition of restrictions and opening of retail and services was also joined by massive realisation of the postponed household consumption in the last year’s Q2. The household consumption stagnated year-on-year in Q2 (0.2%) and the consumption of government institutions slightly increased (1.8%). The total contribution of consumption</w:t>
            </w:r>
            <w:r w:rsidRPr="00A00994">
              <w:rPr>
                <w:rStyle w:val="Znakapoznpodarou"/>
                <w:spacing w:val="-2"/>
                <w:lang w:val="en-GB"/>
              </w:rPr>
              <w:footnoteReference w:id="10"/>
            </w:r>
            <w:r w:rsidRPr="00A00994">
              <w:rPr>
                <w:spacing w:val="-2"/>
                <w:lang w:val="en-GB"/>
              </w:rPr>
              <w:t xml:space="preserve"> to the year-on-year GDP growth attained 0.4 p.p. The domestic consumption fell by 0.2% quarter-on-quarter, for the third time in a row. The concerns of households regarding the growth of prices and further economic development turned into a real slump of their income, which naturally adversely affected the consumption. Still, the quarter-on-quarter decrease narrowed compared to the preceding two quarters. The household consumption was lower by 0.1%, while the government expenditures lagged by 0.4%. From the view of the durability, the consumption of durable items fell the most year-on-year (−9.6%)</w:t>
            </w:r>
            <w:r w:rsidRPr="00A00994">
              <w:rPr>
                <w:rStyle w:val="Znakapoznpodarou"/>
                <w:lang w:val="en-GB"/>
              </w:rPr>
              <w:footnoteReference w:id="11"/>
            </w:r>
            <w:r w:rsidRPr="00A00994">
              <w:rPr>
                <w:spacing w:val="-2"/>
                <w:lang w:val="en-GB"/>
              </w:rPr>
              <w:t xml:space="preserve">. The strong quarter-on-quarter downswing (−12.1%) for this category also signals the concerns of households in relation to further development. Consumption of non-durable goods was by 7.5% lower year-on-year and medium term durability goods by 4.2%. By contrast the considerable year-on-year rise of consumption of services continued (12.2%). Despite the uncertainty of households, the slump has so far avoided the services.  </w:t>
            </w:r>
          </w:p>
        </w:tc>
      </w:tr>
      <w:tr w:rsidR="00073B58" w:rsidRPr="00A00994" w14:paraId="5DAD7C43" w14:textId="77777777" w:rsidTr="00073B58">
        <w:trPr>
          <w:trHeight w:val="145"/>
        </w:trPr>
        <w:tc>
          <w:tcPr>
            <w:tcW w:w="1806" w:type="dxa"/>
            <w:shd w:val="clear" w:color="auto" w:fill="auto"/>
            <w:tcMar>
              <w:left w:w="0" w:type="dxa"/>
            </w:tcMar>
          </w:tcPr>
          <w:p w14:paraId="5A8BDC9A" w14:textId="77777777" w:rsidR="00073B58" w:rsidRPr="00A00994" w:rsidRDefault="00073B58" w:rsidP="00073B58">
            <w:pPr>
              <w:pStyle w:val="Marginlie"/>
              <w:rPr>
                <w:lang w:val="en-GB"/>
              </w:rPr>
            </w:pPr>
            <w:r w:rsidRPr="00A00994">
              <w:rPr>
                <w:lang w:val="en-GB"/>
              </w:rPr>
              <w:t xml:space="preserve">Investment into other buildings and structures and also machinery and equipment grew. </w:t>
            </w:r>
          </w:p>
        </w:tc>
        <w:tc>
          <w:tcPr>
            <w:tcW w:w="223" w:type="dxa"/>
            <w:shd w:val="clear" w:color="auto" w:fill="auto"/>
            <w:tcMar>
              <w:left w:w="0" w:type="dxa"/>
            </w:tcMar>
          </w:tcPr>
          <w:p w14:paraId="429AED44"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4C8D2411" w14:textId="77777777" w:rsidR="00073B58" w:rsidRPr="00A00994" w:rsidRDefault="00073B58" w:rsidP="00073B58">
            <w:pPr>
              <w:rPr>
                <w:lang w:val="en-GB"/>
              </w:rPr>
            </w:pPr>
            <w:r w:rsidRPr="00A00994">
              <w:rPr>
                <w:lang w:val="en-GB"/>
              </w:rPr>
              <w:t>The expenditures on gross capital formation expanded by 12.8% year-on-year in Q2. In that, the gross fixed capital formation increased by 6.2%. The gross capital formation added 3.8 p.p. to the year-on-year GDP growth. The inventory stock creation</w:t>
            </w:r>
            <w:r w:rsidRPr="00A00994">
              <w:rPr>
                <w:rStyle w:val="Znakapoznpodarou"/>
                <w:lang w:val="en-GB"/>
              </w:rPr>
              <w:footnoteReference w:id="12"/>
            </w:r>
            <w:r w:rsidRPr="00A00994">
              <w:rPr>
                <w:lang w:val="en-GB"/>
              </w:rPr>
              <w:t xml:space="preserve"> thus substantially influenced the growth of both the gross capital and total GDP. It is already strengthened for more than one year in connection to the shortage of components in industry. The businesses thus accumulated final products awaiting supplies and completion. This situation partially improved, but the businesses newly feel the need to stock up with material in the event of further shortages and also due to sharply rising prices. Quarter-on-quarter, the expenditures on gross capital formation went up by 3.0%. While the gross fixed capital formation increased by 0.7%. The quarter-on-quarter comparison was thus also strongly assisted by the creation of the inventory stock. Based on the data of the </w:t>
            </w:r>
            <w:r w:rsidRPr="00A00994">
              <w:rPr>
                <w:rFonts w:cs="Arial"/>
                <w:szCs w:val="20"/>
                <w:lang w:val="en-GB"/>
              </w:rPr>
              <w:t xml:space="preserve">type classification of gross fixed capital formation, year-on-year the investment into transport equipment </w:t>
            </w:r>
            <w:r w:rsidRPr="00A00994">
              <w:rPr>
                <w:lang w:val="en-GB"/>
              </w:rPr>
              <w:t xml:space="preserve">(17.5%), further other buildings and structures (7.4%) and ICT and other machinery and equipment (4.7%) increased the most. Investments into </w:t>
            </w:r>
            <w:r>
              <w:rPr>
                <w:lang w:val="en-GB"/>
              </w:rPr>
              <w:t>dwellings</w:t>
            </w:r>
            <w:r w:rsidRPr="00A00994">
              <w:rPr>
                <w:lang w:val="en-GB"/>
              </w:rPr>
              <w:t xml:space="preserve"> were by 4.6% higher and the expenditures on intellectual property products rose by 3.7%. The year-on-year dynamics was however in some cases aided by the comparison with the weak last year’s Q2. Since the quarter-on-quarter development showed considerable decrease of expenditures on </w:t>
            </w:r>
            <w:r>
              <w:rPr>
                <w:lang w:val="en-GB"/>
              </w:rPr>
              <w:t>dwellings</w:t>
            </w:r>
            <w:r w:rsidRPr="00A00994">
              <w:rPr>
                <w:lang w:val="en-GB"/>
              </w:rPr>
              <w:t xml:space="preserve"> (−2.5%) and lowering of investment into transport equipment (−0.3%). The investment into other buildings and structures (3.1%) and ICT and other machinery and equipment (1.6%) grew notably quarter-on-quarter.    </w:t>
            </w:r>
          </w:p>
        </w:tc>
      </w:tr>
      <w:tr w:rsidR="00073B58" w:rsidRPr="00A00994" w14:paraId="5065C52F" w14:textId="77777777" w:rsidTr="00073B58">
        <w:trPr>
          <w:trHeight w:val="145"/>
        </w:trPr>
        <w:tc>
          <w:tcPr>
            <w:tcW w:w="1806" w:type="dxa"/>
            <w:shd w:val="clear" w:color="auto" w:fill="auto"/>
            <w:tcMar>
              <w:left w:w="0" w:type="dxa"/>
            </w:tcMar>
          </w:tcPr>
          <w:p w14:paraId="6384F93E" w14:textId="77777777" w:rsidR="00073B58" w:rsidRPr="00A00994" w:rsidRDefault="00073B58" w:rsidP="00073B58">
            <w:pPr>
              <w:pStyle w:val="Marginlie"/>
              <w:rPr>
                <w:lang w:val="en-GB"/>
              </w:rPr>
            </w:pPr>
            <w:r w:rsidRPr="00A00994">
              <w:rPr>
                <w:lang w:val="en-GB"/>
              </w:rPr>
              <w:t xml:space="preserve">Balance of foreign trade with goods and services slumped into deficit. </w:t>
            </w:r>
          </w:p>
        </w:tc>
        <w:tc>
          <w:tcPr>
            <w:tcW w:w="223" w:type="dxa"/>
            <w:shd w:val="clear" w:color="auto" w:fill="auto"/>
            <w:tcMar>
              <w:left w:w="0" w:type="dxa"/>
            </w:tcMar>
          </w:tcPr>
          <w:p w14:paraId="7F5AB6BB"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562123C3" w14:textId="77777777" w:rsidR="00073B58" w:rsidRPr="00A00994" w:rsidRDefault="00073B58" w:rsidP="00073B58">
            <w:pPr>
              <w:rPr>
                <w:lang w:val="en-GB"/>
              </w:rPr>
            </w:pPr>
            <w:r w:rsidRPr="00A00994">
              <w:rPr>
                <w:lang w:val="en-GB"/>
              </w:rPr>
              <w:t>Export of goods and services went up in real terms by 1.8%</w:t>
            </w:r>
            <w:r w:rsidRPr="00A00994">
              <w:rPr>
                <w:rStyle w:val="Znakapoznpodarou"/>
                <w:lang w:val="en-GB"/>
              </w:rPr>
              <w:footnoteReference w:id="13"/>
            </w:r>
            <w:r w:rsidRPr="00A00994">
              <w:rPr>
                <w:lang w:val="en-GB"/>
              </w:rPr>
              <w:t xml:space="preserve"> year-on-year. Strictly the export of services was growing (15.7%), which is steadily recovering from the pandemic downturn in the past year. On the other hand the export of goods kept falling year-on-year (−0.6%). The year-on-year addition to import of goods and services reached 2.7% and again thus exceeded the dynamics of export. The export of goods and services rose by 1.2% in real terms quarter-on-quarter. Export of goods moderately increased (0.5%), however the services fared much better (4.9%). Import was by 1.8% higher </w:t>
            </w:r>
            <w:r w:rsidRPr="00A00994">
              <w:rPr>
                <w:lang w:val="en-GB"/>
              </w:rPr>
              <w:lastRenderedPageBreak/>
              <w:t>quarter-on-quarter, in that the import of goods increased by 1.1% and services by 5.7%. The resulting balance of trade with goods and services worsened by 77.3 CZK bn year-on-year and thus dropped into the deficit of 25.8 bn. It represents the first balance deficit since Q2 2004. The balance of trade with goods was in deficit (−55.7 CZK bn), on the contrary the trade with services amounted to surplus of 29.9 bn.</w:t>
            </w:r>
          </w:p>
        </w:tc>
      </w:tr>
      <w:tr w:rsidR="00073B58" w:rsidRPr="00A00994" w14:paraId="06A35D7D" w14:textId="77777777" w:rsidTr="00073B58">
        <w:trPr>
          <w:trHeight w:val="145"/>
        </w:trPr>
        <w:tc>
          <w:tcPr>
            <w:tcW w:w="1806" w:type="dxa"/>
            <w:shd w:val="clear" w:color="auto" w:fill="auto"/>
            <w:tcMar>
              <w:left w:w="0" w:type="dxa"/>
            </w:tcMar>
          </w:tcPr>
          <w:p w14:paraId="6B4A71A4" w14:textId="77777777" w:rsidR="00073B58" w:rsidRPr="00A00994" w:rsidRDefault="00073B58" w:rsidP="00073B58">
            <w:pPr>
              <w:pStyle w:val="Marginlie"/>
              <w:rPr>
                <w:lang w:val="en-GB"/>
              </w:rPr>
            </w:pPr>
            <w:r w:rsidRPr="00A00994">
              <w:rPr>
                <w:lang w:val="en-GB"/>
              </w:rPr>
              <w:lastRenderedPageBreak/>
              <w:t xml:space="preserve">The GVA was rising in the majority of branches year-on-year. </w:t>
            </w:r>
          </w:p>
        </w:tc>
        <w:tc>
          <w:tcPr>
            <w:tcW w:w="223" w:type="dxa"/>
            <w:shd w:val="clear" w:color="auto" w:fill="auto"/>
            <w:tcMar>
              <w:left w:w="0" w:type="dxa"/>
            </w:tcMar>
          </w:tcPr>
          <w:p w14:paraId="21F68B0E"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0A414FE9" w14:textId="77777777" w:rsidR="00073B58" w:rsidRPr="00A00994" w:rsidRDefault="00073B58" w:rsidP="00073B58">
            <w:pPr>
              <w:rPr>
                <w:lang w:val="en-GB"/>
              </w:rPr>
            </w:pPr>
            <w:r w:rsidRPr="00A00994">
              <w:rPr>
                <w:lang w:val="en-GB"/>
              </w:rPr>
              <w:t xml:space="preserve">The Gross value added (GVA) mildly grew by 3.4% year-on-year in Q2. The year-on-year comparison is not affected by the low comparative basis to such an extent as in the preceding quarters. Apart from agriculture, forestry and fishing (−0.7%), the GVA increased for all branches year-on-year. Mainly services prospered. The effect of the low comparative basis is apparent mainly for other activities (17.1%) since the branch started to revive from the pandemic downturn only last year. The GVA significantly grew in group trade, transportation, accommodation and food service (7.7%), in information and communication (6.6%), in professional, scientific, technical and administrative activities (5.7%) and in construction (5.1%) this year in Q2. The GVA went up by 3.2% in financial and insurance activities year-on-year and by 1.1% in branches with prevalence of government institutions. The GVA in real estate activities (0.8%) mildly increased year-on-year after more than two years of decreases. Manufacturing again slightly increased (0.8%) after two decreases. </w:t>
            </w:r>
          </w:p>
        </w:tc>
      </w:tr>
      <w:tr w:rsidR="00073B58" w:rsidRPr="00A00994" w14:paraId="2257D1E5" w14:textId="77777777" w:rsidTr="00073B58">
        <w:trPr>
          <w:trHeight w:val="145"/>
        </w:trPr>
        <w:tc>
          <w:tcPr>
            <w:tcW w:w="1806" w:type="dxa"/>
            <w:shd w:val="clear" w:color="auto" w:fill="auto"/>
            <w:tcMar>
              <w:left w:w="0" w:type="dxa"/>
            </w:tcMar>
          </w:tcPr>
          <w:p w14:paraId="44462E98" w14:textId="77777777" w:rsidR="00073B58" w:rsidRPr="00A00994" w:rsidRDefault="00073B58" w:rsidP="00073B58">
            <w:pPr>
              <w:pStyle w:val="Marginlie"/>
              <w:rPr>
                <w:lang w:val="en-GB"/>
              </w:rPr>
            </w:pPr>
            <w:r w:rsidRPr="00A00994">
              <w:rPr>
                <w:lang w:val="en-GB"/>
              </w:rPr>
              <w:t xml:space="preserve">Part of services reported significant quarter-on-quarter GVA recovery.  </w:t>
            </w:r>
          </w:p>
        </w:tc>
        <w:tc>
          <w:tcPr>
            <w:tcW w:w="223" w:type="dxa"/>
            <w:shd w:val="clear" w:color="auto" w:fill="auto"/>
            <w:tcMar>
              <w:left w:w="0" w:type="dxa"/>
            </w:tcMar>
          </w:tcPr>
          <w:p w14:paraId="5376612C"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7F7ABAA9" w14:textId="77777777" w:rsidR="00073B58" w:rsidRPr="00A00994" w:rsidRDefault="00073B58" w:rsidP="00073B58">
            <w:pPr>
              <w:rPr>
                <w:lang w:val="en-GB"/>
              </w:rPr>
            </w:pPr>
            <w:r w:rsidRPr="00A00994">
              <w:rPr>
                <w:lang w:val="en-GB"/>
              </w:rPr>
              <w:t xml:space="preserve">In comparison to the previous quarter, the GVA increased by 0.5%. The majority of branches was expanding except for construction (−1.1%), real estate activities (−0.5%) and branches with dominance of the government institutions (−0.3%). Professional, scientific, technical and administrative activities (3.5%), information and communication (2.4%), other service activities (2.4%) and agriculture, forestry and fishing (2.3%) reported a notable revival of the GVA. The GVA grew moderately in financial and insurance activities (0.5%), in group trade, transportation, accommodation and food service (0.4%) and also in manufacturing (0.3%).   </w:t>
            </w:r>
          </w:p>
        </w:tc>
      </w:tr>
      <w:tr w:rsidR="00073B58" w:rsidRPr="00A00994" w14:paraId="0FDA0D91" w14:textId="77777777" w:rsidTr="00073B58">
        <w:trPr>
          <w:trHeight w:val="170"/>
        </w:trPr>
        <w:tc>
          <w:tcPr>
            <w:tcW w:w="1806" w:type="dxa"/>
            <w:vMerge w:val="restart"/>
            <w:shd w:val="clear" w:color="auto" w:fill="auto"/>
            <w:tcMar>
              <w:left w:w="0" w:type="dxa"/>
            </w:tcMar>
          </w:tcPr>
          <w:p w14:paraId="1E1BF245" w14:textId="77777777" w:rsidR="00073B58" w:rsidRPr="00A00994" w:rsidRDefault="00073B58" w:rsidP="00073B58">
            <w:pPr>
              <w:pStyle w:val="Marginlie"/>
              <w:rPr>
                <w:lang w:val="en-GB"/>
              </w:rPr>
            </w:pPr>
          </w:p>
        </w:tc>
        <w:tc>
          <w:tcPr>
            <w:tcW w:w="223" w:type="dxa"/>
            <w:vMerge w:val="restart"/>
            <w:shd w:val="clear" w:color="auto" w:fill="auto"/>
            <w:tcMar>
              <w:left w:w="0" w:type="dxa"/>
            </w:tcMar>
          </w:tcPr>
          <w:p w14:paraId="3129FDC2"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32F8DA43" w14:textId="77777777" w:rsidR="00073B58" w:rsidRPr="00A00994" w:rsidRDefault="00073B58" w:rsidP="00073B58">
            <w:pPr>
              <w:spacing w:after="0"/>
              <w:rPr>
                <w:szCs w:val="20"/>
                <w:lang w:val="en-GB"/>
              </w:rPr>
            </w:pPr>
            <w:r w:rsidRPr="00A00994">
              <w:rPr>
                <w:b/>
                <w:szCs w:val="20"/>
                <w:lang w:val="en-GB"/>
              </w:rPr>
              <w:t>Chart 3 Contributions</w:t>
            </w:r>
            <w:r w:rsidRPr="00A00994">
              <w:rPr>
                <w:b/>
                <w:szCs w:val="20"/>
                <w:lang w:val="en-GB" w:eastAsia="en-US"/>
              </w:rPr>
              <w:t xml:space="preserve"> of branches to real change in GVA</w:t>
            </w:r>
            <w:r w:rsidRPr="00A00994">
              <w:rPr>
                <w:rFonts w:cs="Arial"/>
                <w:b/>
                <w:szCs w:val="20"/>
                <w:lang w:val="en-GB" w:eastAsia="en-US"/>
              </w:rPr>
              <w:t xml:space="preserve"> </w:t>
            </w:r>
            <w:r w:rsidRPr="00A00994">
              <w:rPr>
                <w:rFonts w:cs="Arial"/>
                <w:bCs/>
                <w:szCs w:val="20"/>
                <w:lang w:val="en-GB" w:eastAsia="en-US"/>
              </w:rPr>
              <w:t>(volume indices, year-on-year contributions in p.p., GVA in %)</w:t>
            </w:r>
            <w:r w:rsidRPr="00A00994">
              <w:rPr>
                <w:rFonts w:cs="Arial"/>
                <w:szCs w:val="20"/>
                <w:lang w:val="en-GB" w:eastAsia="en-US"/>
              </w:rPr>
              <w:t xml:space="preserve"> </w:t>
            </w:r>
          </w:p>
        </w:tc>
      </w:tr>
      <w:tr w:rsidR="00073B58" w:rsidRPr="00A00994" w14:paraId="02CC2CD2" w14:textId="77777777" w:rsidTr="00073B58">
        <w:tblPrEx>
          <w:tblCellMar>
            <w:left w:w="70" w:type="dxa"/>
            <w:right w:w="70" w:type="dxa"/>
          </w:tblCellMar>
        </w:tblPrEx>
        <w:trPr>
          <w:trHeight w:val="170"/>
        </w:trPr>
        <w:tc>
          <w:tcPr>
            <w:tcW w:w="1806" w:type="dxa"/>
            <w:vMerge/>
            <w:shd w:val="clear" w:color="auto" w:fill="auto"/>
          </w:tcPr>
          <w:p w14:paraId="3B472342" w14:textId="77777777" w:rsidR="00073B58" w:rsidRPr="00A00994" w:rsidRDefault="00073B58" w:rsidP="00073B58">
            <w:pPr>
              <w:pStyle w:val="Marginlie"/>
              <w:rPr>
                <w:lang w:val="en-GB"/>
              </w:rPr>
            </w:pPr>
          </w:p>
        </w:tc>
        <w:tc>
          <w:tcPr>
            <w:tcW w:w="223" w:type="dxa"/>
            <w:vMerge/>
            <w:shd w:val="clear" w:color="auto" w:fill="auto"/>
          </w:tcPr>
          <w:p w14:paraId="33205B91" w14:textId="77777777" w:rsidR="00073B58" w:rsidRPr="00A00994" w:rsidRDefault="00073B58" w:rsidP="00073B58">
            <w:pPr>
              <w:pStyle w:val="Textpoznpodarou"/>
              <w:jc w:val="both"/>
              <w:rPr>
                <w:spacing w:val="-4"/>
                <w:lang w:val="en-GB"/>
              </w:rPr>
            </w:pPr>
          </w:p>
        </w:tc>
        <w:tc>
          <w:tcPr>
            <w:tcW w:w="7610" w:type="dxa"/>
            <w:shd w:val="clear" w:color="auto" w:fill="auto"/>
          </w:tcPr>
          <w:p w14:paraId="7B65932D" w14:textId="77777777" w:rsidR="00073B58" w:rsidRPr="00A00994" w:rsidRDefault="00073B58" w:rsidP="00073B58">
            <w:pPr>
              <w:spacing w:after="0"/>
              <w:rPr>
                <w:lang w:val="en-GB"/>
              </w:rPr>
            </w:pPr>
            <w:r>
              <w:rPr>
                <w:noProof/>
              </w:rPr>
              <w:drawing>
                <wp:inline distT="0" distB="0" distL="0" distR="0" wp14:anchorId="5817F319" wp14:editId="29D5D9EE">
                  <wp:extent cx="4737600" cy="3553200"/>
                  <wp:effectExtent l="0" t="0" r="6350" b="0"/>
                  <wp:docPr id="43" name="Graf 4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73B58" w:rsidRPr="00A00994" w14:paraId="42A1A4C5" w14:textId="77777777" w:rsidTr="00073B58">
        <w:trPr>
          <w:trHeight w:val="170"/>
        </w:trPr>
        <w:tc>
          <w:tcPr>
            <w:tcW w:w="1806" w:type="dxa"/>
            <w:vMerge/>
            <w:shd w:val="clear" w:color="auto" w:fill="auto"/>
            <w:tcMar>
              <w:left w:w="0" w:type="dxa"/>
            </w:tcMar>
          </w:tcPr>
          <w:p w14:paraId="6DE03759" w14:textId="77777777" w:rsidR="00073B58" w:rsidRPr="00A00994" w:rsidRDefault="00073B58" w:rsidP="00073B58">
            <w:pPr>
              <w:pStyle w:val="Marginlie"/>
              <w:rPr>
                <w:lang w:val="en-GB"/>
              </w:rPr>
            </w:pPr>
          </w:p>
        </w:tc>
        <w:tc>
          <w:tcPr>
            <w:tcW w:w="223" w:type="dxa"/>
            <w:vMerge/>
            <w:shd w:val="clear" w:color="auto" w:fill="auto"/>
            <w:tcMar>
              <w:left w:w="0" w:type="dxa"/>
            </w:tcMar>
          </w:tcPr>
          <w:p w14:paraId="4DB840FA"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30A19A1A" w14:textId="77777777" w:rsidR="00073B58" w:rsidRPr="00A00994" w:rsidRDefault="00073B58" w:rsidP="00073B58">
            <w:pPr>
              <w:rPr>
                <w:b/>
                <w:bCs/>
                <w:sz w:val="16"/>
                <w:szCs w:val="16"/>
                <w:lang w:val="en-GB"/>
              </w:rPr>
            </w:pPr>
            <w:r w:rsidRPr="00A00994">
              <w:rPr>
                <w:sz w:val="14"/>
                <w:szCs w:val="14"/>
                <w:lang w:val="en-GB"/>
              </w:rPr>
              <w:t>Source: CZSO</w:t>
            </w:r>
          </w:p>
        </w:tc>
      </w:tr>
    </w:tbl>
    <w:p w14:paraId="4E3B04CA" w14:textId="77777777" w:rsidR="00073B58" w:rsidRPr="00A00994" w:rsidRDefault="00073B58" w:rsidP="00073B58">
      <w:pPr>
        <w:rPr>
          <w:rFonts w:eastAsia="MS Gothic"/>
          <w:bCs/>
          <w:color w:val="71818C"/>
          <w:sz w:val="2"/>
          <w:szCs w:val="2"/>
          <w:highlight w:val="yellow"/>
          <w:lang w:val="en-GB"/>
        </w:rPr>
      </w:pPr>
      <w:r w:rsidRPr="00A00994">
        <w:rPr>
          <w:lang w:val="en-GB"/>
        </w:rPr>
        <w:br w:type="page"/>
      </w:r>
    </w:p>
    <w:p w14:paraId="4D3FDDF8" w14:textId="3B415284" w:rsidR="00C2272B" w:rsidRPr="00A00994" w:rsidRDefault="00C2272B" w:rsidP="00C2272B">
      <w:pPr>
        <w:pStyle w:val="Nadpis11"/>
        <w:rPr>
          <w:lang w:val="en-GB"/>
        </w:rPr>
      </w:pPr>
      <w:bookmarkStart w:id="18" w:name="_Toc90395912"/>
      <w:bookmarkStart w:id="19" w:name="_Toc98245443"/>
      <w:bookmarkStart w:id="20" w:name="_Toc90395913"/>
      <w:bookmarkStart w:id="21" w:name="_Toc50712130"/>
      <w:bookmarkStart w:id="22" w:name="_Toc58605377"/>
      <w:bookmarkStart w:id="23" w:name="_Toc26865023"/>
      <w:bookmarkStart w:id="24" w:name="_Toc74246554"/>
      <w:bookmarkStart w:id="25" w:name="_Toc66719933"/>
      <w:bookmarkStart w:id="26" w:name="_Toc50712132"/>
      <w:bookmarkStart w:id="27" w:name="_Toc116642872"/>
      <w:bookmarkEnd w:id="9"/>
      <w:bookmarkEnd w:id="10"/>
      <w:bookmarkEnd w:id="11"/>
      <w:bookmarkEnd w:id="12"/>
      <w:bookmarkEnd w:id="13"/>
      <w:r w:rsidRPr="00A00994">
        <w:rPr>
          <w:szCs w:val="32"/>
          <w:lang w:val="en-GB"/>
        </w:rPr>
        <w:lastRenderedPageBreak/>
        <w:t>3</w:t>
      </w:r>
      <w:r w:rsidRPr="00A00994">
        <w:rPr>
          <w:lang w:val="en-GB"/>
        </w:rPr>
        <w:t>. </w:t>
      </w:r>
      <w:r w:rsidR="00002A2B" w:rsidRPr="00A00994">
        <w:rPr>
          <w:lang w:val="en-GB"/>
        </w:rPr>
        <w:t>Branches Performance</w:t>
      </w:r>
      <w:bookmarkEnd w:id="27"/>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95"/>
        <w:gridCol w:w="214"/>
        <w:gridCol w:w="7730"/>
      </w:tblGrid>
      <w:tr w:rsidR="00C2272B" w:rsidRPr="00A00994" w14:paraId="06049F47" w14:textId="77777777" w:rsidTr="00BB1209">
        <w:trPr>
          <w:trHeight w:val="145"/>
        </w:trPr>
        <w:tc>
          <w:tcPr>
            <w:tcW w:w="1695" w:type="dxa"/>
            <w:tcBorders>
              <w:top w:val="nil"/>
              <w:left w:val="nil"/>
              <w:bottom w:val="nil"/>
              <w:right w:val="nil"/>
            </w:tcBorders>
            <w:shd w:val="clear" w:color="auto" w:fill="auto"/>
            <w:tcMar>
              <w:left w:w="0" w:type="dxa"/>
            </w:tcMar>
          </w:tcPr>
          <w:p w14:paraId="263362BD" w14:textId="0AAE50C1" w:rsidR="00C2272B" w:rsidRPr="00A00994" w:rsidRDefault="00304194" w:rsidP="00DB13EF">
            <w:pPr>
              <w:pStyle w:val="Marginlie"/>
              <w:rPr>
                <w:spacing w:val="-6"/>
                <w:lang w:val="en-GB"/>
              </w:rPr>
            </w:pPr>
            <w:r w:rsidRPr="00A00994">
              <w:rPr>
                <w:color w:val="0D0D0D" w:themeColor="text1" w:themeTint="F2"/>
                <w:spacing w:val="-6"/>
                <w:lang w:val="en-GB"/>
              </w:rPr>
              <w:t xml:space="preserve">The industrial output kept further growing quarter-on-quarter in spite of significant growth barriers, rising cost pressures as well as uncertainties connected to the future accessibility of gas. </w:t>
            </w:r>
          </w:p>
        </w:tc>
        <w:tc>
          <w:tcPr>
            <w:tcW w:w="214" w:type="dxa"/>
            <w:tcBorders>
              <w:top w:val="nil"/>
              <w:left w:val="nil"/>
              <w:bottom w:val="nil"/>
              <w:right w:val="nil"/>
            </w:tcBorders>
            <w:shd w:val="clear" w:color="auto" w:fill="auto"/>
            <w:tcMar>
              <w:left w:w="0" w:type="dxa"/>
            </w:tcMar>
          </w:tcPr>
          <w:p w14:paraId="1C5FB8DD" w14:textId="77777777" w:rsidR="00C2272B" w:rsidRPr="00A00994" w:rsidRDefault="00C2272B" w:rsidP="00DB13EF">
            <w:pPr>
              <w:pStyle w:val="Textpoznpodarou"/>
              <w:jc w:val="both"/>
              <w:rPr>
                <w:spacing w:val="-6"/>
                <w:lang w:val="en-GB"/>
              </w:rPr>
            </w:pPr>
          </w:p>
        </w:tc>
        <w:tc>
          <w:tcPr>
            <w:tcW w:w="7730" w:type="dxa"/>
            <w:tcBorders>
              <w:top w:val="nil"/>
              <w:left w:val="nil"/>
              <w:bottom w:val="nil"/>
              <w:right w:val="nil"/>
            </w:tcBorders>
            <w:shd w:val="clear" w:color="auto" w:fill="auto"/>
            <w:tcMar>
              <w:left w:w="0" w:type="dxa"/>
            </w:tcMar>
          </w:tcPr>
          <w:p w14:paraId="1F43C5B6" w14:textId="4DFECC27" w:rsidR="00C2272B" w:rsidRPr="00A00994" w:rsidRDefault="00A94DF9" w:rsidP="00DB13EF">
            <w:pPr>
              <w:spacing w:after="220"/>
              <w:rPr>
                <w:spacing w:val="-6"/>
                <w:lang w:val="en-GB"/>
              </w:rPr>
            </w:pPr>
            <w:r w:rsidRPr="00A00994">
              <w:rPr>
                <w:spacing w:val="-6"/>
                <w:lang w:val="en-GB"/>
              </w:rPr>
              <w:t>Data from the business statistics confirm, that the trend of moderate recovery of the domestic industry also continued during this year’s H</w:t>
            </w:r>
            <w:r w:rsidR="00C2272B" w:rsidRPr="00A00994">
              <w:rPr>
                <w:color w:val="0D0D0D" w:themeColor="text1" w:themeTint="F2"/>
                <w:spacing w:val="-6"/>
                <w:lang w:val="en-GB"/>
              </w:rPr>
              <w:t>1.</w:t>
            </w:r>
            <w:r w:rsidRPr="00A00994">
              <w:rPr>
                <w:color w:val="0D0D0D" w:themeColor="text1" w:themeTint="F2"/>
                <w:spacing w:val="-6"/>
                <w:lang w:val="en-GB"/>
              </w:rPr>
              <w:t xml:space="preserve"> Its output</w:t>
            </w:r>
            <w:r w:rsidR="00C2272B" w:rsidRPr="00A00994">
              <w:rPr>
                <w:rStyle w:val="Znakapoznpodarou"/>
                <w:color w:val="0D0D0D" w:themeColor="text1" w:themeTint="F2"/>
                <w:spacing w:val="-6"/>
                <w:lang w:val="en-GB"/>
              </w:rPr>
              <w:footnoteReference w:id="14"/>
            </w:r>
            <w:r w:rsidR="00C2272B" w:rsidRPr="00A00994">
              <w:rPr>
                <w:color w:val="0D0D0D" w:themeColor="text1" w:themeTint="F2"/>
                <w:spacing w:val="-6"/>
                <w:lang w:val="en-GB"/>
              </w:rPr>
              <w:t xml:space="preserve"> </w:t>
            </w:r>
            <w:r w:rsidRPr="00A00994">
              <w:rPr>
                <w:color w:val="0D0D0D" w:themeColor="text1" w:themeTint="F2"/>
                <w:spacing w:val="-6"/>
                <w:lang w:val="en-GB"/>
              </w:rPr>
              <w:t xml:space="preserve">increased by </w:t>
            </w:r>
            <w:r w:rsidR="00C2272B" w:rsidRPr="00A00994">
              <w:rPr>
                <w:color w:val="0D0D0D" w:themeColor="text1" w:themeTint="F2"/>
                <w:spacing w:val="-6"/>
                <w:lang w:val="en-GB"/>
              </w:rPr>
              <w:t>1</w:t>
            </w:r>
            <w:r w:rsidRPr="00A00994">
              <w:rPr>
                <w:color w:val="0D0D0D" w:themeColor="text1" w:themeTint="F2"/>
                <w:spacing w:val="-6"/>
                <w:lang w:val="en-GB"/>
              </w:rPr>
              <w:t>.</w:t>
            </w:r>
            <w:r w:rsidR="00C2272B" w:rsidRPr="00A00994">
              <w:rPr>
                <w:color w:val="0D0D0D" w:themeColor="text1" w:themeTint="F2"/>
                <w:spacing w:val="-6"/>
                <w:lang w:val="en-GB"/>
              </w:rPr>
              <w:t>2%</w:t>
            </w:r>
            <w:r w:rsidRPr="00A00994">
              <w:rPr>
                <w:color w:val="0D0D0D" w:themeColor="text1" w:themeTint="F2"/>
                <w:spacing w:val="-6"/>
                <w:lang w:val="en-GB"/>
              </w:rPr>
              <w:t xml:space="preserve"> quarter-on-quarter in Q1</w:t>
            </w:r>
            <w:r w:rsidR="00C2272B" w:rsidRPr="00A00994">
              <w:rPr>
                <w:color w:val="0D0D0D" w:themeColor="text1" w:themeTint="F2"/>
                <w:spacing w:val="-6"/>
                <w:lang w:val="en-GB"/>
              </w:rPr>
              <w:t>,</w:t>
            </w:r>
            <w:r w:rsidRPr="00A00994">
              <w:rPr>
                <w:color w:val="0D0D0D" w:themeColor="text1" w:themeTint="F2"/>
                <w:spacing w:val="-6"/>
                <w:lang w:val="en-GB"/>
              </w:rPr>
              <w:t xml:space="preserve"> by </w:t>
            </w:r>
            <w:r w:rsidR="00C2272B" w:rsidRPr="00A00994">
              <w:rPr>
                <w:color w:val="0D0D0D" w:themeColor="text1" w:themeTint="F2"/>
                <w:spacing w:val="-6"/>
                <w:lang w:val="en-GB"/>
              </w:rPr>
              <w:t>0</w:t>
            </w:r>
            <w:r w:rsidRPr="00A00994">
              <w:rPr>
                <w:color w:val="0D0D0D" w:themeColor="text1" w:themeTint="F2"/>
                <w:spacing w:val="-6"/>
                <w:lang w:val="en-GB"/>
              </w:rPr>
              <w:t>.</w:t>
            </w:r>
            <w:r w:rsidR="00C2272B" w:rsidRPr="00A00994">
              <w:rPr>
                <w:color w:val="0D0D0D" w:themeColor="text1" w:themeTint="F2"/>
                <w:spacing w:val="-6"/>
                <w:lang w:val="en-GB"/>
              </w:rPr>
              <w:t>8%</w:t>
            </w:r>
            <w:r w:rsidRPr="00A00994">
              <w:rPr>
                <w:color w:val="0D0D0D" w:themeColor="text1" w:themeTint="F2"/>
                <w:spacing w:val="-6"/>
                <w:lang w:val="en-GB"/>
              </w:rPr>
              <w:t xml:space="preserve"> in Q2</w:t>
            </w:r>
            <w:r w:rsidR="00C2272B" w:rsidRPr="00A00994">
              <w:rPr>
                <w:color w:val="0D0D0D" w:themeColor="text1" w:themeTint="F2"/>
                <w:spacing w:val="-6"/>
                <w:lang w:val="en-GB"/>
              </w:rPr>
              <w:t xml:space="preserve">. </w:t>
            </w:r>
            <w:r w:rsidR="00D31F1F" w:rsidRPr="00A00994">
              <w:rPr>
                <w:color w:val="0D0D0D" w:themeColor="text1" w:themeTint="F2"/>
                <w:spacing w:val="-6"/>
                <w:lang w:val="en-GB"/>
              </w:rPr>
              <w:t xml:space="preserve">Even though it does not concern staggering rates of growths, it presents more favourable results than observed for the whole last year. </w:t>
            </w:r>
            <w:r w:rsidR="007932D3" w:rsidRPr="00A00994">
              <w:rPr>
                <w:color w:val="0D0D0D" w:themeColor="text1" w:themeTint="F2"/>
                <w:spacing w:val="-6"/>
                <w:lang w:val="en-GB"/>
              </w:rPr>
              <w:t>Manufacturing of motor vehicles</w:t>
            </w:r>
            <w:r w:rsidR="00C2272B" w:rsidRPr="00A00994">
              <w:rPr>
                <w:color w:val="0D0D0D" w:themeColor="text1" w:themeTint="F2"/>
                <w:spacing w:val="-6"/>
                <w:lang w:val="en-GB"/>
              </w:rPr>
              <w:t xml:space="preserve">, </w:t>
            </w:r>
            <w:r w:rsidR="007932D3" w:rsidRPr="00A00994">
              <w:rPr>
                <w:color w:val="0D0D0D" w:themeColor="text1" w:themeTint="F2"/>
                <w:spacing w:val="-6"/>
                <w:lang w:val="en-GB"/>
              </w:rPr>
              <w:t xml:space="preserve">where the difficulties with supplies of some production components eased somewhat this year in </w:t>
            </w:r>
            <w:r w:rsidR="00DC1A3D">
              <w:rPr>
                <w:color w:val="0D0D0D" w:themeColor="text1" w:themeTint="F2"/>
                <w:spacing w:val="-6"/>
                <w:lang w:val="en-GB"/>
              </w:rPr>
              <w:t>s</w:t>
            </w:r>
            <w:r w:rsidR="00E846B0" w:rsidRPr="00A00994">
              <w:rPr>
                <w:color w:val="0D0D0D" w:themeColor="text1" w:themeTint="F2"/>
                <w:spacing w:val="-6"/>
                <w:lang w:val="en-GB"/>
              </w:rPr>
              <w:t>pring</w:t>
            </w:r>
            <w:r w:rsidR="007932D3" w:rsidRPr="00A00994">
              <w:rPr>
                <w:color w:val="0D0D0D" w:themeColor="text1" w:themeTint="F2"/>
                <w:spacing w:val="-6"/>
                <w:lang w:val="en-GB"/>
              </w:rPr>
              <w:t xml:space="preserve">, played a large part. </w:t>
            </w:r>
            <w:r w:rsidR="00E657C8" w:rsidRPr="00A00994">
              <w:rPr>
                <w:color w:val="0D0D0D" w:themeColor="text1" w:themeTint="F2"/>
                <w:spacing w:val="-6"/>
                <w:lang w:val="en-GB"/>
              </w:rPr>
              <w:t>If in Q</w:t>
            </w:r>
            <w:r w:rsidR="00C2272B" w:rsidRPr="00A00994">
              <w:rPr>
                <w:color w:val="0D0D0D" w:themeColor="text1" w:themeTint="F2"/>
                <w:spacing w:val="-6"/>
                <w:lang w:val="en-GB"/>
              </w:rPr>
              <w:t>1</w:t>
            </w:r>
            <w:r w:rsidR="00E657C8" w:rsidRPr="00A00994">
              <w:rPr>
                <w:color w:val="0D0D0D" w:themeColor="text1" w:themeTint="F2"/>
                <w:spacing w:val="-6"/>
                <w:lang w:val="en-GB"/>
              </w:rPr>
              <w:t xml:space="preserve"> the majority of other more significant manufacturing activities prospered</w:t>
            </w:r>
            <w:r w:rsidR="00C2272B" w:rsidRPr="00A00994">
              <w:rPr>
                <w:color w:val="0D0D0D" w:themeColor="text1" w:themeTint="F2"/>
                <w:spacing w:val="-6"/>
                <w:lang w:val="en-GB"/>
              </w:rPr>
              <w:t xml:space="preserve">, </w:t>
            </w:r>
            <w:r w:rsidR="007932D3" w:rsidRPr="00A00994">
              <w:rPr>
                <w:color w:val="0D0D0D" w:themeColor="text1" w:themeTint="F2"/>
                <w:spacing w:val="-6"/>
                <w:lang w:val="en-GB"/>
              </w:rPr>
              <w:t>the ou</w:t>
            </w:r>
            <w:r w:rsidR="00E657C8" w:rsidRPr="00A00994">
              <w:rPr>
                <w:color w:val="0D0D0D" w:themeColor="text1" w:themeTint="F2"/>
                <w:spacing w:val="-6"/>
                <w:lang w:val="en-GB"/>
              </w:rPr>
              <w:t>t</w:t>
            </w:r>
            <w:r w:rsidR="007932D3" w:rsidRPr="00A00994">
              <w:rPr>
                <w:color w:val="0D0D0D" w:themeColor="text1" w:themeTint="F2"/>
                <w:spacing w:val="-6"/>
                <w:lang w:val="en-GB"/>
              </w:rPr>
              <w:t xml:space="preserve">put growth generally halted in these in the subsequent time period. </w:t>
            </w:r>
            <w:r w:rsidR="00F822CE" w:rsidRPr="00A00994">
              <w:rPr>
                <w:color w:val="0D0D0D" w:themeColor="text1" w:themeTint="F2"/>
                <w:spacing w:val="-6"/>
                <w:lang w:val="en-GB"/>
              </w:rPr>
              <w:t xml:space="preserve">Additional substantial growth barriers also limited the industry already for more than two years, at the same time some of them strengthening this year. The ignition of the Russia-Ukraine war conflict </w:t>
            </w:r>
            <w:r w:rsidR="007C0069" w:rsidRPr="00A00994">
              <w:rPr>
                <w:color w:val="0D0D0D" w:themeColor="text1" w:themeTint="F2"/>
                <w:spacing w:val="-6"/>
                <w:lang w:val="en-GB"/>
              </w:rPr>
              <w:t>also substantially contributed to the escalation of the price growth of energies as well as other material inputs</w:t>
            </w:r>
            <w:r w:rsidR="00C2272B" w:rsidRPr="00A00994">
              <w:rPr>
                <w:color w:val="0D0D0D" w:themeColor="text1" w:themeTint="F2"/>
                <w:spacing w:val="-6"/>
                <w:lang w:val="en-GB"/>
              </w:rPr>
              <w:t xml:space="preserve">, </w:t>
            </w:r>
            <w:r w:rsidR="007932D3" w:rsidRPr="00A00994">
              <w:rPr>
                <w:color w:val="0D0D0D" w:themeColor="text1" w:themeTint="F2"/>
                <w:spacing w:val="-6"/>
                <w:lang w:val="en-GB"/>
              </w:rPr>
              <w:t>which could have already adversely affected the performance of some energy more consuming branches</w:t>
            </w:r>
            <w:r w:rsidR="00C2272B" w:rsidRPr="00A00994">
              <w:rPr>
                <w:color w:val="0D0D0D" w:themeColor="text1" w:themeTint="F2"/>
                <w:spacing w:val="-6"/>
                <w:lang w:val="en-GB"/>
              </w:rPr>
              <w:t xml:space="preserve">. </w:t>
            </w:r>
            <w:r w:rsidR="00DB5FDA" w:rsidRPr="00A00994">
              <w:rPr>
                <w:color w:val="0D0D0D" w:themeColor="text1" w:themeTint="F2"/>
                <w:spacing w:val="-6"/>
                <w:lang w:val="en-GB"/>
              </w:rPr>
              <w:t>Output in the whole industry was thus still below its pre-pandemic peak this year in Q</w:t>
            </w:r>
            <w:r w:rsidR="00C2272B" w:rsidRPr="00A00994">
              <w:rPr>
                <w:color w:val="0D0D0D" w:themeColor="text1" w:themeTint="F2"/>
                <w:spacing w:val="-6"/>
                <w:lang w:val="en-GB"/>
              </w:rPr>
              <w:t>2</w:t>
            </w:r>
            <w:r w:rsidR="00C2272B" w:rsidRPr="00A00994">
              <w:rPr>
                <w:rStyle w:val="Znakapoznpodarou"/>
                <w:color w:val="0D0D0D" w:themeColor="text1" w:themeTint="F2"/>
                <w:spacing w:val="-6"/>
                <w:lang w:val="en-GB"/>
              </w:rPr>
              <w:footnoteReference w:id="15"/>
            </w:r>
            <w:r w:rsidR="00C2272B" w:rsidRPr="00A00994">
              <w:rPr>
                <w:color w:val="0D0D0D" w:themeColor="text1" w:themeTint="F2"/>
                <w:spacing w:val="-6"/>
                <w:lang w:val="en-GB"/>
              </w:rPr>
              <w:t>.</w:t>
            </w:r>
          </w:p>
        </w:tc>
      </w:tr>
      <w:tr w:rsidR="00C2272B" w:rsidRPr="00A00994" w14:paraId="6237AE81" w14:textId="77777777" w:rsidTr="00BB1209">
        <w:trPr>
          <w:trHeight w:val="145"/>
        </w:trPr>
        <w:tc>
          <w:tcPr>
            <w:tcW w:w="1695" w:type="dxa"/>
            <w:tcBorders>
              <w:top w:val="nil"/>
              <w:left w:val="nil"/>
              <w:bottom w:val="nil"/>
              <w:right w:val="nil"/>
            </w:tcBorders>
            <w:shd w:val="clear" w:color="auto" w:fill="auto"/>
            <w:tcMar>
              <w:left w:w="0" w:type="dxa"/>
            </w:tcMar>
          </w:tcPr>
          <w:p w14:paraId="7A5F1732" w14:textId="4C6215EB" w:rsidR="00C2272B" w:rsidRPr="00A00994" w:rsidRDefault="00DB5FDA" w:rsidP="00DB13EF">
            <w:pPr>
              <w:pStyle w:val="Marginlie"/>
              <w:rPr>
                <w:spacing w:val="-6"/>
                <w:lang w:val="en-GB"/>
              </w:rPr>
            </w:pPr>
            <w:r w:rsidRPr="00A00994">
              <w:rPr>
                <w:spacing w:val="-6"/>
                <w:lang w:val="en-GB"/>
              </w:rPr>
              <w:t>Industrial production stagnated in H</w:t>
            </w:r>
            <w:r w:rsidR="00C2272B" w:rsidRPr="00A00994">
              <w:rPr>
                <w:spacing w:val="-6"/>
                <w:lang w:val="en-GB"/>
              </w:rPr>
              <w:t>1.</w:t>
            </w:r>
            <w:r w:rsidRPr="00A00994">
              <w:rPr>
                <w:spacing w:val="-6"/>
                <w:lang w:val="en-GB"/>
              </w:rPr>
              <w:t xml:space="preserve"> </w:t>
            </w:r>
            <w:r w:rsidR="00F40205" w:rsidRPr="00A00994">
              <w:rPr>
                <w:spacing w:val="-6"/>
                <w:lang w:val="en-GB"/>
              </w:rPr>
              <w:t>Manufacturing</w:t>
            </w:r>
            <w:r w:rsidR="00632B4B" w:rsidRPr="00A00994">
              <w:rPr>
                <w:spacing w:val="-6"/>
                <w:lang w:val="en-GB"/>
              </w:rPr>
              <w:t xml:space="preserve"> of electrical appliances and also some</w:t>
            </w:r>
            <w:r w:rsidR="00F40205" w:rsidRPr="00A00994">
              <w:rPr>
                <w:spacing w:val="-6"/>
                <w:lang w:val="en-GB"/>
              </w:rPr>
              <w:t xml:space="preserve"> smaller industries, which struggled as a consequence </w:t>
            </w:r>
            <w:r w:rsidR="00D2793E" w:rsidRPr="00A00994">
              <w:rPr>
                <w:spacing w:val="-6"/>
                <w:lang w:val="en-GB"/>
              </w:rPr>
              <w:t xml:space="preserve">of </w:t>
            </w:r>
            <w:r w:rsidR="00F40205" w:rsidRPr="00A00994">
              <w:rPr>
                <w:spacing w:val="-6"/>
                <w:lang w:val="en-GB"/>
              </w:rPr>
              <w:t>involuntary shutdown of shops last year</w:t>
            </w:r>
            <w:r w:rsidR="00D2793E" w:rsidRPr="00A00994">
              <w:rPr>
                <w:spacing w:val="-6"/>
                <w:lang w:val="en-GB"/>
              </w:rPr>
              <w:t>,</w:t>
            </w:r>
            <w:r w:rsidR="00632B4B" w:rsidRPr="00A00994">
              <w:rPr>
                <w:spacing w:val="-6"/>
                <w:lang w:val="en-GB"/>
              </w:rPr>
              <w:t xml:space="preserve"> </w:t>
            </w:r>
            <w:r w:rsidR="00F40205" w:rsidRPr="00A00994">
              <w:rPr>
                <w:spacing w:val="-6"/>
                <w:lang w:val="en-GB"/>
              </w:rPr>
              <w:t>had a pro-growth effect.</w:t>
            </w:r>
          </w:p>
        </w:tc>
        <w:tc>
          <w:tcPr>
            <w:tcW w:w="214" w:type="dxa"/>
            <w:tcBorders>
              <w:top w:val="nil"/>
              <w:left w:val="nil"/>
              <w:bottom w:val="nil"/>
              <w:right w:val="nil"/>
            </w:tcBorders>
            <w:shd w:val="clear" w:color="auto" w:fill="auto"/>
            <w:tcMar>
              <w:left w:w="0" w:type="dxa"/>
            </w:tcMar>
          </w:tcPr>
          <w:p w14:paraId="2D09C00B" w14:textId="77777777" w:rsidR="00C2272B" w:rsidRPr="00A00994" w:rsidRDefault="00C2272B" w:rsidP="00DB13EF">
            <w:pPr>
              <w:pStyle w:val="Textpoznpodarou"/>
              <w:jc w:val="both"/>
              <w:rPr>
                <w:spacing w:val="-6"/>
                <w:lang w:val="en-GB"/>
              </w:rPr>
            </w:pPr>
          </w:p>
        </w:tc>
        <w:tc>
          <w:tcPr>
            <w:tcW w:w="7730" w:type="dxa"/>
            <w:tcBorders>
              <w:top w:val="nil"/>
              <w:left w:val="nil"/>
              <w:bottom w:val="nil"/>
              <w:right w:val="nil"/>
            </w:tcBorders>
            <w:shd w:val="clear" w:color="auto" w:fill="auto"/>
            <w:tcMar>
              <w:left w:w="0" w:type="dxa"/>
            </w:tcMar>
          </w:tcPr>
          <w:p w14:paraId="6A19289B" w14:textId="5A40F7D7" w:rsidR="00C2272B" w:rsidRPr="00A00994" w:rsidRDefault="00F40205" w:rsidP="00DB13EF">
            <w:pPr>
              <w:spacing w:after="220"/>
              <w:rPr>
                <w:spacing w:val="-6"/>
                <w:lang w:val="en-GB"/>
              </w:rPr>
            </w:pPr>
            <w:r w:rsidRPr="00A00994">
              <w:rPr>
                <w:spacing w:val="-6"/>
                <w:lang w:val="en-GB"/>
              </w:rPr>
              <w:t xml:space="preserve">This year’s industrial output in fact only stagnated in the year-on-year comparison this year in both Q1 and 2. </w:t>
            </w:r>
            <w:r w:rsidR="00B14E93" w:rsidRPr="00A00994">
              <w:rPr>
                <w:spacing w:val="-6"/>
                <w:lang w:val="en-GB"/>
              </w:rPr>
              <w:t xml:space="preserve">The disruption of the global supply chains </w:t>
            </w:r>
            <w:r w:rsidRPr="00A00994">
              <w:rPr>
                <w:color w:val="0D0D0D" w:themeColor="text1" w:themeTint="F2"/>
                <w:spacing w:val="-6"/>
                <w:lang w:val="en-GB"/>
              </w:rPr>
              <w:t xml:space="preserve">was not yet too evident in the domestic industry at the beginning of the last year and </w:t>
            </w:r>
            <w:r w:rsidR="00B14E93" w:rsidRPr="00A00994">
              <w:rPr>
                <w:color w:val="0D0D0D" w:themeColor="text1" w:themeTint="F2"/>
                <w:spacing w:val="-6"/>
                <w:lang w:val="en-GB"/>
              </w:rPr>
              <w:t xml:space="preserve">that is why especially the manufacturers of motor vehicles relatively </w:t>
            </w:r>
            <w:r w:rsidR="00DA0DFB" w:rsidRPr="00A00994">
              <w:rPr>
                <w:color w:val="0D0D0D" w:themeColor="text1" w:themeTint="F2"/>
                <w:spacing w:val="-6"/>
                <w:lang w:val="en-GB"/>
              </w:rPr>
              <w:t>quickly</w:t>
            </w:r>
            <w:r w:rsidR="00B14E93" w:rsidRPr="00A00994">
              <w:rPr>
                <w:color w:val="0D0D0D" w:themeColor="text1" w:themeTint="F2"/>
                <w:spacing w:val="-6"/>
                <w:lang w:val="en-GB"/>
              </w:rPr>
              <w:t xml:space="preserve"> erased their losses from the previous “covid” year at that time</w:t>
            </w:r>
            <w:r w:rsidR="00C2272B" w:rsidRPr="00A00994">
              <w:rPr>
                <w:color w:val="0D0D0D" w:themeColor="text1" w:themeTint="F2"/>
                <w:spacing w:val="-6"/>
                <w:lang w:val="en-GB"/>
              </w:rPr>
              <w:t xml:space="preserve">. </w:t>
            </w:r>
            <w:r w:rsidR="00B14E93" w:rsidRPr="00A00994">
              <w:rPr>
                <w:color w:val="0D0D0D" w:themeColor="text1" w:themeTint="F2"/>
                <w:spacing w:val="-6"/>
                <w:lang w:val="en-GB"/>
              </w:rPr>
              <w:t>In total for the whole H</w:t>
            </w:r>
            <w:r w:rsidR="00C2272B" w:rsidRPr="00A00994">
              <w:rPr>
                <w:color w:val="0D0D0D" w:themeColor="text1" w:themeTint="F2"/>
                <w:spacing w:val="-6"/>
                <w:lang w:val="en-GB"/>
              </w:rPr>
              <w:t>1</w:t>
            </w:r>
            <w:r w:rsidR="00B14E93" w:rsidRPr="00A00994">
              <w:rPr>
                <w:color w:val="0D0D0D" w:themeColor="text1" w:themeTint="F2"/>
                <w:spacing w:val="-6"/>
                <w:lang w:val="en-GB"/>
              </w:rPr>
              <w:t xml:space="preserve"> </w:t>
            </w:r>
            <w:r w:rsidR="00C2272B" w:rsidRPr="00A00994">
              <w:rPr>
                <w:color w:val="0D0D0D" w:themeColor="text1" w:themeTint="F2"/>
                <w:spacing w:val="-6"/>
                <w:lang w:val="en-GB"/>
              </w:rPr>
              <w:t>2022</w:t>
            </w:r>
            <w:r w:rsidR="00B14E93" w:rsidRPr="00A00994">
              <w:rPr>
                <w:color w:val="0D0D0D" w:themeColor="text1" w:themeTint="F2"/>
                <w:spacing w:val="-6"/>
                <w:lang w:val="en-GB"/>
              </w:rPr>
              <w:t xml:space="preserve">, the performance of branches, which were deeply hit by the slump of demand related to the enforced shutdown of operations in the critical periods of the pandemics, increased the most. Manufacturers of beverages thus recorded </w:t>
            </w:r>
            <w:r w:rsidR="00C2272B" w:rsidRPr="00A00994">
              <w:rPr>
                <w:color w:val="0D0D0D" w:themeColor="text1" w:themeTint="F2"/>
                <w:spacing w:val="-6"/>
                <w:lang w:val="en-GB"/>
              </w:rPr>
              <w:t xml:space="preserve">12% </w:t>
            </w:r>
            <w:r w:rsidR="00B14E93" w:rsidRPr="00A00994">
              <w:rPr>
                <w:color w:val="0D0D0D" w:themeColor="text1" w:themeTint="F2"/>
                <w:spacing w:val="-6"/>
                <w:lang w:val="en-GB"/>
              </w:rPr>
              <w:t>output growth this year</w:t>
            </w:r>
            <w:r w:rsidR="00C2272B" w:rsidRPr="00A00994">
              <w:rPr>
                <w:color w:val="0D0D0D" w:themeColor="text1" w:themeTint="F2"/>
                <w:spacing w:val="-6"/>
                <w:lang w:val="en-GB"/>
              </w:rPr>
              <w:t xml:space="preserve">, </w:t>
            </w:r>
            <w:r w:rsidRPr="00A00994">
              <w:rPr>
                <w:color w:val="0D0D0D" w:themeColor="text1" w:themeTint="F2"/>
                <w:spacing w:val="-6"/>
                <w:lang w:val="en-GB"/>
              </w:rPr>
              <w:t>other smaller industr</w:t>
            </w:r>
            <w:r w:rsidR="003820ED" w:rsidRPr="00A00994">
              <w:rPr>
                <w:color w:val="0D0D0D" w:themeColor="text1" w:themeTint="F2"/>
                <w:spacing w:val="-6"/>
                <w:lang w:val="en-GB"/>
              </w:rPr>
              <w:t>ies recorded even large revival</w:t>
            </w:r>
            <w:r w:rsidR="00C2272B" w:rsidRPr="00A00994">
              <w:rPr>
                <w:color w:val="0D0D0D" w:themeColor="text1" w:themeTint="F2"/>
                <w:spacing w:val="-6"/>
                <w:lang w:val="en-GB"/>
              </w:rPr>
              <w:t xml:space="preserve"> – </w:t>
            </w:r>
            <w:r w:rsidRPr="00A00994">
              <w:rPr>
                <w:color w:val="0D0D0D" w:themeColor="text1" w:themeTint="F2"/>
                <w:spacing w:val="-6"/>
                <w:lang w:val="en-GB"/>
              </w:rPr>
              <w:t xml:space="preserve">manufacturing of wearing apparel </w:t>
            </w:r>
            <w:r w:rsidR="00C2272B" w:rsidRPr="00A00994">
              <w:rPr>
                <w:color w:val="0D0D0D" w:themeColor="text1" w:themeTint="F2"/>
                <w:spacing w:val="-6"/>
                <w:lang w:val="en-GB"/>
              </w:rPr>
              <w:t>(+13%) a</w:t>
            </w:r>
            <w:r w:rsidRPr="00A00994">
              <w:rPr>
                <w:color w:val="0D0D0D" w:themeColor="text1" w:themeTint="F2"/>
                <w:spacing w:val="-6"/>
                <w:lang w:val="en-GB"/>
              </w:rPr>
              <w:t xml:space="preserve">nd leather products </w:t>
            </w:r>
            <w:r w:rsidR="00C2272B" w:rsidRPr="00A00994">
              <w:rPr>
                <w:color w:val="0D0D0D" w:themeColor="text1" w:themeTint="F2"/>
                <w:spacing w:val="-6"/>
                <w:lang w:val="en-GB"/>
              </w:rPr>
              <w:t xml:space="preserve">(+23%). </w:t>
            </w:r>
            <w:r w:rsidR="00923970" w:rsidRPr="00A00994">
              <w:rPr>
                <w:color w:val="0D0D0D" w:themeColor="text1" w:themeTint="F2"/>
                <w:spacing w:val="-6"/>
                <w:lang w:val="en-GB"/>
              </w:rPr>
              <w:t>Pharmaceutical</w:t>
            </w:r>
            <w:r w:rsidR="00AE6A0F" w:rsidRPr="00A00994">
              <w:rPr>
                <w:color w:val="0D0D0D" w:themeColor="text1" w:themeTint="F2"/>
                <w:spacing w:val="-6"/>
                <w:lang w:val="en-GB"/>
              </w:rPr>
              <w:t xml:space="preserve"> industry </w:t>
            </w:r>
            <w:r w:rsidR="00C2272B" w:rsidRPr="00A00994">
              <w:rPr>
                <w:color w:val="0D0D0D" w:themeColor="text1" w:themeTint="F2"/>
                <w:spacing w:val="-6"/>
                <w:lang w:val="en-GB"/>
              </w:rPr>
              <w:t>(+11%),</w:t>
            </w:r>
            <w:r w:rsidR="00AE6A0F" w:rsidRPr="00A00994">
              <w:rPr>
                <w:color w:val="0D0D0D" w:themeColor="text1" w:themeTint="F2"/>
                <w:spacing w:val="-6"/>
                <w:lang w:val="en-GB"/>
              </w:rPr>
              <w:t xml:space="preserve"> which together with manufacturing of paper products belonged to the only industrial branches, whose output growth was not disrupted for the whole pandemic period</w:t>
            </w:r>
            <w:r w:rsidR="00923970" w:rsidRPr="00A00994">
              <w:rPr>
                <w:color w:val="0D0D0D" w:themeColor="text1" w:themeTint="F2"/>
                <w:spacing w:val="-6"/>
                <w:lang w:val="en-GB"/>
              </w:rPr>
              <w:t xml:space="preserve"> </w:t>
            </w:r>
            <w:r w:rsidR="00C2272B" w:rsidRPr="00A00994">
              <w:rPr>
                <w:color w:val="0D0D0D" w:themeColor="text1" w:themeTint="F2"/>
                <w:spacing w:val="-6"/>
                <w:lang w:val="en-GB"/>
              </w:rPr>
              <w:t xml:space="preserve"> </w:t>
            </w:r>
            <w:r w:rsidR="00AE6A0F" w:rsidRPr="00A00994">
              <w:rPr>
                <w:color w:val="0D0D0D" w:themeColor="text1" w:themeTint="F2"/>
                <w:spacing w:val="-6"/>
                <w:lang w:val="en-GB"/>
              </w:rPr>
              <w:t>still flourished thanks to the still strong domestic as well as foreign demand</w:t>
            </w:r>
            <w:r w:rsidR="00C2272B" w:rsidRPr="00A00994">
              <w:rPr>
                <w:color w:val="0D0D0D" w:themeColor="text1" w:themeTint="F2"/>
                <w:spacing w:val="-6"/>
                <w:lang w:val="en-GB"/>
              </w:rPr>
              <w:t xml:space="preserve">. </w:t>
            </w:r>
            <w:r w:rsidR="005D7508" w:rsidRPr="00A00994">
              <w:rPr>
                <w:color w:val="0D0D0D" w:themeColor="text1" w:themeTint="F2"/>
                <w:spacing w:val="-6"/>
                <w:lang w:val="en-GB"/>
              </w:rPr>
              <w:t>The weight significant manufacturing of electrical equipment worked the most in the direction of growth of the whole industry in H</w:t>
            </w:r>
            <w:r w:rsidR="00C2272B" w:rsidRPr="00A00994">
              <w:rPr>
                <w:color w:val="0D0D0D" w:themeColor="text1" w:themeTint="F2"/>
                <w:spacing w:val="-6"/>
                <w:lang w:val="en-GB"/>
              </w:rPr>
              <w:t>1</w:t>
            </w:r>
            <w:r w:rsidR="005D7508" w:rsidRPr="00A00994">
              <w:rPr>
                <w:color w:val="0D0D0D" w:themeColor="text1" w:themeTint="F2"/>
                <w:spacing w:val="-6"/>
                <w:lang w:val="en-GB"/>
              </w:rPr>
              <w:t xml:space="preserve"> </w:t>
            </w:r>
            <w:r w:rsidR="00C2272B" w:rsidRPr="00A00994">
              <w:rPr>
                <w:color w:val="0D0D0D" w:themeColor="text1" w:themeTint="F2"/>
                <w:spacing w:val="-6"/>
                <w:lang w:val="en-GB"/>
              </w:rPr>
              <w:t>(+0</w:t>
            </w:r>
            <w:r w:rsidR="005D7508" w:rsidRPr="00A00994">
              <w:rPr>
                <w:color w:val="0D0D0D" w:themeColor="text1" w:themeTint="F2"/>
                <w:spacing w:val="-6"/>
                <w:lang w:val="en-GB"/>
              </w:rPr>
              <w:t>.</w:t>
            </w:r>
            <w:r w:rsidR="00C2272B" w:rsidRPr="00A00994">
              <w:rPr>
                <w:color w:val="0D0D0D" w:themeColor="text1" w:themeTint="F2"/>
                <w:spacing w:val="-6"/>
                <w:lang w:val="en-GB"/>
              </w:rPr>
              <w:t>3 p.</w:t>
            </w:r>
            <w:r w:rsidR="005D7508" w:rsidRPr="00A00994">
              <w:rPr>
                <w:color w:val="0D0D0D" w:themeColor="text1" w:themeTint="F2"/>
                <w:spacing w:val="-6"/>
                <w:lang w:val="en-GB"/>
              </w:rPr>
              <w:t>p</w:t>
            </w:r>
            <w:r w:rsidR="00C2272B" w:rsidRPr="00A00994">
              <w:rPr>
                <w:color w:val="0D0D0D" w:themeColor="text1" w:themeTint="F2"/>
                <w:spacing w:val="-6"/>
                <w:lang w:val="en-GB"/>
              </w:rPr>
              <w:t xml:space="preserve">.), </w:t>
            </w:r>
            <w:r w:rsidR="005D7508" w:rsidRPr="00A00994">
              <w:rPr>
                <w:color w:val="0D0D0D" w:themeColor="text1" w:themeTint="F2"/>
                <w:spacing w:val="-6"/>
                <w:lang w:val="en-GB"/>
              </w:rPr>
              <w:t xml:space="preserve">despite its relatively modest year-on-year addition </w:t>
            </w:r>
            <w:r w:rsidR="00C2272B" w:rsidRPr="00A00994">
              <w:rPr>
                <w:color w:val="0D0D0D" w:themeColor="text1" w:themeTint="F2"/>
                <w:spacing w:val="-6"/>
                <w:lang w:val="en-GB"/>
              </w:rPr>
              <w:t>(3</w:t>
            </w:r>
            <w:r w:rsidR="005D7508" w:rsidRPr="00A00994">
              <w:rPr>
                <w:color w:val="0D0D0D" w:themeColor="text1" w:themeTint="F2"/>
                <w:spacing w:val="-6"/>
                <w:lang w:val="en-GB"/>
              </w:rPr>
              <w:t>.</w:t>
            </w:r>
            <w:r w:rsidR="00C2272B" w:rsidRPr="00A00994">
              <w:rPr>
                <w:color w:val="0D0D0D" w:themeColor="text1" w:themeTint="F2"/>
                <w:spacing w:val="-6"/>
                <w:lang w:val="en-GB"/>
              </w:rPr>
              <w:t xml:space="preserve">7%). </w:t>
            </w:r>
            <w:r w:rsidR="005D7508" w:rsidRPr="00A00994">
              <w:rPr>
                <w:color w:val="0D0D0D" w:themeColor="text1" w:themeTint="F2"/>
                <w:spacing w:val="-6"/>
                <w:lang w:val="en-GB"/>
              </w:rPr>
              <w:t xml:space="preserve">Some other more significant industries also strengthened by a similar pace – chemical industry or manufacturing of construction materials </w:t>
            </w:r>
            <w:r w:rsidR="00C2272B" w:rsidRPr="00A00994">
              <w:rPr>
                <w:color w:val="0D0D0D" w:themeColor="text1" w:themeTint="F2"/>
                <w:spacing w:val="-6"/>
                <w:lang w:val="en-GB"/>
              </w:rPr>
              <w:t>(</w:t>
            </w:r>
            <w:r w:rsidR="00B07132" w:rsidRPr="00A00994">
              <w:rPr>
                <w:color w:val="0D0D0D" w:themeColor="text1" w:themeTint="F2"/>
                <w:spacing w:val="-6"/>
                <w:lang w:val="en-GB"/>
              </w:rPr>
              <w:t>sound domestic demand also had a favourable effect here</w:t>
            </w:r>
            <w:r w:rsidR="00C2272B" w:rsidRPr="00A00994">
              <w:rPr>
                <w:color w:val="0D0D0D" w:themeColor="text1" w:themeTint="F2"/>
                <w:spacing w:val="-6"/>
                <w:lang w:val="en-GB"/>
              </w:rPr>
              <w:t xml:space="preserve">). </w:t>
            </w:r>
            <w:r w:rsidR="00B07132" w:rsidRPr="00A00994">
              <w:rPr>
                <w:color w:val="0D0D0D" w:themeColor="text1" w:themeTint="F2"/>
                <w:spacing w:val="-6"/>
                <w:lang w:val="en-GB"/>
              </w:rPr>
              <w:t>The production of construction, which benefited from the revi</w:t>
            </w:r>
            <w:r w:rsidR="00661E03" w:rsidRPr="00A00994">
              <w:rPr>
                <w:color w:val="0D0D0D" w:themeColor="text1" w:themeTint="F2"/>
                <w:spacing w:val="-6"/>
                <w:lang w:val="en-GB"/>
              </w:rPr>
              <w:t>ved investment activity both in</w:t>
            </w:r>
            <w:r w:rsidR="00B07132" w:rsidRPr="00A00994">
              <w:rPr>
                <w:color w:val="0D0D0D" w:themeColor="text1" w:themeTint="F2"/>
                <w:spacing w:val="-6"/>
                <w:lang w:val="en-GB"/>
              </w:rPr>
              <w:t xml:space="preserve"> the domestic economy and the euro area last year, only increased by </w:t>
            </w:r>
            <w:r w:rsidR="00DB13EF" w:rsidRPr="00A00994">
              <w:rPr>
                <w:color w:val="0D0D0D" w:themeColor="text1" w:themeTint="F2"/>
                <w:spacing w:val="-6"/>
                <w:lang w:val="en-GB"/>
              </w:rPr>
              <w:t>2</w:t>
            </w:r>
            <w:r w:rsidR="00B07132" w:rsidRPr="00A00994">
              <w:rPr>
                <w:color w:val="0D0D0D" w:themeColor="text1" w:themeTint="F2"/>
                <w:spacing w:val="-6"/>
                <w:lang w:val="en-GB"/>
              </w:rPr>
              <w:t>.</w:t>
            </w:r>
            <w:r w:rsidR="00DB13EF" w:rsidRPr="00A00994">
              <w:rPr>
                <w:color w:val="0D0D0D" w:themeColor="text1" w:themeTint="F2"/>
                <w:spacing w:val="-6"/>
                <w:lang w:val="en-GB"/>
              </w:rPr>
              <w:t>8</w:t>
            </w:r>
            <w:r w:rsidR="00C2272B" w:rsidRPr="00A00994">
              <w:rPr>
                <w:color w:val="0D0D0D" w:themeColor="text1" w:themeTint="F2"/>
                <w:spacing w:val="-6"/>
                <w:lang w:val="en-GB"/>
              </w:rPr>
              <w:t>%</w:t>
            </w:r>
            <w:r w:rsidR="00B07132" w:rsidRPr="00A00994">
              <w:rPr>
                <w:color w:val="0D0D0D" w:themeColor="text1" w:themeTint="F2"/>
                <w:spacing w:val="-6"/>
                <w:lang w:val="en-GB"/>
              </w:rPr>
              <w:t xml:space="preserve"> this year</w:t>
            </w:r>
            <w:r w:rsidR="00C2272B" w:rsidRPr="00A00994">
              <w:rPr>
                <w:color w:val="0D0D0D" w:themeColor="text1" w:themeTint="F2"/>
                <w:spacing w:val="-6"/>
                <w:lang w:val="en-GB"/>
              </w:rPr>
              <w:t xml:space="preserve">. </w:t>
            </w:r>
            <w:r w:rsidR="005D7508" w:rsidRPr="00A00994">
              <w:rPr>
                <w:color w:val="0D0D0D" w:themeColor="text1" w:themeTint="F2"/>
                <w:spacing w:val="-6"/>
                <w:lang w:val="en-GB"/>
              </w:rPr>
              <w:t xml:space="preserve">In branches heavy on energy consumption of metallurgical and metalworking industry, the output even lowered </w:t>
            </w:r>
            <w:r w:rsidR="00C2272B" w:rsidRPr="00A00994">
              <w:rPr>
                <w:color w:val="0D0D0D" w:themeColor="text1" w:themeTint="F2"/>
                <w:spacing w:val="-6"/>
                <w:lang w:val="en-GB"/>
              </w:rPr>
              <w:t>(</w:t>
            </w:r>
            <w:r w:rsidR="005D7508" w:rsidRPr="00A00994">
              <w:rPr>
                <w:color w:val="0D0D0D" w:themeColor="text1" w:themeTint="F2"/>
                <w:spacing w:val="-6"/>
                <w:lang w:val="en-GB"/>
              </w:rPr>
              <w:t xml:space="preserve">similarly around </w:t>
            </w:r>
            <w:r w:rsidR="00C2272B" w:rsidRPr="00A00994">
              <w:rPr>
                <w:color w:val="0D0D0D" w:themeColor="text1" w:themeTint="F2"/>
                <w:spacing w:val="-6"/>
                <w:lang w:val="en-GB"/>
              </w:rPr>
              <w:t>3%).</w:t>
            </w:r>
          </w:p>
        </w:tc>
      </w:tr>
      <w:tr w:rsidR="00C2272B" w:rsidRPr="00A00994" w14:paraId="4178D3B5" w14:textId="77777777" w:rsidTr="00BB1209">
        <w:trPr>
          <w:trHeight w:val="145"/>
        </w:trPr>
        <w:tc>
          <w:tcPr>
            <w:tcW w:w="1695" w:type="dxa"/>
            <w:tcBorders>
              <w:top w:val="nil"/>
              <w:left w:val="nil"/>
              <w:bottom w:val="nil"/>
              <w:right w:val="nil"/>
            </w:tcBorders>
            <w:shd w:val="clear" w:color="auto" w:fill="auto"/>
            <w:tcMar>
              <w:left w:w="0" w:type="dxa"/>
            </w:tcMar>
          </w:tcPr>
          <w:p w14:paraId="2F3C3120" w14:textId="76452CED" w:rsidR="00C2272B" w:rsidRPr="00A00994" w:rsidRDefault="00F5635E" w:rsidP="00891D31">
            <w:pPr>
              <w:pStyle w:val="Marginlie"/>
              <w:rPr>
                <w:color w:val="0D0D0D" w:themeColor="text1" w:themeTint="F2"/>
                <w:spacing w:val="-6"/>
                <w:lang w:val="en-GB"/>
              </w:rPr>
            </w:pPr>
            <w:r w:rsidRPr="00A00994">
              <w:rPr>
                <w:color w:val="0D0D0D" w:themeColor="text1" w:themeTint="F2"/>
                <w:spacing w:val="-6"/>
                <w:lang w:val="en-GB"/>
              </w:rPr>
              <w:t xml:space="preserve">Industry growth </w:t>
            </w:r>
            <w:r w:rsidR="004052EF" w:rsidRPr="00A00994">
              <w:rPr>
                <w:color w:val="0D0D0D" w:themeColor="text1" w:themeTint="F2"/>
                <w:spacing w:val="-6"/>
                <w:lang w:val="en-GB"/>
              </w:rPr>
              <w:t xml:space="preserve">was </w:t>
            </w:r>
            <w:r w:rsidRPr="00A00994">
              <w:rPr>
                <w:color w:val="0D0D0D" w:themeColor="text1" w:themeTint="F2"/>
                <w:spacing w:val="-6"/>
                <w:lang w:val="en-GB"/>
              </w:rPr>
              <w:t>the most hindered by manufacturing of motor vehicles</w:t>
            </w:r>
            <w:r w:rsidR="00891D31" w:rsidRPr="00A00994">
              <w:rPr>
                <w:color w:val="0D0D0D" w:themeColor="text1" w:themeTint="F2"/>
                <w:spacing w:val="-6"/>
                <w:lang w:val="en-GB"/>
              </w:rPr>
              <w:t>, the situation however improved in Q2 here and the number of manufactured vehicles</w:t>
            </w:r>
            <w:r w:rsidR="00CE03DD" w:rsidRPr="00A00994">
              <w:rPr>
                <w:color w:val="0D0D0D" w:themeColor="text1" w:themeTint="F2"/>
                <w:spacing w:val="-6"/>
                <w:lang w:val="en-GB"/>
              </w:rPr>
              <w:t xml:space="preserve"> </w:t>
            </w:r>
            <w:r w:rsidR="00891D31" w:rsidRPr="00A00994">
              <w:rPr>
                <w:color w:val="0D0D0D" w:themeColor="text1" w:themeTint="F2"/>
                <w:spacing w:val="-6"/>
                <w:lang w:val="en-GB"/>
              </w:rPr>
              <w:t>approached the level</w:t>
            </w:r>
            <w:r w:rsidR="004052EF" w:rsidRPr="00A00994">
              <w:rPr>
                <w:color w:val="0D0D0D" w:themeColor="text1" w:themeTint="F2"/>
                <w:spacing w:val="-6"/>
                <w:lang w:val="en-GB"/>
              </w:rPr>
              <w:t xml:space="preserve"> </w:t>
            </w:r>
            <w:r w:rsidR="004052EF" w:rsidRPr="00A00994">
              <w:rPr>
                <w:color w:val="0D0D0D" w:themeColor="text1" w:themeTint="F2"/>
                <w:spacing w:val="-6"/>
                <w:lang w:val="en-GB"/>
              </w:rPr>
              <w:lastRenderedPageBreak/>
              <w:t xml:space="preserve">from </w:t>
            </w:r>
            <w:r w:rsidR="00891D31" w:rsidRPr="00A00994">
              <w:rPr>
                <w:color w:val="0D0D0D" w:themeColor="text1" w:themeTint="F2"/>
                <w:spacing w:val="-6"/>
                <w:lang w:val="en-GB"/>
              </w:rPr>
              <w:t xml:space="preserve">before the pandemics. </w:t>
            </w:r>
          </w:p>
          <w:p w14:paraId="6F754EA7" w14:textId="77777777" w:rsidR="00CE03DD" w:rsidRPr="00A00994" w:rsidRDefault="00CE03DD" w:rsidP="00DB13EF">
            <w:pPr>
              <w:pStyle w:val="Marginlie"/>
              <w:rPr>
                <w:color w:val="0D0D0D" w:themeColor="text1" w:themeTint="F2"/>
                <w:spacing w:val="-6"/>
                <w:lang w:val="en-GB"/>
              </w:rPr>
            </w:pPr>
          </w:p>
          <w:p w14:paraId="6B4DD772" w14:textId="77777777" w:rsidR="00CE03DD" w:rsidRPr="00A00994" w:rsidRDefault="00CE03DD" w:rsidP="00DB13EF">
            <w:pPr>
              <w:pStyle w:val="Marginlie"/>
              <w:rPr>
                <w:color w:val="0D0D0D" w:themeColor="text1" w:themeTint="F2"/>
                <w:spacing w:val="-6"/>
                <w:lang w:val="en-GB"/>
              </w:rPr>
            </w:pPr>
          </w:p>
          <w:p w14:paraId="33D84017" w14:textId="77777777" w:rsidR="00CE03DD" w:rsidRPr="00A00994" w:rsidRDefault="00CE03DD" w:rsidP="00DB13EF">
            <w:pPr>
              <w:pStyle w:val="Marginlie"/>
              <w:rPr>
                <w:color w:val="0D0D0D" w:themeColor="text1" w:themeTint="F2"/>
                <w:spacing w:val="-6"/>
                <w:lang w:val="en-GB"/>
              </w:rPr>
            </w:pPr>
          </w:p>
          <w:p w14:paraId="33357443" w14:textId="4073C1A2" w:rsidR="00C2272B" w:rsidRPr="00A00994" w:rsidRDefault="00AC5AA9" w:rsidP="00DB13EF">
            <w:pPr>
              <w:pStyle w:val="Marginlie"/>
              <w:rPr>
                <w:color w:val="0D0D0D" w:themeColor="text1" w:themeTint="F2"/>
                <w:spacing w:val="-6"/>
                <w:lang w:val="en-GB"/>
              </w:rPr>
            </w:pPr>
            <w:r w:rsidRPr="00A00994">
              <w:rPr>
                <w:color w:val="0D0D0D" w:themeColor="text1" w:themeTint="F2"/>
                <w:spacing w:val="-6"/>
                <w:lang w:val="en-GB"/>
              </w:rPr>
              <w:t>Weaker demand for gas as well as heat due to the effect of both weather and savings in households and businesses pressed down the output in energy industry.</w:t>
            </w:r>
          </w:p>
          <w:p w14:paraId="24BA0DCD" w14:textId="77777777" w:rsidR="00C2272B" w:rsidRPr="00A00994" w:rsidRDefault="00C2272B" w:rsidP="00DB13EF">
            <w:pPr>
              <w:pStyle w:val="Marginlie"/>
              <w:rPr>
                <w:spacing w:val="-6"/>
                <w:lang w:val="en-GB"/>
              </w:rPr>
            </w:pPr>
          </w:p>
        </w:tc>
        <w:tc>
          <w:tcPr>
            <w:tcW w:w="214" w:type="dxa"/>
            <w:tcBorders>
              <w:top w:val="nil"/>
              <w:left w:val="nil"/>
              <w:bottom w:val="nil"/>
              <w:right w:val="nil"/>
            </w:tcBorders>
            <w:shd w:val="clear" w:color="auto" w:fill="auto"/>
            <w:tcMar>
              <w:left w:w="0" w:type="dxa"/>
            </w:tcMar>
          </w:tcPr>
          <w:p w14:paraId="10B034B0" w14:textId="77777777" w:rsidR="00C2272B" w:rsidRPr="00A00994" w:rsidRDefault="00C2272B" w:rsidP="00DB13EF">
            <w:pPr>
              <w:pStyle w:val="Textpoznpodarou"/>
              <w:jc w:val="both"/>
              <w:rPr>
                <w:spacing w:val="-6"/>
                <w:lang w:val="en-GB"/>
              </w:rPr>
            </w:pPr>
          </w:p>
        </w:tc>
        <w:tc>
          <w:tcPr>
            <w:tcW w:w="7730" w:type="dxa"/>
            <w:tcBorders>
              <w:top w:val="nil"/>
              <w:left w:val="nil"/>
              <w:bottom w:val="nil"/>
              <w:right w:val="nil"/>
            </w:tcBorders>
            <w:shd w:val="clear" w:color="auto" w:fill="auto"/>
            <w:tcMar>
              <w:left w:w="0" w:type="dxa"/>
            </w:tcMar>
          </w:tcPr>
          <w:p w14:paraId="52E1F4CA" w14:textId="56CCCBC8" w:rsidR="00C2272B" w:rsidRPr="00A00994" w:rsidRDefault="00891D31" w:rsidP="00DB13EF">
            <w:pPr>
              <w:spacing w:after="220"/>
              <w:rPr>
                <w:spacing w:val="-6"/>
                <w:lang w:val="en-GB"/>
              </w:rPr>
            </w:pPr>
            <w:r w:rsidRPr="00A00994">
              <w:rPr>
                <w:color w:val="0D0D0D" w:themeColor="text1" w:themeTint="F2"/>
                <w:spacing w:val="-6"/>
                <w:lang w:val="en-GB"/>
              </w:rPr>
              <w:t>The production in the key branch manufacturing of motor vehicles declined by</w:t>
            </w:r>
            <w:r w:rsidR="00E1690C" w:rsidRPr="00A00994">
              <w:rPr>
                <w:color w:val="0D0D0D" w:themeColor="text1" w:themeTint="F2"/>
                <w:spacing w:val="-6"/>
                <w:lang w:val="en-GB"/>
              </w:rPr>
              <w:t xml:space="preserve"> 4.3% year-on-year in this year’s half year and worked by </w:t>
            </w:r>
            <w:r w:rsidR="00C2272B" w:rsidRPr="00A00994">
              <w:rPr>
                <w:color w:val="0D0D0D" w:themeColor="text1" w:themeTint="F2"/>
                <w:spacing w:val="-6"/>
                <w:lang w:val="en-GB"/>
              </w:rPr>
              <w:t>−0</w:t>
            </w:r>
            <w:r w:rsidR="00E1690C" w:rsidRPr="00A00994">
              <w:rPr>
                <w:color w:val="0D0D0D" w:themeColor="text1" w:themeTint="F2"/>
                <w:spacing w:val="-6"/>
                <w:lang w:val="en-GB"/>
              </w:rPr>
              <w:t>.</w:t>
            </w:r>
            <w:r w:rsidR="00C2272B" w:rsidRPr="00A00994">
              <w:rPr>
                <w:color w:val="0D0D0D" w:themeColor="text1" w:themeTint="F2"/>
                <w:spacing w:val="-6"/>
                <w:lang w:val="en-GB"/>
              </w:rPr>
              <w:t>8 p.</w:t>
            </w:r>
            <w:r w:rsidR="00E1690C" w:rsidRPr="00A00994">
              <w:rPr>
                <w:color w:val="0D0D0D" w:themeColor="text1" w:themeTint="F2"/>
                <w:spacing w:val="-6"/>
                <w:lang w:val="en-GB"/>
              </w:rPr>
              <w:t>p</w:t>
            </w:r>
            <w:r w:rsidR="00C2272B" w:rsidRPr="00A00994">
              <w:rPr>
                <w:color w:val="0D0D0D" w:themeColor="text1" w:themeTint="F2"/>
                <w:spacing w:val="-6"/>
                <w:lang w:val="en-GB"/>
              </w:rPr>
              <w:t>. (</w:t>
            </w:r>
            <w:r w:rsidR="00E1690C" w:rsidRPr="00A00994">
              <w:rPr>
                <w:color w:val="0D0D0D" w:themeColor="text1" w:themeTint="F2"/>
                <w:spacing w:val="-6"/>
                <w:lang w:val="en-GB"/>
              </w:rPr>
              <w:t>the most out of all branches</w:t>
            </w:r>
            <w:r w:rsidR="00C2272B" w:rsidRPr="00A00994">
              <w:rPr>
                <w:color w:val="0D0D0D" w:themeColor="text1" w:themeTint="F2"/>
                <w:spacing w:val="-6"/>
                <w:lang w:val="en-GB"/>
              </w:rPr>
              <w:t>)</w:t>
            </w:r>
            <w:r w:rsidR="00E1690C" w:rsidRPr="00A00994">
              <w:rPr>
                <w:color w:val="0D0D0D" w:themeColor="text1" w:themeTint="F2"/>
                <w:spacing w:val="-6"/>
                <w:lang w:val="en-GB"/>
              </w:rPr>
              <w:t xml:space="preserve"> against the output of the whole industry</w:t>
            </w:r>
            <w:r w:rsidR="00C2272B" w:rsidRPr="00A00994">
              <w:rPr>
                <w:color w:val="0D0D0D" w:themeColor="text1" w:themeTint="F2"/>
                <w:spacing w:val="-6"/>
                <w:lang w:val="en-GB"/>
              </w:rPr>
              <w:t xml:space="preserve">. </w:t>
            </w:r>
            <w:r w:rsidR="006E4F68" w:rsidRPr="00A00994">
              <w:rPr>
                <w:color w:val="0D0D0D" w:themeColor="text1" w:themeTint="F2"/>
                <w:spacing w:val="-6"/>
                <w:lang w:val="en-GB"/>
              </w:rPr>
              <w:t>The manufacturing of motor vehicles faced serious supply difficulties, further intensified by the freeze of production in some source components in China as well as Ukraine at the beginning of this year</w:t>
            </w:r>
            <w:r w:rsidR="00C2272B" w:rsidRPr="00A00994">
              <w:rPr>
                <w:color w:val="0D0D0D" w:themeColor="text1" w:themeTint="F2"/>
                <w:spacing w:val="-6"/>
                <w:lang w:val="en-GB"/>
              </w:rPr>
              <w:t xml:space="preserve">. </w:t>
            </w:r>
            <w:r w:rsidR="00E50E8A" w:rsidRPr="00A00994">
              <w:rPr>
                <w:color w:val="0D0D0D" w:themeColor="text1" w:themeTint="F2"/>
                <w:spacing w:val="-6"/>
                <w:lang w:val="en-GB"/>
              </w:rPr>
              <w:t xml:space="preserve">The situation of supply of both chips and wire harnesses however gradually improved </w:t>
            </w:r>
            <w:r w:rsidR="00C2272B" w:rsidRPr="00A00994">
              <w:rPr>
                <w:color w:val="0D0D0D" w:themeColor="text1" w:themeTint="F2"/>
                <w:spacing w:val="-6"/>
                <w:lang w:val="en-GB"/>
              </w:rPr>
              <w:t>a</w:t>
            </w:r>
            <w:r w:rsidR="00190796" w:rsidRPr="00A00994">
              <w:rPr>
                <w:color w:val="0D0D0D" w:themeColor="text1" w:themeTint="F2"/>
                <w:spacing w:val="-6"/>
                <w:lang w:val="en-GB"/>
              </w:rPr>
              <w:t>nd thus the output was already slightly growing in this branch in Q</w:t>
            </w:r>
            <w:r w:rsidR="00C2272B" w:rsidRPr="00A00994">
              <w:rPr>
                <w:color w:val="0D0D0D" w:themeColor="text1" w:themeTint="F2"/>
                <w:spacing w:val="-6"/>
                <w:lang w:val="en-GB"/>
              </w:rPr>
              <w:t>2</w:t>
            </w:r>
            <w:r w:rsidR="00190796" w:rsidRPr="00A00994">
              <w:rPr>
                <w:color w:val="0D0D0D" w:themeColor="text1" w:themeTint="F2"/>
                <w:spacing w:val="-6"/>
                <w:lang w:val="en-GB"/>
              </w:rPr>
              <w:t xml:space="preserve">, specifically by </w:t>
            </w:r>
            <w:r w:rsidR="00C2272B" w:rsidRPr="00A00994">
              <w:rPr>
                <w:color w:val="0D0D0D" w:themeColor="text1" w:themeTint="F2"/>
                <w:spacing w:val="-6"/>
                <w:lang w:val="en-GB"/>
              </w:rPr>
              <w:t>2</w:t>
            </w:r>
            <w:r w:rsidR="00190796" w:rsidRPr="00A00994">
              <w:rPr>
                <w:color w:val="0D0D0D" w:themeColor="text1" w:themeTint="F2"/>
                <w:spacing w:val="-6"/>
                <w:lang w:val="en-GB"/>
              </w:rPr>
              <w:t>.</w:t>
            </w:r>
            <w:r w:rsidR="00C2272B" w:rsidRPr="00A00994">
              <w:rPr>
                <w:color w:val="0D0D0D" w:themeColor="text1" w:themeTint="F2"/>
                <w:spacing w:val="-6"/>
                <w:lang w:val="en-GB"/>
              </w:rPr>
              <w:t>5%</w:t>
            </w:r>
            <w:r w:rsidR="00C2272B" w:rsidRPr="00A00994">
              <w:rPr>
                <w:rStyle w:val="Znakapoznpodarou"/>
                <w:color w:val="0D0D0D" w:themeColor="text1" w:themeTint="F2"/>
                <w:spacing w:val="-6"/>
                <w:lang w:val="en-GB"/>
              </w:rPr>
              <w:footnoteReference w:id="16"/>
            </w:r>
            <w:r w:rsidR="00C2272B" w:rsidRPr="00A00994">
              <w:rPr>
                <w:color w:val="0D0D0D" w:themeColor="text1" w:themeTint="F2"/>
                <w:spacing w:val="-6"/>
                <w:lang w:val="en-GB"/>
              </w:rPr>
              <w:t xml:space="preserve">. </w:t>
            </w:r>
            <w:r w:rsidR="0063476C" w:rsidRPr="00A00994">
              <w:rPr>
                <w:color w:val="0D0D0D" w:themeColor="text1" w:themeTint="F2"/>
                <w:spacing w:val="-6"/>
                <w:lang w:val="en-GB"/>
              </w:rPr>
              <w:t xml:space="preserve">The utilisation of production capacities was however at </w:t>
            </w:r>
            <w:r w:rsidR="0063476C" w:rsidRPr="00A00994">
              <w:rPr>
                <w:color w:val="0D0D0D" w:themeColor="text1" w:themeTint="F2"/>
                <w:spacing w:val="-6"/>
                <w:lang w:val="en-GB"/>
              </w:rPr>
              <w:lastRenderedPageBreak/>
              <w:t>the level substantially below the long-term average here already fourth quarter in a row</w:t>
            </w:r>
            <w:r w:rsidR="00C2272B" w:rsidRPr="00A00994">
              <w:rPr>
                <w:rStyle w:val="Znakapoznpodarou"/>
                <w:color w:val="0D0D0D" w:themeColor="text1" w:themeTint="F2"/>
                <w:spacing w:val="-6"/>
                <w:lang w:val="en-GB"/>
              </w:rPr>
              <w:footnoteReference w:id="17"/>
            </w:r>
            <w:r w:rsidR="00C2272B" w:rsidRPr="00A00994">
              <w:rPr>
                <w:color w:val="0D0D0D" w:themeColor="text1" w:themeTint="F2"/>
                <w:spacing w:val="-6"/>
                <w:lang w:val="en-GB"/>
              </w:rPr>
              <w:t xml:space="preserve">. </w:t>
            </w:r>
            <w:r w:rsidR="0063476C" w:rsidRPr="00A00994">
              <w:rPr>
                <w:color w:val="0D0D0D" w:themeColor="text1" w:themeTint="F2"/>
                <w:spacing w:val="-6"/>
                <w:lang w:val="en-GB"/>
              </w:rPr>
              <w:t>86% of businesses in the branch of motor vehicle manufacturing (record 53% in the whole industry) indicated the shortage of materials and equipment this year in July</w:t>
            </w:r>
            <w:r w:rsidR="00C2272B" w:rsidRPr="00A00994">
              <w:rPr>
                <w:rStyle w:val="Znakapoznpodarou"/>
                <w:color w:val="0D0D0D" w:themeColor="text1" w:themeTint="F2"/>
                <w:spacing w:val="-6"/>
                <w:lang w:val="en-GB"/>
              </w:rPr>
              <w:footnoteReference w:id="18"/>
            </w:r>
            <w:r w:rsidR="00C2272B" w:rsidRPr="00A00994">
              <w:rPr>
                <w:color w:val="0D0D0D" w:themeColor="text1" w:themeTint="F2"/>
                <w:spacing w:val="-6"/>
                <w:lang w:val="en-GB"/>
              </w:rPr>
              <w:t xml:space="preserve">. </w:t>
            </w:r>
            <w:r w:rsidR="00AE1311" w:rsidRPr="00A00994">
              <w:rPr>
                <w:color w:val="0D0D0D" w:themeColor="text1" w:themeTint="F2"/>
                <w:spacing w:val="-6"/>
                <w:lang w:val="en-GB"/>
              </w:rPr>
              <w:t>Difficulties of the motor vehicle manufacturing were also reflected in the tied manufacturing of rubber and plastic products</w:t>
            </w:r>
            <w:r w:rsidR="00C2272B" w:rsidRPr="00A00994">
              <w:rPr>
                <w:color w:val="0D0D0D" w:themeColor="text1" w:themeTint="F2"/>
                <w:spacing w:val="-6"/>
                <w:lang w:val="en-GB"/>
              </w:rPr>
              <w:t>,</w:t>
            </w:r>
            <w:r w:rsidR="00AE1311" w:rsidRPr="00A00994">
              <w:rPr>
                <w:color w:val="0D0D0D" w:themeColor="text1" w:themeTint="F2"/>
                <w:spacing w:val="-6"/>
                <w:lang w:val="en-GB"/>
              </w:rPr>
              <w:t xml:space="preserve"> where the output dropped by even </w:t>
            </w:r>
            <w:r w:rsidR="00C2272B" w:rsidRPr="00A00994">
              <w:rPr>
                <w:color w:val="0D0D0D" w:themeColor="text1" w:themeTint="F2"/>
                <w:spacing w:val="-6"/>
                <w:lang w:val="en-GB"/>
              </w:rPr>
              <w:t>3%</w:t>
            </w:r>
            <w:r w:rsidR="00AE1311" w:rsidRPr="00A00994">
              <w:rPr>
                <w:color w:val="0D0D0D" w:themeColor="text1" w:themeTint="F2"/>
                <w:spacing w:val="-6"/>
                <w:lang w:val="en-GB"/>
              </w:rPr>
              <w:t xml:space="preserve"> year-on-year in H1</w:t>
            </w:r>
            <w:r w:rsidR="00C2272B" w:rsidRPr="00A00994">
              <w:rPr>
                <w:color w:val="0D0D0D" w:themeColor="text1" w:themeTint="F2"/>
                <w:spacing w:val="-6"/>
                <w:lang w:val="en-GB"/>
              </w:rPr>
              <w:t xml:space="preserve">. </w:t>
            </w:r>
            <w:r w:rsidR="00942393" w:rsidRPr="00A00994">
              <w:rPr>
                <w:color w:val="0D0D0D" w:themeColor="text1" w:themeTint="F2"/>
                <w:spacing w:val="-6"/>
                <w:lang w:val="en-GB"/>
              </w:rPr>
              <w:t xml:space="preserve">The production of electricity outside the manufacturing branches lowered </w:t>
            </w:r>
            <w:r w:rsidR="002E4DCE" w:rsidRPr="00A00994">
              <w:rPr>
                <w:color w:val="0D0D0D" w:themeColor="text1" w:themeTint="F2"/>
                <w:spacing w:val="-6"/>
                <w:lang w:val="en-GB"/>
              </w:rPr>
              <w:t>(</w:t>
            </w:r>
            <w:r w:rsidR="00942393" w:rsidRPr="00A00994">
              <w:rPr>
                <w:color w:val="0D0D0D" w:themeColor="text1" w:themeTint="F2"/>
                <w:spacing w:val="-6"/>
                <w:lang w:val="en-GB"/>
              </w:rPr>
              <w:t xml:space="preserve">by </w:t>
            </w:r>
            <w:r w:rsidR="002E4DCE" w:rsidRPr="00A00994">
              <w:rPr>
                <w:color w:val="0D0D0D" w:themeColor="text1" w:themeTint="F2"/>
                <w:spacing w:val="-6"/>
                <w:lang w:val="en-GB"/>
              </w:rPr>
              <w:t>1</w:t>
            </w:r>
            <w:r w:rsidR="00942393" w:rsidRPr="00A00994">
              <w:rPr>
                <w:color w:val="0D0D0D" w:themeColor="text1" w:themeTint="F2"/>
                <w:spacing w:val="-6"/>
                <w:lang w:val="en-GB"/>
              </w:rPr>
              <w:t>.</w:t>
            </w:r>
            <w:r w:rsidR="002E4DCE" w:rsidRPr="00A00994">
              <w:rPr>
                <w:color w:val="0D0D0D" w:themeColor="text1" w:themeTint="F2"/>
                <w:spacing w:val="-6"/>
                <w:lang w:val="en-GB"/>
              </w:rPr>
              <w:t>0</w:t>
            </w:r>
            <w:r w:rsidR="00C2272B" w:rsidRPr="00A00994">
              <w:rPr>
                <w:color w:val="0D0D0D" w:themeColor="text1" w:themeTint="F2"/>
                <w:spacing w:val="-6"/>
                <w:lang w:val="en-GB"/>
              </w:rPr>
              <w:t>%),</w:t>
            </w:r>
            <w:r w:rsidR="00942393" w:rsidRPr="00A00994">
              <w:rPr>
                <w:color w:val="0D0D0D" w:themeColor="text1" w:themeTint="F2"/>
                <w:spacing w:val="-6"/>
                <w:lang w:val="en-GB"/>
              </w:rPr>
              <w:t xml:space="preserve"> even though the marked restriction of operations of the number of retail shops and services was connected to the lower consumption of electricity last year from January till April.</w:t>
            </w:r>
            <w:r w:rsidR="002D2127" w:rsidRPr="00A00994">
              <w:rPr>
                <w:color w:val="0D0D0D" w:themeColor="text1" w:themeTint="F2"/>
                <w:spacing w:val="-6"/>
                <w:lang w:val="en-GB"/>
              </w:rPr>
              <w:t xml:space="preserve"> This year’s lower production was mirrored in the decrease of consumption of both gas and distributed heat (due to the abo</w:t>
            </w:r>
            <w:r w:rsidR="00DC1A3D">
              <w:rPr>
                <w:color w:val="0D0D0D" w:themeColor="text1" w:themeTint="F2"/>
                <w:spacing w:val="-6"/>
                <w:lang w:val="en-GB"/>
              </w:rPr>
              <w:t>ve average temperatures in the w</w:t>
            </w:r>
            <w:r w:rsidR="002D2127" w:rsidRPr="00A00994">
              <w:rPr>
                <w:color w:val="0D0D0D" w:themeColor="text1" w:themeTint="F2"/>
                <w:spacing w:val="-6"/>
                <w:lang w:val="en-GB"/>
              </w:rPr>
              <w:t>inter months as well as savings in households and businesses</w:t>
            </w:r>
            <w:r w:rsidR="00C2272B" w:rsidRPr="00A00994">
              <w:rPr>
                <w:color w:val="0D0D0D" w:themeColor="text1" w:themeTint="F2"/>
                <w:spacing w:val="-6"/>
                <w:lang w:val="en-GB"/>
              </w:rPr>
              <w:t>)</w:t>
            </w:r>
            <w:r w:rsidR="00C2272B" w:rsidRPr="00A00994">
              <w:rPr>
                <w:rStyle w:val="Znakapoznpodarou"/>
                <w:color w:val="0D0D0D" w:themeColor="text1" w:themeTint="F2"/>
                <w:spacing w:val="-6"/>
                <w:lang w:val="en-GB"/>
              </w:rPr>
              <w:footnoteReference w:id="19"/>
            </w:r>
            <w:r w:rsidR="00C2272B" w:rsidRPr="00A00994">
              <w:rPr>
                <w:color w:val="0D0D0D" w:themeColor="text1" w:themeTint="F2"/>
                <w:spacing w:val="-6"/>
                <w:lang w:val="en-GB"/>
              </w:rPr>
              <w:t xml:space="preserve">. </w:t>
            </w:r>
            <w:r w:rsidR="00405FFC" w:rsidRPr="00A00994">
              <w:rPr>
                <w:color w:val="0D0D0D" w:themeColor="text1" w:themeTint="F2"/>
                <w:spacing w:val="-6"/>
                <w:lang w:val="en-GB"/>
              </w:rPr>
              <w:t>The amo</w:t>
            </w:r>
            <w:r w:rsidR="002D2127" w:rsidRPr="00A00994">
              <w:rPr>
                <w:color w:val="0D0D0D" w:themeColor="text1" w:themeTint="F2"/>
                <w:spacing w:val="-6"/>
                <w:lang w:val="en-GB"/>
              </w:rPr>
              <w:t>u</w:t>
            </w:r>
            <w:r w:rsidR="00405FFC" w:rsidRPr="00A00994">
              <w:rPr>
                <w:color w:val="0D0D0D" w:themeColor="text1" w:themeTint="F2"/>
                <w:spacing w:val="-6"/>
                <w:lang w:val="en-GB"/>
              </w:rPr>
              <w:t>nt of the generated electricity on the contrary slightly increased</w:t>
            </w:r>
            <w:r w:rsidR="00C2272B" w:rsidRPr="00A00994">
              <w:rPr>
                <w:rStyle w:val="Znakapoznpodarou"/>
                <w:color w:val="0D0D0D" w:themeColor="text1" w:themeTint="F2"/>
                <w:spacing w:val="-6"/>
                <w:lang w:val="en-GB"/>
              </w:rPr>
              <w:footnoteReference w:id="20"/>
            </w:r>
            <w:r w:rsidR="00C2272B" w:rsidRPr="00A00994">
              <w:rPr>
                <w:color w:val="0D0D0D" w:themeColor="text1" w:themeTint="F2"/>
                <w:spacing w:val="-6"/>
                <w:lang w:val="en-GB"/>
              </w:rPr>
              <w:t>.</w:t>
            </w:r>
            <w:r w:rsidR="00405FFC" w:rsidRPr="00A00994">
              <w:rPr>
                <w:color w:val="0D0D0D" w:themeColor="text1" w:themeTint="F2"/>
                <w:spacing w:val="-6"/>
                <w:lang w:val="en-GB"/>
              </w:rPr>
              <w:t xml:space="preserve"> The production in the long-term subdued branch of mining and quarrying grew by </w:t>
            </w:r>
            <w:r w:rsidR="00C2272B" w:rsidRPr="00A00994">
              <w:rPr>
                <w:color w:val="0D0D0D" w:themeColor="text1" w:themeTint="F2"/>
                <w:spacing w:val="-6"/>
                <w:lang w:val="en-GB"/>
              </w:rPr>
              <w:t>5</w:t>
            </w:r>
            <w:r w:rsidR="00405FFC" w:rsidRPr="00A00994">
              <w:rPr>
                <w:color w:val="0D0D0D" w:themeColor="text1" w:themeTint="F2"/>
                <w:spacing w:val="-6"/>
                <w:lang w:val="en-GB"/>
              </w:rPr>
              <w:t>.</w:t>
            </w:r>
            <w:r w:rsidR="00C2272B" w:rsidRPr="00A00994">
              <w:rPr>
                <w:color w:val="0D0D0D" w:themeColor="text1" w:themeTint="F2"/>
                <w:spacing w:val="-6"/>
                <w:lang w:val="en-GB"/>
              </w:rPr>
              <w:t>5% (</w:t>
            </w:r>
            <w:r w:rsidR="00405FFC" w:rsidRPr="00A00994">
              <w:rPr>
                <w:color w:val="0D0D0D" w:themeColor="text1" w:themeTint="F2"/>
                <w:spacing w:val="-6"/>
                <w:lang w:val="en-GB"/>
              </w:rPr>
              <w:t>and continued in the growth from H</w:t>
            </w:r>
            <w:r w:rsidR="00C2272B" w:rsidRPr="00A00994">
              <w:rPr>
                <w:color w:val="0D0D0D" w:themeColor="text1" w:themeTint="F2"/>
                <w:spacing w:val="-6"/>
                <w:lang w:val="en-GB"/>
              </w:rPr>
              <w:t>2</w:t>
            </w:r>
            <w:r w:rsidR="00405FFC" w:rsidRPr="00A00994">
              <w:rPr>
                <w:color w:val="0D0D0D" w:themeColor="text1" w:themeTint="F2"/>
                <w:spacing w:val="-6"/>
                <w:lang w:val="en-GB"/>
              </w:rPr>
              <w:t xml:space="preserve"> </w:t>
            </w:r>
            <w:r w:rsidR="00C2272B" w:rsidRPr="00A00994">
              <w:rPr>
                <w:color w:val="0D0D0D" w:themeColor="text1" w:themeTint="F2"/>
                <w:spacing w:val="-6"/>
                <w:lang w:val="en-GB"/>
              </w:rPr>
              <w:t xml:space="preserve">2021). </w:t>
            </w:r>
            <w:r w:rsidR="00A12CAD" w:rsidRPr="00A00994">
              <w:rPr>
                <w:color w:val="0D0D0D" w:themeColor="text1" w:themeTint="F2"/>
                <w:spacing w:val="-6"/>
                <w:lang w:val="en-GB"/>
              </w:rPr>
              <w:t>The revival is connected to the heightened demand for construction materials and newly also for coal</w:t>
            </w:r>
            <w:r w:rsidR="00C2272B" w:rsidRPr="00A00994">
              <w:rPr>
                <w:color w:val="0D0D0D" w:themeColor="text1" w:themeTint="F2"/>
                <w:spacing w:val="-6"/>
                <w:lang w:val="en-GB"/>
              </w:rPr>
              <w:t>.</w:t>
            </w:r>
          </w:p>
        </w:tc>
      </w:tr>
      <w:tr w:rsidR="00C2272B" w:rsidRPr="00A00994" w14:paraId="3850B46A" w14:textId="77777777" w:rsidTr="00BB1209">
        <w:trPr>
          <w:trHeight w:val="145"/>
        </w:trPr>
        <w:tc>
          <w:tcPr>
            <w:tcW w:w="1695" w:type="dxa"/>
            <w:tcBorders>
              <w:top w:val="nil"/>
              <w:left w:val="nil"/>
              <w:bottom w:val="nil"/>
              <w:right w:val="nil"/>
            </w:tcBorders>
            <w:shd w:val="clear" w:color="auto" w:fill="auto"/>
            <w:tcMar>
              <w:left w:w="0" w:type="dxa"/>
            </w:tcMar>
          </w:tcPr>
          <w:p w14:paraId="535E96ED" w14:textId="77777777" w:rsidR="00C2272B" w:rsidRPr="00A00994" w:rsidRDefault="00C2272B" w:rsidP="00DB13EF">
            <w:pPr>
              <w:pStyle w:val="Marginlie"/>
              <w:rPr>
                <w:spacing w:val="-4"/>
                <w:lang w:val="en-GB"/>
              </w:rPr>
            </w:pPr>
          </w:p>
        </w:tc>
        <w:tc>
          <w:tcPr>
            <w:tcW w:w="214" w:type="dxa"/>
            <w:tcBorders>
              <w:top w:val="nil"/>
              <w:left w:val="nil"/>
              <w:bottom w:val="nil"/>
              <w:right w:val="nil"/>
            </w:tcBorders>
            <w:shd w:val="clear" w:color="auto" w:fill="auto"/>
            <w:tcMar>
              <w:left w:w="0" w:type="dxa"/>
            </w:tcMar>
          </w:tcPr>
          <w:p w14:paraId="6ED0E992" w14:textId="77777777" w:rsidR="00C2272B" w:rsidRPr="00A00994" w:rsidRDefault="00C2272B" w:rsidP="00DB13EF">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5F9D8052" w14:textId="35D19FFE" w:rsidR="00C2272B" w:rsidRPr="00F340B2" w:rsidRDefault="00AC5AA9" w:rsidP="00DB13EF">
            <w:pPr>
              <w:spacing w:after="0"/>
              <w:rPr>
                <w:spacing w:val="-2"/>
                <w:lang w:val="en-GB"/>
              </w:rPr>
            </w:pPr>
            <w:r w:rsidRPr="00F340B2">
              <w:rPr>
                <w:rFonts w:cs="Arial"/>
                <w:b/>
                <w:bCs/>
                <w:color w:val="000000"/>
                <w:spacing w:val="-2"/>
                <w:szCs w:val="20"/>
                <w:lang w:val="en-GB"/>
              </w:rPr>
              <w:t xml:space="preserve">Chart </w:t>
            </w:r>
            <w:r w:rsidR="00C2272B" w:rsidRPr="00F340B2">
              <w:rPr>
                <w:rFonts w:cs="Arial"/>
                <w:b/>
                <w:bCs/>
                <w:color w:val="000000"/>
                <w:spacing w:val="-2"/>
                <w:szCs w:val="20"/>
                <w:lang w:val="en-GB"/>
              </w:rPr>
              <w:t xml:space="preserve">4 </w:t>
            </w:r>
            <w:r w:rsidR="007759C8" w:rsidRPr="00F340B2">
              <w:rPr>
                <w:b/>
                <w:spacing w:val="-2"/>
                <w:lang w:val="en-GB"/>
              </w:rPr>
              <w:t>Contributions of sub-branches to the year-on-year cha</w:t>
            </w:r>
            <w:r w:rsidR="00406B0D">
              <w:rPr>
                <w:b/>
                <w:spacing w:val="-2"/>
                <w:lang w:val="en-GB"/>
              </w:rPr>
              <w:t>nge of the total industrial output</w:t>
            </w:r>
            <w:r w:rsidR="007759C8" w:rsidRPr="00F340B2">
              <w:rPr>
                <w:b/>
                <w:spacing w:val="-2"/>
                <w:lang w:val="en-GB"/>
              </w:rPr>
              <w:t xml:space="preserve"> </w:t>
            </w:r>
            <w:r w:rsidR="007759C8" w:rsidRPr="00F340B2">
              <w:rPr>
                <w:spacing w:val="-2"/>
                <w:lang w:val="en-GB"/>
              </w:rPr>
              <w:t>(in p.p., adjusted for calendar effects</w:t>
            </w:r>
            <w:r w:rsidR="001A1DBF" w:rsidRPr="00F340B2">
              <w:rPr>
                <w:spacing w:val="-2"/>
                <w:lang w:val="en-GB"/>
              </w:rPr>
              <w:t>, real, in p.p.</w:t>
            </w:r>
            <w:r w:rsidR="007759C8" w:rsidRPr="00F340B2">
              <w:rPr>
                <w:spacing w:val="-2"/>
                <w:lang w:val="en-GB"/>
              </w:rPr>
              <w:t>)</w:t>
            </w:r>
            <w:r w:rsidR="001A1DBF" w:rsidRPr="00F340B2">
              <w:rPr>
                <w:spacing w:val="-2"/>
                <w:lang w:val="en-GB"/>
              </w:rPr>
              <w:t xml:space="preserve"> </w:t>
            </w:r>
            <w:r w:rsidR="001A1DBF" w:rsidRPr="00F340B2">
              <w:rPr>
                <w:b/>
                <w:bCs/>
                <w:spacing w:val="-2"/>
                <w:lang w:val="en-GB"/>
              </w:rPr>
              <w:t>and sales* and output in the entire industry</w:t>
            </w:r>
            <w:r w:rsidR="001A1DBF" w:rsidRPr="00F340B2">
              <w:rPr>
                <w:spacing w:val="-2"/>
                <w:lang w:val="en-GB"/>
              </w:rPr>
              <w:t xml:space="preserve"> (seasonally adjusted, level of year 2015=100, right axis)</w:t>
            </w:r>
          </w:p>
        </w:tc>
      </w:tr>
      <w:tr w:rsidR="00C2272B" w:rsidRPr="00A00994" w14:paraId="355C1ECC" w14:textId="77777777" w:rsidTr="00BB1209">
        <w:tblPrEx>
          <w:tblCellMar>
            <w:left w:w="70" w:type="dxa"/>
            <w:right w:w="70" w:type="dxa"/>
          </w:tblCellMar>
        </w:tblPrEx>
        <w:trPr>
          <w:trHeight w:val="145"/>
        </w:trPr>
        <w:tc>
          <w:tcPr>
            <w:tcW w:w="1695" w:type="dxa"/>
            <w:tcBorders>
              <w:top w:val="nil"/>
              <w:left w:val="nil"/>
              <w:bottom w:val="nil"/>
              <w:right w:val="nil"/>
            </w:tcBorders>
            <w:shd w:val="clear" w:color="auto" w:fill="auto"/>
          </w:tcPr>
          <w:p w14:paraId="0B260C32" w14:textId="77777777" w:rsidR="00C2272B" w:rsidRPr="00A00994" w:rsidRDefault="00C2272B" w:rsidP="00DB13EF">
            <w:pPr>
              <w:pStyle w:val="Marginlie"/>
              <w:rPr>
                <w:spacing w:val="-4"/>
                <w:lang w:val="en-GB"/>
              </w:rPr>
            </w:pPr>
          </w:p>
        </w:tc>
        <w:tc>
          <w:tcPr>
            <w:tcW w:w="214" w:type="dxa"/>
            <w:tcBorders>
              <w:top w:val="nil"/>
              <w:left w:val="nil"/>
              <w:bottom w:val="nil"/>
              <w:right w:val="nil"/>
            </w:tcBorders>
            <w:shd w:val="clear" w:color="auto" w:fill="auto"/>
          </w:tcPr>
          <w:p w14:paraId="4DAE8ACB" w14:textId="77777777" w:rsidR="00C2272B" w:rsidRPr="00A00994" w:rsidRDefault="00C2272B" w:rsidP="00DB13EF">
            <w:pPr>
              <w:pStyle w:val="Textpoznpodarou"/>
              <w:jc w:val="both"/>
              <w:rPr>
                <w:spacing w:val="-4"/>
                <w:lang w:val="en-GB"/>
              </w:rPr>
            </w:pPr>
          </w:p>
        </w:tc>
        <w:tc>
          <w:tcPr>
            <w:tcW w:w="7730" w:type="dxa"/>
            <w:tcBorders>
              <w:top w:val="nil"/>
              <w:left w:val="nil"/>
              <w:bottom w:val="nil"/>
              <w:right w:val="nil"/>
            </w:tcBorders>
            <w:shd w:val="clear" w:color="auto" w:fill="auto"/>
          </w:tcPr>
          <w:p w14:paraId="3C0F632A" w14:textId="53DCE47B" w:rsidR="00C2272B" w:rsidRPr="00A00994" w:rsidRDefault="00406B0D" w:rsidP="00DB13EF">
            <w:pPr>
              <w:spacing w:after="0"/>
              <w:rPr>
                <w:spacing w:val="-5"/>
                <w:lang w:val="en-GB"/>
              </w:rPr>
            </w:pPr>
            <w:r>
              <w:rPr>
                <w:noProof/>
              </w:rPr>
              <w:drawing>
                <wp:inline distT="0" distB="0" distL="0" distR="0" wp14:anchorId="5C36286F" wp14:editId="6B1DFEA3">
                  <wp:extent cx="4662805" cy="3364173"/>
                  <wp:effectExtent l="0" t="0" r="4445" b="8255"/>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2272B" w:rsidRPr="00A00994" w14:paraId="16139765" w14:textId="77777777" w:rsidTr="00BB1209">
        <w:trPr>
          <w:trHeight w:val="145"/>
        </w:trPr>
        <w:tc>
          <w:tcPr>
            <w:tcW w:w="1695" w:type="dxa"/>
            <w:tcBorders>
              <w:top w:val="nil"/>
              <w:left w:val="nil"/>
              <w:bottom w:val="nil"/>
              <w:right w:val="nil"/>
            </w:tcBorders>
            <w:shd w:val="clear" w:color="auto" w:fill="auto"/>
            <w:tcMar>
              <w:left w:w="0" w:type="dxa"/>
            </w:tcMar>
          </w:tcPr>
          <w:p w14:paraId="2A16381A" w14:textId="77777777" w:rsidR="00C2272B" w:rsidRPr="00A00994" w:rsidRDefault="00C2272B" w:rsidP="00DB13EF">
            <w:pPr>
              <w:pStyle w:val="Marginlie"/>
              <w:rPr>
                <w:spacing w:val="-4"/>
                <w:lang w:val="en-GB"/>
              </w:rPr>
            </w:pPr>
          </w:p>
        </w:tc>
        <w:tc>
          <w:tcPr>
            <w:tcW w:w="214" w:type="dxa"/>
            <w:tcBorders>
              <w:top w:val="nil"/>
              <w:left w:val="nil"/>
              <w:bottom w:val="nil"/>
              <w:right w:val="nil"/>
            </w:tcBorders>
            <w:shd w:val="clear" w:color="auto" w:fill="auto"/>
            <w:tcMar>
              <w:left w:w="0" w:type="dxa"/>
            </w:tcMar>
          </w:tcPr>
          <w:p w14:paraId="3172F591" w14:textId="77777777" w:rsidR="00C2272B" w:rsidRPr="00A00994" w:rsidRDefault="00C2272B" w:rsidP="00DB13EF">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22439764" w14:textId="71F22574" w:rsidR="00C2272B" w:rsidRPr="00A00994" w:rsidRDefault="00365EF5" w:rsidP="00DB13EF">
            <w:pPr>
              <w:spacing w:after="200"/>
              <w:rPr>
                <w:spacing w:val="-5"/>
                <w:lang w:val="en-GB"/>
              </w:rPr>
            </w:pPr>
            <w:r w:rsidRPr="00A00994">
              <w:rPr>
                <w:rFonts w:cs="Arial"/>
                <w:sz w:val="14"/>
                <w:szCs w:val="14"/>
                <w:lang w:val="en-GB"/>
              </w:rPr>
              <w:t>Note</w:t>
            </w:r>
            <w:r w:rsidR="00C2272B" w:rsidRPr="00A00994">
              <w:rPr>
                <w:rFonts w:cs="Arial"/>
                <w:sz w:val="14"/>
                <w:szCs w:val="14"/>
                <w:lang w:val="en-GB"/>
              </w:rPr>
              <w:t xml:space="preserve">: </w:t>
            </w:r>
            <w:r w:rsidRPr="00A00994">
              <w:rPr>
                <w:rFonts w:cs="Arial"/>
                <w:sz w:val="14"/>
                <w:szCs w:val="14"/>
                <w:lang w:val="en-GB"/>
              </w:rPr>
              <w:t xml:space="preserve">Sales are given in current prices.           </w:t>
            </w:r>
            <w:r w:rsidR="00C2272B" w:rsidRPr="00A00994">
              <w:rPr>
                <w:rFonts w:cs="Arial"/>
                <w:sz w:val="14"/>
                <w:szCs w:val="14"/>
                <w:lang w:val="en-GB"/>
              </w:rPr>
              <w:t xml:space="preserve">                                                                                            </w:t>
            </w:r>
            <w:r w:rsidR="00AE1311" w:rsidRPr="00A00994">
              <w:rPr>
                <w:rFonts w:cs="Arial"/>
                <w:sz w:val="14"/>
                <w:szCs w:val="14"/>
                <w:lang w:val="en-GB"/>
              </w:rPr>
              <w:t>Source</w:t>
            </w:r>
            <w:r w:rsidR="00C2272B" w:rsidRPr="00A00994">
              <w:rPr>
                <w:rFonts w:cs="Arial"/>
                <w:sz w:val="14"/>
                <w:szCs w:val="14"/>
                <w:lang w:val="en-GB"/>
              </w:rPr>
              <w:t xml:space="preserve">: </w:t>
            </w:r>
            <w:r w:rsidR="00AE1311" w:rsidRPr="00A00994">
              <w:rPr>
                <w:rFonts w:cs="Arial"/>
                <w:sz w:val="14"/>
                <w:szCs w:val="14"/>
                <w:lang w:val="en-GB"/>
              </w:rPr>
              <w:t>CZSO</w:t>
            </w:r>
          </w:p>
        </w:tc>
      </w:tr>
      <w:tr w:rsidR="00A42593" w:rsidRPr="00A00994" w14:paraId="42C0AF17" w14:textId="77777777" w:rsidTr="00BB1209">
        <w:trPr>
          <w:trHeight w:val="145"/>
        </w:trPr>
        <w:tc>
          <w:tcPr>
            <w:tcW w:w="1695" w:type="dxa"/>
            <w:tcBorders>
              <w:top w:val="nil"/>
              <w:left w:val="nil"/>
              <w:bottom w:val="nil"/>
              <w:right w:val="nil"/>
            </w:tcBorders>
            <w:shd w:val="clear" w:color="auto" w:fill="auto"/>
            <w:tcMar>
              <w:left w:w="0" w:type="dxa"/>
            </w:tcMar>
          </w:tcPr>
          <w:p w14:paraId="6B82B79D" w14:textId="373CA8DF" w:rsidR="00A42593" w:rsidRPr="00A00994" w:rsidRDefault="00A42593" w:rsidP="00DB13EF">
            <w:pPr>
              <w:pStyle w:val="Marginlie"/>
              <w:rPr>
                <w:spacing w:val="-4"/>
                <w:lang w:val="en-GB"/>
              </w:rPr>
            </w:pPr>
            <w:r w:rsidRPr="00A00994">
              <w:rPr>
                <w:color w:val="0D0D0D" w:themeColor="text1" w:themeTint="F2"/>
                <w:lang w:val="en-GB"/>
              </w:rPr>
              <w:t xml:space="preserve">Growth of sales of businesses from industrial activity strengthened mainly due to higher prices of </w:t>
            </w:r>
            <w:r w:rsidRPr="00A00994">
              <w:rPr>
                <w:color w:val="0D0D0D" w:themeColor="text1" w:themeTint="F2"/>
                <w:lang w:val="en-GB"/>
              </w:rPr>
              <w:lastRenderedPageBreak/>
              <w:t xml:space="preserve">energies, materials and other semi-finished products. Only manufacturers of motor vehicles earned less year-on-year. </w:t>
            </w:r>
          </w:p>
        </w:tc>
        <w:tc>
          <w:tcPr>
            <w:tcW w:w="214" w:type="dxa"/>
            <w:tcBorders>
              <w:top w:val="nil"/>
              <w:left w:val="nil"/>
              <w:bottom w:val="nil"/>
              <w:right w:val="nil"/>
            </w:tcBorders>
            <w:shd w:val="clear" w:color="auto" w:fill="auto"/>
            <w:tcMar>
              <w:left w:w="0" w:type="dxa"/>
            </w:tcMar>
          </w:tcPr>
          <w:p w14:paraId="10CAF3A1" w14:textId="3DAAE0CD" w:rsidR="00A42593" w:rsidRPr="00A00994" w:rsidRDefault="00A42593" w:rsidP="00DB13EF">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54F1290D" w14:textId="2D273541" w:rsidR="00A42593" w:rsidRPr="001D4E19" w:rsidRDefault="00A42593" w:rsidP="00A42593">
            <w:pPr>
              <w:spacing w:after="220"/>
              <w:rPr>
                <w:rFonts w:cs="Arial"/>
                <w:i/>
                <w:iCs/>
                <w:spacing w:val="-2"/>
                <w:sz w:val="16"/>
                <w:szCs w:val="16"/>
                <w:lang w:val="en-GB"/>
              </w:rPr>
            </w:pPr>
            <w:r w:rsidRPr="001D4E19">
              <w:rPr>
                <w:rFonts w:cs="Arial"/>
                <w:bCs/>
                <w:color w:val="0D0D0D" w:themeColor="text1" w:themeTint="F2"/>
                <w:spacing w:val="-2"/>
                <w:szCs w:val="20"/>
                <w:lang w:val="en-GB"/>
              </w:rPr>
              <w:t>Nominal sales of industrial businesses</w:t>
            </w:r>
            <w:r w:rsidRPr="001D4E19">
              <w:rPr>
                <w:rStyle w:val="Znakapoznpodarou"/>
                <w:bCs/>
                <w:color w:val="0D0D0D" w:themeColor="text1" w:themeTint="F2"/>
                <w:spacing w:val="-2"/>
                <w:szCs w:val="20"/>
                <w:lang w:val="en-GB"/>
              </w:rPr>
              <w:footnoteReference w:id="21"/>
            </w:r>
            <w:r w:rsidRPr="001D4E19">
              <w:rPr>
                <w:rFonts w:cs="Arial"/>
                <w:bCs/>
                <w:color w:val="0D0D0D" w:themeColor="text1" w:themeTint="F2"/>
                <w:spacing w:val="-2"/>
                <w:szCs w:val="20"/>
                <w:lang w:val="en-GB"/>
              </w:rPr>
              <w:t xml:space="preserve"> exceeded the last year’s level by 10.9% in H1 2022 (in that even by 12.5% in Q2 itself). The dynamics of development of sales and industrial production is more and more differentiated in the last two years impacted by </w:t>
            </w:r>
            <w:r w:rsidRPr="001D4E19">
              <w:rPr>
                <w:rFonts w:cs="Arial"/>
                <w:bCs/>
                <w:color w:val="0D0D0D" w:themeColor="text1" w:themeTint="F2"/>
                <w:spacing w:val="-2"/>
                <w:szCs w:val="20"/>
                <w:lang w:val="en-GB"/>
              </w:rPr>
              <w:lastRenderedPageBreak/>
              <w:t>rising costs, which businesses reflect in their final products</w:t>
            </w:r>
            <w:r w:rsidRPr="001D4E19">
              <w:rPr>
                <w:rStyle w:val="Znakapoznpodarou"/>
                <w:bCs/>
                <w:color w:val="0D0D0D" w:themeColor="text1" w:themeTint="F2"/>
                <w:spacing w:val="-2"/>
                <w:szCs w:val="20"/>
                <w:lang w:val="en-GB"/>
              </w:rPr>
              <w:footnoteReference w:id="22"/>
            </w:r>
            <w:r w:rsidRPr="001D4E19">
              <w:rPr>
                <w:rFonts w:cs="Arial"/>
                <w:bCs/>
                <w:color w:val="0D0D0D" w:themeColor="text1" w:themeTint="F2"/>
                <w:spacing w:val="-2"/>
                <w:szCs w:val="20"/>
                <w:lang w:val="en-GB"/>
              </w:rPr>
              <w:t>. Domestic sales (including also indirect export</w:t>
            </w:r>
            <w:r w:rsidRPr="001D4E19">
              <w:rPr>
                <w:rStyle w:val="Znakapoznpodarou"/>
                <w:bCs/>
                <w:color w:val="0D0D0D" w:themeColor="text1" w:themeTint="F2"/>
                <w:spacing w:val="-2"/>
                <w:szCs w:val="20"/>
                <w:lang w:val="en-GB"/>
              </w:rPr>
              <w:footnoteReference w:id="23"/>
            </w:r>
            <w:r w:rsidRPr="001D4E19">
              <w:rPr>
                <w:rFonts w:cs="Arial"/>
                <w:bCs/>
                <w:color w:val="0D0D0D" w:themeColor="text1" w:themeTint="F2"/>
                <w:spacing w:val="-2"/>
                <w:szCs w:val="20"/>
                <w:lang w:val="en-GB"/>
              </w:rPr>
              <w:t xml:space="preserve">) expanded by 17.9%, by nearly triple pace compared to sales from direct export. It can be explained by strong price growth in branches producing products for the domestic market mainly (mining and quarrying, wood, paper and print industry, metalworking or food industry) and at the same time still relatively low price shift of some traditional export articles (motor vehicles, computers, electronic and optical appliances). The total sales boosted the most to businesses in coal mining (by 43%) and metallurgy and foundry industry or chemical industry (similarly by 35%) this year compared to the last year’s first half year. More than two thirds of main branches however recorded double digit growth of sales. Only manufacturers of motor vehicles – for both domestic sales (by 1%) and direct export (6%) - experienced a mild decrease. </w:t>
            </w:r>
          </w:p>
        </w:tc>
      </w:tr>
      <w:tr w:rsidR="00A42593" w:rsidRPr="00A00994" w14:paraId="2C6D6C0D" w14:textId="77777777" w:rsidTr="00BB1209">
        <w:trPr>
          <w:trHeight w:val="145"/>
        </w:trPr>
        <w:tc>
          <w:tcPr>
            <w:tcW w:w="1695" w:type="dxa"/>
            <w:tcBorders>
              <w:top w:val="nil"/>
              <w:left w:val="nil"/>
              <w:bottom w:val="nil"/>
              <w:right w:val="nil"/>
            </w:tcBorders>
            <w:shd w:val="clear" w:color="auto" w:fill="auto"/>
            <w:tcMar>
              <w:left w:w="0" w:type="dxa"/>
            </w:tcMar>
          </w:tcPr>
          <w:p w14:paraId="0E443B8A" w14:textId="39A674AF" w:rsidR="00A42593" w:rsidRPr="00A00994" w:rsidRDefault="00A42593" w:rsidP="00DB13EF">
            <w:pPr>
              <w:pStyle w:val="Marginlie"/>
              <w:rPr>
                <w:color w:val="0D0D0D" w:themeColor="text1" w:themeTint="F2"/>
                <w:lang w:val="en-GB"/>
              </w:rPr>
            </w:pPr>
          </w:p>
        </w:tc>
        <w:tc>
          <w:tcPr>
            <w:tcW w:w="214" w:type="dxa"/>
            <w:tcBorders>
              <w:top w:val="nil"/>
              <w:left w:val="nil"/>
              <w:bottom w:val="nil"/>
              <w:right w:val="nil"/>
            </w:tcBorders>
            <w:shd w:val="clear" w:color="auto" w:fill="auto"/>
            <w:tcMar>
              <w:left w:w="0" w:type="dxa"/>
            </w:tcMar>
          </w:tcPr>
          <w:p w14:paraId="6AACDB19" w14:textId="77777777" w:rsidR="00A42593" w:rsidRPr="00A00994" w:rsidRDefault="00A42593" w:rsidP="00DB13EF">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045E303E" w14:textId="77A6B87D" w:rsidR="00A42593" w:rsidRPr="00A00994" w:rsidRDefault="00A42593" w:rsidP="001A6015">
            <w:pPr>
              <w:spacing w:after="0"/>
              <w:rPr>
                <w:rFonts w:cs="Arial"/>
                <w:bCs/>
                <w:color w:val="0D0D0D" w:themeColor="text1" w:themeTint="F2"/>
                <w:spacing w:val="-6"/>
                <w:szCs w:val="20"/>
                <w:lang w:val="en-GB"/>
              </w:rPr>
            </w:pPr>
            <w:r w:rsidRPr="00A00994">
              <w:rPr>
                <w:b/>
                <w:spacing w:val="-2"/>
                <w:lang w:val="en-GB"/>
              </w:rPr>
              <w:t xml:space="preserve">Chart 5 </w:t>
            </w:r>
            <w:r w:rsidRPr="00A00994">
              <w:rPr>
                <w:b/>
                <w:lang w:val="en-GB"/>
              </w:rPr>
              <w:t xml:space="preserve">New orders in industry </w:t>
            </w:r>
            <w:r w:rsidRPr="00A00994">
              <w:rPr>
                <w:bCs/>
                <w:lang w:val="en-GB"/>
              </w:rPr>
              <w:t xml:space="preserve">(nominal, year-on-year change in %), </w:t>
            </w:r>
            <w:r w:rsidRPr="00A00994">
              <w:rPr>
                <w:b/>
                <w:lang w:val="en-GB"/>
              </w:rPr>
              <w:t>utilisation of production capacities in industry, selected growth barriers*</w:t>
            </w:r>
            <w:r w:rsidRPr="00A00994">
              <w:rPr>
                <w:lang w:val="en-GB"/>
              </w:rPr>
              <w:t xml:space="preserve"> (in %, right axis) </w:t>
            </w:r>
            <w:r w:rsidRPr="00A00994">
              <w:rPr>
                <w:b/>
                <w:bCs/>
                <w:lang w:val="en-GB"/>
              </w:rPr>
              <w:t xml:space="preserve">and balance of </w:t>
            </w:r>
            <w:r>
              <w:rPr>
                <w:b/>
                <w:bCs/>
                <w:lang w:val="en-GB"/>
              </w:rPr>
              <w:t xml:space="preserve">business </w:t>
            </w:r>
            <w:r w:rsidRPr="00A00994">
              <w:rPr>
                <w:b/>
                <w:bCs/>
                <w:lang w:val="en-GB"/>
              </w:rPr>
              <w:t>confidence indicator in industry*</w:t>
            </w:r>
            <w:r w:rsidRPr="00A00994">
              <w:rPr>
                <w:lang w:val="en-GB"/>
              </w:rPr>
              <w:t xml:space="preserve"> (in p.p., right axis)</w:t>
            </w:r>
          </w:p>
        </w:tc>
      </w:tr>
      <w:tr w:rsidR="00A42593" w:rsidRPr="00A00994" w14:paraId="009A1CFB" w14:textId="77777777" w:rsidTr="00BB1209">
        <w:tblPrEx>
          <w:tblCellMar>
            <w:left w:w="70" w:type="dxa"/>
            <w:right w:w="70" w:type="dxa"/>
          </w:tblCellMar>
        </w:tblPrEx>
        <w:trPr>
          <w:trHeight w:val="145"/>
        </w:trPr>
        <w:tc>
          <w:tcPr>
            <w:tcW w:w="1695" w:type="dxa"/>
            <w:tcBorders>
              <w:top w:val="nil"/>
              <w:left w:val="nil"/>
              <w:bottom w:val="nil"/>
              <w:right w:val="nil"/>
            </w:tcBorders>
            <w:shd w:val="clear" w:color="auto" w:fill="auto"/>
          </w:tcPr>
          <w:p w14:paraId="7CD70B08" w14:textId="2A3B9638" w:rsidR="00A42593" w:rsidRPr="00A00994" w:rsidRDefault="00A42593" w:rsidP="00DB13EF">
            <w:pPr>
              <w:pStyle w:val="Marginlie"/>
              <w:rPr>
                <w:color w:val="0D0D0D" w:themeColor="text1" w:themeTint="F2"/>
                <w:lang w:val="en-GB"/>
              </w:rPr>
            </w:pPr>
          </w:p>
        </w:tc>
        <w:tc>
          <w:tcPr>
            <w:tcW w:w="214" w:type="dxa"/>
            <w:tcBorders>
              <w:top w:val="nil"/>
              <w:left w:val="nil"/>
              <w:bottom w:val="nil"/>
              <w:right w:val="nil"/>
            </w:tcBorders>
            <w:shd w:val="clear" w:color="auto" w:fill="auto"/>
          </w:tcPr>
          <w:p w14:paraId="60CF29B7" w14:textId="77777777" w:rsidR="00A42593" w:rsidRPr="00A00994" w:rsidRDefault="00A42593" w:rsidP="00DB13EF">
            <w:pPr>
              <w:pStyle w:val="Textpoznpodarou"/>
              <w:jc w:val="both"/>
              <w:rPr>
                <w:spacing w:val="-4"/>
                <w:lang w:val="en-GB"/>
              </w:rPr>
            </w:pPr>
          </w:p>
        </w:tc>
        <w:tc>
          <w:tcPr>
            <w:tcW w:w="7730" w:type="dxa"/>
            <w:tcBorders>
              <w:top w:val="nil"/>
              <w:left w:val="nil"/>
              <w:bottom w:val="nil"/>
              <w:right w:val="nil"/>
            </w:tcBorders>
            <w:shd w:val="clear" w:color="auto" w:fill="auto"/>
          </w:tcPr>
          <w:p w14:paraId="06803C68" w14:textId="11C2B246" w:rsidR="00A42593" w:rsidRPr="00A00994" w:rsidRDefault="001A6015" w:rsidP="00A1004C">
            <w:pPr>
              <w:pStyle w:val="Textpoznpodarou"/>
              <w:spacing w:line="276" w:lineRule="auto"/>
              <w:jc w:val="both"/>
              <w:rPr>
                <w:color w:val="0D0D0D" w:themeColor="text1" w:themeTint="F2"/>
                <w:spacing w:val="-5"/>
                <w:lang w:val="en-GB"/>
              </w:rPr>
            </w:pPr>
            <w:r>
              <w:rPr>
                <w:noProof/>
              </w:rPr>
              <w:drawing>
                <wp:inline distT="0" distB="0" distL="0" distR="0" wp14:anchorId="753DDDC0" wp14:editId="456299AC">
                  <wp:extent cx="4696239" cy="3536674"/>
                  <wp:effectExtent l="0" t="0" r="0" b="698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42593" w:rsidRPr="00A00994" w14:paraId="425D1ABC" w14:textId="77777777" w:rsidTr="00BB1209">
        <w:tblPrEx>
          <w:tblCellMar>
            <w:left w:w="70" w:type="dxa"/>
            <w:right w:w="70" w:type="dxa"/>
          </w:tblCellMar>
        </w:tblPrEx>
        <w:trPr>
          <w:trHeight w:val="145"/>
        </w:trPr>
        <w:tc>
          <w:tcPr>
            <w:tcW w:w="1695" w:type="dxa"/>
            <w:tcBorders>
              <w:top w:val="nil"/>
              <w:left w:val="nil"/>
              <w:bottom w:val="nil"/>
              <w:right w:val="nil"/>
            </w:tcBorders>
            <w:shd w:val="clear" w:color="auto" w:fill="auto"/>
          </w:tcPr>
          <w:p w14:paraId="33566954" w14:textId="77777777" w:rsidR="00A42593" w:rsidRPr="00A00994" w:rsidRDefault="00A42593" w:rsidP="00DB13EF">
            <w:pPr>
              <w:pStyle w:val="Marginlie"/>
              <w:rPr>
                <w:color w:val="0D0D0D" w:themeColor="text1" w:themeTint="F2"/>
                <w:lang w:val="en-GB"/>
              </w:rPr>
            </w:pPr>
          </w:p>
        </w:tc>
        <w:tc>
          <w:tcPr>
            <w:tcW w:w="214" w:type="dxa"/>
            <w:tcBorders>
              <w:top w:val="nil"/>
              <w:left w:val="nil"/>
              <w:bottom w:val="nil"/>
              <w:right w:val="nil"/>
            </w:tcBorders>
            <w:shd w:val="clear" w:color="auto" w:fill="auto"/>
          </w:tcPr>
          <w:p w14:paraId="15139270" w14:textId="77777777" w:rsidR="00A42593" w:rsidRPr="00A00994" w:rsidRDefault="00A42593" w:rsidP="00DB13EF">
            <w:pPr>
              <w:pStyle w:val="Textpoznpodarou"/>
              <w:jc w:val="both"/>
              <w:rPr>
                <w:spacing w:val="-4"/>
                <w:lang w:val="en-GB"/>
              </w:rPr>
            </w:pPr>
          </w:p>
        </w:tc>
        <w:tc>
          <w:tcPr>
            <w:tcW w:w="7730" w:type="dxa"/>
            <w:tcBorders>
              <w:top w:val="nil"/>
              <w:left w:val="nil"/>
              <w:bottom w:val="nil"/>
              <w:right w:val="nil"/>
            </w:tcBorders>
            <w:shd w:val="clear" w:color="auto" w:fill="auto"/>
          </w:tcPr>
          <w:p w14:paraId="2AE58647" w14:textId="43E9A402" w:rsidR="00A42593" w:rsidRPr="00A00994" w:rsidRDefault="00A42593" w:rsidP="001D4E19">
            <w:pPr>
              <w:spacing w:after="200"/>
              <w:rPr>
                <w:b/>
                <w:spacing w:val="-2"/>
                <w:lang w:val="en-GB"/>
              </w:rPr>
            </w:pPr>
            <w:r w:rsidRPr="00A00994">
              <w:rPr>
                <w:color w:val="0D0D0D" w:themeColor="text1" w:themeTint="F2"/>
                <w:spacing w:val="-5"/>
                <w:lang w:val="en-GB"/>
              </w:rPr>
              <w:t>*</w:t>
            </w:r>
            <w:r w:rsidRPr="00A00994">
              <w:rPr>
                <w:rFonts w:cs="Arial"/>
                <w:sz w:val="14"/>
                <w:szCs w:val="14"/>
                <w:lang w:val="en-GB"/>
              </w:rPr>
              <w:t xml:space="preserve"> Both utilisation of production capacities and growth barriers express the level in the first month of the given quarter, </w:t>
            </w:r>
            <w:r>
              <w:rPr>
                <w:rFonts w:cs="Arial"/>
                <w:sz w:val="14"/>
                <w:szCs w:val="14"/>
                <w:lang w:val="en-GB"/>
              </w:rPr>
              <w:t xml:space="preserve"> business</w:t>
            </w:r>
            <w:r w:rsidRPr="00A00994">
              <w:rPr>
                <w:rFonts w:cs="Arial"/>
                <w:sz w:val="14"/>
                <w:szCs w:val="14"/>
                <w:lang w:val="en-GB"/>
              </w:rPr>
              <w:t xml:space="preserve"> confidence balance relates to the second month in the quarter. Orders are adjusted for calendar effects; other indicators are seasonally adjusted. Businesses could have indicated more key growth barriers simultaneously.                                                                             Source: CZSO</w:t>
            </w:r>
            <w:r>
              <w:rPr>
                <w:rFonts w:cs="Arial"/>
                <w:sz w:val="14"/>
                <w:szCs w:val="14"/>
                <w:lang w:val="en-GB"/>
              </w:rPr>
              <w:t>, Eurostat</w:t>
            </w:r>
          </w:p>
        </w:tc>
      </w:tr>
      <w:tr w:rsidR="001D4E19" w:rsidRPr="00A00994" w14:paraId="71988E46" w14:textId="77777777" w:rsidTr="00BB1209">
        <w:trPr>
          <w:trHeight w:val="145"/>
        </w:trPr>
        <w:tc>
          <w:tcPr>
            <w:tcW w:w="1695" w:type="dxa"/>
            <w:tcBorders>
              <w:top w:val="nil"/>
              <w:left w:val="nil"/>
              <w:bottom w:val="nil"/>
              <w:right w:val="nil"/>
            </w:tcBorders>
            <w:shd w:val="clear" w:color="auto" w:fill="auto"/>
            <w:tcMar>
              <w:left w:w="0" w:type="dxa"/>
            </w:tcMar>
          </w:tcPr>
          <w:p w14:paraId="45020710" w14:textId="77777777" w:rsidR="001D4E19" w:rsidRPr="00A00994" w:rsidRDefault="001D4E19" w:rsidP="001D4E19">
            <w:pPr>
              <w:pStyle w:val="Marginlie"/>
              <w:rPr>
                <w:color w:val="0D0D0D" w:themeColor="text1" w:themeTint="F2"/>
                <w:lang w:val="en-GB"/>
              </w:rPr>
            </w:pPr>
            <w:r w:rsidRPr="00A00994">
              <w:rPr>
                <w:color w:val="0D0D0D" w:themeColor="text1" w:themeTint="F2"/>
                <w:lang w:val="en-GB"/>
              </w:rPr>
              <w:t xml:space="preserve">Growth of the volume of new orders reflected manly the effect of strengthening prices of production costs in the majority of industrial branches. </w:t>
            </w:r>
          </w:p>
          <w:p w14:paraId="79D5BC69" w14:textId="77777777" w:rsidR="001D4E19" w:rsidRPr="00A00994" w:rsidRDefault="001D4E19" w:rsidP="001D4E19">
            <w:pPr>
              <w:pStyle w:val="Marginlie"/>
              <w:rPr>
                <w:color w:val="0D0D0D" w:themeColor="text1" w:themeTint="F2"/>
                <w:lang w:val="en-GB"/>
              </w:rPr>
            </w:pPr>
          </w:p>
          <w:p w14:paraId="17AA12EA" w14:textId="3064BD2B" w:rsidR="001D4E19" w:rsidRDefault="001D4E19" w:rsidP="001D4E19">
            <w:pPr>
              <w:pStyle w:val="Marginlie"/>
              <w:rPr>
                <w:color w:val="0D0D0D" w:themeColor="text1" w:themeTint="F2"/>
                <w:lang w:val="en-GB"/>
              </w:rPr>
            </w:pPr>
          </w:p>
          <w:p w14:paraId="23B9EA59" w14:textId="77777777" w:rsidR="001D4E19" w:rsidRPr="00A00994" w:rsidRDefault="001D4E19" w:rsidP="001D4E19">
            <w:pPr>
              <w:pStyle w:val="Marginlie"/>
              <w:rPr>
                <w:color w:val="0D0D0D" w:themeColor="text1" w:themeTint="F2"/>
                <w:lang w:val="en-GB"/>
              </w:rPr>
            </w:pPr>
          </w:p>
          <w:p w14:paraId="72A45DC4" w14:textId="77777777" w:rsidR="001D4E19" w:rsidRPr="00A00994" w:rsidRDefault="001D4E19" w:rsidP="001D4E19">
            <w:pPr>
              <w:pStyle w:val="Marginlie"/>
              <w:rPr>
                <w:color w:val="0D0D0D" w:themeColor="text1" w:themeTint="F2"/>
                <w:lang w:val="en-GB"/>
              </w:rPr>
            </w:pPr>
          </w:p>
          <w:p w14:paraId="31FC457C" w14:textId="26AE2257" w:rsidR="001D4E19" w:rsidRPr="00A00994" w:rsidRDefault="001D4E19" w:rsidP="001D4E19">
            <w:pPr>
              <w:pStyle w:val="Marginlie"/>
              <w:rPr>
                <w:color w:val="0D0D0D" w:themeColor="text1" w:themeTint="F2"/>
                <w:lang w:val="en-GB"/>
              </w:rPr>
            </w:pPr>
            <w:r w:rsidRPr="00A00994">
              <w:rPr>
                <w:color w:val="0D0D0D" w:themeColor="text1" w:themeTint="F2"/>
                <w:lang w:val="en-GB"/>
              </w:rPr>
              <w:lastRenderedPageBreak/>
              <w:t xml:space="preserve">Growth of demand prevailed in the electrical engineering; improvement manifested for motor vehicle manufacturers.   </w:t>
            </w:r>
          </w:p>
        </w:tc>
        <w:tc>
          <w:tcPr>
            <w:tcW w:w="214" w:type="dxa"/>
            <w:tcBorders>
              <w:top w:val="nil"/>
              <w:left w:val="nil"/>
              <w:bottom w:val="nil"/>
              <w:right w:val="nil"/>
            </w:tcBorders>
            <w:shd w:val="clear" w:color="auto" w:fill="auto"/>
            <w:tcMar>
              <w:left w:w="0" w:type="dxa"/>
            </w:tcMar>
          </w:tcPr>
          <w:p w14:paraId="36027DB7"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189D9CE4" w14:textId="01681A15" w:rsidR="001D4E19" w:rsidRDefault="001D4E19" w:rsidP="001D4E19">
            <w:pPr>
              <w:spacing w:after="200"/>
              <w:rPr>
                <w:color w:val="0D0D0D" w:themeColor="text1" w:themeTint="F2"/>
                <w:spacing w:val="-6"/>
                <w:lang w:val="en-GB"/>
              </w:rPr>
            </w:pPr>
            <w:r w:rsidRPr="001D4E19">
              <w:rPr>
                <w:color w:val="0D0D0D" w:themeColor="text1" w:themeTint="F2"/>
                <w:spacing w:val="-2"/>
                <w:lang w:val="en-GB"/>
              </w:rPr>
              <w:t>Although the growth of the value of new orders in selected industrial branches</w:t>
            </w:r>
            <w:r w:rsidRPr="001D4E19">
              <w:rPr>
                <w:rStyle w:val="Znakapoznpodarou"/>
                <w:color w:val="0D0D0D" w:themeColor="text1" w:themeTint="F2"/>
                <w:spacing w:val="-2"/>
                <w:lang w:val="en-GB"/>
              </w:rPr>
              <w:footnoteReference w:id="24"/>
            </w:r>
            <w:r w:rsidRPr="001D4E19">
              <w:rPr>
                <w:color w:val="0D0D0D" w:themeColor="text1" w:themeTint="F2"/>
                <w:spacing w:val="-2"/>
                <w:lang w:val="en-GB"/>
              </w:rPr>
              <w:t xml:space="preserve"> gained pace to 9.3% year-on-year in Q2, it lagged behind this year’s dynamics of both sales and growth of prices of industrial producers. Manufacturing of metal structures and fabricated metal products, where the value of contracted works was raised by nearly one fifth, contributed the most to the larger volume of orders. Still no real growth of demand can be reported since the high price growth of inputs in this branch significantly enters into the value of orders. With respect to the dynamics of the production costs as well as the last year basis, the current growth of orders in manufacturing of electrical appliances </w:t>
            </w:r>
            <w:r w:rsidRPr="001D4E19">
              <w:rPr>
                <w:rFonts w:cs="Arial"/>
                <w:bCs/>
                <w:color w:val="0D0D0D" w:themeColor="text1" w:themeTint="F2"/>
                <w:spacing w:val="-2"/>
                <w:szCs w:val="20"/>
                <w:lang w:val="en-GB"/>
              </w:rPr>
              <w:t xml:space="preserve">(11%), pharmacy (15%), textile industry (18%) and clothing (14%, mainly domestic demand here) </w:t>
            </w:r>
            <w:r w:rsidRPr="001D4E19">
              <w:rPr>
                <w:rFonts w:cs="Arial"/>
                <w:bCs/>
                <w:color w:val="0D0D0D" w:themeColor="text1" w:themeTint="F2"/>
                <w:spacing w:val="-2"/>
                <w:szCs w:val="20"/>
                <w:lang w:val="en-GB"/>
              </w:rPr>
              <w:lastRenderedPageBreak/>
              <w:t>can be assessed positively. This is in contrast with the three quarters lasting moderate decrease of orders in manufacturing of computers, electronic and optical appliances. The manufacturing of motor vehicle contented with even deeper slump of demand since half of the last year, nevertheless the situation improved in this year’s Q2 and the volume of orders very mildly increased here (even despite high last year basis).</w:t>
            </w:r>
          </w:p>
        </w:tc>
      </w:tr>
      <w:tr w:rsidR="001D4E19" w:rsidRPr="00A00994" w14:paraId="20A89B32" w14:textId="77777777" w:rsidTr="00BB1209">
        <w:trPr>
          <w:trHeight w:val="145"/>
        </w:trPr>
        <w:tc>
          <w:tcPr>
            <w:tcW w:w="1695" w:type="dxa"/>
            <w:tcBorders>
              <w:top w:val="nil"/>
              <w:left w:val="nil"/>
              <w:bottom w:val="nil"/>
              <w:right w:val="nil"/>
            </w:tcBorders>
            <w:shd w:val="clear" w:color="auto" w:fill="auto"/>
            <w:tcMar>
              <w:left w:w="0" w:type="dxa"/>
            </w:tcMar>
          </w:tcPr>
          <w:p w14:paraId="7545AF8C" w14:textId="77777777" w:rsidR="001D4E19" w:rsidRPr="00A00994" w:rsidRDefault="001D4E19" w:rsidP="001D4E19">
            <w:pPr>
              <w:pStyle w:val="Marginlie"/>
              <w:rPr>
                <w:color w:val="0D0D0D" w:themeColor="text1" w:themeTint="F2"/>
                <w:lang w:val="en-GB"/>
              </w:rPr>
            </w:pPr>
            <w:r w:rsidRPr="00A00994">
              <w:rPr>
                <w:color w:val="0D0D0D" w:themeColor="text1" w:themeTint="F2"/>
                <w:lang w:val="en-GB"/>
              </w:rPr>
              <w:lastRenderedPageBreak/>
              <w:t xml:space="preserve">The </w:t>
            </w:r>
            <w:r>
              <w:rPr>
                <w:color w:val="0D0D0D" w:themeColor="text1" w:themeTint="F2"/>
                <w:lang w:val="en-GB"/>
              </w:rPr>
              <w:t>s</w:t>
            </w:r>
            <w:r w:rsidRPr="00A00994">
              <w:rPr>
                <w:color w:val="0D0D0D" w:themeColor="text1" w:themeTint="F2"/>
                <w:lang w:val="en-GB"/>
              </w:rPr>
              <w:t xml:space="preserve">pring optimism of industrial businesses cooled down in July. Both production and employment anticipations were however mildly positive. </w:t>
            </w:r>
          </w:p>
          <w:p w14:paraId="0D6C915D" w14:textId="77777777" w:rsidR="001D4E19" w:rsidRPr="00A00994" w:rsidRDefault="001D4E19" w:rsidP="001D4E19">
            <w:pPr>
              <w:pStyle w:val="Marginlie"/>
              <w:rPr>
                <w:color w:val="0D0D0D" w:themeColor="text1" w:themeTint="F2"/>
                <w:lang w:val="en-GB"/>
              </w:rPr>
            </w:pPr>
          </w:p>
          <w:p w14:paraId="191147DF" w14:textId="77777777" w:rsidR="001D4E19" w:rsidRPr="00A00994" w:rsidRDefault="001D4E19" w:rsidP="001D4E19">
            <w:pPr>
              <w:pStyle w:val="Marginlie"/>
              <w:rPr>
                <w:color w:val="0D0D0D" w:themeColor="text1" w:themeTint="F2"/>
                <w:spacing w:val="0"/>
                <w:lang w:val="en-GB"/>
              </w:rPr>
            </w:pPr>
          </w:p>
          <w:p w14:paraId="46FEFA7F" w14:textId="77777777" w:rsidR="001D4E19" w:rsidRPr="00A00994" w:rsidRDefault="001D4E19" w:rsidP="001D4E19">
            <w:pPr>
              <w:pStyle w:val="Marginlie"/>
              <w:rPr>
                <w:color w:val="0D0D0D" w:themeColor="text1" w:themeTint="F2"/>
                <w:spacing w:val="0"/>
                <w:lang w:val="en-GB"/>
              </w:rPr>
            </w:pPr>
            <w:r w:rsidRPr="00A00994">
              <w:rPr>
                <w:color w:val="0D0D0D" w:themeColor="text1" w:themeTint="F2"/>
                <w:spacing w:val="0"/>
                <w:lang w:val="en-GB"/>
              </w:rPr>
              <w:t xml:space="preserve">  </w:t>
            </w:r>
          </w:p>
          <w:p w14:paraId="3EDCB4BA" w14:textId="77777777" w:rsidR="001D4E19" w:rsidRPr="00A00994" w:rsidRDefault="001D4E19" w:rsidP="001D4E19">
            <w:pPr>
              <w:pStyle w:val="Marginlie"/>
              <w:rPr>
                <w:color w:val="0D0D0D" w:themeColor="text1" w:themeTint="F2"/>
                <w:spacing w:val="0"/>
                <w:lang w:val="en-GB"/>
              </w:rPr>
            </w:pPr>
            <w:r w:rsidRPr="00A00994">
              <w:rPr>
                <w:color w:val="0D0D0D" w:themeColor="text1" w:themeTint="F2"/>
                <w:spacing w:val="0"/>
                <w:lang w:val="en-GB"/>
              </w:rPr>
              <w:t xml:space="preserve">Significant growth barriers remained, anticipation of growth of prices of own production moderated only slightly. </w:t>
            </w:r>
          </w:p>
          <w:p w14:paraId="08D784B1" w14:textId="77777777" w:rsidR="001D4E19" w:rsidRPr="00A00994" w:rsidRDefault="001D4E19" w:rsidP="001D4E19">
            <w:pPr>
              <w:pStyle w:val="Marginlie"/>
              <w:rPr>
                <w:color w:val="0D0D0D" w:themeColor="text1" w:themeTint="F2"/>
                <w:lang w:val="en-GB"/>
              </w:rPr>
            </w:pPr>
          </w:p>
        </w:tc>
        <w:tc>
          <w:tcPr>
            <w:tcW w:w="214" w:type="dxa"/>
            <w:tcBorders>
              <w:top w:val="nil"/>
              <w:left w:val="nil"/>
              <w:bottom w:val="nil"/>
              <w:right w:val="nil"/>
            </w:tcBorders>
            <w:shd w:val="clear" w:color="auto" w:fill="auto"/>
            <w:tcMar>
              <w:left w:w="0" w:type="dxa"/>
            </w:tcMar>
          </w:tcPr>
          <w:p w14:paraId="4F0A22C3"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52E46FFA" w14:textId="5F82C481" w:rsidR="001D4E19" w:rsidRPr="00EC0B86" w:rsidRDefault="001D4E19" w:rsidP="001D4E19">
            <w:pPr>
              <w:spacing w:after="200"/>
              <w:rPr>
                <w:rFonts w:cs="Arial"/>
                <w:sz w:val="14"/>
                <w:szCs w:val="14"/>
                <w:lang w:val="en-GB"/>
              </w:rPr>
            </w:pPr>
            <w:r>
              <w:rPr>
                <w:color w:val="0D0D0D" w:themeColor="text1" w:themeTint="F2"/>
                <w:spacing w:val="-6"/>
                <w:lang w:val="en-GB"/>
              </w:rPr>
              <w:t>Business</w:t>
            </w:r>
            <w:r w:rsidRPr="00A00994">
              <w:rPr>
                <w:color w:val="0D0D0D" w:themeColor="text1" w:themeTint="F2"/>
                <w:spacing w:val="-6"/>
                <w:lang w:val="en-GB"/>
              </w:rPr>
              <w:t xml:space="preserve"> confidence in industry more significantly declined in July following the growth in Q2 2022 and returned to the level from the beginning of this year (nevertheless the </w:t>
            </w:r>
            <w:r>
              <w:rPr>
                <w:color w:val="0D0D0D" w:themeColor="text1" w:themeTint="F2"/>
                <w:spacing w:val="-6"/>
                <w:lang w:val="en-GB"/>
              </w:rPr>
              <w:t>economic</w:t>
            </w:r>
            <w:r w:rsidRPr="00A00994">
              <w:rPr>
                <w:color w:val="0D0D0D" w:themeColor="text1" w:themeTint="F2"/>
                <w:spacing w:val="-6"/>
                <w:lang w:val="en-GB"/>
              </w:rPr>
              <w:t xml:space="preserve"> sentiment was slightly more favourable than before the onset of the pandemics). The evaluation of the current demand worsened, businesses indicating growth of inventory stock of finished products increased in number and the concerns regarding the overall economic situation (mainly in the nearest three months) also heightened. At the same time however, nearly every third business presumed the growth of output in this time period (only one tenth expected decrease), which also corresponded to the mild optimism in the area of hiring new workers</w:t>
            </w:r>
            <w:r w:rsidRPr="00A00994">
              <w:rPr>
                <w:rStyle w:val="Znakapoznpodarou"/>
                <w:color w:val="0D0D0D" w:themeColor="text1" w:themeTint="F2"/>
                <w:spacing w:val="-6"/>
                <w:lang w:val="en-GB"/>
              </w:rPr>
              <w:footnoteReference w:id="25"/>
            </w:r>
            <w:r w:rsidRPr="00A00994">
              <w:rPr>
                <w:color w:val="0D0D0D" w:themeColor="text1" w:themeTint="F2"/>
                <w:spacing w:val="-6"/>
                <w:lang w:val="en-GB"/>
              </w:rPr>
              <w:t>. Due to more intense stage of completion of current orders the businesses’ stock of work shrank at the same time</w:t>
            </w:r>
            <w:r w:rsidRPr="00A00994">
              <w:rPr>
                <w:rStyle w:val="Znakapoznpodarou"/>
                <w:color w:val="0D0D0D" w:themeColor="text1" w:themeTint="F2"/>
                <w:spacing w:val="-6"/>
                <w:lang w:val="en-GB"/>
              </w:rPr>
              <w:footnoteReference w:id="26"/>
            </w:r>
            <w:r w:rsidRPr="00A00994">
              <w:rPr>
                <w:color w:val="0D0D0D" w:themeColor="text1" w:themeTint="F2"/>
                <w:spacing w:val="-6"/>
                <w:lang w:val="en-GB"/>
              </w:rPr>
              <w:t>. The whole branch was limited by significant barriers – shortage of material and equipment afflicted already one half of businesses (mostly in larger traditional export branches</w:t>
            </w:r>
            <w:r w:rsidRPr="00A00994">
              <w:rPr>
                <w:rStyle w:val="Znakapoznpodarou"/>
                <w:color w:val="0D0D0D" w:themeColor="text1" w:themeTint="F2"/>
                <w:spacing w:val="-6"/>
                <w:lang w:val="en-GB"/>
              </w:rPr>
              <w:footnoteReference w:id="27"/>
            </w:r>
            <w:r w:rsidRPr="00A00994">
              <w:rPr>
                <w:color w:val="0D0D0D" w:themeColor="text1" w:themeTint="F2"/>
                <w:spacing w:val="-6"/>
                <w:lang w:val="en-GB"/>
              </w:rPr>
              <w:t>), lack of workers already more than one quarter of businesses</w:t>
            </w:r>
            <w:r w:rsidRPr="00A00994">
              <w:rPr>
                <w:rStyle w:val="Znakapoznpodarou"/>
                <w:color w:val="0D0D0D" w:themeColor="text1" w:themeTint="F2"/>
                <w:spacing w:val="-6"/>
                <w:lang w:val="en-GB"/>
              </w:rPr>
              <w:footnoteReference w:id="28"/>
            </w:r>
            <w:r w:rsidRPr="00A00994">
              <w:rPr>
                <w:color w:val="0D0D0D" w:themeColor="text1" w:themeTint="F2"/>
                <w:spacing w:val="-6"/>
                <w:lang w:val="en-GB"/>
              </w:rPr>
              <w:t xml:space="preserve"> and the inadequate demand then nearly one fifth</w:t>
            </w:r>
            <w:r w:rsidRPr="00A00994">
              <w:rPr>
                <w:rStyle w:val="Znakapoznpodarou"/>
                <w:color w:val="0D0D0D" w:themeColor="text1" w:themeTint="F2"/>
                <w:spacing w:val="-6"/>
                <w:lang w:val="en-GB"/>
              </w:rPr>
              <w:footnoteReference w:id="29"/>
            </w:r>
            <w:r w:rsidRPr="00A00994">
              <w:rPr>
                <w:color w:val="0D0D0D" w:themeColor="text1" w:themeTint="F2"/>
                <w:spacing w:val="-6"/>
                <w:lang w:val="en-GB"/>
              </w:rPr>
              <w:t>. The shortage of material together with the sharply rising prices of energies as well as other inputs were reflected in the notably high expectations of businesses in the area of raising prices of own production</w:t>
            </w:r>
            <w:r w:rsidRPr="00A00994">
              <w:rPr>
                <w:rStyle w:val="Znakapoznpodarou"/>
                <w:color w:val="0D0D0D" w:themeColor="text1" w:themeTint="F2"/>
                <w:spacing w:val="-6"/>
                <w:lang w:val="en-GB"/>
              </w:rPr>
              <w:footnoteReference w:id="30"/>
            </w:r>
            <w:r w:rsidRPr="00A00994">
              <w:rPr>
                <w:color w:val="0D0D0D" w:themeColor="text1" w:themeTint="F2"/>
                <w:spacing w:val="-6"/>
                <w:lang w:val="en-GB"/>
              </w:rPr>
              <w:t>.</w:t>
            </w:r>
          </w:p>
        </w:tc>
      </w:tr>
      <w:tr w:rsidR="001D4E19" w:rsidRPr="00A00994" w14:paraId="5DEFDA8E" w14:textId="77777777" w:rsidTr="00BB1209">
        <w:trPr>
          <w:trHeight w:val="145"/>
        </w:trPr>
        <w:tc>
          <w:tcPr>
            <w:tcW w:w="1695" w:type="dxa"/>
            <w:tcBorders>
              <w:top w:val="nil"/>
              <w:left w:val="nil"/>
              <w:bottom w:val="nil"/>
              <w:right w:val="nil"/>
            </w:tcBorders>
            <w:shd w:val="clear" w:color="auto" w:fill="auto"/>
            <w:tcMar>
              <w:left w:w="0" w:type="dxa"/>
            </w:tcMar>
          </w:tcPr>
          <w:p w14:paraId="22660C09" w14:textId="3292A280" w:rsidR="001D4E19" w:rsidRPr="00A00994" w:rsidRDefault="001D4E19" w:rsidP="001D4E19">
            <w:pPr>
              <w:pStyle w:val="Marginlie"/>
              <w:rPr>
                <w:color w:val="0D0D0D" w:themeColor="text1" w:themeTint="F2"/>
                <w:lang w:val="en-GB"/>
              </w:rPr>
            </w:pPr>
            <w:r w:rsidRPr="00A00994">
              <w:rPr>
                <w:color w:val="0D0D0D" w:themeColor="text1" w:themeTint="F2"/>
                <w:spacing w:val="0"/>
                <w:lang w:val="en-GB"/>
              </w:rPr>
              <w:t>The EU industry continued in slow recovery. It was similarly to the local economy markedly hampered mainly by the shortage of production components</w:t>
            </w:r>
          </w:p>
        </w:tc>
        <w:tc>
          <w:tcPr>
            <w:tcW w:w="214" w:type="dxa"/>
            <w:tcBorders>
              <w:top w:val="nil"/>
              <w:left w:val="nil"/>
              <w:bottom w:val="nil"/>
              <w:right w:val="nil"/>
            </w:tcBorders>
            <w:shd w:val="clear" w:color="auto" w:fill="auto"/>
            <w:tcMar>
              <w:left w:w="0" w:type="dxa"/>
            </w:tcMar>
          </w:tcPr>
          <w:p w14:paraId="3FE8824C"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55DB6CF5" w14:textId="0BF871A9" w:rsidR="001D4E19" w:rsidRPr="00A00994" w:rsidRDefault="001D4E19" w:rsidP="001D4E19">
            <w:pPr>
              <w:spacing w:after="210"/>
              <w:rPr>
                <w:color w:val="0D0D0D" w:themeColor="text1" w:themeTint="F2"/>
                <w:spacing w:val="-6"/>
                <w:lang w:val="en-GB"/>
              </w:rPr>
            </w:pPr>
            <w:r w:rsidRPr="00A00994">
              <w:rPr>
                <w:color w:val="0D0D0D" w:themeColor="text1" w:themeTint="F2"/>
                <w:spacing w:val="-4"/>
                <w:lang w:val="en-GB"/>
              </w:rPr>
              <w:t xml:space="preserve">The industrial production has continued its insignificant growth in the EU so far this year. It strengthened by 1.1% compared to the previous quarter in Q2. Year-on-year, it was by 1.4% higher for the whole half-year, primarily thanks to the increased output of branches production both short-term consumption and durable goods and also activities associated with power. On the contrary, the output of branches aimed at products of investment nature went down (−1.9%), especially due to the persisting difficulties of the motor vehicle manufacturers (−6.3%). While the production of the whole industry in the EU exceeded its pre-pandemic level already at the beginning of this year, it was not achieved in the euro area countries even in Q2 (−1.3%). Compared to H1 2021, the output increased the most mainly in the newer member states this year (e.g. by 14.3% in Poland), the decline affected eight states – among more significant industrial countries it was apart from the CR (−0.3%) Slovakia (−3.2), Romania (−1.6%) and Germany (−1.2%). The EU industrial businesses face identical growth barriers (and with similar intensity) as those in the CR this year. </w:t>
            </w:r>
          </w:p>
        </w:tc>
      </w:tr>
      <w:tr w:rsidR="001D4E19" w:rsidRPr="00A00994" w14:paraId="507F6792" w14:textId="77777777" w:rsidTr="00BB1209">
        <w:trPr>
          <w:trHeight w:val="145"/>
        </w:trPr>
        <w:tc>
          <w:tcPr>
            <w:tcW w:w="1695" w:type="dxa"/>
            <w:tcBorders>
              <w:top w:val="nil"/>
              <w:left w:val="nil"/>
              <w:bottom w:val="nil"/>
              <w:right w:val="nil"/>
            </w:tcBorders>
            <w:shd w:val="clear" w:color="auto" w:fill="auto"/>
            <w:tcMar>
              <w:left w:w="0" w:type="dxa"/>
            </w:tcMar>
          </w:tcPr>
          <w:p w14:paraId="55A05479" w14:textId="3D4364FA" w:rsidR="001D4E19" w:rsidRPr="00A00994" w:rsidRDefault="001D4E19" w:rsidP="001D4E19">
            <w:pPr>
              <w:pStyle w:val="Marginlie"/>
              <w:rPr>
                <w:color w:val="0D0D0D" w:themeColor="text1" w:themeTint="F2"/>
                <w:lang w:val="en-GB"/>
              </w:rPr>
            </w:pPr>
            <w:r w:rsidRPr="00A00994">
              <w:rPr>
                <w:color w:val="0D0D0D" w:themeColor="text1" w:themeTint="F2"/>
                <w:spacing w:val="0"/>
                <w:lang w:val="en-GB"/>
              </w:rPr>
              <w:t xml:space="preserve">Growth of construction output markedly accelerated at the beginning of the year; however the pace did not hold in the next time period. </w:t>
            </w:r>
          </w:p>
        </w:tc>
        <w:tc>
          <w:tcPr>
            <w:tcW w:w="214" w:type="dxa"/>
            <w:tcBorders>
              <w:top w:val="nil"/>
              <w:left w:val="nil"/>
              <w:bottom w:val="nil"/>
              <w:right w:val="nil"/>
            </w:tcBorders>
            <w:shd w:val="clear" w:color="auto" w:fill="auto"/>
            <w:tcMar>
              <w:left w:w="0" w:type="dxa"/>
            </w:tcMar>
          </w:tcPr>
          <w:p w14:paraId="02D58C77"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557A50ED" w14:textId="6B66B4ED" w:rsidR="001D4E19" w:rsidRPr="00A00994" w:rsidRDefault="001D4E19" w:rsidP="001D4E19">
            <w:pPr>
              <w:spacing w:after="210"/>
              <w:rPr>
                <w:color w:val="0D0D0D" w:themeColor="text1" w:themeTint="F2"/>
                <w:spacing w:val="-4"/>
                <w:lang w:val="en-GB"/>
              </w:rPr>
            </w:pPr>
            <w:r w:rsidRPr="00A00994">
              <w:rPr>
                <w:color w:val="0D0D0D" w:themeColor="text1" w:themeTint="F2"/>
                <w:spacing w:val="-6"/>
                <w:lang w:val="en-GB"/>
              </w:rPr>
              <w:t>Following the considerable acceleration of the construction output growth</w:t>
            </w:r>
            <w:r w:rsidRPr="00A00994">
              <w:rPr>
                <w:rStyle w:val="Znakapoznpodarou"/>
                <w:color w:val="0D0D0D" w:themeColor="text1" w:themeTint="F2"/>
                <w:spacing w:val="-6"/>
                <w:lang w:val="en-GB"/>
              </w:rPr>
              <w:footnoteReference w:id="31"/>
            </w:r>
            <w:r w:rsidRPr="00A00994">
              <w:rPr>
                <w:color w:val="0D0D0D" w:themeColor="text1" w:themeTint="F2"/>
                <w:spacing w:val="-6"/>
                <w:lang w:val="en-GB"/>
              </w:rPr>
              <w:t xml:space="preserve"> in Q1 2022 (to 3.8% quarter-on-quarter)</w:t>
            </w:r>
            <w:r>
              <w:rPr>
                <w:color w:val="0D0D0D" w:themeColor="text1" w:themeTint="F2"/>
                <w:spacing w:val="-6"/>
                <w:lang w:val="en-GB"/>
              </w:rPr>
              <w:t xml:space="preserve"> caused by warm w</w:t>
            </w:r>
            <w:r w:rsidRPr="00A00994">
              <w:rPr>
                <w:color w:val="0D0D0D" w:themeColor="text1" w:themeTint="F2"/>
                <w:spacing w:val="-6"/>
                <w:lang w:val="en-GB"/>
              </w:rPr>
              <w:t>inter</w:t>
            </w:r>
            <w:r w:rsidRPr="00A00994">
              <w:rPr>
                <w:rStyle w:val="Znakapoznpodarou"/>
                <w:color w:val="0D0D0D" w:themeColor="text1" w:themeTint="F2"/>
                <w:spacing w:val="-6"/>
                <w:lang w:val="en-GB"/>
              </w:rPr>
              <w:footnoteReference w:id="32"/>
            </w:r>
            <w:r w:rsidRPr="00A00994">
              <w:rPr>
                <w:color w:val="0D0D0D" w:themeColor="text1" w:themeTint="F2"/>
                <w:spacing w:val="-6"/>
                <w:lang w:val="en-GB"/>
              </w:rPr>
              <w:t xml:space="preserve"> and large stock of public as well as private orders, a correction occurred in the subsequent time period (especially in the civil engineering construction) and the volume of construction output thus dropped tightly below the level of Q2 2019. The construction output expanded by </w:t>
            </w:r>
            <w:r w:rsidRPr="00A00994">
              <w:rPr>
                <w:color w:val="0D0D0D" w:themeColor="text1" w:themeTint="F2"/>
                <w:spacing w:val="-8"/>
                <w:lang w:val="en-GB"/>
              </w:rPr>
              <w:t xml:space="preserve">5.6% year-on-year for the whole H1 this year, mainly </w:t>
            </w:r>
            <w:r w:rsidRPr="00A00994">
              <w:rPr>
                <w:color w:val="0D0D0D" w:themeColor="text1" w:themeTint="F2"/>
                <w:spacing w:val="-8"/>
                <w:lang w:val="en-GB"/>
              </w:rPr>
              <w:lastRenderedPageBreak/>
              <w:t>thanks to the building construction (it added 4.5 p.p. to the growth).</w:t>
            </w:r>
            <w:r w:rsidRPr="00A00994">
              <w:rPr>
                <w:color w:val="0D0D0D" w:themeColor="text1" w:themeTint="F2"/>
                <w:spacing w:val="-6"/>
                <w:lang w:val="en-GB"/>
              </w:rPr>
              <w:t xml:space="preserve"> The pace however slackened in Q2 itself (to 3.0%, to a large extent because the last year’s comparative basis already had the usual level</w:t>
            </w:r>
            <w:r w:rsidRPr="00A00994">
              <w:rPr>
                <w:rStyle w:val="Znakapoznpodarou"/>
                <w:color w:val="0D0D0D" w:themeColor="text1" w:themeTint="F2"/>
                <w:spacing w:val="-6"/>
                <w:lang w:val="en-GB"/>
              </w:rPr>
              <w:footnoteReference w:id="33"/>
            </w:r>
            <w:r w:rsidRPr="00A00994">
              <w:rPr>
                <w:color w:val="0D0D0D" w:themeColor="text1" w:themeTint="F2"/>
                <w:spacing w:val="-6"/>
                <w:lang w:val="en-GB"/>
              </w:rPr>
              <w:t>). The performance of the civil engineering construction even fell year-on-year (−0.4%). The hastened drawing of capital expenditures from the state budget (after termination of the interim budget</w:t>
            </w:r>
            <w:r w:rsidRPr="00A00994">
              <w:rPr>
                <w:color w:val="0D0D0D" w:themeColor="text1" w:themeTint="F2"/>
                <w:spacing w:val="-7"/>
                <w:lang w:val="en-GB"/>
              </w:rPr>
              <w:t xml:space="preserve">) accompanied by the large volume of planned investment in the area of transport structures for the whole year 2022 should provide this segment of construction with growth impulses. </w:t>
            </w:r>
          </w:p>
        </w:tc>
      </w:tr>
      <w:tr w:rsidR="001D4E19" w:rsidRPr="00A00994" w14:paraId="14B54B86" w14:textId="77777777" w:rsidTr="00BB1209">
        <w:trPr>
          <w:trHeight w:val="145"/>
        </w:trPr>
        <w:tc>
          <w:tcPr>
            <w:tcW w:w="1695" w:type="dxa"/>
            <w:tcBorders>
              <w:top w:val="nil"/>
              <w:left w:val="nil"/>
              <w:bottom w:val="nil"/>
              <w:right w:val="nil"/>
            </w:tcBorders>
            <w:shd w:val="clear" w:color="auto" w:fill="auto"/>
            <w:tcMar>
              <w:left w:w="0" w:type="dxa"/>
            </w:tcMar>
          </w:tcPr>
          <w:p w14:paraId="015AC1E6" w14:textId="77777777" w:rsidR="001D4E19" w:rsidRPr="00A00994" w:rsidRDefault="001D4E19" w:rsidP="001D4E19">
            <w:pPr>
              <w:pStyle w:val="Marginlie"/>
              <w:rPr>
                <w:color w:val="0D0D0D" w:themeColor="text1" w:themeTint="F2"/>
                <w:spacing w:val="0"/>
                <w:lang w:val="en-GB"/>
              </w:rPr>
            </w:pPr>
            <w:r w:rsidRPr="00A00994">
              <w:rPr>
                <w:color w:val="0D0D0D" w:themeColor="text1" w:themeTint="F2"/>
                <w:spacing w:val="0"/>
                <w:lang w:val="en-GB"/>
              </w:rPr>
              <w:lastRenderedPageBreak/>
              <w:t xml:space="preserve">Record number of flats was commenced as well as finished within H1. </w:t>
            </w:r>
          </w:p>
          <w:p w14:paraId="11CD4B2E" w14:textId="77777777" w:rsidR="001D4E19" w:rsidRPr="00A00994" w:rsidRDefault="001D4E19" w:rsidP="001D4E19">
            <w:pPr>
              <w:pStyle w:val="Marginlie"/>
              <w:rPr>
                <w:color w:val="0D0D0D" w:themeColor="text1" w:themeTint="F2"/>
                <w:spacing w:val="0"/>
                <w:lang w:val="en-GB"/>
              </w:rPr>
            </w:pPr>
          </w:p>
          <w:p w14:paraId="42B523DB" w14:textId="0BC9E727" w:rsidR="001D4E19" w:rsidRPr="00A00994" w:rsidRDefault="001D4E19" w:rsidP="001D4E19">
            <w:pPr>
              <w:pStyle w:val="Marginlie"/>
              <w:rPr>
                <w:color w:val="0D0D0D" w:themeColor="text1" w:themeTint="F2"/>
                <w:spacing w:val="0"/>
                <w:lang w:val="en-GB"/>
              </w:rPr>
            </w:pPr>
            <w:r w:rsidRPr="00A00994">
              <w:rPr>
                <w:color w:val="0D0D0D" w:themeColor="text1" w:themeTint="F2"/>
                <w:spacing w:val="0"/>
                <w:lang w:val="en-GB"/>
              </w:rPr>
              <w:t xml:space="preserve">The number of started but not yet finished structures probably also increased, especially of family houses. </w:t>
            </w:r>
          </w:p>
        </w:tc>
        <w:tc>
          <w:tcPr>
            <w:tcW w:w="214" w:type="dxa"/>
            <w:tcBorders>
              <w:top w:val="nil"/>
              <w:left w:val="nil"/>
              <w:bottom w:val="nil"/>
              <w:right w:val="nil"/>
            </w:tcBorders>
            <w:shd w:val="clear" w:color="auto" w:fill="auto"/>
            <w:tcMar>
              <w:left w:w="0" w:type="dxa"/>
            </w:tcMar>
          </w:tcPr>
          <w:p w14:paraId="3A2D5DE7"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79783C7C" w14:textId="5A4C486B" w:rsidR="001D4E19" w:rsidRPr="00A00994" w:rsidRDefault="001D4E19" w:rsidP="001D4E19">
            <w:pPr>
              <w:spacing w:after="210"/>
              <w:rPr>
                <w:color w:val="0D0D0D" w:themeColor="text1" w:themeTint="F2"/>
                <w:spacing w:val="-6"/>
                <w:lang w:val="en-GB"/>
              </w:rPr>
            </w:pPr>
            <w:r w:rsidRPr="00A00994">
              <w:rPr>
                <w:color w:val="0D0D0D" w:themeColor="text1" w:themeTint="F2"/>
                <w:spacing w:val="-4"/>
                <w:lang w:val="en-GB"/>
              </w:rPr>
              <w:t xml:space="preserve">The building construction further also profited from the flat construction. The number of commenced flats climbed up to 22.7 thousand in H1 and it was by nearly one tenth higher year-on-year (it strengthened in all main forms of construction, the most for the family houses). Number of flats in both family houses and residential buildings slightly overtook the record level from H1 2008. Near one third of commenced flats was concentrated in the Central Bohemia region, alternatively in Prague, where however the construction lagged behind the last year’s level as well as the record level from year 2006. The total number of finished flats in the CR (17.4 thousand) was also unprecedented, it however increased only slightly year-on-year (+2.6%), which was likely connected to the prolongation of the construction time (mainly of family houses) due to the high growth of the material prices and considerable utilisation of the construction companies. </w:t>
            </w:r>
          </w:p>
        </w:tc>
      </w:tr>
      <w:tr w:rsidR="001D4E19" w:rsidRPr="00A00994" w14:paraId="2E4F50AC" w14:textId="77777777" w:rsidTr="00BB1209">
        <w:trPr>
          <w:trHeight w:val="145"/>
        </w:trPr>
        <w:tc>
          <w:tcPr>
            <w:tcW w:w="1695" w:type="dxa"/>
            <w:tcBorders>
              <w:top w:val="nil"/>
              <w:left w:val="nil"/>
              <w:bottom w:val="nil"/>
              <w:right w:val="nil"/>
            </w:tcBorders>
            <w:shd w:val="clear" w:color="auto" w:fill="auto"/>
            <w:tcMar>
              <w:left w:w="0" w:type="dxa"/>
            </w:tcMar>
          </w:tcPr>
          <w:p w14:paraId="5926C41C" w14:textId="283CBABD" w:rsidR="001D4E19" w:rsidRPr="00A00994" w:rsidRDefault="001D4E19" w:rsidP="001D4E19">
            <w:pPr>
              <w:pStyle w:val="Marginlie"/>
              <w:rPr>
                <w:color w:val="0D0D0D" w:themeColor="text1" w:themeTint="F2"/>
                <w:spacing w:val="0"/>
                <w:lang w:val="en-GB"/>
              </w:rPr>
            </w:pPr>
          </w:p>
        </w:tc>
        <w:tc>
          <w:tcPr>
            <w:tcW w:w="214" w:type="dxa"/>
            <w:tcBorders>
              <w:top w:val="nil"/>
              <w:left w:val="nil"/>
              <w:bottom w:val="nil"/>
              <w:right w:val="nil"/>
            </w:tcBorders>
            <w:shd w:val="clear" w:color="auto" w:fill="auto"/>
            <w:tcMar>
              <w:left w:w="0" w:type="dxa"/>
            </w:tcMar>
          </w:tcPr>
          <w:p w14:paraId="3F3E494D"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538EF4B9" w14:textId="3CE09E08" w:rsidR="001D4E19" w:rsidRPr="00700448" w:rsidRDefault="001D4E19" w:rsidP="001D4E19">
            <w:pPr>
              <w:spacing w:after="0"/>
              <w:rPr>
                <w:color w:val="0D0D0D" w:themeColor="text1" w:themeTint="F2"/>
                <w:spacing w:val="-4"/>
                <w:lang w:val="en-GB"/>
              </w:rPr>
            </w:pPr>
            <w:r w:rsidRPr="00700448">
              <w:rPr>
                <w:b/>
                <w:spacing w:val="-4"/>
                <w:lang w:val="en-GB"/>
              </w:rPr>
              <w:t xml:space="preserve">Chart 6 Contributions of sub-branches to year-on-year change of the total construction output </w:t>
            </w:r>
            <w:r w:rsidRPr="00700448">
              <w:rPr>
                <w:spacing w:val="-4"/>
                <w:lang w:val="en-GB"/>
              </w:rPr>
              <w:t>(real, in p.p.)</w:t>
            </w:r>
            <w:r w:rsidRPr="00700448">
              <w:rPr>
                <w:b/>
                <w:bCs/>
                <w:spacing w:val="-4"/>
                <w:lang w:val="en-GB"/>
              </w:rPr>
              <w:t>, new construction orders</w:t>
            </w:r>
            <w:r w:rsidRPr="00700448">
              <w:rPr>
                <w:b/>
                <w:spacing w:val="-4"/>
                <w:lang w:val="en-GB"/>
              </w:rPr>
              <w:t xml:space="preserve"> </w:t>
            </w:r>
            <w:r w:rsidRPr="00700448">
              <w:rPr>
                <w:bCs/>
                <w:spacing w:val="-4"/>
                <w:lang w:val="en-GB"/>
              </w:rPr>
              <w:t>(nominal, year-on-year in %)</w:t>
            </w:r>
            <w:r w:rsidRPr="00700448">
              <w:rPr>
                <w:b/>
                <w:spacing w:val="-4"/>
                <w:lang w:val="en-GB"/>
              </w:rPr>
              <w:t>, balance of business confidence indicator in construction*</w:t>
            </w:r>
            <w:r w:rsidRPr="00700448">
              <w:rPr>
                <w:spacing w:val="-4"/>
                <w:lang w:val="en-GB"/>
              </w:rPr>
              <w:t xml:space="preserve"> (in p.p., right axis) </w:t>
            </w:r>
            <w:r w:rsidRPr="00700448">
              <w:rPr>
                <w:b/>
                <w:spacing w:val="-4"/>
                <w:lang w:val="en-GB"/>
              </w:rPr>
              <w:t>and selected barriers to growth</w:t>
            </w:r>
            <w:r w:rsidRPr="00700448">
              <w:rPr>
                <w:spacing w:val="-4"/>
                <w:lang w:val="en-GB"/>
              </w:rPr>
              <w:t>* (in %, right axis)</w:t>
            </w:r>
          </w:p>
        </w:tc>
      </w:tr>
      <w:tr w:rsidR="001D4E19" w:rsidRPr="00A00994" w14:paraId="3085CBB1" w14:textId="77777777" w:rsidTr="00BB1209">
        <w:tblPrEx>
          <w:tblCellMar>
            <w:left w:w="70" w:type="dxa"/>
            <w:right w:w="70" w:type="dxa"/>
          </w:tblCellMar>
        </w:tblPrEx>
        <w:trPr>
          <w:trHeight w:val="145"/>
        </w:trPr>
        <w:tc>
          <w:tcPr>
            <w:tcW w:w="1695" w:type="dxa"/>
            <w:tcBorders>
              <w:top w:val="nil"/>
              <w:left w:val="nil"/>
              <w:bottom w:val="nil"/>
              <w:right w:val="nil"/>
            </w:tcBorders>
            <w:shd w:val="clear" w:color="auto" w:fill="auto"/>
          </w:tcPr>
          <w:p w14:paraId="33D6ACCE" w14:textId="77777777" w:rsidR="001D4E19" w:rsidRPr="00A00994" w:rsidRDefault="001D4E19" w:rsidP="001D4E19">
            <w:pPr>
              <w:pStyle w:val="Marginlie"/>
              <w:rPr>
                <w:color w:val="0D0D0D" w:themeColor="text1" w:themeTint="F2"/>
                <w:spacing w:val="-5"/>
                <w:lang w:val="en-GB"/>
              </w:rPr>
            </w:pPr>
          </w:p>
        </w:tc>
        <w:tc>
          <w:tcPr>
            <w:tcW w:w="214" w:type="dxa"/>
            <w:tcBorders>
              <w:top w:val="nil"/>
              <w:left w:val="nil"/>
              <w:bottom w:val="nil"/>
              <w:right w:val="nil"/>
            </w:tcBorders>
            <w:shd w:val="clear" w:color="auto" w:fill="auto"/>
          </w:tcPr>
          <w:p w14:paraId="4DB017E7"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Pr>
          <w:p w14:paraId="7791D42D" w14:textId="4CEAF93E" w:rsidR="001D4E19" w:rsidRPr="00A00994" w:rsidRDefault="001D4E19" w:rsidP="001D4E19">
            <w:pPr>
              <w:spacing w:after="0"/>
              <w:rPr>
                <w:rFonts w:cs="Arial"/>
                <w:color w:val="0D0D0D" w:themeColor="text1" w:themeTint="F2"/>
                <w:spacing w:val="-6"/>
                <w:lang w:val="en-GB"/>
              </w:rPr>
            </w:pPr>
            <w:r>
              <w:rPr>
                <w:noProof/>
              </w:rPr>
              <w:drawing>
                <wp:inline distT="0" distB="0" distL="0" distR="0" wp14:anchorId="6D68B0F6" wp14:editId="760E5EE7">
                  <wp:extent cx="4683296" cy="3586194"/>
                  <wp:effectExtent l="0" t="0" r="3175"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1D4E19" w:rsidRPr="00A00994" w14:paraId="0AE1D209" w14:textId="77777777" w:rsidTr="00BB1209">
        <w:trPr>
          <w:trHeight w:val="145"/>
        </w:trPr>
        <w:tc>
          <w:tcPr>
            <w:tcW w:w="1695" w:type="dxa"/>
            <w:tcBorders>
              <w:top w:val="nil"/>
              <w:left w:val="nil"/>
              <w:bottom w:val="nil"/>
              <w:right w:val="nil"/>
            </w:tcBorders>
            <w:shd w:val="clear" w:color="auto" w:fill="auto"/>
            <w:tcMar>
              <w:left w:w="0" w:type="dxa"/>
            </w:tcMar>
          </w:tcPr>
          <w:p w14:paraId="17E41D32" w14:textId="77777777" w:rsidR="001D4E19" w:rsidRPr="00A00994" w:rsidRDefault="001D4E19" w:rsidP="001D4E19">
            <w:pPr>
              <w:pStyle w:val="Marginlie"/>
              <w:rPr>
                <w:color w:val="0D0D0D" w:themeColor="text1" w:themeTint="F2"/>
                <w:spacing w:val="-5"/>
                <w:lang w:val="en-GB"/>
              </w:rPr>
            </w:pPr>
          </w:p>
        </w:tc>
        <w:tc>
          <w:tcPr>
            <w:tcW w:w="214" w:type="dxa"/>
            <w:tcBorders>
              <w:top w:val="nil"/>
              <w:left w:val="nil"/>
              <w:bottom w:val="nil"/>
              <w:right w:val="nil"/>
            </w:tcBorders>
            <w:shd w:val="clear" w:color="auto" w:fill="auto"/>
            <w:tcMar>
              <w:left w:w="0" w:type="dxa"/>
            </w:tcMar>
          </w:tcPr>
          <w:p w14:paraId="2540BD1D"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11280372" w14:textId="77777777" w:rsidR="001D4E19" w:rsidRPr="00A00994" w:rsidRDefault="001D4E19" w:rsidP="001D4E19">
            <w:pPr>
              <w:spacing w:after="0"/>
              <w:rPr>
                <w:rFonts w:cs="Arial"/>
                <w:sz w:val="14"/>
                <w:szCs w:val="14"/>
                <w:lang w:val="en-GB"/>
              </w:rPr>
            </w:pPr>
            <w:r w:rsidRPr="00A00994">
              <w:rPr>
                <w:rFonts w:cs="Arial"/>
                <w:sz w:val="14"/>
                <w:szCs w:val="14"/>
                <w:lang w:val="en-GB"/>
              </w:rPr>
              <w:t xml:space="preserve">Note: </w:t>
            </w:r>
            <w:r w:rsidRPr="00A00994">
              <w:rPr>
                <w:rFonts w:cs="Arial"/>
                <w:spacing w:val="-7"/>
                <w:sz w:val="14"/>
                <w:szCs w:val="14"/>
                <w:lang w:val="en-GB"/>
              </w:rPr>
              <w:t>Data related to construction output are adjusted for calendar effects.</w:t>
            </w:r>
          </w:p>
          <w:p w14:paraId="329FB2D9" w14:textId="5FB6D357" w:rsidR="001D4E19" w:rsidRDefault="001D4E19" w:rsidP="001D4E19">
            <w:pPr>
              <w:spacing w:after="0"/>
              <w:jc w:val="left"/>
              <w:rPr>
                <w:rFonts w:cs="Arial"/>
                <w:sz w:val="14"/>
                <w:szCs w:val="14"/>
                <w:lang w:val="en-GB"/>
              </w:rPr>
            </w:pPr>
            <w:r w:rsidRPr="00A00994">
              <w:rPr>
                <w:rFonts w:cs="Arial"/>
                <w:sz w:val="14"/>
                <w:szCs w:val="14"/>
                <w:lang w:val="en-GB"/>
              </w:rPr>
              <w:t xml:space="preserve">* Balance of </w:t>
            </w:r>
            <w:r>
              <w:rPr>
                <w:rFonts w:cs="Arial"/>
                <w:sz w:val="14"/>
                <w:szCs w:val="14"/>
                <w:lang w:val="en-GB"/>
              </w:rPr>
              <w:t xml:space="preserve">business </w:t>
            </w:r>
            <w:r w:rsidRPr="00A00994">
              <w:rPr>
                <w:rFonts w:cs="Arial"/>
                <w:sz w:val="14"/>
                <w:szCs w:val="14"/>
                <w:lang w:val="en-GB"/>
              </w:rPr>
              <w:t>confidence as well as barriers to growth are seasonally adjusted and express the level in the second month of the given quarter. Businesses could have indicated mo</w:t>
            </w:r>
            <w:r>
              <w:rPr>
                <w:rFonts w:cs="Arial"/>
                <w:sz w:val="14"/>
                <w:szCs w:val="14"/>
                <w:lang w:val="en-GB"/>
              </w:rPr>
              <w:t>re main barriers simultaneously.</w:t>
            </w:r>
          </w:p>
          <w:p w14:paraId="3FA3D2FC" w14:textId="50644B0B" w:rsidR="001D4E19" w:rsidRPr="001A6015" w:rsidRDefault="001D4E19" w:rsidP="001D4E19">
            <w:pPr>
              <w:spacing w:after="220"/>
              <w:jc w:val="left"/>
              <w:rPr>
                <w:rFonts w:cs="Arial"/>
                <w:sz w:val="14"/>
                <w:szCs w:val="14"/>
                <w:lang w:val="en-GB"/>
              </w:rPr>
            </w:pPr>
            <w:r w:rsidRPr="00A00994">
              <w:rPr>
                <w:rFonts w:cs="Arial"/>
                <w:sz w:val="14"/>
                <w:szCs w:val="14"/>
                <w:lang w:val="en-GB"/>
              </w:rPr>
              <w:t>Source: CZSO</w:t>
            </w:r>
            <w:r>
              <w:rPr>
                <w:rFonts w:cs="Arial"/>
                <w:sz w:val="14"/>
                <w:szCs w:val="14"/>
                <w:lang w:val="en-GB"/>
              </w:rPr>
              <w:t>, Eurostat</w:t>
            </w:r>
          </w:p>
        </w:tc>
      </w:tr>
      <w:tr w:rsidR="001D4E19" w:rsidRPr="00A00994" w14:paraId="0A54719C" w14:textId="77777777" w:rsidTr="00BB1209">
        <w:trPr>
          <w:trHeight w:val="145"/>
        </w:trPr>
        <w:tc>
          <w:tcPr>
            <w:tcW w:w="1695" w:type="dxa"/>
            <w:tcBorders>
              <w:top w:val="nil"/>
              <w:left w:val="nil"/>
              <w:bottom w:val="nil"/>
              <w:right w:val="nil"/>
            </w:tcBorders>
            <w:shd w:val="clear" w:color="auto" w:fill="auto"/>
            <w:tcMar>
              <w:left w:w="0" w:type="dxa"/>
            </w:tcMar>
          </w:tcPr>
          <w:p w14:paraId="6B5A7AB1" w14:textId="2863042C" w:rsidR="001D4E19" w:rsidRDefault="001D4E19" w:rsidP="001D4E19">
            <w:pPr>
              <w:pStyle w:val="Marginlie"/>
              <w:rPr>
                <w:lang w:val="en-GB"/>
              </w:rPr>
            </w:pPr>
            <w:r w:rsidRPr="00A00994">
              <w:rPr>
                <w:color w:val="0D0D0D" w:themeColor="text1" w:themeTint="F2"/>
                <w:spacing w:val="-5"/>
                <w:lang w:val="en-GB"/>
              </w:rPr>
              <w:lastRenderedPageBreak/>
              <w:t xml:space="preserve">Raising of the value of new construction orders reflected mostly the growing price of construction works. Growth of the total stock of work moderated, mainly due to the private orders. </w:t>
            </w:r>
          </w:p>
        </w:tc>
        <w:tc>
          <w:tcPr>
            <w:tcW w:w="214" w:type="dxa"/>
            <w:tcBorders>
              <w:top w:val="nil"/>
              <w:left w:val="nil"/>
              <w:bottom w:val="nil"/>
              <w:right w:val="nil"/>
            </w:tcBorders>
            <w:shd w:val="clear" w:color="auto" w:fill="auto"/>
            <w:tcMar>
              <w:left w:w="0" w:type="dxa"/>
            </w:tcMar>
          </w:tcPr>
          <w:p w14:paraId="0921B896"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6DB315B3" w14:textId="79A3DE8D" w:rsidR="001D4E19" w:rsidRPr="00A00994" w:rsidRDefault="001D4E19" w:rsidP="001D4E19">
            <w:pPr>
              <w:spacing w:after="220"/>
              <w:rPr>
                <w:rFonts w:cs="Arial"/>
                <w:color w:val="0D0D0D" w:themeColor="text1" w:themeTint="F2"/>
                <w:spacing w:val="-6"/>
                <w:lang w:val="en-GB"/>
              </w:rPr>
            </w:pPr>
            <w:r w:rsidRPr="00A00994">
              <w:rPr>
                <w:rFonts w:cs="Arial"/>
                <w:color w:val="0D0D0D" w:themeColor="text1" w:themeTint="F2"/>
                <w:spacing w:val="-6"/>
                <w:lang w:val="en-GB"/>
              </w:rPr>
              <w:t>The nominal value of newly closed domestic construction orders (in businesses with more than 50 employees) hiked up by 16.3% in Q2 year-on-year (it achieved only slightly lower pace also at the beginning of the year</w:t>
            </w:r>
            <w:r w:rsidRPr="00A00994">
              <w:rPr>
                <w:rFonts w:cs="Arial"/>
                <w:color w:val="0D0D0D" w:themeColor="text1" w:themeTint="F2"/>
                <w:spacing w:val="-4"/>
                <w:lang w:val="en-GB"/>
              </w:rPr>
              <w:t xml:space="preserve">). Only orders of the civil engineering construction contributed to the growth. The total stock of work including all so far not yet finished construction orders was by 8.1% higher year-on-year at the end of June this year. Nevertheless growth of the stock of private orders in effect halted for the first time since year 2017, which is also associated to the lower inflow of new orders in the building construction. Businesses recorded smaller demand also for works abroad. Ongoing swift growth of the </w:t>
            </w:r>
            <w:r w:rsidRPr="00A00994">
              <w:rPr>
                <w:rFonts w:cs="Arial"/>
                <w:szCs w:val="20"/>
                <w:lang w:val="en-GB"/>
              </w:rPr>
              <w:t>approximate value of one granted building</w:t>
            </w:r>
            <w:r w:rsidRPr="00A00994">
              <w:rPr>
                <w:spacing w:val="-4"/>
                <w:lang w:val="en-GB"/>
              </w:rPr>
              <w:t xml:space="preserve"> </w:t>
            </w:r>
            <w:r w:rsidRPr="00A00994">
              <w:rPr>
                <w:rFonts w:cs="Arial"/>
                <w:szCs w:val="20"/>
                <w:lang w:val="en-GB"/>
              </w:rPr>
              <w:t xml:space="preserve">permit </w:t>
            </w:r>
            <w:r w:rsidRPr="00A00994">
              <w:rPr>
                <w:rFonts w:cs="Arial"/>
                <w:color w:val="0D0D0D" w:themeColor="text1" w:themeTint="F2"/>
                <w:spacing w:val="-4"/>
                <w:lang w:val="en-GB"/>
              </w:rPr>
              <w:t>(by 20.7% year-on-year for H1) satiated mainly by new construction of both residential and non-residential structures, signals more positive outlooks for the whole branch. The rate of growth of the nominal value of the permit thus still slightly exceeded the dynamics of prices of construction works</w:t>
            </w:r>
            <w:r w:rsidRPr="00A00994">
              <w:rPr>
                <w:rStyle w:val="Znakapoznpodarou"/>
                <w:color w:val="0D0D0D" w:themeColor="text1" w:themeTint="F2"/>
                <w:spacing w:val="-4"/>
                <w:lang w:val="en-GB"/>
              </w:rPr>
              <w:footnoteReference w:id="34"/>
            </w:r>
            <w:r w:rsidRPr="00A00994">
              <w:rPr>
                <w:rFonts w:cs="Arial"/>
                <w:color w:val="0D0D0D" w:themeColor="text1" w:themeTint="F2"/>
                <w:spacing w:val="-4"/>
                <w:lang w:val="en-GB"/>
              </w:rPr>
              <w:t>.</w:t>
            </w:r>
          </w:p>
        </w:tc>
      </w:tr>
      <w:tr w:rsidR="001D4E19" w:rsidRPr="00A00994" w14:paraId="24E04332" w14:textId="77777777" w:rsidTr="00BB1209">
        <w:trPr>
          <w:trHeight w:val="145"/>
        </w:trPr>
        <w:tc>
          <w:tcPr>
            <w:tcW w:w="1695" w:type="dxa"/>
            <w:tcBorders>
              <w:top w:val="nil"/>
              <w:left w:val="nil"/>
              <w:bottom w:val="nil"/>
              <w:right w:val="nil"/>
            </w:tcBorders>
            <w:shd w:val="clear" w:color="auto" w:fill="auto"/>
            <w:tcMar>
              <w:left w:w="0" w:type="dxa"/>
            </w:tcMar>
          </w:tcPr>
          <w:p w14:paraId="04DC83AB" w14:textId="77777777" w:rsidR="001D4E19" w:rsidRPr="00A00994" w:rsidRDefault="001D4E19" w:rsidP="001D4E19">
            <w:pPr>
              <w:pStyle w:val="Marginlie"/>
              <w:rPr>
                <w:lang w:val="en-GB"/>
              </w:rPr>
            </w:pPr>
            <w:r>
              <w:rPr>
                <w:lang w:val="en-GB"/>
              </w:rPr>
              <w:t>Business</w:t>
            </w:r>
            <w:r w:rsidRPr="00A00994">
              <w:rPr>
                <w:lang w:val="en-GB"/>
              </w:rPr>
              <w:t xml:space="preserve"> confidence in construction remained noticeably above the long-term average despite a mild worsening. </w:t>
            </w:r>
          </w:p>
          <w:p w14:paraId="1AB3DF83" w14:textId="77777777" w:rsidR="001D4E19" w:rsidRPr="00A00994" w:rsidRDefault="001D4E19" w:rsidP="001D4E19">
            <w:pPr>
              <w:pStyle w:val="Marginlie"/>
              <w:rPr>
                <w:lang w:val="en-GB"/>
              </w:rPr>
            </w:pPr>
          </w:p>
          <w:p w14:paraId="01925466" w14:textId="77777777" w:rsidR="001D4E19" w:rsidRPr="00A00994" w:rsidRDefault="001D4E19" w:rsidP="001D4E19">
            <w:pPr>
              <w:pStyle w:val="Marginlie"/>
              <w:rPr>
                <w:lang w:val="en-GB"/>
              </w:rPr>
            </w:pPr>
          </w:p>
          <w:p w14:paraId="65BC7C2F" w14:textId="77777777" w:rsidR="001D4E19" w:rsidRPr="00A00994" w:rsidRDefault="001D4E19" w:rsidP="001D4E19">
            <w:pPr>
              <w:pStyle w:val="Marginlie"/>
              <w:rPr>
                <w:lang w:val="en-GB"/>
              </w:rPr>
            </w:pPr>
            <w:r w:rsidRPr="00A00994">
              <w:rPr>
                <w:lang w:val="en-GB"/>
              </w:rPr>
              <w:t xml:space="preserve">The businesses planned to continue in recruitment of employees in spite of mounting concerns about worsening of own economic situation. </w:t>
            </w:r>
          </w:p>
          <w:p w14:paraId="0AF4FA95" w14:textId="77777777" w:rsidR="001D4E19" w:rsidRPr="00A00994" w:rsidRDefault="001D4E19" w:rsidP="001D4E19">
            <w:pPr>
              <w:pStyle w:val="Marginlie"/>
              <w:rPr>
                <w:lang w:val="en-GB"/>
              </w:rPr>
            </w:pPr>
          </w:p>
          <w:p w14:paraId="1443577F" w14:textId="77777777" w:rsidR="001D4E19" w:rsidRPr="00A00994" w:rsidRDefault="001D4E19" w:rsidP="001D4E19">
            <w:pPr>
              <w:pStyle w:val="Marginlie"/>
              <w:rPr>
                <w:color w:val="0D0D0D" w:themeColor="text1" w:themeTint="F2"/>
                <w:spacing w:val="-5"/>
                <w:lang w:val="en-GB"/>
              </w:rPr>
            </w:pPr>
          </w:p>
        </w:tc>
        <w:tc>
          <w:tcPr>
            <w:tcW w:w="214" w:type="dxa"/>
            <w:tcBorders>
              <w:top w:val="nil"/>
              <w:left w:val="nil"/>
              <w:bottom w:val="nil"/>
              <w:right w:val="nil"/>
            </w:tcBorders>
            <w:shd w:val="clear" w:color="auto" w:fill="auto"/>
            <w:tcMar>
              <w:left w:w="0" w:type="dxa"/>
            </w:tcMar>
          </w:tcPr>
          <w:p w14:paraId="76806DC3"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6BAB476E" w14:textId="733DED75" w:rsidR="001D4E19" w:rsidRPr="001D4E19" w:rsidRDefault="001D4E19" w:rsidP="001D4E19">
            <w:pPr>
              <w:spacing w:after="220"/>
              <w:rPr>
                <w:noProof/>
                <w:lang w:val="en-GB"/>
              </w:rPr>
            </w:pPr>
            <w:r w:rsidRPr="001D4E19">
              <w:rPr>
                <w:rFonts w:cs="Arial"/>
                <w:color w:val="0D0D0D" w:themeColor="text1" w:themeTint="F2"/>
                <w:lang w:val="en-GB"/>
              </w:rPr>
              <w:t>Favourable results of construction at the beginning of this year boosted the optimism of entrepreneurs in this branch and the February balance of the business confidence indicator thus evened out with the absolute maximum (from January 2019). The sentiment slightly subsided in the branch later on, however it was still at the level of the period shortly before the onset of pandemics (and simultaneously notably above the long-term average) in July. Businesses perceived their current economic situation favourably, however worsened the outlooks for the upcoming half-year (into a slightly negative band). Still they planned recruitment of new workers (the registered number of employees rose by 1% year-on-year in H1). Just under one fifth of companies anticipated growth and similarly decline of the construction activity in the nearest quarter. Slowing down of the price growth of construction materials was expressed only negligibly in the inflationary expectations of businesses so far</w:t>
            </w:r>
            <w:r w:rsidRPr="001D4E19">
              <w:rPr>
                <w:rStyle w:val="Znakapoznpodarou"/>
                <w:color w:val="0D0D0D" w:themeColor="text1" w:themeTint="F2"/>
                <w:lang w:val="en-GB"/>
              </w:rPr>
              <w:footnoteReference w:id="35"/>
            </w:r>
            <w:r w:rsidRPr="001D4E19">
              <w:rPr>
                <w:rFonts w:cs="Arial"/>
                <w:color w:val="0D0D0D" w:themeColor="text1" w:themeTint="F2"/>
                <w:lang w:val="en-GB"/>
              </w:rPr>
              <w:t>. Businesses are still significantly limited by the barriers to growth. The lack of workers remains the main limit for already nearly four years (even though it seems that the war in Ukraine did not deteriorate this issue significantly). In addition, the proportion of businesses  troubled by the shortage of materials was rising (nearly four out of ten businesses claimed it as one of the barriers, it afflicted more companies in the area of building of structures). One fifth of the businesses responded sensitively to the inadequate demand (more often in the area of engineering structures).</w:t>
            </w:r>
          </w:p>
        </w:tc>
      </w:tr>
      <w:tr w:rsidR="001D4E19" w:rsidRPr="00A00994" w14:paraId="2ED47D3B" w14:textId="77777777" w:rsidTr="00BB1209">
        <w:trPr>
          <w:trHeight w:val="145"/>
        </w:trPr>
        <w:tc>
          <w:tcPr>
            <w:tcW w:w="1695" w:type="dxa"/>
            <w:tcBorders>
              <w:top w:val="nil"/>
              <w:left w:val="nil"/>
              <w:bottom w:val="nil"/>
              <w:right w:val="nil"/>
            </w:tcBorders>
            <w:shd w:val="clear" w:color="auto" w:fill="auto"/>
            <w:tcMar>
              <w:left w:w="0" w:type="dxa"/>
            </w:tcMar>
          </w:tcPr>
          <w:p w14:paraId="742542DD" w14:textId="039473AD" w:rsidR="001D4E19" w:rsidRPr="00A00994" w:rsidRDefault="001D4E19" w:rsidP="001D4E19">
            <w:pPr>
              <w:pStyle w:val="Marginlie"/>
              <w:rPr>
                <w:color w:val="0D0D0D" w:themeColor="text1" w:themeTint="F2"/>
                <w:spacing w:val="-5"/>
                <w:lang w:val="en-GB"/>
              </w:rPr>
            </w:pPr>
            <w:r w:rsidRPr="00A00994">
              <w:rPr>
                <w:lang w:val="en-GB"/>
              </w:rPr>
              <w:t>Sales in services strengthened and overtook the level from year 2019. The growth of demand afflicted all main branches in Q2 this year</w:t>
            </w:r>
          </w:p>
        </w:tc>
        <w:tc>
          <w:tcPr>
            <w:tcW w:w="214" w:type="dxa"/>
            <w:tcBorders>
              <w:top w:val="nil"/>
              <w:left w:val="nil"/>
              <w:bottom w:val="nil"/>
              <w:right w:val="nil"/>
            </w:tcBorders>
            <w:shd w:val="clear" w:color="auto" w:fill="auto"/>
            <w:tcMar>
              <w:left w:w="0" w:type="dxa"/>
            </w:tcMar>
          </w:tcPr>
          <w:p w14:paraId="5482FD70"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404193EB" w14:textId="6C05ADEA" w:rsidR="001D4E19" w:rsidRPr="001D4E19" w:rsidRDefault="001D4E19" w:rsidP="001D4E19">
            <w:pPr>
              <w:spacing w:after="180"/>
              <w:rPr>
                <w:rFonts w:cs="Arial"/>
                <w:sz w:val="14"/>
                <w:szCs w:val="14"/>
                <w:lang w:val="en-GB"/>
              </w:rPr>
            </w:pPr>
            <w:r w:rsidRPr="001D4E19">
              <w:rPr>
                <w:rFonts w:cs="Arial"/>
                <w:color w:val="0D0D0D" w:themeColor="text1" w:themeTint="F2"/>
                <w:lang w:val="en-GB"/>
              </w:rPr>
              <w:t>Demand for services kept rising. The quarter-on-quarter sales in services</w:t>
            </w:r>
            <w:r w:rsidRPr="001D4E19">
              <w:rPr>
                <w:color w:val="0D0D0D" w:themeColor="text1" w:themeTint="F2"/>
                <w:vertAlign w:val="superscript"/>
                <w:lang w:val="en-GB"/>
              </w:rPr>
              <w:footnoteReference w:id="36"/>
            </w:r>
            <w:r w:rsidRPr="001D4E19">
              <w:rPr>
                <w:color w:val="0D0D0D" w:themeColor="text1" w:themeTint="F2"/>
                <w:lang w:val="en-GB"/>
              </w:rPr>
              <w:t xml:space="preserve"> grew continuously since the beginning of the last year and they hiked up to the level of the peak of the pre-pandemic boom for the first time in Q1 2022. They strengthened by 2.6% in the subsequent quarters. The positive fact was, that all main branches participated on this growth. The last counter pandemic restriction (consisting mainly in regulating the number of visitors form some mass indoor activities</w:t>
            </w:r>
            <w:r w:rsidRPr="001D4E19">
              <w:rPr>
                <w:rStyle w:val="Znakapoznpodarou"/>
                <w:color w:val="0D0D0D" w:themeColor="text1" w:themeTint="F2"/>
                <w:lang w:val="en-GB"/>
              </w:rPr>
              <w:footnoteReference w:id="37"/>
            </w:r>
            <w:r w:rsidRPr="001D4E19">
              <w:rPr>
                <w:color w:val="0D0D0D" w:themeColor="text1" w:themeTint="F2"/>
                <w:lang w:val="en-GB"/>
              </w:rPr>
              <w:t xml:space="preserve">) were abolished during this year’s Q1 and households thus could have continued in the realization of their “postponed consumption”. Sales in services expanded year-on-year for the whole H1 (by 12.6%), specifically thanks to all main branches. The transportation and warehousing, which played the main role in the revival of services last year, contributed the most (+4.8 p.p.).  </w:t>
            </w:r>
          </w:p>
        </w:tc>
      </w:tr>
      <w:tr w:rsidR="001D4E19" w:rsidRPr="00A00994" w14:paraId="46008A82" w14:textId="77777777" w:rsidTr="00BB1209">
        <w:trPr>
          <w:trHeight w:val="145"/>
        </w:trPr>
        <w:tc>
          <w:tcPr>
            <w:tcW w:w="1695" w:type="dxa"/>
            <w:tcBorders>
              <w:top w:val="nil"/>
              <w:left w:val="nil"/>
              <w:bottom w:val="nil"/>
              <w:right w:val="nil"/>
            </w:tcBorders>
            <w:shd w:val="clear" w:color="auto" w:fill="auto"/>
            <w:tcMar>
              <w:left w:w="0" w:type="dxa"/>
            </w:tcMar>
          </w:tcPr>
          <w:p w14:paraId="283FC194" w14:textId="77777777" w:rsidR="001D4E19" w:rsidRPr="00A00994" w:rsidRDefault="001D4E19" w:rsidP="001D4E19">
            <w:pPr>
              <w:pStyle w:val="Marginlie"/>
              <w:rPr>
                <w:lang w:val="en-GB"/>
              </w:rPr>
            </w:pPr>
            <w:r w:rsidRPr="00A00994">
              <w:rPr>
                <w:lang w:val="en-GB"/>
              </w:rPr>
              <w:t xml:space="preserve">Growth of sales in land transport also due to weaker dynamics of export of goods eased </w:t>
            </w:r>
            <w:r w:rsidRPr="00A00994">
              <w:rPr>
                <w:lang w:val="en-GB"/>
              </w:rPr>
              <w:lastRenderedPageBreak/>
              <w:t>its pace in Q2. Demand remained high in storage.</w:t>
            </w:r>
          </w:p>
          <w:p w14:paraId="30F21BEA" w14:textId="77777777" w:rsidR="001D4E19" w:rsidRPr="00A00994" w:rsidRDefault="001D4E19" w:rsidP="001D4E19">
            <w:pPr>
              <w:pStyle w:val="Marginlie"/>
              <w:rPr>
                <w:lang w:val="en-GB"/>
              </w:rPr>
            </w:pPr>
          </w:p>
          <w:p w14:paraId="5325AEFB" w14:textId="77777777" w:rsidR="001D4E19" w:rsidRPr="00A00994" w:rsidRDefault="001D4E19" w:rsidP="001D4E19">
            <w:pPr>
              <w:pStyle w:val="Marginlie"/>
              <w:rPr>
                <w:lang w:val="en-GB"/>
              </w:rPr>
            </w:pPr>
          </w:p>
          <w:p w14:paraId="67B6BE41" w14:textId="77777777" w:rsidR="001D4E19" w:rsidRPr="00A00994" w:rsidRDefault="001D4E19" w:rsidP="001D4E19">
            <w:pPr>
              <w:pStyle w:val="Marginlie"/>
              <w:rPr>
                <w:lang w:val="en-GB"/>
              </w:rPr>
            </w:pPr>
          </w:p>
          <w:p w14:paraId="68ADB31B" w14:textId="77777777" w:rsidR="001D4E19" w:rsidRPr="00A00994" w:rsidRDefault="001D4E19" w:rsidP="001D4E19">
            <w:pPr>
              <w:pStyle w:val="Marginlie"/>
              <w:rPr>
                <w:lang w:val="en-GB"/>
              </w:rPr>
            </w:pPr>
          </w:p>
          <w:p w14:paraId="28D518A0" w14:textId="6ABCF76F" w:rsidR="001D4E19" w:rsidRPr="00A00994" w:rsidRDefault="001D4E19" w:rsidP="001D4E19">
            <w:pPr>
              <w:pStyle w:val="Marginlie"/>
              <w:rPr>
                <w:lang w:val="en-GB"/>
              </w:rPr>
            </w:pPr>
            <w:r w:rsidRPr="00A00994">
              <w:rPr>
                <w:lang w:val="en-GB"/>
              </w:rPr>
              <w:t xml:space="preserve">Demand for accommodation on the part of domestic visitors slightly exceeded the level from year 2019, for foreign visitors it lagged behind it by more than one third.  </w:t>
            </w:r>
          </w:p>
        </w:tc>
        <w:tc>
          <w:tcPr>
            <w:tcW w:w="214" w:type="dxa"/>
            <w:tcBorders>
              <w:top w:val="nil"/>
              <w:left w:val="nil"/>
              <w:bottom w:val="nil"/>
              <w:right w:val="nil"/>
            </w:tcBorders>
            <w:shd w:val="clear" w:color="auto" w:fill="auto"/>
            <w:tcMar>
              <w:left w:w="0" w:type="dxa"/>
            </w:tcMar>
          </w:tcPr>
          <w:p w14:paraId="121E83F3"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37B8C23E" w14:textId="74567976" w:rsidR="001D4E19" w:rsidRPr="001D4E19" w:rsidRDefault="001D4E19" w:rsidP="001D4E19">
            <w:pPr>
              <w:spacing w:after="180"/>
              <w:rPr>
                <w:rFonts w:cs="Arial"/>
                <w:color w:val="0D0D0D" w:themeColor="text1" w:themeTint="F2"/>
                <w:lang w:val="en-GB"/>
              </w:rPr>
            </w:pPr>
            <w:r w:rsidRPr="001D4E19">
              <w:rPr>
                <w:color w:val="0D0D0D" w:themeColor="text1" w:themeTint="F2"/>
                <w:lang w:val="en-GB"/>
              </w:rPr>
              <w:t xml:space="preserve">The sales in the branch transport and storage surpassed the last year’s level by 15.7% in Q2 2022. Mainly the growth of sales for land and pipe transportation had a positive </w:t>
            </w:r>
            <w:r w:rsidRPr="001D4E19">
              <w:rPr>
                <w:color w:val="0D0D0D" w:themeColor="text1" w:themeTint="F2"/>
                <w:lang w:val="en-GB"/>
              </w:rPr>
              <w:lastRenderedPageBreak/>
              <w:t xml:space="preserve">effect here </w:t>
            </w:r>
            <w:r w:rsidRPr="001D4E19">
              <w:rPr>
                <w:rFonts w:cs="Arial"/>
                <w:color w:val="0D0D0D" w:themeColor="text1" w:themeTint="F2"/>
                <w:lang w:val="en-GB"/>
              </w:rPr>
              <w:t>(11.5%)</w:t>
            </w:r>
            <w:r w:rsidRPr="001D4E19">
              <w:rPr>
                <w:rStyle w:val="Znakapoznpodarou"/>
                <w:color w:val="0D0D0D" w:themeColor="text1" w:themeTint="F2"/>
                <w:lang w:val="en-GB"/>
              </w:rPr>
              <w:footnoteReference w:id="38"/>
            </w:r>
            <w:r w:rsidRPr="001D4E19">
              <w:rPr>
                <w:rFonts w:cs="Arial"/>
                <w:color w:val="0D0D0D" w:themeColor="text1" w:themeTint="F2"/>
                <w:lang w:val="en-GB"/>
              </w:rPr>
              <w:t>, its pace nevertheless slowed down compared to the beginning of the year, which was also impacted by weaker results of domestic importers of goods. Demand for storage however remained strong and it was by more than one quarter higher in comparison to the same period of year 2019. Both air and water transportation markedly revived this year, their sales however were far from reaching their pre-crisis level. The year-on-year decrease of sales of postal and courier activities deepened this year (down to 6.6%), which was also linked to the weaker performance of the internet sellers. Branch accommodation, food service and restaurants recorded the anticipated recovery in this year‘s Q2 and its sales were by more than one half higher year-on-year</w:t>
            </w:r>
            <w:r w:rsidRPr="001D4E19">
              <w:rPr>
                <w:rStyle w:val="Znakapoznpodarou"/>
                <w:color w:val="0D0D0D" w:themeColor="text1" w:themeTint="F2"/>
                <w:lang w:val="en-GB"/>
              </w:rPr>
              <w:footnoteReference w:id="39"/>
            </w:r>
            <w:r w:rsidRPr="001D4E19">
              <w:rPr>
                <w:rFonts w:cs="Arial"/>
                <w:color w:val="0D0D0D" w:themeColor="text1" w:themeTint="F2"/>
                <w:lang w:val="en-GB"/>
              </w:rPr>
              <w:t>. While the number of overnight stays of domestic guests in mass accommodation facilities mildly exceeded the level from the “regular” year 2019 already fourth quarter in a row, for foreign clientele it still substantially lagged behind (by 36 )</w:t>
            </w:r>
            <w:r w:rsidRPr="001D4E19">
              <w:rPr>
                <w:rStyle w:val="Znakapoznpodarou"/>
                <w:color w:val="0D0D0D" w:themeColor="text1" w:themeTint="F2"/>
                <w:lang w:val="en-GB"/>
              </w:rPr>
              <w:footnoteReference w:id="40"/>
            </w:r>
            <w:r w:rsidRPr="001D4E19">
              <w:rPr>
                <w:rFonts w:cs="Arial"/>
                <w:color w:val="0D0D0D" w:themeColor="text1" w:themeTint="F2"/>
                <w:lang w:val="en-GB"/>
              </w:rPr>
              <w:t>. The formerly significant clientele from Russia or Asians states (except for Israel) was still practically absent. More than 30% slump of demand however also persisted for visitors from Italy, France, Spain, the USA or the Latin America states. Non-residents from the Central European states were partially saving the situation – number of overnight stays of Slovakians overtook the height from the pre-crisis year 2019 by 20% and the demand of weight dominant German clientele was lower already only by 15%.</w:t>
            </w:r>
          </w:p>
        </w:tc>
      </w:tr>
      <w:tr w:rsidR="001D4E19" w:rsidRPr="00A00994" w14:paraId="64AE15F9" w14:textId="77777777" w:rsidTr="00BB1209">
        <w:trPr>
          <w:trHeight w:val="145"/>
        </w:trPr>
        <w:tc>
          <w:tcPr>
            <w:tcW w:w="1695" w:type="dxa"/>
            <w:tcBorders>
              <w:top w:val="nil"/>
              <w:left w:val="nil"/>
              <w:bottom w:val="nil"/>
              <w:right w:val="nil"/>
            </w:tcBorders>
            <w:shd w:val="clear" w:color="auto" w:fill="auto"/>
            <w:tcMar>
              <w:left w:w="0" w:type="dxa"/>
            </w:tcMar>
          </w:tcPr>
          <w:p w14:paraId="14353D86" w14:textId="77777777" w:rsidR="001D4E19" w:rsidRPr="00A00994" w:rsidRDefault="001D4E19" w:rsidP="001D4E19">
            <w:pPr>
              <w:pStyle w:val="Marginlie"/>
              <w:rPr>
                <w:lang w:val="en-GB"/>
              </w:rPr>
            </w:pPr>
            <w:r w:rsidRPr="00A00994">
              <w:rPr>
                <w:lang w:val="en-GB"/>
              </w:rPr>
              <w:lastRenderedPageBreak/>
              <w:t xml:space="preserve">Demand for administrative and support service activities more strongly recovered, mainly thanks to travel agencies. </w:t>
            </w:r>
          </w:p>
          <w:p w14:paraId="598605FC" w14:textId="77777777" w:rsidR="001D4E19" w:rsidRPr="00A00994" w:rsidRDefault="001D4E19" w:rsidP="001D4E19">
            <w:pPr>
              <w:pStyle w:val="Marginlie"/>
              <w:rPr>
                <w:lang w:val="en-GB"/>
              </w:rPr>
            </w:pPr>
          </w:p>
          <w:p w14:paraId="05A086E9" w14:textId="77777777" w:rsidR="001D4E19" w:rsidRPr="00A00994" w:rsidRDefault="001D4E19" w:rsidP="001D4E19">
            <w:pPr>
              <w:pStyle w:val="Marginlie"/>
              <w:rPr>
                <w:lang w:val="en-GB"/>
              </w:rPr>
            </w:pPr>
          </w:p>
          <w:p w14:paraId="7A644B4B" w14:textId="77777777" w:rsidR="001D4E19" w:rsidRPr="00A00994" w:rsidRDefault="001D4E19" w:rsidP="001D4E19">
            <w:pPr>
              <w:pStyle w:val="Marginlie"/>
              <w:rPr>
                <w:lang w:val="en-GB"/>
              </w:rPr>
            </w:pPr>
          </w:p>
          <w:p w14:paraId="74A9745A" w14:textId="77777777" w:rsidR="001D4E19" w:rsidRPr="00A00994" w:rsidRDefault="001D4E19" w:rsidP="001D4E19">
            <w:pPr>
              <w:pStyle w:val="Marginlie"/>
              <w:rPr>
                <w:lang w:val="en-GB"/>
              </w:rPr>
            </w:pPr>
          </w:p>
          <w:p w14:paraId="23E1A77E" w14:textId="77777777" w:rsidR="001D4E19" w:rsidRPr="00A00994" w:rsidRDefault="001D4E19" w:rsidP="001D4E19">
            <w:pPr>
              <w:pStyle w:val="Marginlie"/>
              <w:rPr>
                <w:lang w:val="en-GB"/>
              </w:rPr>
            </w:pPr>
          </w:p>
          <w:p w14:paraId="22E35DEC" w14:textId="77777777" w:rsidR="001D4E19" w:rsidRPr="00A00994" w:rsidRDefault="001D4E19" w:rsidP="001D4E19">
            <w:pPr>
              <w:pStyle w:val="Marginlie"/>
              <w:rPr>
                <w:lang w:val="en-GB"/>
              </w:rPr>
            </w:pPr>
            <w:r w:rsidRPr="00A00994">
              <w:rPr>
                <w:lang w:val="en-GB"/>
              </w:rPr>
              <w:t xml:space="preserve">Growth of sales in information and communication slowed down. </w:t>
            </w:r>
          </w:p>
          <w:p w14:paraId="0796F5B6" w14:textId="77777777" w:rsidR="001D4E19" w:rsidRPr="00A00994" w:rsidRDefault="001D4E19" w:rsidP="001D4E19">
            <w:pPr>
              <w:pStyle w:val="Marginlie"/>
              <w:rPr>
                <w:lang w:val="en-GB"/>
              </w:rPr>
            </w:pPr>
          </w:p>
          <w:p w14:paraId="7C642665" w14:textId="455D0BD4" w:rsidR="001D4E19" w:rsidRPr="00A00994" w:rsidRDefault="001D4E19" w:rsidP="001D4E19">
            <w:pPr>
              <w:pStyle w:val="Marginlie"/>
              <w:rPr>
                <w:lang w:val="en-GB"/>
              </w:rPr>
            </w:pPr>
            <w:r w:rsidRPr="00A00994">
              <w:rPr>
                <w:lang w:val="en-GB"/>
              </w:rPr>
              <w:t>Demand for activities in the real estate area was growing, mainly in the segment of real estate offices.</w:t>
            </w:r>
          </w:p>
        </w:tc>
        <w:tc>
          <w:tcPr>
            <w:tcW w:w="214" w:type="dxa"/>
            <w:tcBorders>
              <w:top w:val="nil"/>
              <w:left w:val="nil"/>
              <w:bottom w:val="nil"/>
              <w:right w:val="nil"/>
            </w:tcBorders>
            <w:shd w:val="clear" w:color="auto" w:fill="auto"/>
            <w:tcMar>
              <w:left w:w="0" w:type="dxa"/>
            </w:tcMar>
          </w:tcPr>
          <w:p w14:paraId="2921DD6A"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1337F491" w14:textId="7382A911" w:rsidR="001D4E19" w:rsidRPr="001D4E19" w:rsidRDefault="001D4E19" w:rsidP="001D4E19">
            <w:pPr>
              <w:spacing w:after="0"/>
              <w:rPr>
                <w:rFonts w:cs="Arial"/>
                <w:color w:val="0D0D0D" w:themeColor="text1" w:themeTint="F2"/>
                <w:lang w:val="en-GB"/>
              </w:rPr>
            </w:pPr>
            <w:r w:rsidRPr="001D4E19">
              <w:rPr>
                <w:rFonts w:cs="Arial"/>
                <w:color w:val="0D0D0D" w:themeColor="text1" w:themeTint="F2"/>
                <w:lang w:val="en-GB"/>
              </w:rPr>
              <w:t>Boost of tourism fundamentally improved the situation also for travel agencies and offices, which showed to be pivotal for the year-on-year growth of the whole branch of administrative and support services activities (21.4%). Other activities also signal higher demand here, except for the job agencies. Sales in the whole branch however stayed below the level from year 2019 so far (by 8%). This is not valid for the branch professional, scientific and technical activities (+2%), which generally provides more sophisticated services for business and demand for many of them was not overly disrupted during the pandemic period (legal and accounting activities, management consultancy activities). Architectural and engineering activities capitalising on the development in construction contributed the most to the year-on-year growth of the whole above mention branch in Q2 (7.0%). Advertising and market research (where sales fell behind by 5.4% and by 12% compared to year 2019) had an opposite effect. Growth of sales in the long time strengthening branch information and communication slowed down to 2.5% in Q2. The high demand especially for activities in the area of information technologies (e.g. programming, computer facilities management activities) still drove the performance of the branch. The growth of demand in information activities nevertheless halted after the strong last year</w:t>
            </w:r>
            <w:r w:rsidRPr="001D4E19">
              <w:rPr>
                <w:rStyle w:val="Znakapoznpodarou"/>
                <w:color w:val="0D0D0D" w:themeColor="text1" w:themeTint="F2"/>
                <w:lang w:val="en-GB"/>
              </w:rPr>
              <w:footnoteReference w:id="41"/>
            </w:r>
            <w:r w:rsidRPr="001D4E19">
              <w:rPr>
                <w:rFonts w:cs="Arial"/>
                <w:color w:val="0D0D0D" w:themeColor="text1" w:themeTint="F2"/>
                <w:lang w:val="en-GB"/>
              </w:rPr>
              <w:t>. In addition the decrease of sales for radio and television programming and broadcasting activities deepened when it perceptibly fell also behind year 2019. Brisk recovery of the motion picture and musical industry braked slightly in this year’s Q2</w:t>
            </w:r>
            <w:r w:rsidRPr="001D4E19">
              <w:rPr>
                <w:rStyle w:val="Znakapoznpodarou"/>
                <w:color w:val="0D0D0D" w:themeColor="text1" w:themeTint="F2"/>
                <w:lang w:val="en-GB"/>
              </w:rPr>
              <w:footnoteReference w:id="42"/>
            </w:r>
            <w:r w:rsidRPr="001D4E19">
              <w:rPr>
                <w:rFonts w:cs="Arial"/>
                <w:color w:val="0D0D0D" w:themeColor="text1" w:themeTint="F2"/>
                <w:lang w:val="en-GB"/>
              </w:rPr>
              <w:t xml:space="preserve">. Demand in the real estate area, which was not significantly disrupted during the pandemic period, strengthened by 2.8% year-on-year in Q2. Demand for intermediary activities of real estate agencies kept swiftly rising, while the sales for buying and selling of own real estate or their renting as well as operating were increasing by lower pace. </w:t>
            </w:r>
            <w:r w:rsidRPr="001D4E19">
              <w:rPr>
                <w:color w:val="0D0D0D" w:themeColor="text1" w:themeTint="F2"/>
                <w:lang w:val="en-GB"/>
              </w:rPr>
              <w:t xml:space="preserve"> </w:t>
            </w:r>
          </w:p>
        </w:tc>
      </w:tr>
      <w:tr w:rsidR="001D4E19" w:rsidRPr="00A00994" w14:paraId="20D30FF1" w14:textId="77777777" w:rsidTr="00BB1209">
        <w:trPr>
          <w:trHeight w:val="145"/>
        </w:trPr>
        <w:tc>
          <w:tcPr>
            <w:tcW w:w="1695" w:type="dxa"/>
            <w:tcBorders>
              <w:top w:val="nil"/>
              <w:left w:val="nil"/>
              <w:bottom w:val="nil"/>
              <w:right w:val="nil"/>
            </w:tcBorders>
            <w:shd w:val="clear" w:color="auto" w:fill="auto"/>
            <w:tcMar>
              <w:left w:w="0" w:type="dxa"/>
            </w:tcMar>
          </w:tcPr>
          <w:p w14:paraId="48ECE70A" w14:textId="53AD7005" w:rsidR="001D4E19" w:rsidRPr="00A00994" w:rsidRDefault="001D4E19" w:rsidP="001D4E19">
            <w:pPr>
              <w:pStyle w:val="Marginlie"/>
              <w:rPr>
                <w:lang w:val="en-GB"/>
              </w:rPr>
            </w:pPr>
          </w:p>
        </w:tc>
        <w:tc>
          <w:tcPr>
            <w:tcW w:w="214" w:type="dxa"/>
            <w:tcBorders>
              <w:top w:val="nil"/>
              <w:left w:val="nil"/>
              <w:bottom w:val="nil"/>
              <w:right w:val="nil"/>
            </w:tcBorders>
            <w:shd w:val="clear" w:color="auto" w:fill="auto"/>
            <w:tcMar>
              <w:left w:w="0" w:type="dxa"/>
            </w:tcMar>
          </w:tcPr>
          <w:p w14:paraId="43684260"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11C72B41" w14:textId="453E17DD" w:rsidR="001D4E19" w:rsidRPr="002E01AD" w:rsidRDefault="001D4E19" w:rsidP="001D4E19">
            <w:pPr>
              <w:spacing w:after="0"/>
              <w:rPr>
                <w:color w:val="0D0D0D" w:themeColor="text1" w:themeTint="F2"/>
                <w:spacing w:val="-4"/>
                <w:lang w:val="en-GB"/>
              </w:rPr>
            </w:pPr>
            <w:r w:rsidRPr="002E01AD">
              <w:rPr>
                <w:b/>
                <w:spacing w:val="-4"/>
                <w:lang w:val="en-GB"/>
              </w:rPr>
              <w:t xml:space="preserve">Chart 7 Contributions of branches to year-on-year change of sales in services* </w:t>
            </w:r>
            <w:r w:rsidRPr="002E01AD">
              <w:rPr>
                <w:spacing w:val="-4"/>
                <w:lang w:val="en-GB"/>
              </w:rPr>
              <w:t xml:space="preserve">(real, in p.p.), </w:t>
            </w:r>
            <w:r w:rsidRPr="002E01AD">
              <w:rPr>
                <w:b/>
                <w:spacing w:val="-4"/>
                <w:lang w:val="en-GB"/>
              </w:rPr>
              <w:t xml:space="preserve">balance of business confidence indicator in services** </w:t>
            </w:r>
            <w:r w:rsidRPr="002E01AD">
              <w:rPr>
                <w:spacing w:val="-4"/>
                <w:lang w:val="en-GB"/>
              </w:rPr>
              <w:t>(in p.p., seasonally adjusted, right axis)</w:t>
            </w:r>
            <w:r w:rsidRPr="002E01AD">
              <w:rPr>
                <w:b/>
                <w:spacing w:val="-4"/>
                <w:lang w:val="en-GB"/>
              </w:rPr>
              <w:t xml:space="preserve"> and selected growth barriers*</w:t>
            </w:r>
            <w:r w:rsidRPr="002E01AD">
              <w:rPr>
                <w:spacing w:val="-4"/>
                <w:lang w:val="en-GB"/>
              </w:rPr>
              <w:t>* (in %, seasonally adjusted, right axis)</w:t>
            </w:r>
          </w:p>
        </w:tc>
      </w:tr>
      <w:tr w:rsidR="001D4E19" w:rsidRPr="00A00994" w14:paraId="013C03BE" w14:textId="77777777" w:rsidTr="00BB1209">
        <w:tblPrEx>
          <w:tblCellMar>
            <w:left w:w="70" w:type="dxa"/>
            <w:right w:w="70" w:type="dxa"/>
          </w:tblCellMar>
        </w:tblPrEx>
        <w:trPr>
          <w:trHeight w:val="145"/>
        </w:trPr>
        <w:tc>
          <w:tcPr>
            <w:tcW w:w="1695" w:type="dxa"/>
            <w:tcBorders>
              <w:top w:val="nil"/>
              <w:left w:val="nil"/>
              <w:bottom w:val="nil"/>
              <w:right w:val="nil"/>
            </w:tcBorders>
            <w:shd w:val="clear" w:color="auto" w:fill="auto"/>
          </w:tcPr>
          <w:p w14:paraId="5C175449" w14:textId="77777777" w:rsidR="001D4E19" w:rsidRPr="00A00994" w:rsidRDefault="001D4E19" w:rsidP="001D4E19">
            <w:pPr>
              <w:pStyle w:val="Marginlie"/>
              <w:rPr>
                <w:lang w:val="en-GB"/>
              </w:rPr>
            </w:pPr>
          </w:p>
        </w:tc>
        <w:tc>
          <w:tcPr>
            <w:tcW w:w="214" w:type="dxa"/>
            <w:tcBorders>
              <w:top w:val="nil"/>
              <w:left w:val="nil"/>
              <w:bottom w:val="nil"/>
              <w:right w:val="nil"/>
            </w:tcBorders>
            <w:shd w:val="clear" w:color="auto" w:fill="auto"/>
          </w:tcPr>
          <w:p w14:paraId="06095628"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Pr>
          <w:p w14:paraId="2F3AE3A5" w14:textId="1916ABB3" w:rsidR="001D4E19" w:rsidRPr="00A00994" w:rsidRDefault="001D4E19" w:rsidP="001D4E19">
            <w:pPr>
              <w:spacing w:after="0"/>
              <w:rPr>
                <w:rFonts w:cs="Arial"/>
                <w:color w:val="0D0D0D" w:themeColor="text1" w:themeTint="F2"/>
                <w:spacing w:val="-2"/>
                <w:lang w:val="en-GB"/>
              </w:rPr>
            </w:pPr>
            <w:r>
              <w:rPr>
                <w:noProof/>
              </w:rPr>
              <w:drawing>
                <wp:inline distT="0" distB="0" distL="0" distR="0" wp14:anchorId="15C5BA1C" wp14:editId="7C2CA258">
                  <wp:extent cx="4667425" cy="3636780"/>
                  <wp:effectExtent l="0" t="0" r="0" b="1905"/>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1D4E19" w:rsidRPr="00A00994" w14:paraId="5A5E0B3F" w14:textId="77777777" w:rsidTr="00BB1209">
        <w:trPr>
          <w:trHeight w:val="145"/>
        </w:trPr>
        <w:tc>
          <w:tcPr>
            <w:tcW w:w="1695" w:type="dxa"/>
            <w:tcBorders>
              <w:top w:val="nil"/>
              <w:left w:val="nil"/>
              <w:bottom w:val="nil"/>
              <w:right w:val="nil"/>
            </w:tcBorders>
            <w:shd w:val="clear" w:color="auto" w:fill="auto"/>
            <w:tcMar>
              <w:left w:w="0" w:type="dxa"/>
            </w:tcMar>
          </w:tcPr>
          <w:p w14:paraId="7668387B" w14:textId="77777777" w:rsidR="001D4E19" w:rsidRPr="00A00994" w:rsidRDefault="001D4E19" w:rsidP="001D4E19">
            <w:pPr>
              <w:pStyle w:val="Marginlie"/>
              <w:rPr>
                <w:lang w:val="en-GB"/>
              </w:rPr>
            </w:pPr>
          </w:p>
        </w:tc>
        <w:tc>
          <w:tcPr>
            <w:tcW w:w="214" w:type="dxa"/>
            <w:tcBorders>
              <w:top w:val="nil"/>
              <w:left w:val="nil"/>
              <w:bottom w:val="nil"/>
              <w:right w:val="nil"/>
            </w:tcBorders>
            <w:shd w:val="clear" w:color="auto" w:fill="auto"/>
            <w:tcMar>
              <w:left w:w="0" w:type="dxa"/>
            </w:tcMar>
          </w:tcPr>
          <w:p w14:paraId="174BCA30"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5F0C809E" w14:textId="77777777" w:rsidR="001D4E19" w:rsidRPr="00A00994" w:rsidRDefault="001D4E19" w:rsidP="001D4E19">
            <w:pPr>
              <w:spacing w:after="0" w:line="240" w:lineRule="auto"/>
              <w:rPr>
                <w:rFonts w:cs="Arial"/>
                <w:sz w:val="14"/>
                <w:szCs w:val="14"/>
                <w:lang w:val="en-GB"/>
              </w:rPr>
            </w:pPr>
            <w:r w:rsidRPr="00A00994">
              <w:rPr>
                <w:rFonts w:cs="Arial"/>
                <w:color w:val="0D0D0D" w:themeColor="text1" w:themeTint="F2"/>
                <w:spacing w:val="-6"/>
                <w:lang w:val="en-GB"/>
              </w:rPr>
              <w:t>*</w:t>
            </w:r>
            <w:r w:rsidRPr="00A00994">
              <w:rPr>
                <w:lang w:val="en-GB"/>
              </w:rPr>
              <w:t xml:space="preserve"> </w:t>
            </w:r>
            <w:r w:rsidRPr="00A00994">
              <w:rPr>
                <w:color w:val="0D0D0D" w:themeColor="text1" w:themeTint="F2"/>
                <w:sz w:val="14"/>
                <w:szCs w:val="14"/>
                <w:lang w:val="en-GB"/>
              </w:rPr>
              <w:t xml:space="preserve">Without branches trade, financial activities, insurance activities, science, research and public services. Sales are adjusted for calendar effects. </w:t>
            </w:r>
          </w:p>
          <w:p w14:paraId="1F927865" w14:textId="77777777" w:rsidR="001D4E19" w:rsidRDefault="001D4E19" w:rsidP="001D4E19">
            <w:pPr>
              <w:spacing w:after="0"/>
              <w:rPr>
                <w:rFonts w:cs="Arial"/>
                <w:spacing w:val="-2"/>
                <w:sz w:val="14"/>
                <w:szCs w:val="14"/>
                <w:lang w:val="en-GB"/>
              </w:rPr>
            </w:pPr>
            <w:r w:rsidRPr="00A00994">
              <w:rPr>
                <w:rFonts w:cs="Arial"/>
                <w:sz w:val="14"/>
                <w:szCs w:val="14"/>
                <w:lang w:val="en-GB"/>
              </w:rPr>
              <w:t>**Also includes the financial sector. Balance of</w:t>
            </w:r>
            <w:r>
              <w:rPr>
                <w:rFonts w:cs="Arial"/>
                <w:sz w:val="14"/>
                <w:szCs w:val="14"/>
                <w:lang w:val="en-GB"/>
              </w:rPr>
              <w:t xml:space="preserve"> </w:t>
            </w:r>
            <w:r w:rsidRPr="001E111C">
              <w:rPr>
                <w:rFonts w:cs="Arial"/>
                <w:sz w:val="14"/>
                <w:szCs w:val="14"/>
                <w:lang w:val="en-GB"/>
              </w:rPr>
              <w:t>business confidence indicator</w:t>
            </w:r>
            <w:r w:rsidRPr="00A00994">
              <w:rPr>
                <w:rFonts w:cs="Arial"/>
                <w:sz w:val="14"/>
                <w:szCs w:val="14"/>
                <w:lang w:val="en-GB"/>
              </w:rPr>
              <w:t xml:space="preserve"> as well as the barriers to growth express the level in the first </w:t>
            </w:r>
            <w:r>
              <w:rPr>
                <w:rFonts w:cs="Arial"/>
                <w:sz w:val="14"/>
                <w:szCs w:val="14"/>
                <w:lang w:val="en-GB"/>
              </w:rPr>
              <w:t>and in the</w:t>
            </w:r>
            <w:r w:rsidRPr="00A00994">
              <w:rPr>
                <w:rFonts w:cs="Arial"/>
                <w:sz w:val="14"/>
                <w:szCs w:val="14"/>
                <w:lang w:val="en-GB"/>
              </w:rPr>
              <w:t xml:space="preserve"> second month of the given </w:t>
            </w:r>
            <w:r w:rsidRPr="00FE1209">
              <w:rPr>
                <w:rFonts w:cs="Arial"/>
                <w:sz w:val="14"/>
                <w:szCs w:val="14"/>
                <w:lang w:val="en-GB"/>
              </w:rPr>
              <w:t xml:space="preserve">quarter </w:t>
            </w:r>
            <w:r w:rsidRPr="00FE1209">
              <w:rPr>
                <w:rFonts w:cs="Arial"/>
                <w:spacing w:val="-2"/>
                <w:sz w:val="14"/>
                <w:szCs w:val="14"/>
                <w:lang w:val="en-GB"/>
              </w:rPr>
              <w:t>(</w:t>
            </w:r>
            <w:r>
              <w:rPr>
                <w:rFonts w:cs="Arial"/>
                <w:spacing w:val="-2"/>
                <w:sz w:val="14"/>
                <w:szCs w:val="14"/>
                <w:lang w:val="en-GB"/>
              </w:rPr>
              <w:t xml:space="preserve">growth barriers and </w:t>
            </w:r>
            <w:r w:rsidRPr="00FE1209">
              <w:rPr>
                <w:rFonts w:cs="Arial"/>
                <w:spacing w:val="-2"/>
                <w:sz w:val="14"/>
                <w:szCs w:val="14"/>
                <w:lang w:val="en-GB"/>
              </w:rPr>
              <w:t>balance of confidence</w:t>
            </w:r>
            <w:r>
              <w:rPr>
                <w:rFonts w:cs="Arial"/>
                <w:spacing w:val="-2"/>
                <w:sz w:val="14"/>
                <w:szCs w:val="14"/>
                <w:lang w:val="en-GB"/>
              </w:rPr>
              <w:t>, respectively</w:t>
            </w:r>
            <w:r w:rsidRPr="00FE1209">
              <w:rPr>
                <w:rFonts w:cs="Arial"/>
                <w:spacing w:val="-2"/>
                <w:sz w:val="14"/>
                <w:szCs w:val="14"/>
                <w:lang w:val="en-GB"/>
              </w:rPr>
              <w:t>). Businesses</w:t>
            </w:r>
            <w:r w:rsidRPr="00A00994">
              <w:rPr>
                <w:rFonts w:cs="Arial"/>
                <w:spacing w:val="-2"/>
                <w:sz w:val="14"/>
                <w:szCs w:val="14"/>
                <w:lang w:val="en-GB"/>
              </w:rPr>
              <w:t xml:space="preserve"> could have indicated more key barriers simultaneously.</w:t>
            </w:r>
          </w:p>
          <w:p w14:paraId="51984A0F" w14:textId="64B98CAB" w:rsidR="001D4E19" w:rsidRPr="00400B87" w:rsidRDefault="001D4E19" w:rsidP="001D4E19">
            <w:pPr>
              <w:spacing w:after="200"/>
              <w:rPr>
                <w:rFonts w:cs="Arial"/>
                <w:spacing w:val="-2"/>
                <w:sz w:val="14"/>
                <w:szCs w:val="14"/>
                <w:lang w:val="en-GB"/>
              </w:rPr>
            </w:pPr>
            <w:r w:rsidRPr="00A00994">
              <w:rPr>
                <w:rFonts w:cs="Arial"/>
                <w:sz w:val="14"/>
                <w:szCs w:val="14"/>
                <w:lang w:val="en-GB"/>
              </w:rPr>
              <w:t>Source: CZSO, Eurostat</w:t>
            </w:r>
          </w:p>
        </w:tc>
      </w:tr>
      <w:tr w:rsidR="001D4E19" w:rsidRPr="00A00994" w14:paraId="5E499B95" w14:textId="77777777" w:rsidTr="00BB1209">
        <w:trPr>
          <w:trHeight w:val="145"/>
        </w:trPr>
        <w:tc>
          <w:tcPr>
            <w:tcW w:w="1695" w:type="dxa"/>
            <w:tcBorders>
              <w:top w:val="nil"/>
              <w:left w:val="nil"/>
              <w:bottom w:val="nil"/>
              <w:right w:val="nil"/>
            </w:tcBorders>
            <w:shd w:val="clear" w:color="auto" w:fill="auto"/>
            <w:tcMar>
              <w:left w:w="0" w:type="dxa"/>
            </w:tcMar>
          </w:tcPr>
          <w:p w14:paraId="54C7F76A" w14:textId="77777777" w:rsidR="001D4E19" w:rsidRPr="00A00994" w:rsidRDefault="001D4E19" w:rsidP="001D4E19">
            <w:pPr>
              <w:pStyle w:val="Marginlie"/>
              <w:rPr>
                <w:lang w:val="en-GB"/>
              </w:rPr>
            </w:pPr>
            <w:r w:rsidRPr="00A00994">
              <w:rPr>
                <w:lang w:val="en-GB"/>
              </w:rPr>
              <w:t>Trend of mild lowering of sales in retail lasted already nearly one year.</w:t>
            </w:r>
          </w:p>
          <w:p w14:paraId="16E5F049" w14:textId="418AFC23" w:rsidR="001D4E19" w:rsidRPr="00A00994" w:rsidRDefault="001D4E19" w:rsidP="001D4E19">
            <w:pPr>
              <w:pStyle w:val="Marginlie"/>
              <w:rPr>
                <w:lang w:val="en-GB"/>
              </w:rPr>
            </w:pPr>
            <w:r w:rsidRPr="00A00994">
              <w:rPr>
                <w:lang w:val="en-GB"/>
              </w:rPr>
              <w:t xml:space="preserve">Pessimism of consumers was at a record high in July. </w:t>
            </w:r>
            <w:r>
              <w:rPr>
                <w:lang w:val="en-GB"/>
              </w:rPr>
              <w:t>Business</w:t>
            </w:r>
            <w:r w:rsidRPr="00A00994">
              <w:rPr>
                <w:lang w:val="en-GB"/>
              </w:rPr>
              <w:t xml:space="preserve"> confidence was however scaled down only negligibly. Businesses maintained an optimistic outlook for H2.</w:t>
            </w:r>
          </w:p>
          <w:p w14:paraId="0E3FDBA4" w14:textId="77777777" w:rsidR="001D4E19" w:rsidRPr="00A00994" w:rsidRDefault="001D4E19" w:rsidP="001D4E19">
            <w:pPr>
              <w:pStyle w:val="Marginlie"/>
              <w:rPr>
                <w:lang w:val="en-GB"/>
              </w:rPr>
            </w:pPr>
          </w:p>
          <w:p w14:paraId="64E25C02" w14:textId="77777777" w:rsidR="001D4E19" w:rsidRPr="00A00994" w:rsidRDefault="001D4E19" w:rsidP="001D4E19">
            <w:pPr>
              <w:pStyle w:val="Marginlie"/>
              <w:rPr>
                <w:lang w:val="en-GB"/>
              </w:rPr>
            </w:pPr>
          </w:p>
        </w:tc>
        <w:tc>
          <w:tcPr>
            <w:tcW w:w="214" w:type="dxa"/>
            <w:tcBorders>
              <w:top w:val="nil"/>
              <w:left w:val="nil"/>
              <w:bottom w:val="nil"/>
              <w:right w:val="nil"/>
            </w:tcBorders>
            <w:shd w:val="clear" w:color="auto" w:fill="auto"/>
            <w:tcMar>
              <w:left w:w="0" w:type="dxa"/>
            </w:tcMar>
          </w:tcPr>
          <w:p w14:paraId="5AF096AF"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393C6DB5" w14:textId="172EDE5F" w:rsidR="001D4E19" w:rsidRPr="001D4E19" w:rsidRDefault="001D4E19" w:rsidP="001D4E19">
            <w:pPr>
              <w:spacing w:after="200"/>
              <w:rPr>
                <w:rFonts w:cs="Arial"/>
                <w:color w:val="0D0D0D" w:themeColor="text1" w:themeTint="F2"/>
                <w:spacing w:val="-4"/>
                <w:szCs w:val="20"/>
                <w:lang w:val="en-GB"/>
              </w:rPr>
            </w:pPr>
            <w:r w:rsidRPr="00A00994">
              <w:rPr>
                <w:rFonts w:cs="Arial"/>
                <w:color w:val="0D0D0D" w:themeColor="text1" w:themeTint="F2"/>
                <w:spacing w:val="-4"/>
                <w:szCs w:val="20"/>
                <w:lang w:val="en-GB"/>
              </w:rPr>
              <w:t>Retail sales</w:t>
            </w:r>
            <w:r w:rsidRPr="00A00994">
              <w:rPr>
                <w:rStyle w:val="Znakapoznpodarou"/>
                <w:color w:val="0D0D0D" w:themeColor="text1" w:themeTint="F2"/>
                <w:spacing w:val="-4"/>
                <w:lang w:val="en-GB"/>
              </w:rPr>
              <w:footnoteReference w:id="43"/>
            </w:r>
            <w:r w:rsidRPr="00A00994">
              <w:rPr>
                <w:rFonts w:cs="Arial"/>
                <w:color w:val="0D0D0D" w:themeColor="text1" w:themeTint="F2"/>
                <w:spacing w:val="-4"/>
                <w:szCs w:val="20"/>
                <w:lang w:val="en-GB"/>
              </w:rPr>
              <w:t xml:space="preserve"> were after the steep boost in the last year’s May</w:t>
            </w:r>
            <w:r w:rsidRPr="00A00994">
              <w:rPr>
                <w:rStyle w:val="Znakapoznpodarou"/>
                <w:color w:val="0D0D0D" w:themeColor="text1" w:themeTint="F2"/>
                <w:spacing w:val="-4"/>
                <w:szCs w:val="20"/>
                <w:lang w:val="en-GB"/>
              </w:rPr>
              <w:footnoteReference w:id="44"/>
            </w:r>
            <w:r w:rsidRPr="00A00994">
              <w:rPr>
                <w:rFonts w:cs="Arial"/>
                <w:color w:val="0D0D0D" w:themeColor="text1" w:themeTint="F2"/>
                <w:spacing w:val="-4"/>
                <w:szCs w:val="20"/>
                <w:lang w:val="en-GB"/>
              </w:rPr>
              <w:t xml:space="preserve"> largely slightly falling month-on-month in the subsequent period and their volume attained a comparable level to November 2019. Sales for the whole Q2 2022 fell behind the preceding quarter by significant 2.3% since the decline manifested across virtually all areas of retail. This development was closely related to the gradual deterioration of the consumer confidence down to a historical minimum (in July 2022). The repeated year-on-year decrease of the average wages turned into the lower real disposable household income as well in Q1 2021 (−2%). The financial situation of households, as well as their outlook on the nearest 12 months worsened. Concerns of people regarding the growth of prices, which were at a record high at the beginning of </w:t>
            </w:r>
            <w:r>
              <w:rPr>
                <w:rFonts w:cs="Arial"/>
                <w:color w:val="0D0D0D" w:themeColor="text1" w:themeTint="F2"/>
                <w:spacing w:val="-4"/>
                <w:szCs w:val="20"/>
                <w:lang w:val="en-GB"/>
              </w:rPr>
              <w:t>s</w:t>
            </w:r>
            <w:r w:rsidRPr="00A00994">
              <w:rPr>
                <w:rFonts w:cs="Arial"/>
                <w:color w:val="0D0D0D" w:themeColor="text1" w:themeTint="F2"/>
                <w:spacing w:val="-4"/>
                <w:szCs w:val="20"/>
                <w:lang w:val="en-GB"/>
              </w:rPr>
              <w:t>pring, slightly droppe</w:t>
            </w:r>
            <w:r>
              <w:rPr>
                <w:rFonts w:cs="Arial"/>
                <w:color w:val="0D0D0D" w:themeColor="text1" w:themeTint="F2"/>
                <w:spacing w:val="-4"/>
                <w:szCs w:val="20"/>
                <w:lang w:val="en-GB"/>
              </w:rPr>
              <w:t>d in s</w:t>
            </w:r>
            <w:r w:rsidRPr="00A00994">
              <w:rPr>
                <w:rFonts w:cs="Arial"/>
                <w:color w:val="0D0D0D" w:themeColor="text1" w:themeTint="F2"/>
                <w:spacing w:val="-4"/>
                <w:szCs w:val="20"/>
                <w:lang w:val="en-GB"/>
              </w:rPr>
              <w:t>ummer. Nevertheless, the growth of consumer prices of food or fuels kept further accelerating. In these circumstances, large part of households apparently started to limit their non-essential expenditures, but also regular purchases of goods hit by high price growth. Yet the sentiment of entrepreneurs themselves stayed despite mild deterioration positive</w:t>
            </w:r>
            <w:r w:rsidRPr="00A00994">
              <w:rPr>
                <w:rStyle w:val="Znakapoznpodarou"/>
                <w:color w:val="0D0D0D" w:themeColor="text1" w:themeTint="F2"/>
                <w:spacing w:val="-4"/>
                <w:szCs w:val="20"/>
                <w:lang w:val="en-GB"/>
              </w:rPr>
              <w:footnoteReference w:id="45"/>
            </w:r>
            <w:r w:rsidRPr="00A00994">
              <w:rPr>
                <w:rFonts w:cs="Arial"/>
                <w:color w:val="0D0D0D" w:themeColor="text1" w:themeTint="F2"/>
                <w:spacing w:val="-4"/>
                <w:szCs w:val="20"/>
                <w:lang w:val="en-GB"/>
              </w:rPr>
              <w:t xml:space="preserve">. They relied also on certain inertia in the consumption behaviour of domestic households (including their utilisation of remaining part of </w:t>
            </w:r>
            <w:r>
              <w:rPr>
                <w:rFonts w:cs="Arial"/>
                <w:color w:val="0D0D0D" w:themeColor="text1" w:themeTint="F2"/>
                <w:spacing w:val="-4"/>
                <w:szCs w:val="20"/>
                <w:lang w:val="en-GB"/>
              </w:rPr>
              <w:t>“</w:t>
            </w:r>
            <w:r w:rsidRPr="00A00994">
              <w:rPr>
                <w:rFonts w:cs="Arial"/>
                <w:color w:val="0D0D0D" w:themeColor="text1" w:themeTint="F2"/>
                <w:spacing w:val="-4"/>
                <w:szCs w:val="20"/>
                <w:lang w:val="en-GB"/>
              </w:rPr>
              <w:t>withheld</w:t>
            </w:r>
            <w:r>
              <w:rPr>
                <w:rFonts w:cs="Arial"/>
                <w:color w:val="0D0D0D" w:themeColor="text1" w:themeTint="F2"/>
                <w:spacing w:val="-4"/>
                <w:szCs w:val="20"/>
                <w:lang w:val="en-GB"/>
              </w:rPr>
              <w:t>”</w:t>
            </w:r>
            <w:r w:rsidRPr="00A00994">
              <w:rPr>
                <w:rFonts w:cs="Arial"/>
                <w:color w:val="0D0D0D" w:themeColor="text1" w:themeTint="F2"/>
                <w:spacing w:val="-4"/>
                <w:szCs w:val="20"/>
                <w:lang w:val="en-GB"/>
              </w:rPr>
              <w:t xml:space="preserve"> savings from years 2020 and 2021 to current purchases) and on higher </w:t>
            </w:r>
            <w:r w:rsidRPr="00A00994">
              <w:rPr>
                <w:rFonts w:cs="Arial"/>
                <w:color w:val="0D0D0D" w:themeColor="text1" w:themeTint="F2"/>
                <w:spacing w:val="-4"/>
                <w:szCs w:val="20"/>
                <w:lang w:val="en-GB"/>
              </w:rPr>
              <w:lastRenderedPageBreak/>
              <w:t>expenditures of non-residents associated with the revival of tourism as well as the</w:t>
            </w:r>
            <w:r>
              <w:rPr>
                <w:rFonts w:cs="Arial"/>
                <w:color w:val="0D0D0D" w:themeColor="text1" w:themeTint="F2"/>
                <w:spacing w:val="-4"/>
                <w:szCs w:val="20"/>
                <w:lang w:val="en-GB"/>
              </w:rPr>
              <w:t xml:space="preserve"> refugee flow from Ukraine. </w:t>
            </w:r>
          </w:p>
        </w:tc>
      </w:tr>
      <w:tr w:rsidR="001D4E19" w:rsidRPr="00A00994" w14:paraId="6C240E80" w14:textId="77777777" w:rsidTr="00BB1209">
        <w:trPr>
          <w:trHeight w:val="145"/>
        </w:trPr>
        <w:tc>
          <w:tcPr>
            <w:tcW w:w="1695" w:type="dxa"/>
            <w:tcBorders>
              <w:top w:val="nil"/>
              <w:left w:val="nil"/>
              <w:bottom w:val="nil"/>
              <w:right w:val="nil"/>
            </w:tcBorders>
            <w:shd w:val="clear" w:color="auto" w:fill="auto"/>
            <w:tcMar>
              <w:left w:w="0" w:type="dxa"/>
            </w:tcMar>
          </w:tcPr>
          <w:p w14:paraId="1D33249D" w14:textId="77777777" w:rsidR="001D4E19" w:rsidRPr="00A00994" w:rsidRDefault="001D4E19" w:rsidP="001D4E19">
            <w:pPr>
              <w:pStyle w:val="Marginlie"/>
              <w:rPr>
                <w:lang w:val="en-GB"/>
              </w:rPr>
            </w:pPr>
            <w:r w:rsidRPr="00A00994">
              <w:rPr>
                <w:lang w:val="en-GB"/>
              </w:rPr>
              <w:lastRenderedPageBreak/>
              <w:t xml:space="preserve">Lower sales of food were mainly behind the year-on-year drop of the retail trade in Q2. Reduction of demand occurred more or less across the board within the retail trade. </w:t>
            </w:r>
          </w:p>
          <w:p w14:paraId="4E105BD9" w14:textId="77777777" w:rsidR="001D4E19" w:rsidRPr="00A00994" w:rsidRDefault="001D4E19" w:rsidP="001D4E19">
            <w:pPr>
              <w:pStyle w:val="Marginlie"/>
              <w:rPr>
                <w:lang w:val="en-GB"/>
              </w:rPr>
            </w:pPr>
          </w:p>
          <w:p w14:paraId="64A0723D" w14:textId="77777777" w:rsidR="001D4E19" w:rsidRPr="00A00994" w:rsidRDefault="001D4E19" w:rsidP="001D4E19">
            <w:pPr>
              <w:pStyle w:val="Marginlie"/>
              <w:rPr>
                <w:lang w:val="en-GB"/>
              </w:rPr>
            </w:pPr>
          </w:p>
          <w:p w14:paraId="7A4B8944" w14:textId="77777777" w:rsidR="001D4E19" w:rsidRPr="00A00994" w:rsidRDefault="001D4E19" w:rsidP="001D4E19">
            <w:pPr>
              <w:pStyle w:val="Marginlie"/>
              <w:rPr>
                <w:lang w:val="en-GB"/>
              </w:rPr>
            </w:pPr>
          </w:p>
          <w:p w14:paraId="0260E965" w14:textId="3EDDE040" w:rsidR="001D4E19" w:rsidRPr="00A00994" w:rsidRDefault="001D4E19" w:rsidP="001D4E19">
            <w:pPr>
              <w:pStyle w:val="Marginlie"/>
              <w:rPr>
                <w:lang w:val="en-GB"/>
              </w:rPr>
            </w:pPr>
            <w:r w:rsidRPr="00A00994">
              <w:rPr>
                <w:lang w:val="en-GB"/>
              </w:rPr>
              <w:t xml:space="preserve">Record prices at the petrol stations likely also participated on the lower consumption of motor fuels. </w:t>
            </w:r>
          </w:p>
        </w:tc>
        <w:tc>
          <w:tcPr>
            <w:tcW w:w="214" w:type="dxa"/>
            <w:tcBorders>
              <w:top w:val="nil"/>
              <w:left w:val="nil"/>
              <w:bottom w:val="nil"/>
              <w:right w:val="nil"/>
            </w:tcBorders>
            <w:shd w:val="clear" w:color="auto" w:fill="auto"/>
            <w:tcMar>
              <w:left w:w="0" w:type="dxa"/>
            </w:tcMar>
          </w:tcPr>
          <w:p w14:paraId="5AE6850E"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60F0DC7A" w14:textId="77777777" w:rsidR="001D4E19" w:rsidRPr="00A00994" w:rsidRDefault="001D4E19" w:rsidP="001D4E19">
            <w:pPr>
              <w:spacing w:after="0"/>
              <w:rPr>
                <w:rFonts w:cs="Arial"/>
                <w:color w:val="0D0D0D" w:themeColor="text1" w:themeTint="F2"/>
                <w:spacing w:val="-4"/>
                <w:szCs w:val="20"/>
                <w:lang w:val="en-GB"/>
              </w:rPr>
            </w:pPr>
            <w:r w:rsidRPr="00A00994">
              <w:rPr>
                <w:rFonts w:cs="Arial"/>
                <w:color w:val="0D0D0D" w:themeColor="text1" w:themeTint="F2"/>
                <w:spacing w:val="-4"/>
                <w:szCs w:val="20"/>
                <w:lang w:val="en-GB"/>
              </w:rPr>
              <w:t>The retail sales dropped by 3.0%</w:t>
            </w:r>
            <w:r w:rsidRPr="00A00994">
              <w:rPr>
                <w:rStyle w:val="Znakapoznpodarou"/>
                <w:color w:val="0D0D0D" w:themeColor="text1" w:themeTint="F2"/>
                <w:spacing w:val="-4"/>
                <w:szCs w:val="20"/>
                <w:lang w:val="en-GB"/>
              </w:rPr>
              <w:footnoteReference w:id="46"/>
            </w:r>
            <w:r w:rsidRPr="00A00994">
              <w:rPr>
                <w:rFonts w:cs="Arial"/>
                <w:color w:val="0D0D0D" w:themeColor="text1" w:themeTint="F2"/>
                <w:spacing w:val="-4"/>
                <w:szCs w:val="20"/>
                <w:lang w:val="en-GB"/>
              </w:rPr>
              <w:t xml:space="preserve"> year-on-year in Q2 (even by 6.9% in June). Mostly the sales in the retail trade of food stood behind the decrease of sales and also the retail sales via internet – these were by 8.0% lower against the extraordinary last year basis, when they still partially substituted the shut brick and mortar stores. Substantial majority of other specialised shops with non-food goods was also afflicted by milder decrease. People demanded more than last year only the wearing apparel, footwear, leather goods, pharmaceutical and medical goods or cosmetics and toiletries. Decrease of sales for food deepened to 4.0% (larger downturn occurred only in Q1 2012). Large chains recorded deeper slump, real spending rather stagnated in smaller stores. Sellers of fuels experienced lower sales by even 4%</w:t>
            </w:r>
            <w:r w:rsidRPr="00A00994">
              <w:rPr>
                <w:rStyle w:val="Znakapoznpodarou"/>
                <w:color w:val="0D0D0D" w:themeColor="text1" w:themeTint="F2"/>
                <w:spacing w:val="-4"/>
                <w:szCs w:val="20"/>
                <w:lang w:val="en-GB"/>
              </w:rPr>
              <w:footnoteReference w:id="47"/>
            </w:r>
            <w:r w:rsidRPr="00A00994">
              <w:rPr>
                <w:rFonts w:cs="Arial"/>
                <w:color w:val="0D0D0D" w:themeColor="text1" w:themeTint="F2"/>
                <w:spacing w:val="-4"/>
                <w:szCs w:val="20"/>
                <w:lang w:val="en-GB"/>
              </w:rPr>
              <w:t xml:space="preserve">. The demand shrank here by approximately one tenth compared to Q4 2019. It was also valid for the motorist segment of trade, where the decrease of sales deepened to 7.7% in Q2. Dive of demand in the area of sale of motor vehicles was more than double in comparison to the maintenance and repair of motor vehicles. </w:t>
            </w:r>
          </w:p>
          <w:p w14:paraId="761DB134" w14:textId="77777777" w:rsidR="001D4E19" w:rsidRPr="00A00994" w:rsidRDefault="001D4E19" w:rsidP="001D4E19">
            <w:pPr>
              <w:spacing w:after="0" w:line="240" w:lineRule="auto"/>
              <w:rPr>
                <w:rFonts w:cs="Arial"/>
                <w:color w:val="0D0D0D" w:themeColor="text1" w:themeTint="F2"/>
                <w:spacing w:val="-6"/>
                <w:lang w:val="en-GB"/>
              </w:rPr>
            </w:pPr>
          </w:p>
        </w:tc>
      </w:tr>
      <w:tr w:rsidR="001D4E19" w:rsidRPr="00A00994" w14:paraId="52A06E14" w14:textId="77777777" w:rsidTr="00BB1209">
        <w:trPr>
          <w:trHeight w:val="145"/>
        </w:trPr>
        <w:tc>
          <w:tcPr>
            <w:tcW w:w="1695" w:type="dxa"/>
            <w:tcBorders>
              <w:top w:val="nil"/>
              <w:left w:val="nil"/>
              <w:bottom w:val="nil"/>
              <w:right w:val="nil"/>
            </w:tcBorders>
            <w:shd w:val="clear" w:color="auto" w:fill="auto"/>
            <w:tcMar>
              <w:left w:w="0" w:type="dxa"/>
            </w:tcMar>
          </w:tcPr>
          <w:p w14:paraId="4B9396C5" w14:textId="3D7FE7DF" w:rsidR="001D4E19" w:rsidRPr="00A00994" w:rsidRDefault="001D4E19" w:rsidP="001D4E19">
            <w:pPr>
              <w:pStyle w:val="Marginlie"/>
              <w:rPr>
                <w:lang w:val="en-GB"/>
              </w:rPr>
            </w:pPr>
          </w:p>
        </w:tc>
        <w:tc>
          <w:tcPr>
            <w:tcW w:w="214" w:type="dxa"/>
            <w:tcBorders>
              <w:top w:val="nil"/>
              <w:left w:val="nil"/>
              <w:bottom w:val="nil"/>
              <w:right w:val="nil"/>
            </w:tcBorders>
            <w:shd w:val="clear" w:color="auto" w:fill="auto"/>
            <w:tcMar>
              <w:left w:w="0" w:type="dxa"/>
            </w:tcMar>
          </w:tcPr>
          <w:p w14:paraId="780BE917"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451BB2A0" w14:textId="6EEF238F" w:rsidR="001D4E19" w:rsidRPr="00A00994" w:rsidRDefault="001D4E19" w:rsidP="001D4E19">
            <w:pPr>
              <w:spacing w:after="0"/>
              <w:rPr>
                <w:rFonts w:cs="Arial"/>
                <w:color w:val="0D0D0D" w:themeColor="text1" w:themeTint="F2"/>
                <w:spacing w:val="-4"/>
                <w:szCs w:val="20"/>
                <w:lang w:val="en-GB"/>
              </w:rPr>
            </w:pPr>
            <w:r w:rsidRPr="00A00994">
              <w:rPr>
                <w:b/>
                <w:lang w:val="en-GB"/>
              </w:rPr>
              <w:t>Chart 8 Contributions of sub</w:t>
            </w:r>
            <w:r>
              <w:rPr>
                <w:b/>
                <w:lang w:val="en-GB"/>
              </w:rPr>
              <w:t>-</w:t>
            </w:r>
            <w:r w:rsidRPr="00A00994">
              <w:rPr>
                <w:b/>
                <w:lang w:val="en-GB"/>
              </w:rPr>
              <w:t>branches to year-on-year change of retail sales</w:t>
            </w:r>
            <w:r w:rsidRPr="00A00994">
              <w:rPr>
                <w:rFonts w:cs="Arial"/>
                <w:b/>
                <w:bCs/>
                <w:color w:val="0D0D0D" w:themeColor="text1" w:themeTint="F2"/>
                <w:spacing w:val="-6"/>
                <w:lang w:val="en-GB"/>
              </w:rPr>
              <w:t xml:space="preserve">* </w:t>
            </w:r>
            <w:r w:rsidRPr="00A00994">
              <w:rPr>
                <w:rFonts w:cs="Arial"/>
                <w:color w:val="0D0D0D" w:themeColor="text1" w:themeTint="F2"/>
                <w:spacing w:val="-6"/>
                <w:lang w:val="en-GB"/>
              </w:rPr>
              <w:t xml:space="preserve">(real, in p.p.), </w:t>
            </w:r>
            <w:r w:rsidRPr="00A00994">
              <w:rPr>
                <w:rFonts w:cs="Arial"/>
                <w:b/>
                <w:bCs/>
                <w:color w:val="0D0D0D" w:themeColor="text1" w:themeTint="F2"/>
                <w:spacing w:val="-6"/>
                <w:lang w:val="en-GB"/>
              </w:rPr>
              <w:t>r</w:t>
            </w:r>
            <w:r w:rsidRPr="00A00994">
              <w:rPr>
                <w:rFonts w:cs="Arial"/>
                <w:b/>
                <w:bCs/>
                <w:color w:val="0D0D0D" w:themeColor="text1" w:themeTint="F2"/>
                <w:spacing w:val="-4"/>
                <w:szCs w:val="20"/>
                <w:lang w:val="en-GB"/>
              </w:rPr>
              <w:t xml:space="preserve">etail sales and sales of motor vehicles** </w:t>
            </w:r>
            <w:r w:rsidRPr="00A00994">
              <w:rPr>
                <w:rFonts w:cs="Arial"/>
                <w:color w:val="0D0D0D" w:themeColor="text1" w:themeTint="F2"/>
                <w:spacing w:val="-4"/>
                <w:szCs w:val="20"/>
                <w:lang w:val="en-GB"/>
              </w:rPr>
              <w:t xml:space="preserve">(real, level of year 2015=100, right axis) </w:t>
            </w:r>
            <w:r w:rsidRPr="00A00994">
              <w:rPr>
                <w:rFonts w:cs="Arial"/>
                <w:b/>
                <w:color w:val="0D0D0D" w:themeColor="text1" w:themeTint="F2"/>
                <w:spacing w:val="-4"/>
                <w:szCs w:val="20"/>
                <w:lang w:val="en-GB"/>
              </w:rPr>
              <w:t xml:space="preserve">and balance of </w:t>
            </w:r>
            <w:r>
              <w:rPr>
                <w:rFonts w:cs="Arial"/>
                <w:b/>
                <w:color w:val="0D0D0D" w:themeColor="text1" w:themeTint="F2"/>
                <w:spacing w:val="-4"/>
                <w:szCs w:val="20"/>
                <w:lang w:val="en-GB"/>
              </w:rPr>
              <w:t xml:space="preserve">consumer </w:t>
            </w:r>
            <w:r w:rsidRPr="00A00994">
              <w:rPr>
                <w:rFonts w:cs="Arial"/>
                <w:b/>
                <w:color w:val="0D0D0D" w:themeColor="text1" w:themeTint="F2"/>
                <w:spacing w:val="-4"/>
                <w:szCs w:val="20"/>
                <w:lang w:val="en-GB"/>
              </w:rPr>
              <w:t>confidence indicator</w:t>
            </w:r>
            <w:r w:rsidRPr="00A00994">
              <w:rPr>
                <w:rFonts w:cs="Arial"/>
                <w:b/>
                <w:bCs/>
                <w:color w:val="0D0D0D" w:themeColor="text1" w:themeTint="F2"/>
                <w:spacing w:val="-4"/>
                <w:szCs w:val="20"/>
                <w:lang w:val="en-GB"/>
              </w:rPr>
              <w:t xml:space="preserve">*** </w:t>
            </w:r>
            <w:r w:rsidRPr="00A00994">
              <w:rPr>
                <w:rFonts w:cs="Arial"/>
                <w:color w:val="0D0D0D" w:themeColor="text1" w:themeTint="F2"/>
                <w:spacing w:val="-4"/>
                <w:szCs w:val="20"/>
                <w:lang w:val="en-GB"/>
              </w:rPr>
              <w:t>(in points, right axis)</w:t>
            </w:r>
            <w:r w:rsidRPr="00A00994">
              <w:rPr>
                <w:rFonts w:cs="Arial"/>
                <w:color w:val="0D0D0D" w:themeColor="text1" w:themeTint="F2"/>
                <w:spacing w:val="-6"/>
                <w:lang w:val="en-GB"/>
              </w:rPr>
              <w:t xml:space="preserve"> </w:t>
            </w:r>
          </w:p>
        </w:tc>
      </w:tr>
      <w:tr w:rsidR="001D4E19" w:rsidRPr="00A00994" w14:paraId="0D3A0BFF" w14:textId="77777777" w:rsidTr="00BB1209">
        <w:tblPrEx>
          <w:tblCellMar>
            <w:left w:w="70" w:type="dxa"/>
            <w:right w:w="70" w:type="dxa"/>
          </w:tblCellMar>
        </w:tblPrEx>
        <w:trPr>
          <w:trHeight w:val="145"/>
        </w:trPr>
        <w:tc>
          <w:tcPr>
            <w:tcW w:w="1695" w:type="dxa"/>
            <w:tcBorders>
              <w:top w:val="nil"/>
              <w:left w:val="nil"/>
              <w:bottom w:val="nil"/>
              <w:right w:val="nil"/>
            </w:tcBorders>
            <w:shd w:val="clear" w:color="auto" w:fill="auto"/>
          </w:tcPr>
          <w:p w14:paraId="6FABD9D1" w14:textId="77777777" w:rsidR="001D4E19" w:rsidRPr="00A00994" w:rsidRDefault="001D4E19" w:rsidP="001D4E19">
            <w:pPr>
              <w:pStyle w:val="Marginlie"/>
              <w:rPr>
                <w:lang w:val="en-GB"/>
              </w:rPr>
            </w:pPr>
          </w:p>
        </w:tc>
        <w:tc>
          <w:tcPr>
            <w:tcW w:w="214" w:type="dxa"/>
            <w:tcBorders>
              <w:top w:val="nil"/>
              <w:left w:val="nil"/>
              <w:bottom w:val="nil"/>
              <w:right w:val="nil"/>
            </w:tcBorders>
            <w:shd w:val="clear" w:color="auto" w:fill="auto"/>
          </w:tcPr>
          <w:p w14:paraId="2ED01DFD"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Pr>
          <w:p w14:paraId="011B3E84" w14:textId="13C1F4B4" w:rsidR="001D4E19" w:rsidRPr="00A00994" w:rsidRDefault="001D4E19" w:rsidP="001D4E19">
            <w:pPr>
              <w:spacing w:after="0"/>
              <w:rPr>
                <w:rFonts w:cs="Arial"/>
                <w:color w:val="0D0D0D" w:themeColor="text1" w:themeTint="F2"/>
                <w:spacing w:val="-3"/>
                <w:szCs w:val="20"/>
                <w:lang w:val="en-GB"/>
              </w:rPr>
            </w:pPr>
            <w:r>
              <w:rPr>
                <w:noProof/>
              </w:rPr>
              <w:drawing>
                <wp:inline distT="0" distB="0" distL="0" distR="0" wp14:anchorId="12D566D3" wp14:editId="0BFFC73D">
                  <wp:extent cx="4814505" cy="3716118"/>
                  <wp:effectExtent l="0" t="0" r="5715" b="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D4E19" w:rsidRPr="00A00994" w14:paraId="3DD1D8DC" w14:textId="77777777" w:rsidTr="00BB1209">
        <w:trPr>
          <w:trHeight w:val="145"/>
        </w:trPr>
        <w:tc>
          <w:tcPr>
            <w:tcW w:w="1695" w:type="dxa"/>
            <w:tcBorders>
              <w:top w:val="nil"/>
              <w:left w:val="nil"/>
              <w:bottom w:val="nil"/>
              <w:right w:val="nil"/>
            </w:tcBorders>
            <w:shd w:val="clear" w:color="auto" w:fill="auto"/>
            <w:tcMar>
              <w:left w:w="0" w:type="dxa"/>
            </w:tcMar>
          </w:tcPr>
          <w:p w14:paraId="06EAF867" w14:textId="77777777" w:rsidR="001D4E19" w:rsidRPr="00A00994" w:rsidRDefault="001D4E19" w:rsidP="001D4E19">
            <w:pPr>
              <w:pStyle w:val="Marginlie"/>
              <w:rPr>
                <w:lang w:val="en-GB"/>
              </w:rPr>
            </w:pPr>
          </w:p>
        </w:tc>
        <w:tc>
          <w:tcPr>
            <w:tcW w:w="214" w:type="dxa"/>
            <w:tcBorders>
              <w:top w:val="nil"/>
              <w:left w:val="nil"/>
              <w:bottom w:val="nil"/>
              <w:right w:val="nil"/>
            </w:tcBorders>
            <w:shd w:val="clear" w:color="auto" w:fill="auto"/>
            <w:tcMar>
              <w:left w:w="0" w:type="dxa"/>
            </w:tcMar>
          </w:tcPr>
          <w:p w14:paraId="7F484053"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204869F2" w14:textId="77777777" w:rsidR="001D4E19" w:rsidRPr="00A00994" w:rsidRDefault="001D4E19" w:rsidP="001D4E19">
            <w:pPr>
              <w:spacing w:after="0" w:line="240" w:lineRule="auto"/>
              <w:rPr>
                <w:rFonts w:cs="Arial"/>
                <w:sz w:val="14"/>
                <w:szCs w:val="14"/>
                <w:lang w:val="en-GB"/>
              </w:rPr>
            </w:pPr>
            <w:r w:rsidRPr="00A00994">
              <w:rPr>
                <w:rFonts w:cs="Arial"/>
                <w:color w:val="0D0D0D" w:themeColor="text1" w:themeTint="F2"/>
                <w:spacing w:val="-6"/>
                <w:lang w:val="en-GB"/>
              </w:rPr>
              <w:t>*</w:t>
            </w:r>
            <w:r w:rsidRPr="00A00994">
              <w:rPr>
                <w:rFonts w:cs="Arial"/>
                <w:sz w:val="14"/>
                <w:szCs w:val="14"/>
                <w:lang w:val="en-GB"/>
              </w:rPr>
              <w:t xml:space="preserve"> Sales are adjusted for calendar effects.        ** Sales are adjusted for both seasonal and calendar effects.</w:t>
            </w:r>
          </w:p>
          <w:p w14:paraId="11D89B7E" w14:textId="285266CE" w:rsidR="001D4E19" w:rsidRPr="00BB1209" w:rsidRDefault="001D4E19" w:rsidP="001D4E19">
            <w:pPr>
              <w:spacing w:after="0"/>
              <w:rPr>
                <w:rFonts w:cs="Arial"/>
                <w:color w:val="0D0D0D" w:themeColor="text1" w:themeTint="F2"/>
                <w:spacing w:val="-4"/>
                <w:sz w:val="14"/>
                <w:szCs w:val="14"/>
                <w:lang w:val="en-GB"/>
              </w:rPr>
            </w:pPr>
            <w:r w:rsidRPr="00A00994">
              <w:rPr>
                <w:rFonts w:cs="Arial"/>
                <w:color w:val="0D0D0D" w:themeColor="text1" w:themeTint="F2"/>
                <w:spacing w:val="-4"/>
                <w:sz w:val="14"/>
                <w:szCs w:val="14"/>
                <w:lang w:val="en-GB"/>
              </w:rPr>
              <w:t>*** Consumer confidence</w:t>
            </w:r>
            <w:r>
              <w:rPr>
                <w:rFonts w:cs="Arial"/>
                <w:color w:val="0D0D0D" w:themeColor="text1" w:themeTint="F2"/>
                <w:spacing w:val="-4"/>
                <w:sz w:val="14"/>
                <w:szCs w:val="14"/>
                <w:lang w:val="en-GB"/>
              </w:rPr>
              <w:t xml:space="preserve"> indicator</w:t>
            </w:r>
            <w:r w:rsidRPr="00A00994">
              <w:rPr>
                <w:rFonts w:cs="Arial"/>
                <w:color w:val="0D0D0D" w:themeColor="text1" w:themeTint="F2"/>
                <w:spacing w:val="-4"/>
                <w:sz w:val="14"/>
                <w:szCs w:val="14"/>
                <w:lang w:val="en-GB"/>
              </w:rPr>
              <w:t xml:space="preserve"> is seasonally adjusted and expresses the position in the second month of the given quar</w:t>
            </w:r>
            <w:r>
              <w:rPr>
                <w:rFonts w:cs="Arial"/>
                <w:color w:val="0D0D0D" w:themeColor="text1" w:themeTint="F2"/>
                <w:spacing w:val="-4"/>
                <w:sz w:val="14"/>
                <w:szCs w:val="14"/>
                <w:lang w:val="en-GB"/>
              </w:rPr>
              <w:t>ter.               Source: CZSO</w:t>
            </w:r>
          </w:p>
        </w:tc>
      </w:tr>
      <w:tr w:rsidR="001D4E19" w:rsidRPr="00A00994" w14:paraId="23138A7A" w14:textId="77777777" w:rsidTr="00BB1209">
        <w:trPr>
          <w:trHeight w:val="145"/>
        </w:trPr>
        <w:tc>
          <w:tcPr>
            <w:tcW w:w="1695" w:type="dxa"/>
            <w:tcBorders>
              <w:top w:val="nil"/>
              <w:left w:val="nil"/>
              <w:bottom w:val="nil"/>
              <w:right w:val="nil"/>
            </w:tcBorders>
            <w:shd w:val="clear" w:color="auto" w:fill="auto"/>
            <w:tcMar>
              <w:left w:w="0" w:type="dxa"/>
            </w:tcMar>
          </w:tcPr>
          <w:p w14:paraId="36795095" w14:textId="77777777" w:rsidR="001D4E19" w:rsidRPr="00A00994" w:rsidRDefault="001D4E19" w:rsidP="001D4E19">
            <w:pPr>
              <w:pStyle w:val="Marginlie"/>
              <w:rPr>
                <w:lang w:val="en-GB"/>
              </w:rPr>
            </w:pPr>
          </w:p>
        </w:tc>
        <w:tc>
          <w:tcPr>
            <w:tcW w:w="214" w:type="dxa"/>
            <w:tcBorders>
              <w:top w:val="nil"/>
              <w:left w:val="nil"/>
              <w:bottom w:val="nil"/>
              <w:right w:val="nil"/>
            </w:tcBorders>
            <w:shd w:val="clear" w:color="auto" w:fill="auto"/>
            <w:tcMar>
              <w:left w:w="0" w:type="dxa"/>
            </w:tcMar>
          </w:tcPr>
          <w:p w14:paraId="671523BE" w14:textId="77777777" w:rsidR="001D4E19" w:rsidRPr="00A00994" w:rsidRDefault="001D4E19" w:rsidP="001D4E19">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440586DC" w14:textId="7118C968" w:rsidR="001D4E19" w:rsidRPr="00A00994" w:rsidRDefault="001D4E19" w:rsidP="001D4E19">
            <w:pPr>
              <w:spacing w:after="0"/>
              <w:rPr>
                <w:noProof/>
                <w:lang w:val="en-GB"/>
              </w:rPr>
            </w:pPr>
          </w:p>
        </w:tc>
      </w:tr>
    </w:tbl>
    <w:p w14:paraId="5018FC38" w14:textId="77777777" w:rsidR="00073B58" w:rsidRPr="00A00994" w:rsidRDefault="00073B58" w:rsidP="00073B58">
      <w:pPr>
        <w:pStyle w:val="Nadpis11"/>
        <w:rPr>
          <w:sz w:val="2"/>
          <w:szCs w:val="2"/>
          <w:lang w:val="en-GB"/>
        </w:rPr>
      </w:pPr>
      <w:bookmarkStart w:id="28" w:name="_Toc74643859"/>
      <w:bookmarkStart w:id="29" w:name="_Toc90395915"/>
      <w:bookmarkStart w:id="30" w:name="_Toc98245446"/>
      <w:bookmarkStart w:id="31" w:name="_Toc74643860"/>
      <w:bookmarkStart w:id="32" w:name="_Toc116642873"/>
      <w:bookmarkEnd w:id="18"/>
      <w:bookmarkEnd w:id="19"/>
      <w:bookmarkEnd w:id="20"/>
      <w:bookmarkEnd w:id="21"/>
      <w:bookmarkEnd w:id="22"/>
      <w:bookmarkEnd w:id="23"/>
      <w:bookmarkEnd w:id="24"/>
      <w:bookmarkEnd w:id="25"/>
      <w:bookmarkEnd w:id="26"/>
      <w:r w:rsidRPr="00A00994">
        <w:rPr>
          <w:lang w:val="en-GB"/>
        </w:rPr>
        <w:lastRenderedPageBreak/>
        <w:t>4</w:t>
      </w:r>
      <w:bookmarkStart w:id="33" w:name="_Toc511215218"/>
      <w:bookmarkStart w:id="34" w:name="_Toc19090679"/>
      <w:bookmarkStart w:id="35" w:name="_Toc74643856"/>
      <w:bookmarkStart w:id="36" w:name="_Toc42852411"/>
      <w:bookmarkStart w:id="37" w:name="_Toc74643857"/>
      <w:bookmarkEnd w:id="33"/>
      <w:bookmarkEnd w:id="34"/>
      <w:r w:rsidRPr="00A00994">
        <w:rPr>
          <w:lang w:val="en-GB"/>
        </w:rPr>
        <w:t>. External Relations</w:t>
      </w:r>
      <w:bookmarkEnd w:id="32"/>
    </w:p>
    <w:tbl>
      <w:tblPr>
        <w:tblW w:w="9639" w:type="dxa"/>
        <w:tblInd w:w="-15" w:type="dxa"/>
        <w:tblCellMar>
          <w:left w:w="0" w:type="dxa"/>
          <w:right w:w="0" w:type="dxa"/>
        </w:tblCellMar>
        <w:tblLook w:val="00A0" w:firstRow="1" w:lastRow="0" w:firstColumn="1" w:lastColumn="0" w:noHBand="0" w:noVBand="0"/>
      </w:tblPr>
      <w:tblGrid>
        <w:gridCol w:w="1760"/>
        <w:gridCol w:w="223"/>
        <w:gridCol w:w="7656"/>
      </w:tblGrid>
      <w:tr w:rsidR="00073B58" w:rsidRPr="00A00994" w14:paraId="52A2BD3F" w14:textId="77777777" w:rsidTr="00073B58">
        <w:trPr>
          <w:trHeight w:val="145"/>
        </w:trPr>
        <w:tc>
          <w:tcPr>
            <w:tcW w:w="1760" w:type="dxa"/>
            <w:shd w:val="clear" w:color="auto" w:fill="auto"/>
            <w:tcMar>
              <w:left w:w="0" w:type="dxa"/>
            </w:tcMar>
          </w:tcPr>
          <w:p w14:paraId="6990D87E" w14:textId="77777777" w:rsidR="00073B58" w:rsidRPr="00A00994" w:rsidRDefault="00073B58" w:rsidP="00073B58">
            <w:pPr>
              <w:pStyle w:val="Marginlie"/>
              <w:rPr>
                <w:lang w:val="en-GB"/>
              </w:rPr>
            </w:pPr>
            <w:r w:rsidRPr="00A00994">
              <w:rPr>
                <w:lang w:val="en-GB"/>
              </w:rPr>
              <w:t xml:space="preserve">Export of goods grew year-on-year in both H1 and Q2 itself. </w:t>
            </w:r>
          </w:p>
        </w:tc>
        <w:tc>
          <w:tcPr>
            <w:tcW w:w="223" w:type="dxa"/>
            <w:shd w:val="clear" w:color="auto" w:fill="auto"/>
            <w:tcMar>
              <w:left w:w="0" w:type="dxa"/>
            </w:tcMar>
          </w:tcPr>
          <w:p w14:paraId="74CE460B"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2861FFE5" w14:textId="77777777" w:rsidR="00073B58" w:rsidRPr="00A00994" w:rsidRDefault="00073B58" w:rsidP="00073B58">
            <w:pPr>
              <w:spacing w:after="180"/>
              <w:rPr>
                <w:spacing w:val="-4"/>
                <w:lang w:val="en-GB"/>
              </w:rPr>
            </w:pPr>
            <w:r w:rsidRPr="00A00994">
              <w:rPr>
                <w:spacing w:val="-4"/>
                <w:lang w:val="en-GB"/>
              </w:rPr>
              <w:t xml:space="preserve">The value of exports of goods amounted to 2 197.5 CZK bn in H1 2022. Export expanded by 192.3 bn (9.6%) compared to the same period of the last year. Relatively strong addition can be ascribed to the growth of prices, mainly of various materials. In Q2 individually, the export of goods rose by 114.6 CZK bn (11.2%) year-on-year to 1 137.2 bn. The year-on-year dynamics accelerated against Q1, where the strengthened price growth played a role and partially also the improvement of situation regarding the supplies of components in some branches.  </w:t>
            </w:r>
          </w:p>
        </w:tc>
      </w:tr>
      <w:tr w:rsidR="00073B58" w:rsidRPr="00A00994" w14:paraId="50674893" w14:textId="77777777" w:rsidTr="00073B58">
        <w:trPr>
          <w:trHeight w:val="145"/>
        </w:trPr>
        <w:tc>
          <w:tcPr>
            <w:tcW w:w="1760" w:type="dxa"/>
            <w:shd w:val="clear" w:color="auto" w:fill="auto"/>
            <w:tcMar>
              <w:left w:w="0" w:type="dxa"/>
            </w:tcMar>
          </w:tcPr>
          <w:p w14:paraId="4842F78C" w14:textId="77777777" w:rsidR="00073B58" w:rsidRPr="00A00994" w:rsidRDefault="00073B58" w:rsidP="00073B58">
            <w:pPr>
              <w:pStyle w:val="Marginlie"/>
              <w:rPr>
                <w:lang w:val="en-GB"/>
              </w:rPr>
            </w:pPr>
            <w:r w:rsidRPr="00A00994">
              <w:rPr>
                <w:lang w:val="en-GB"/>
              </w:rPr>
              <w:t>Export into the EU stands nearly exclusively behind the export growth.</w:t>
            </w:r>
          </w:p>
        </w:tc>
        <w:tc>
          <w:tcPr>
            <w:tcW w:w="223" w:type="dxa"/>
            <w:shd w:val="clear" w:color="auto" w:fill="auto"/>
            <w:tcMar>
              <w:left w:w="0" w:type="dxa"/>
            </w:tcMar>
          </w:tcPr>
          <w:p w14:paraId="4C1F91A5"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72235455" w14:textId="77777777" w:rsidR="00073B58" w:rsidRPr="00A00994" w:rsidRDefault="00073B58" w:rsidP="00073B58">
            <w:pPr>
              <w:spacing w:after="180"/>
              <w:rPr>
                <w:spacing w:val="-4"/>
                <w:lang w:val="en-GB"/>
              </w:rPr>
            </w:pPr>
            <w:r w:rsidRPr="00A00994">
              <w:rPr>
                <w:spacing w:val="-4"/>
                <w:lang w:val="en-GB"/>
              </w:rPr>
              <w:t>Solely the export into the European Union was growing in H1 (+194.8 CZK bn, 12.1%). In contrast, the export outside the EU was by 2.6 CZK bn (−0.7%) lower year-on-year. Export into the EU increased by 113.7 bn (13.8%) year-on-year in Q2 itself, which presented a faster pace compared to the previous quarter. Export outside the EU stagnated (+0.8 CZK bn, 0.4%). The value of export to Germany (+35.1 CZK bn, 11.1%) and Slovakia (+24.6 bn, 26.4%) grew the most year-on-year in Q2, which was similarly to Q1 linked to a large extent to the sharp hike of the value of exported electricity</w:t>
            </w:r>
            <w:r w:rsidRPr="00A00994">
              <w:rPr>
                <w:rStyle w:val="Znakapoznpodarou"/>
                <w:spacing w:val="-4"/>
                <w:lang w:val="en-GB"/>
              </w:rPr>
              <w:footnoteReference w:id="48"/>
            </w:r>
            <w:r w:rsidRPr="00A00994">
              <w:rPr>
                <w:spacing w:val="-4"/>
                <w:lang w:val="en-GB"/>
              </w:rPr>
              <w:t>. The year-on-year increase of export to Poland (+10.6 CZK bn, 14.9%), the United States (+8.1 bn, 36.5%), Austria (+7.8 bn, 17.4%), Italy (+7.6 bn, 18.9%) or Spain (+5.9 bn, 21.8%) was also significant. The value of export of goods grew into the majority of countries year-on-year. Russia (−17.0 CZK bn, −72.8%), Ukraine (−2.7 bn, −30.8%) or Ireland (−1.9 bn, −25.6%) belonged for instance among the exceptions, where the export fell year-on-year.</w:t>
            </w:r>
          </w:p>
        </w:tc>
      </w:tr>
      <w:tr w:rsidR="00073B58" w:rsidRPr="00A00994" w14:paraId="0F1054F3" w14:textId="77777777" w:rsidTr="00073B58">
        <w:trPr>
          <w:trHeight w:val="170"/>
        </w:trPr>
        <w:tc>
          <w:tcPr>
            <w:tcW w:w="1760" w:type="dxa"/>
            <w:shd w:val="clear" w:color="auto" w:fill="auto"/>
            <w:tcMar>
              <w:left w:w="0" w:type="dxa"/>
            </w:tcMar>
          </w:tcPr>
          <w:p w14:paraId="25580772" w14:textId="77777777" w:rsidR="00073B58" w:rsidRPr="00A00994" w:rsidRDefault="00073B58" w:rsidP="00073B58">
            <w:pPr>
              <w:pStyle w:val="Marginlie"/>
              <w:rPr>
                <w:lang w:val="en-GB"/>
              </w:rPr>
            </w:pPr>
            <w:r w:rsidRPr="00A00994">
              <w:rPr>
                <w:lang w:val="en-GB"/>
              </w:rPr>
              <w:t xml:space="preserve">Export of motor vehicles again grew after three quarters of declines. </w:t>
            </w:r>
          </w:p>
        </w:tc>
        <w:tc>
          <w:tcPr>
            <w:tcW w:w="223" w:type="dxa"/>
            <w:shd w:val="clear" w:color="auto" w:fill="auto"/>
            <w:tcMar>
              <w:left w:w="0" w:type="dxa"/>
            </w:tcMar>
          </w:tcPr>
          <w:p w14:paraId="3D22644D"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6B6EA72D" w14:textId="77777777" w:rsidR="00073B58" w:rsidRPr="00A00994" w:rsidRDefault="00073B58" w:rsidP="00073B58">
            <w:pPr>
              <w:spacing w:after="180"/>
              <w:rPr>
                <w:spacing w:val="-4"/>
                <w:lang w:val="en-GB"/>
              </w:rPr>
            </w:pPr>
            <w:r w:rsidRPr="00A00994">
              <w:rPr>
                <w:spacing w:val="-4"/>
                <w:lang w:val="en-GB"/>
              </w:rPr>
              <w:t>The value of export of electricity, gas, steam and air conditioning (+35.3 CZK bn, 284.0%), basic metals (+25.9 bn, 30.9%) and chemical substances and products (+24.0 bn, 23.1%) increased the most year-on-year in H1. The increase in prices plays a considerable part for all mentioned export items. Only few types of goods experienced decrease of export year-on-year, only export of motor vehicles (−12.1 CZK bn, −2.3%) and computers, electronic and optical appliances (−6.1 bn, −3.0%) was markedly lower year-on-year. The export of electricity, gas, steam and air conditioning (+14.3 CZK bn, 207.2%) increased the most year-on-year in Q2 itself, however the addition moderated compared to the preceding quarter. Export of basic metals (+13.0 CZK bn, 29.6%), chemical substances and products (+11.5 bn, 21.3%), electrical appliances (+11.3 bn, 12.5%) and metalworking products (+10.3 bn, 16.0%) also strongly grew year-on-year. Following three quarters of year-on-year drops, the export of motor vehicles again started to growth in Q2 (+12.8 CZK bn, 4.8%). The value of export of food (+6.9 CZK bn, 21.8%), oil and natural gas (+5.2 bn</w:t>
            </w:r>
            <w:r w:rsidRPr="00A00994">
              <w:rPr>
                <w:rStyle w:val="Znakapoznpodarou"/>
                <w:spacing w:val="-4"/>
                <w:lang w:val="en-GB"/>
              </w:rPr>
              <w:footnoteReference w:id="49"/>
            </w:r>
            <w:r w:rsidRPr="00A00994">
              <w:rPr>
                <w:spacing w:val="-4"/>
                <w:lang w:val="en-GB"/>
              </w:rPr>
              <w:t>), paper and paper products (+5.2 bn, 30.2%), coke and refined oil products (+4.9 bn, 47.1%) or products of agriculture and hunting (+4.3 bn, 42.8%) and machinery and equipment (+4.2 bn, 3.8%) was also higher. Only the export of computers, electrical and optical appliances and equipment (−5.0 CZK bn, −4.9%) was notably lower year-on-year in Q2.</w:t>
            </w:r>
          </w:p>
        </w:tc>
      </w:tr>
      <w:tr w:rsidR="00073B58" w:rsidRPr="00A00994" w14:paraId="188AE6CE" w14:textId="77777777" w:rsidTr="00073B58">
        <w:trPr>
          <w:trHeight w:val="145"/>
        </w:trPr>
        <w:tc>
          <w:tcPr>
            <w:tcW w:w="1760" w:type="dxa"/>
            <w:shd w:val="clear" w:color="auto" w:fill="auto"/>
            <w:tcMar>
              <w:left w:w="0" w:type="dxa"/>
            </w:tcMar>
          </w:tcPr>
          <w:p w14:paraId="00979B77" w14:textId="77777777" w:rsidR="00073B58" w:rsidRPr="00A00994" w:rsidRDefault="00073B58" w:rsidP="00073B58">
            <w:pPr>
              <w:pStyle w:val="Marginlie"/>
              <w:rPr>
                <w:lang w:val="en-GB"/>
              </w:rPr>
            </w:pPr>
            <w:r w:rsidRPr="00A00994">
              <w:rPr>
                <w:lang w:val="en-GB"/>
              </w:rPr>
              <w:t xml:space="preserve">Import steeply grew under the influence of rising prices of materials. </w:t>
            </w:r>
          </w:p>
        </w:tc>
        <w:tc>
          <w:tcPr>
            <w:tcW w:w="223" w:type="dxa"/>
            <w:shd w:val="clear" w:color="auto" w:fill="auto"/>
            <w:tcMar>
              <w:left w:w="0" w:type="dxa"/>
            </w:tcMar>
          </w:tcPr>
          <w:p w14:paraId="5333C5A6"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04324B99" w14:textId="77777777" w:rsidR="00073B58" w:rsidRPr="00A00994" w:rsidRDefault="00073B58" w:rsidP="00073B58">
            <w:pPr>
              <w:spacing w:after="180"/>
              <w:rPr>
                <w:spacing w:val="-4"/>
                <w:lang w:val="en-GB"/>
              </w:rPr>
            </w:pPr>
            <w:r w:rsidRPr="00A00994">
              <w:rPr>
                <w:spacing w:val="-4"/>
                <w:lang w:val="en-GB"/>
              </w:rPr>
              <w:t xml:space="preserve">Goods in the value of 2 274.7 CZK bn was imported into the CR in H1. It is by 344.4 bn (17.8%) more year-on-year. Substantial excess of rate of growth compared to the export increase is connected to the steep hike of prices of materials (mainly oil and natural gas). The import of goods reached 1 203.3 CZK bn in Q2 itself and it rose by 194.6 bn (19.3%) year-on-year. The territorial structure of imports differed from exports. Even though the year-on-year addition to the import from the EU was relatively strong in H1 (+161.1 CZK bn, 13.0%), it lagged behind the growth of imports from countries outside the EU (+180.9 bn, 26.7%). It was just the year-on-year increase of imports from outside the EU that considerably strengthened in Q2 (+110.9 CZK bn, 31.3%), while the imports from the EU grew at a similar pace as in the preceding quarters (+82.6 bn, 12.7%). The imports from </w:t>
            </w:r>
            <w:r w:rsidRPr="00A00994">
              <w:rPr>
                <w:spacing w:val="-4"/>
                <w:lang w:val="en-GB"/>
              </w:rPr>
              <w:lastRenderedPageBreak/>
              <w:t xml:space="preserve">Russia (+65.5 CZK bn, 209.9%) increased the most year-on-year in Q2. It mirrored the sharp jump of prices of gas as well as the expanded volume of its import in the effort to fill the gas storage. The increase of imports from Poland (+19.7 CZK bn, 21.7%) and Germany (+19.9 bn, 8.2%), China (+15.2 bn, 13.8%), Slovakia (+10.0 bn, 19.7%), Austria (+8.8 bn, 29.6%), Italy (+7.3 bn, 15.6%) and the United States (+5.9 bn, 24.6%) was also strong. Imports from France (+4.3 CZK bn, 13.8%), Azerbaijan (+3.9 bn, 72.4%) or the Netherlands (+3.7 bn, 13.9%) grew as well. Stronger decrease of imports was recorded only for Hungary (−1.1 CZK bn, −3.5%).   </w:t>
            </w:r>
          </w:p>
        </w:tc>
      </w:tr>
      <w:tr w:rsidR="00073B58" w:rsidRPr="00A00994" w14:paraId="4FC6FB27" w14:textId="77777777" w:rsidTr="00073B58">
        <w:trPr>
          <w:trHeight w:val="145"/>
        </w:trPr>
        <w:tc>
          <w:tcPr>
            <w:tcW w:w="1760" w:type="dxa"/>
            <w:shd w:val="clear" w:color="auto" w:fill="auto"/>
            <w:tcMar>
              <w:left w:w="0" w:type="dxa"/>
            </w:tcMar>
          </w:tcPr>
          <w:p w14:paraId="23C5257C" w14:textId="77777777" w:rsidR="00073B58" w:rsidRPr="00A00994" w:rsidRDefault="00073B58" w:rsidP="00073B58">
            <w:pPr>
              <w:pStyle w:val="Marginlie"/>
              <w:rPr>
                <w:lang w:val="en-GB"/>
              </w:rPr>
            </w:pPr>
            <w:r w:rsidRPr="00A00994">
              <w:rPr>
                <w:lang w:val="en-GB"/>
              </w:rPr>
              <w:lastRenderedPageBreak/>
              <w:t xml:space="preserve">Growth of the value of imports of oil and natural gas was massive. </w:t>
            </w:r>
          </w:p>
        </w:tc>
        <w:tc>
          <w:tcPr>
            <w:tcW w:w="223" w:type="dxa"/>
            <w:shd w:val="clear" w:color="auto" w:fill="auto"/>
            <w:tcMar>
              <w:left w:w="0" w:type="dxa"/>
            </w:tcMar>
          </w:tcPr>
          <w:p w14:paraId="5D3BC5CF"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59208624" w14:textId="77777777" w:rsidR="00073B58" w:rsidRPr="00A00994" w:rsidRDefault="00073B58" w:rsidP="00073B58">
            <w:pPr>
              <w:spacing w:after="180"/>
              <w:rPr>
                <w:spacing w:val="-4"/>
                <w:lang w:val="en-GB"/>
              </w:rPr>
            </w:pPr>
            <w:r w:rsidRPr="00A00994">
              <w:rPr>
                <w:spacing w:val="-4"/>
                <w:lang w:val="en-GB"/>
              </w:rPr>
              <w:t>Branch structure of the import confirms the important role of the price rise in the development of the foreign trade. The import of oil and natural gas (+106.5 CZK bn, 202.1%), basic metals (+59.2 bn, 39.3%) and chemical substances and products (+34.0 bn, 20.0%) was boosted the most year-on-year in H1. The increase of the import of coke and refined oil products was also significant (+23.5 CZK bn, 80.5%) and electrical appliances (+22.6 bn, 12.8%). I</w:t>
            </w:r>
            <w:r>
              <w:rPr>
                <w:spacing w:val="-4"/>
                <w:lang w:val="en-GB"/>
              </w:rPr>
              <w:t>mport of computers, electronic</w:t>
            </w:r>
            <w:r w:rsidRPr="00A00994">
              <w:rPr>
                <w:spacing w:val="-4"/>
                <w:lang w:val="en-GB"/>
              </w:rPr>
              <w:t xml:space="preserve"> and optical appliances and equipment (−10.3 CZK bn, −4.7%) and motor vehicles (−9.9 bn, −3.3%) considerably decreased year-on-year in H1. Import of oil and natural gas (+74.9 CZK bn, 241.6%, increase markedly strengthened compared to the previous quarter), basic metals (+27.0 bn, 32.9%), chemical substances and products (+15.3 bn, 17.1%) and coke and refined oil products (+14.1 bn, 85.6%) grew the most year-on-year in Q2 alone. Import of electrical equipment (+9.7 CZK bn, 10.4%), food products (+9.7 bn, 23.0%), black and brown coal and lignite (+6.7 bn, 224.0%) and electricity, gas, steam and air conditioning (+6.2 bn, 159.1%) also grew strongly. Notable year-on-year decrease was reported for computers, electronic and optical appliances (−5.1 CZK bn, −4.6%) and basic pharmaceutical products (−2.3 bn, −6.7%). </w:t>
            </w:r>
          </w:p>
        </w:tc>
      </w:tr>
      <w:tr w:rsidR="00073B58" w:rsidRPr="00A00994" w14:paraId="514E1FA9" w14:textId="77777777" w:rsidTr="00073B58">
        <w:trPr>
          <w:trHeight w:val="145"/>
        </w:trPr>
        <w:tc>
          <w:tcPr>
            <w:tcW w:w="1760" w:type="dxa"/>
            <w:shd w:val="clear" w:color="auto" w:fill="auto"/>
            <w:tcMar>
              <w:left w:w="0" w:type="dxa"/>
            </w:tcMar>
          </w:tcPr>
          <w:p w14:paraId="1F9DEC79" w14:textId="77777777" w:rsidR="00073B58" w:rsidRPr="00A00994" w:rsidRDefault="00073B58" w:rsidP="00073B58">
            <w:pPr>
              <w:pStyle w:val="Marginlie"/>
              <w:rPr>
                <w:lang w:val="en-GB"/>
              </w:rPr>
            </w:pPr>
            <w:r w:rsidRPr="00A00994">
              <w:rPr>
                <w:lang w:val="en-GB"/>
              </w:rPr>
              <w:t xml:space="preserve">Balance of foreign trade ended in deficit in both H1 and Q2. </w:t>
            </w:r>
          </w:p>
        </w:tc>
        <w:tc>
          <w:tcPr>
            <w:tcW w:w="223" w:type="dxa"/>
            <w:shd w:val="clear" w:color="auto" w:fill="auto"/>
            <w:tcMar>
              <w:left w:w="0" w:type="dxa"/>
            </w:tcMar>
          </w:tcPr>
          <w:p w14:paraId="0885A79E"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0A7BFAB8" w14:textId="77777777" w:rsidR="00073B58" w:rsidRPr="00A00994" w:rsidRDefault="00073B58" w:rsidP="00073B58">
            <w:pPr>
              <w:spacing w:after="180"/>
              <w:rPr>
                <w:spacing w:val="-4"/>
                <w:lang w:val="en-GB"/>
              </w:rPr>
            </w:pPr>
            <w:r w:rsidRPr="00A00994">
              <w:rPr>
                <w:spacing w:val="-4"/>
                <w:lang w:val="en-GB"/>
              </w:rPr>
              <w:t>The balance of foreign trade with goods ended in the deficit of 77.2 CZK bn in H1 2022. The balance thus deteriorated by 152.1 bn year-on-year. The majority of this deficit can be attributed to the development in Q2. The negative balance worsened by 80.0 CZK bn to −66.1 bn year-on-year in Q2. The series of deficits lasting since Q3 2021 then continued. Although Q2 is usually the period within a year, when the foreign trade with goods amounts to surplus</w:t>
            </w:r>
            <w:r w:rsidRPr="00A00994">
              <w:rPr>
                <w:rStyle w:val="Znakapoznpodarou"/>
                <w:spacing w:val="-4"/>
                <w:lang w:val="en-GB"/>
              </w:rPr>
              <w:footnoteReference w:id="50"/>
            </w:r>
            <w:r w:rsidRPr="00A00994">
              <w:rPr>
                <w:spacing w:val="-4"/>
                <w:lang w:val="en-GB"/>
              </w:rPr>
              <w:t xml:space="preserve">. Total negative balance was caused by major deterioration of the balance of trade with countries outside the EU in H1. Since the usual deficit sank by 183.5 CZK bn year-on-year. The surplus of trade with the EU improved by 33.7 CZK bn year-on-year for the same time period. The surplus of trade with the EU expanded by 31.1 CZK bn year-on-year in Q2 itself, while the deficit with countries outside the EU dived by 110.0 bn. Trade with Russia, whose balance worsened by 82.5 CZK bn year-on-year and further trade with China (−16.2 bn), Poland (−9.1 bn) and Azerbaijan (−3.8 bn.) worked the most in the direction of deficit. On the contrary, the balance of trade with Germany (+15.2 CZK bn) and Slovakia (+14.6 bn) markedly enhanced year-on-year. The balance of trade with Hungary (+5.1 CZK bn), Spain (+3.5 bn), the United Kingdom (+2.5 bn) or the United States (+2.1 bn) also recorded improvement. </w:t>
            </w:r>
          </w:p>
        </w:tc>
      </w:tr>
      <w:tr w:rsidR="00073B58" w:rsidRPr="00A00994" w14:paraId="59B199CE" w14:textId="77777777" w:rsidTr="00073B58">
        <w:trPr>
          <w:trHeight w:val="145"/>
        </w:trPr>
        <w:tc>
          <w:tcPr>
            <w:tcW w:w="1760" w:type="dxa"/>
            <w:shd w:val="clear" w:color="auto" w:fill="auto"/>
            <w:tcMar>
              <w:left w:w="0" w:type="dxa"/>
            </w:tcMar>
          </w:tcPr>
          <w:p w14:paraId="3D2186CA" w14:textId="77777777" w:rsidR="00073B58" w:rsidRPr="00A00994" w:rsidRDefault="00073B58" w:rsidP="00073B58">
            <w:pPr>
              <w:pStyle w:val="Marginlie"/>
              <w:rPr>
                <w:lang w:val="en-GB"/>
              </w:rPr>
            </w:pPr>
            <w:r w:rsidRPr="00A00994">
              <w:rPr>
                <w:lang w:val="en-GB"/>
              </w:rPr>
              <w:t xml:space="preserve">Mainly the rapid worsening of the balance of foreign trade with materials stood behind the deficit. </w:t>
            </w:r>
          </w:p>
        </w:tc>
        <w:tc>
          <w:tcPr>
            <w:tcW w:w="223" w:type="dxa"/>
            <w:shd w:val="clear" w:color="auto" w:fill="auto"/>
            <w:tcMar>
              <w:left w:w="0" w:type="dxa"/>
            </w:tcMar>
          </w:tcPr>
          <w:p w14:paraId="4A3CB88B"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16807913" w14:textId="77777777" w:rsidR="00073B58" w:rsidRPr="00A00994" w:rsidRDefault="00073B58" w:rsidP="00073B58">
            <w:pPr>
              <w:spacing w:after="180"/>
              <w:rPr>
                <w:spacing w:val="-4"/>
                <w:lang w:val="en-GB"/>
              </w:rPr>
            </w:pPr>
            <w:r w:rsidRPr="00A00994">
              <w:rPr>
                <w:spacing w:val="-4"/>
                <w:lang w:val="en-GB"/>
              </w:rPr>
              <w:t xml:space="preserve">The foreign trade with materials the most affected the balance development. Result of the steep jump of prices was massive year-on-year deterioration of the balance of trade with oil and natural gas (−101.1 CZK bn), basic metals (−33.3 bn), coke and refined oil products (−15.9 bn), chemical substances and products (−10.0 bn) or black and brown coal and lignite (−8.2 bn) in H1. Balance was however declining for the majority of goods categories. In contrast the growth of prices led to the marked improvement of the balance of trade with electricity, gas, steam and air conditioning (+23.6 CZK bn) in H1. The trade with fabricated metal products (+8.5 CZK bn), products of agriculture and hunting (+4.9 bn), basic pharmaceutical products (+4.5 bn) and computers, electronic and optical appliances and equipment (+4.2 bn) also significantly operated in the direction of year-on-year improvement. The deficit of trade with oil and natural gas (−69.7 CZK bn), basic metals </w:t>
            </w:r>
            <w:r w:rsidRPr="00A00994">
              <w:rPr>
                <w:spacing w:val="-4"/>
                <w:lang w:val="en-GB"/>
              </w:rPr>
              <w:lastRenderedPageBreak/>
              <w:t xml:space="preserve">(−14.0 bn) and coke and refined oil products (−9.3 bn) sank the most year-on-year in Q2. The balance of trade with black and brown coal and lignite was also worse (−5.5 CZK bn). Motor vehicles (+12.3 CZK bn), where the balance improved for the first time since last year’s Q2 was the most directed towards the year-on-year improvement of the trade with goods balance. Further, the balance of trade with electricity, gas, steam and air conditioning (+8.1 bn), fabricated metal products (+5.2 bn), agricultural and hunting products (+2.8 bn) and basic pharmaceutical products (+2.7 bn) improved.   </w:t>
            </w:r>
          </w:p>
        </w:tc>
      </w:tr>
      <w:tr w:rsidR="00073B58" w:rsidRPr="00A00994" w14:paraId="2ABF382F" w14:textId="77777777" w:rsidTr="00073B58">
        <w:trPr>
          <w:trHeight w:val="106"/>
        </w:trPr>
        <w:tc>
          <w:tcPr>
            <w:tcW w:w="1760" w:type="dxa"/>
            <w:vMerge w:val="restart"/>
            <w:shd w:val="clear" w:color="auto" w:fill="auto"/>
            <w:tcMar>
              <w:left w:w="0" w:type="dxa"/>
            </w:tcMar>
          </w:tcPr>
          <w:p w14:paraId="0D664DC1" w14:textId="77777777" w:rsidR="00073B58" w:rsidRPr="00A00994" w:rsidRDefault="00073B58" w:rsidP="00073B58">
            <w:pPr>
              <w:pStyle w:val="Marginlie"/>
              <w:rPr>
                <w:lang w:val="en-GB"/>
              </w:rPr>
            </w:pPr>
          </w:p>
        </w:tc>
        <w:tc>
          <w:tcPr>
            <w:tcW w:w="223" w:type="dxa"/>
            <w:vMerge w:val="restart"/>
            <w:shd w:val="clear" w:color="auto" w:fill="auto"/>
            <w:tcMar>
              <w:left w:w="0" w:type="dxa"/>
            </w:tcMar>
          </w:tcPr>
          <w:p w14:paraId="28C19764"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25D9AC99" w14:textId="77777777" w:rsidR="00073B58" w:rsidRPr="00A00994" w:rsidRDefault="00073B58" w:rsidP="00073B58">
            <w:pPr>
              <w:spacing w:after="0"/>
              <w:rPr>
                <w:spacing w:val="-4"/>
                <w:szCs w:val="20"/>
                <w:lang w:val="en-GB"/>
              </w:rPr>
            </w:pPr>
            <w:r w:rsidRPr="00A00994">
              <w:rPr>
                <w:rFonts w:cs="Arial"/>
                <w:b/>
                <w:bCs/>
                <w:color w:val="000000"/>
                <w:szCs w:val="20"/>
                <w:lang w:val="en-GB"/>
              </w:rPr>
              <w:t xml:space="preserve">Chart 9 Balance of foreign trade with goods in foreign trade statistics </w:t>
            </w:r>
            <w:r w:rsidRPr="00A00994">
              <w:rPr>
                <w:rFonts w:cs="Arial"/>
                <w:color w:val="000000"/>
                <w:szCs w:val="20"/>
                <w:lang w:val="en-GB"/>
              </w:rPr>
              <w:t>(cumulation of H1, in CZK bn, selected divisions of the CPA classification)</w:t>
            </w:r>
          </w:p>
        </w:tc>
      </w:tr>
      <w:tr w:rsidR="00073B58" w:rsidRPr="00A00994" w14:paraId="5BDC9C85" w14:textId="77777777" w:rsidTr="00073B58">
        <w:tblPrEx>
          <w:tblCellMar>
            <w:left w:w="70" w:type="dxa"/>
            <w:right w:w="70" w:type="dxa"/>
          </w:tblCellMar>
        </w:tblPrEx>
        <w:trPr>
          <w:trHeight w:val="106"/>
        </w:trPr>
        <w:tc>
          <w:tcPr>
            <w:tcW w:w="1760" w:type="dxa"/>
            <w:vMerge/>
            <w:shd w:val="clear" w:color="auto" w:fill="auto"/>
          </w:tcPr>
          <w:p w14:paraId="04DB2B4F" w14:textId="77777777" w:rsidR="00073B58" w:rsidRPr="00A00994" w:rsidRDefault="00073B58" w:rsidP="00073B58">
            <w:pPr>
              <w:pStyle w:val="Marginlie"/>
              <w:rPr>
                <w:lang w:val="en-GB"/>
              </w:rPr>
            </w:pPr>
          </w:p>
        </w:tc>
        <w:tc>
          <w:tcPr>
            <w:tcW w:w="223" w:type="dxa"/>
            <w:vMerge/>
            <w:shd w:val="clear" w:color="auto" w:fill="auto"/>
          </w:tcPr>
          <w:p w14:paraId="67192D12" w14:textId="77777777" w:rsidR="00073B58" w:rsidRPr="00A00994" w:rsidRDefault="00073B58" w:rsidP="00073B58">
            <w:pPr>
              <w:pStyle w:val="Textpoznpodarou"/>
              <w:jc w:val="both"/>
              <w:rPr>
                <w:spacing w:val="-4"/>
                <w:lang w:val="en-GB"/>
              </w:rPr>
            </w:pPr>
          </w:p>
        </w:tc>
        <w:tc>
          <w:tcPr>
            <w:tcW w:w="7656" w:type="dxa"/>
            <w:shd w:val="clear" w:color="auto" w:fill="auto"/>
          </w:tcPr>
          <w:p w14:paraId="4BE2EE4B" w14:textId="77777777" w:rsidR="00073B58" w:rsidRPr="00A00994" w:rsidRDefault="00073B58" w:rsidP="00073B58">
            <w:pPr>
              <w:spacing w:after="0"/>
              <w:rPr>
                <w:spacing w:val="-4"/>
                <w:lang w:val="en-GB"/>
              </w:rPr>
            </w:pPr>
            <w:r>
              <w:rPr>
                <w:noProof/>
              </w:rPr>
              <w:drawing>
                <wp:inline distT="0" distB="0" distL="0" distR="0" wp14:anchorId="74E6918E" wp14:editId="4C6AF144">
                  <wp:extent cx="4737600" cy="3553200"/>
                  <wp:effectExtent l="0" t="0" r="6350" b="0"/>
                  <wp:docPr id="45" name="Graf 45">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073B58" w:rsidRPr="00A00994" w14:paraId="6F54A5AB" w14:textId="77777777" w:rsidTr="00073B58">
        <w:trPr>
          <w:trHeight w:val="106"/>
        </w:trPr>
        <w:tc>
          <w:tcPr>
            <w:tcW w:w="1760" w:type="dxa"/>
            <w:vMerge/>
            <w:shd w:val="clear" w:color="auto" w:fill="auto"/>
            <w:tcMar>
              <w:left w:w="0" w:type="dxa"/>
            </w:tcMar>
          </w:tcPr>
          <w:p w14:paraId="396D7C06" w14:textId="77777777" w:rsidR="00073B58" w:rsidRPr="00A00994" w:rsidRDefault="00073B58" w:rsidP="00073B58">
            <w:pPr>
              <w:pStyle w:val="Marginlie"/>
              <w:rPr>
                <w:lang w:val="en-GB"/>
              </w:rPr>
            </w:pPr>
          </w:p>
        </w:tc>
        <w:tc>
          <w:tcPr>
            <w:tcW w:w="223" w:type="dxa"/>
            <w:vMerge/>
            <w:shd w:val="clear" w:color="auto" w:fill="auto"/>
            <w:tcMar>
              <w:left w:w="0" w:type="dxa"/>
            </w:tcMar>
          </w:tcPr>
          <w:p w14:paraId="383BC6A0" w14:textId="77777777" w:rsidR="00073B58" w:rsidRPr="00A00994" w:rsidRDefault="00073B58" w:rsidP="00073B58">
            <w:pPr>
              <w:pStyle w:val="Textpoznpodarou"/>
              <w:jc w:val="both"/>
              <w:rPr>
                <w:spacing w:val="-4"/>
                <w:lang w:val="en-GB"/>
              </w:rPr>
            </w:pPr>
          </w:p>
        </w:tc>
        <w:tc>
          <w:tcPr>
            <w:tcW w:w="7656" w:type="dxa"/>
            <w:shd w:val="clear" w:color="auto" w:fill="auto"/>
            <w:tcMar>
              <w:left w:w="0" w:type="dxa"/>
            </w:tcMar>
          </w:tcPr>
          <w:p w14:paraId="683FB6CC" w14:textId="77777777" w:rsidR="00073B58" w:rsidRPr="00A00994" w:rsidRDefault="00073B58" w:rsidP="00073B58">
            <w:pPr>
              <w:spacing w:after="0"/>
              <w:rPr>
                <w:b/>
                <w:bCs/>
                <w:spacing w:val="-4"/>
                <w:sz w:val="16"/>
                <w:szCs w:val="16"/>
                <w:lang w:val="en-GB"/>
              </w:rPr>
            </w:pPr>
            <w:r w:rsidRPr="00A00994">
              <w:rPr>
                <w:sz w:val="14"/>
                <w:szCs w:val="14"/>
                <w:lang w:val="en-GB"/>
              </w:rPr>
              <w:t>Source: CZSO</w:t>
            </w:r>
          </w:p>
        </w:tc>
      </w:tr>
      <w:bookmarkEnd w:id="35"/>
      <w:bookmarkEnd w:id="36"/>
      <w:bookmarkEnd w:id="37"/>
    </w:tbl>
    <w:p w14:paraId="1D64911A" w14:textId="77777777" w:rsidR="00073B58" w:rsidRPr="00A00994" w:rsidRDefault="00073B58" w:rsidP="00073B58">
      <w:pPr>
        <w:pStyle w:val="Nadpis11"/>
        <w:rPr>
          <w:b w:val="0"/>
          <w:sz w:val="2"/>
          <w:szCs w:val="2"/>
          <w:lang w:val="en-GB"/>
        </w:rPr>
      </w:pPr>
    </w:p>
    <w:p w14:paraId="361F4F37" w14:textId="77777777" w:rsidR="00073B58" w:rsidRPr="00A00994" w:rsidRDefault="00073B58" w:rsidP="00073B58">
      <w:pPr>
        <w:pStyle w:val="Nadpis11"/>
        <w:spacing w:after="0"/>
        <w:rPr>
          <w:b w:val="0"/>
          <w:sz w:val="2"/>
          <w:szCs w:val="2"/>
          <w:lang w:val="en-GB"/>
        </w:rPr>
      </w:pPr>
    </w:p>
    <w:p w14:paraId="6A2EB05E" w14:textId="77777777" w:rsidR="00073B58" w:rsidRPr="00A00994" w:rsidRDefault="00073B58" w:rsidP="00073B58">
      <w:pPr>
        <w:pStyle w:val="Nadpis11"/>
        <w:rPr>
          <w:b w:val="0"/>
          <w:sz w:val="2"/>
          <w:szCs w:val="2"/>
          <w:lang w:val="en-GB"/>
        </w:rPr>
      </w:pPr>
    </w:p>
    <w:p w14:paraId="1C30F99E" w14:textId="77777777" w:rsidR="00073B58" w:rsidRPr="00A00994" w:rsidRDefault="00073B58" w:rsidP="00073B58">
      <w:pPr>
        <w:pStyle w:val="Nadpis11"/>
        <w:rPr>
          <w:b w:val="0"/>
          <w:sz w:val="2"/>
          <w:szCs w:val="2"/>
          <w:lang w:val="en-GB"/>
        </w:rPr>
      </w:pPr>
    </w:p>
    <w:p w14:paraId="1DE4D25B" w14:textId="77777777" w:rsidR="00073B58" w:rsidRPr="00A00994" w:rsidRDefault="00073B58" w:rsidP="00073B58">
      <w:pPr>
        <w:spacing w:after="0" w:line="240" w:lineRule="auto"/>
        <w:jc w:val="left"/>
        <w:rPr>
          <w:rFonts w:eastAsia="MS Gothic"/>
          <w:b/>
          <w:bCs/>
          <w:color w:val="71818C"/>
          <w:sz w:val="32"/>
          <w:szCs w:val="28"/>
          <w:lang w:val="en-GB"/>
        </w:rPr>
      </w:pPr>
      <w:bookmarkStart w:id="38" w:name="_Toc98245444"/>
      <w:bookmarkStart w:id="39" w:name="_Toc82508189"/>
      <w:bookmarkStart w:id="40" w:name="_Toc97736119"/>
      <w:r w:rsidRPr="00A00994">
        <w:rPr>
          <w:lang w:val="en-GB"/>
        </w:rPr>
        <w:br w:type="page"/>
      </w:r>
    </w:p>
    <w:p w14:paraId="6E66AA1F" w14:textId="77777777" w:rsidR="00073B58" w:rsidRPr="00A00994" w:rsidRDefault="00073B58" w:rsidP="00073B58">
      <w:pPr>
        <w:pStyle w:val="Nadpis11"/>
        <w:rPr>
          <w:lang w:val="en-GB"/>
        </w:rPr>
      </w:pPr>
      <w:bookmarkStart w:id="41" w:name="_Toc116642874"/>
      <w:r w:rsidRPr="00A00994">
        <w:rPr>
          <w:lang w:val="en-GB"/>
        </w:rPr>
        <w:lastRenderedPageBreak/>
        <w:t>5. Prices</w:t>
      </w:r>
      <w:bookmarkEnd w:id="38"/>
      <w:bookmarkEnd w:id="41"/>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073B58" w:rsidRPr="00A00994" w14:paraId="674FE06D" w14:textId="77777777" w:rsidTr="00073B58">
        <w:trPr>
          <w:trHeight w:val="145"/>
        </w:trPr>
        <w:tc>
          <w:tcPr>
            <w:tcW w:w="1805" w:type="dxa"/>
            <w:shd w:val="clear" w:color="auto" w:fill="auto"/>
            <w:tcMar>
              <w:left w:w="0" w:type="dxa"/>
            </w:tcMar>
          </w:tcPr>
          <w:p w14:paraId="739968E3" w14:textId="77777777" w:rsidR="00073B58" w:rsidRPr="00A00994" w:rsidRDefault="00073B58" w:rsidP="00073B58">
            <w:pPr>
              <w:pStyle w:val="Marginlie"/>
              <w:rPr>
                <w:spacing w:val="0"/>
                <w:lang w:val="en-GB"/>
              </w:rPr>
            </w:pPr>
            <w:r w:rsidRPr="00A00994">
              <w:rPr>
                <w:spacing w:val="0"/>
                <w:lang w:val="en-GB"/>
              </w:rPr>
              <w:t>Year-on-year growth of the total price level was the highest since Q3 2008.</w:t>
            </w:r>
          </w:p>
        </w:tc>
        <w:tc>
          <w:tcPr>
            <w:tcW w:w="224" w:type="dxa"/>
            <w:shd w:val="clear" w:color="auto" w:fill="auto"/>
            <w:tcMar>
              <w:left w:w="0" w:type="dxa"/>
            </w:tcMar>
          </w:tcPr>
          <w:p w14:paraId="5F59AF98"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0EB2400D" w14:textId="77777777" w:rsidR="00073B58" w:rsidRPr="00A00994" w:rsidRDefault="00073B58" w:rsidP="00073B58">
            <w:pPr>
              <w:rPr>
                <w:szCs w:val="20"/>
                <w:lang w:val="en-GB"/>
              </w:rPr>
            </w:pPr>
            <w:r w:rsidRPr="00A00994">
              <w:rPr>
                <w:szCs w:val="20"/>
                <w:lang w:val="en-GB"/>
              </w:rPr>
              <w:t xml:space="preserve">Total year-on-year increase of the price level (gauged by the GDP deflator) reached 6.6% in Q2 2022. The gain thus accelerated compared to the previous quarter and it was the highest since Q3 1998. Prices of consumption goods rose sharply (11.2%), especially those consumed by households (16.3%). Prices of government institutions consumption grew only slightly (1.3%). Prices of capital goods increased by 11.6% year-on-year. Terms of trade remained negative fourth quarter in a row and deepened to 94.3%. In that, terms of trade with goods were 93.2%, while there were strongly positive for services (103.0%). The total price level increased by 2.0% quarter-on-quarter. Prices of consumption went up by 3.4% (in that household consumption by 5.2%) and capital goods by 3.2%. </w:t>
            </w:r>
          </w:p>
        </w:tc>
      </w:tr>
      <w:tr w:rsidR="00073B58" w:rsidRPr="00A00994" w14:paraId="47ACFBEC" w14:textId="77777777" w:rsidTr="00073B58">
        <w:trPr>
          <w:trHeight w:val="145"/>
        </w:trPr>
        <w:tc>
          <w:tcPr>
            <w:tcW w:w="1805" w:type="dxa"/>
            <w:shd w:val="clear" w:color="auto" w:fill="auto"/>
            <w:tcMar>
              <w:left w:w="0" w:type="dxa"/>
            </w:tcMar>
          </w:tcPr>
          <w:p w14:paraId="7E61AE27" w14:textId="77777777" w:rsidR="00073B58" w:rsidRPr="00A00994" w:rsidRDefault="00073B58" w:rsidP="00073B58">
            <w:pPr>
              <w:pStyle w:val="Marginlie"/>
              <w:rPr>
                <w:spacing w:val="0"/>
                <w:lang w:val="en-GB"/>
              </w:rPr>
            </w:pPr>
            <w:r w:rsidRPr="00A00994">
              <w:rPr>
                <w:spacing w:val="0"/>
                <w:lang w:val="en-GB"/>
              </w:rPr>
              <w:t xml:space="preserve">Year-on-year growth of consumer prices further sharply accelerated. </w:t>
            </w:r>
          </w:p>
        </w:tc>
        <w:tc>
          <w:tcPr>
            <w:tcW w:w="224" w:type="dxa"/>
            <w:shd w:val="clear" w:color="auto" w:fill="auto"/>
            <w:tcMar>
              <w:left w:w="0" w:type="dxa"/>
            </w:tcMar>
          </w:tcPr>
          <w:p w14:paraId="04631857" w14:textId="77777777" w:rsidR="00073B58" w:rsidRPr="00A00994" w:rsidRDefault="00073B58" w:rsidP="00073B58">
            <w:pPr>
              <w:pStyle w:val="Textpoznpodarou1"/>
              <w:jc w:val="both"/>
              <w:rPr>
                <w:highlight w:val="yellow"/>
                <w:lang w:val="en-GB"/>
              </w:rPr>
            </w:pPr>
          </w:p>
        </w:tc>
        <w:tc>
          <w:tcPr>
            <w:tcW w:w="7610" w:type="dxa"/>
            <w:shd w:val="clear" w:color="auto" w:fill="auto"/>
            <w:tcMar>
              <w:left w:w="0" w:type="dxa"/>
            </w:tcMar>
          </w:tcPr>
          <w:p w14:paraId="68A972FB" w14:textId="77777777" w:rsidR="00073B58" w:rsidRPr="00A00994" w:rsidRDefault="00073B58" w:rsidP="00073B58">
            <w:pPr>
              <w:rPr>
                <w:lang w:val="en-GB"/>
              </w:rPr>
            </w:pPr>
            <w:r w:rsidRPr="00A00994">
              <w:rPr>
                <w:lang w:val="en-GB"/>
              </w:rPr>
              <w:t xml:space="preserve">The consumer price index hiked up by 15.8% year-on-year in Q2 2022. The growth pace thus substantially strengthened against the preceding quarter (the year-on-year increase attained 11.2% in Q1). Prices of goods were by 17.4% higher year-on-year and prices of services by 13.1%. The year-on-year growth of prices was accelerating in most of the consumption basket divisions, but </w:t>
            </w:r>
            <w:r>
              <w:rPr>
                <w:lang w:val="en-GB"/>
              </w:rPr>
              <w:t>f</w:t>
            </w:r>
            <w:r w:rsidRPr="00A00994">
              <w:rPr>
                <w:lang w:val="en-GB"/>
              </w:rPr>
              <w:t>ood</w:t>
            </w:r>
            <w:r>
              <w:rPr>
                <w:lang w:val="en-GB"/>
              </w:rPr>
              <w:t xml:space="preserve"> and</w:t>
            </w:r>
            <w:r w:rsidRPr="00A00994">
              <w:rPr>
                <w:lang w:val="en-GB"/>
              </w:rPr>
              <w:t xml:space="preserve"> non-alcoholic beverages</w:t>
            </w:r>
            <w:r>
              <w:rPr>
                <w:lang w:val="en-GB"/>
              </w:rPr>
              <w:t xml:space="preserve"> and</w:t>
            </w:r>
            <w:r w:rsidRPr="00A00994">
              <w:rPr>
                <w:lang w:val="en-GB"/>
              </w:rPr>
              <w:t xml:space="preserve"> housing and energies had the largest impact on the acceleration of the total price growth. Together with the prices of transportation, they also had the largest share on the total year-on-year increase. The consumer prices rose by 5.1% quarter-on-quarter (it was 6.3% in Q1). Prices of </w:t>
            </w:r>
            <w:r>
              <w:rPr>
                <w:lang w:val="en-GB"/>
              </w:rPr>
              <w:t>restaurants and hotels</w:t>
            </w:r>
            <w:r w:rsidRPr="00A00994">
              <w:rPr>
                <w:lang w:val="en-GB"/>
              </w:rPr>
              <w:t>, transportation, food and non-alcoholic beverages or housing and energies had a very strong quarter-on-quarter increase. Consumer prices rose by 13.5% year-on-year for the whole H1.</w:t>
            </w:r>
          </w:p>
        </w:tc>
      </w:tr>
      <w:tr w:rsidR="00073B58" w:rsidRPr="00A00994" w14:paraId="324F7411" w14:textId="77777777" w:rsidTr="00073B58">
        <w:trPr>
          <w:trHeight w:val="170"/>
        </w:trPr>
        <w:tc>
          <w:tcPr>
            <w:tcW w:w="1805" w:type="dxa"/>
            <w:vMerge w:val="restart"/>
            <w:shd w:val="clear" w:color="auto" w:fill="auto"/>
            <w:tcMar>
              <w:left w:w="0" w:type="dxa"/>
            </w:tcMar>
          </w:tcPr>
          <w:p w14:paraId="5249666C" w14:textId="77777777" w:rsidR="00073B58" w:rsidRPr="00A00994" w:rsidRDefault="00073B58" w:rsidP="00073B58">
            <w:pPr>
              <w:pStyle w:val="Marginlie"/>
              <w:rPr>
                <w:spacing w:val="0"/>
                <w:lang w:val="en-GB"/>
              </w:rPr>
            </w:pPr>
          </w:p>
        </w:tc>
        <w:tc>
          <w:tcPr>
            <w:tcW w:w="224" w:type="dxa"/>
            <w:vMerge w:val="restart"/>
            <w:shd w:val="clear" w:color="auto" w:fill="auto"/>
            <w:tcMar>
              <w:left w:w="0" w:type="dxa"/>
            </w:tcMar>
          </w:tcPr>
          <w:p w14:paraId="64EB2755"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2C50C983" w14:textId="77777777" w:rsidR="00073B58" w:rsidRPr="00A00994" w:rsidRDefault="00073B58" w:rsidP="00073B58">
            <w:pPr>
              <w:spacing w:after="0"/>
              <w:rPr>
                <w:lang w:val="en-GB"/>
              </w:rPr>
            </w:pPr>
            <w:r w:rsidRPr="00A00994">
              <w:rPr>
                <w:rFonts w:cs="Arial"/>
                <w:b/>
                <w:bCs/>
                <w:color w:val="000000"/>
                <w:sz w:val="18"/>
                <w:szCs w:val="18"/>
                <w:lang w:val="en-GB"/>
              </w:rPr>
              <w:t xml:space="preserve">Chart 10 Prices in the selected divisions of the consumer price index </w:t>
            </w:r>
            <w:r w:rsidRPr="00A00994">
              <w:rPr>
                <w:rFonts w:cs="Arial"/>
                <w:color w:val="000000"/>
                <w:sz w:val="18"/>
                <w:szCs w:val="18"/>
                <w:lang w:val="en-GB"/>
              </w:rPr>
              <w:t>(year-on-year in %)</w:t>
            </w:r>
          </w:p>
        </w:tc>
      </w:tr>
      <w:tr w:rsidR="00073B58" w:rsidRPr="00A00994" w14:paraId="7EFD9AB1" w14:textId="77777777" w:rsidTr="00073B58">
        <w:tblPrEx>
          <w:tblCellMar>
            <w:left w:w="70" w:type="dxa"/>
            <w:right w:w="70" w:type="dxa"/>
          </w:tblCellMar>
        </w:tblPrEx>
        <w:trPr>
          <w:trHeight w:val="170"/>
        </w:trPr>
        <w:tc>
          <w:tcPr>
            <w:tcW w:w="1805" w:type="dxa"/>
            <w:vMerge/>
            <w:shd w:val="clear" w:color="auto" w:fill="auto"/>
          </w:tcPr>
          <w:p w14:paraId="2D2482F9" w14:textId="77777777" w:rsidR="00073B58" w:rsidRPr="00A00994" w:rsidRDefault="00073B58" w:rsidP="00073B58">
            <w:pPr>
              <w:pStyle w:val="Marginlie"/>
              <w:rPr>
                <w:spacing w:val="0"/>
                <w:lang w:val="en-GB"/>
              </w:rPr>
            </w:pPr>
          </w:p>
        </w:tc>
        <w:tc>
          <w:tcPr>
            <w:tcW w:w="224" w:type="dxa"/>
            <w:vMerge/>
            <w:shd w:val="clear" w:color="auto" w:fill="auto"/>
          </w:tcPr>
          <w:p w14:paraId="6CC15947" w14:textId="77777777" w:rsidR="00073B58" w:rsidRPr="00A00994" w:rsidRDefault="00073B58" w:rsidP="00073B58">
            <w:pPr>
              <w:pStyle w:val="Textpoznpodarou1"/>
              <w:jc w:val="both"/>
              <w:rPr>
                <w:lang w:val="en-GB"/>
              </w:rPr>
            </w:pPr>
          </w:p>
        </w:tc>
        <w:tc>
          <w:tcPr>
            <w:tcW w:w="7610" w:type="dxa"/>
            <w:shd w:val="clear" w:color="auto" w:fill="auto"/>
          </w:tcPr>
          <w:p w14:paraId="508AFC4B" w14:textId="77777777" w:rsidR="00073B58" w:rsidRPr="00A00994" w:rsidRDefault="00073B58" w:rsidP="00073B58">
            <w:pPr>
              <w:spacing w:after="0"/>
              <w:rPr>
                <w:lang w:val="en-GB"/>
              </w:rPr>
            </w:pPr>
            <w:r>
              <w:rPr>
                <w:noProof/>
              </w:rPr>
              <w:drawing>
                <wp:inline distT="0" distB="0" distL="0" distR="0" wp14:anchorId="3DB6A122" wp14:editId="2250709E">
                  <wp:extent cx="4737600" cy="3553200"/>
                  <wp:effectExtent l="0" t="0" r="6350" b="0"/>
                  <wp:docPr id="46" name="Graf 4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073B58" w:rsidRPr="00A00994" w14:paraId="4DF2E81D" w14:textId="77777777" w:rsidTr="00073B58">
        <w:trPr>
          <w:trHeight w:val="170"/>
        </w:trPr>
        <w:tc>
          <w:tcPr>
            <w:tcW w:w="1805" w:type="dxa"/>
            <w:vMerge/>
            <w:shd w:val="clear" w:color="auto" w:fill="auto"/>
            <w:tcMar>
              <w:left w:w="0" w:type="dxa"/>
            </w:tcMar>
          </w:tcPr>
          <w:p w14:paraId="62246326" w14:textId="77777777" w:rsidR="00073B58" w:rsidRPr="00A00994" w:rsidRDefault="00073B58" w:rsidP="00073B58">
            <w:pPr>
              <w:pStyle w:val="Marginlie"/>
              <w:rPr>
                <w:spacing w:val="0"/>
                <w:lang w:val="en-GB"/>
              </w:rPr>
            </w:pPr>
          </w:p>
        </w:tc>
        <w:tc>
          <w:tcPr>
            <w:tcW w:w="224" w:type="dxa"/>
            <w:vMerge/>
            <w:shd w:val="clear" w:color="auto" w:fill="auto"/>
            <w:tcMar>
              <w:left w:w="0" w:type="dxa"/>
            </w:tcMar>
          </w:tcPr>
          <w:p w14:paraId="28FC838B"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7A4F440F" w14:textId="77777777" w:rsidR="00073B58" w:rsidRPr="00A00994" w:rsidRDefault="00073B58" w:rsidP="00073B58">
            <w:pPr>
              <w:rPr>
                <w:b/>
                <w:bCs/>
                <w:sz w:val="16"/>
                <w:szCs w:val="16"/>
                <w:lang w:val="en-GB"/>
              </w:rPr>
            </w:pPr>
            <w:r w:rsidRPr="00A00994">
              <w:rPr>
                <w:sz w:val="14"/>
                <w:szCs w:val="14"/>
                <w:lang w:val="en-GB"/>
              </w:rPr>
              <w:t>Source: CZSO</w:t>
            </w:r>
          </w:p>
        </w:tc>
      </w:tr>
      <w:tr w:rsidR="00073B58" w:rsidRPr="00A00994" w14:paraId="7AA02C69" w14:textId="77777777" w:rsidTr="00073B58">
        <w:trPr>
          <w:trHeight w:val="145"/>
        </w:trPr>
        <w:tc>
          <w:tcPr>
            <w:tcW w:w="1805" w:type="dxa"/>
            <w:shd w:val="clear" w:color="auto" w:fill="auto"/>
            <w:tcMar>
              <w:left w:w="0" w:type="dxa"/>
            </w:tcMar>
          </w:tcPr>
          <w:p w14:paraId="7ABF7354" w14:textId="77777777" w:rsidR="00073B58" w:rsidRPr="00A00994" w:rsidRDefault="00073B58" w:rsidP="00073B58">
            <w:pPr>
              <w:pStyle w:val="Marginlie"/>
              <w:rPr>
                <w:spacing w:val="0"/>
                <w:lang w:val="en-GB"/>
              </w:rPr>
            </w:pPr>
            <w:r w:rsidRPr="00A00994">
              <w:rPr>
                <w:spacing w:val="0"/>
                <w:lang w:val="en-GB"/>
              </w:rPr>
              <w:t xml:space="preserve">Prices of housing and energies the most contributed to the total increase of prices. </w:t>
            </w:r>
          </w:p>
        </w:tc>
        <w:tc>
          <w:tcPr>
            <w:tcW w:w="224" w:type="dxa"/>
            <w:shd w:val="clear" w:color="auto" w:fill="auto"/>
            <w:tcMar>
              <w:left w:w="0" w:type="dxa"/>
            </w:tcMar>
          </w:tcPr>
          <w:p w14:paraId="1DB852B5"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4349A087" w14:textId="77777777" w:rsidR="00073B58" w:rsidRPr="00A00994" w:rsidRDefault="00073B58" w:rsidP="00073B58">
            <w:pPr>
              <w:rPr>
                <w:lang w:val="en-GB"/>
              </w:rPr>
            </w:pPr>
            <w:r w:rsidRPr="00A00994">
              <w:rPr>
                <w:lang w:val="en-GB"/>
              </w:rPr>
              <w:t>Prices of housing and energies jumped by 21.4% year-on-year in Q2. The pace thus accelerated excessively, specifically mainly under the influence of prices of electric</w:t>
            </w:r>
            <w:r>
              <w:rPr>
                <w:lang w:val="en-GB"/>
              </w:rPr>
              <w:t>ity</w:t>
            </w:r>
            <w:r w:rsidRPr="00A00994">
              <w:rPr>
                <w:lang w:val="en-GB"/>
              </w:rPr>
              <w:t xml:space="preserve">, gas and other fuels, whose year-on-year gain went up to 34.1%, and also due to the </w:t>
            </w:r>
            <w:r w:rsidRPr="00A00994">
              <w:rPr>
                <w:lang w:val="en-GB"/>
              </w:rPr>
              <w:lastRenderedPageBreak/>
              <w:t>imputed rent</w:t>
            </w:r>
            <w:r w:rsidRPr="00A00994">
              <w:rPr>
                <w:rStyle w:val="Znakapoznpodarou"/>
                <w:lang w:val="en-GB"/>
              </w:rPr>
              <w:footnoteReference w:id="51"/>
            </w:r>
            <w:r w:rsidRPr="00A00994">
              <w:rPr>
                <w:lang w:val="en-GB"/>
              </w:rPr>
              <w:t xml:space="preserve"> (19.0%). Prices of rent</w:t>
            </w:r>
            <w:r>
              <w:rPr>
                <w:lang w:val="en-GB"/>
              </w:rPr>
              <w:t xml:space="preserve">als for housing </w:t>
            </w:r>
            <w:r w:rsidRPr="00A00994">
              <w:rPr>
                <w:lang w:val="en-GB"/>
              </w:rPr>
              <w:t xml:space="preserve">were by 4.6% higher year-on-year, prices of regular maintenance and repairs by 20.3% and other services </w:t>
            </w:r>
            <w:r>
              <w:rPr>
                <w:lang w:val="en-GB"/>
              </w:rPr>
              <w:t xml:space="preserve">relating to the dwelling </w:t>
            </w:r>
            <w:r w:rsidRPr="00A00994">
              <w:rPr>
                <w:lang w:val="en-GB"/>
              </w:rPr>
              <w:t xml:space="preserve">by 4.7%. Compared to Q1, the prices of housing and energies increased by 5.5% (by 10.6% in Q1). </w:t>
            </w:r>
          </w:p>
        </w:tc>
      </w:tr>
      <w:tr w:rsidR="00073B58" w:rsidRPr="00A00994" w14:paraId="4B1EA1ED" w14:textId="77777777" w:rsidTr="00073B58">
        <w:trPr>
          <w:trHeight w:val="145"/>
        </w:trPr>
        <w:tc>
          <w:tcPr>
            <w:tcW w:w="1805" w:type="dxa"/>
            <w:shd w:val="clear" w:color="auto" w:fill="auto"/>
            <w:tcMar>
              <w:left w:w="0" w:type="dxa"/>
            </w:tcMar>
          </w:tcPr>
          <w:p w14:paraId="6DD4C262" w14:textId="77777777" w:rsidR="00073B58" w:rsidRPr="00A00994" w:rsidRDefault="00073B58" w:rsidP="00073B58">
            <w:pPr>
              <w:pStyle w:val="Marginlie"/>
              <w:rPr>
                <w:spacing w:val="0"/>
                <w:lang w:val="en-GB"/>
              </w:rPr>
            </w:pPr>
            <w:r w:rsidRPr="00A00994">
              <w:rPr>
                <w:spacing w:val="0"/>
                <w:lang w:val="en-GB"/>
              </w:rPr>
              <w:lastRenderedPageBreak/>
              <w:t xml:space="preserve">Prices of food and non-alcoholic beverages rose steeply. </w:t>
            </w:r>
          </w:p>
          <w:p w14:paraId="16322EC1" w14:textId="77777777" w:rsidR="00073B58" w:rsidRPr="00A00994" w:rsidRDefault="00073B58" w:rsidP="00073B58">
            <w:pPr>
              <w:pStyle w:val="Marginlie"/>
              <w:rPr>
                <w:spacing w:val="0"/>
                <w:lang w:val="en-GB"/>
              </w:rPr>
            </w:pPr>
          </w:p>
          <w:p w14:paraId="1E384D0D" w14:textId="77777777" w:rsidR="00073B58" w:rsidRPr="00A00994" w:rsidRDefault="00073B58" w:rsidP="00073B58">
            <w:pPr>
              <w:pStyle w:val="Marginlie"/>
              <w:rPr>
                <w:spacing w:val="0"/>
                <w:lang w:val="en-GB"/>
              </w:rPr>
            </w:pPr>
          </w:p>
          <w:p w14:paraId="70F0A245" w14:textId="77777777" w:rsidR="00073B58" w:rsidRPr="00A00994" w:rsidRDefault="00073B58" w:rsidP="00073B58">
            <w:pPr>
              <w:pStyle w:val="Marginlie"/>
              <w:rPr>
                <w:spacing w:val="0"/>
                <w:lang w:val="en-GB"/>
              </w:rPr>
            </w:pPr>
          </w:p>
          <w:p w14:paraId="5A8E13E5" w14:textId="77777777" w:rsidR="00073B58" w:rsidRPr="00A00994" w:rsidRDefault="00073B58" w:rsidP="00073B58">
            <w:pPr>
              <w:pStyle w:val="Marginlie"/>
              <w:rPr>
                <w:spacing w:val="0"/>
                <w:lang w:val="en-GB"/>
              </w:rPr>
            </w:pPr>
          </w:p>
          <w:p w14:paraId="179E2883" w14:textId="77777777" w:rsidR="00073B58" w:rsidRPr="00A00994" w:rsidRDefault="00073B58" w:rsidP="00073B58">
            <w:pPr>
              <w:pStyle w:val="Marginlie"/>
              <w:rPr>
                <w:spacing w:val="0"/>
                <w:lang w:val="en-GB"/>
              </w:rPr>
            </w:pPr>
          </w:p>
          <w:p w14:paraId="2984E7C8" w14:textId="77777777" w:rsidR="00073B58" w:rsidRPr="00A00994" w:rsidRDefault="00073B58" w:rsidP="00073B58">
            <w:pPr>
              <w:pStyle w:val="Marginlie"/>
              <w:rPr>
                <w:spacing w:val="0"/>
                <w:lang w:val="en-GB"/>
              </w:rPr>
            </w:pPr>
          </w:p>
        </w:tc>
        <w:tc>
          <w:tcPr>
            <w:tcW w:w="224" w:type="dxa"/>
            <w:shd w:val="clear" w:color="auto" w:fill="auto"/>
            <w:tcMar>
              <w:left w:w="0" w:type="dxa"/>
            </w:tcMar>
          </w:tcPr>
          <w:p w14:paraId="6ABCB45A"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645FD296" w14:textId="77777777" w:rsidR="00073B58" w:rsidRPr="00A00994" w:rsidRDefault="00073B58" w:rsidP="00073B58">
            <w:pPr>
              <w:rPr>
                <w:lang w:val="en-GB"/>
              </w:rPr>
            </w:pPr>
            <w:r w:rsidRPr="00A00994">
              <w:rPr>
                <w:lang w:val="en-GB"/>
              </w:rPr>
              <w:t xml:space="preserve">Prices of food and non-alcoholic beverages were raised by 14.6% year-on-year.  Severe strengthening of the year-on-year dynamics was mostly linked to the increase of prices of </w:t>
            </w:r>
            <w:r>
              <w:rPr>
                <w:lang w:val="en-GB"/>
              </w:rPr>
              <w:t>cereals and cereal products</w:t>
            </w:r>
            <w:r w:rsidRPr="00A00994">
              <w:rPr>
                <w:lang w:val="en-GB"/>
              </w:rPr>
              <w:t xml:space="preserve"> (20.1%), meat (16.2%), milk, cheese and eggs (17.5%), which corresponded to the similar increase of prices in the production sphere. The addition to prices of oils and fats was also very strong (33.4%). Prices of food and non-alcoholic beverages increased by 7.7% quarter-on-quarter. The year-on-year addition to prices of transport also gained pace (22.7%). Costs of operating a p</w:t>
            </w:r>
            <w:r>
              <w:rPr>
                <w:lang w:val="en-GB"/>
              </w:rPr>
              <w:t>ersonal transport equipment</w:t>
            </w:r>
            <w:r w:rsidRPr="00A00994">
              <w:rPr>
                <w:lang w:val="en-GB"/>
              </w:rPr>
              <w:t xml:space="preserve"> played the main role on the growth of prices of transportation (they increased by 32.1% year-on-year), when they mirrored the raised prices of motor fuels. Strengthening of the year-on-year dynamics of the prices of purchases of motor vehicles, motorcycles and bicycles however also continued (13.9%). Reduction of the student fare discounts also led to the year-on-year increase of prices of transport services by 16.7%. Prices of transport increased by 8.0% compared to Q1.</w:t>
            </w:r>
          </w:p>
        </w:tc>
      </w:tr>
      <w:tr w:rsidR="00073B58" w:rsidRPr="00A00994" w14:paraId="715306AC" w14:textId="77777777" w:rsidTr="00073B58">
        <w:trPr>
          <w:trHeight w:val="145"/>
        </w:trPr>
        <w:tc>
          <w:tcPr>
            <w:tcW w:w="1805" w:type="dxa"/>
            <w:shd w:val="clear" w:color="auto" w:fill="auto"/>
            <w:tcMar>
              <w:left w:w="0" w:type="dxa"/>
            </w:tcMar>
          </w:tcPr>
          <w:p w14:paraId="7136EE57" w14:textId="77777777" w:rsidR="00073B58" w:rsidRPr="00A00994" w:rsidRDefault="00073B58" w:rsidP="00073B58">
            <w:pPr>
              <w:pStyle w:val="Marginlie"/>
              <w:rPr>
                <w:spacing w:val="0"/>
                <w:lang w:val="en-GB"/>
              </w:rPr>
            </w:pPr>
            <w:r w:rsidRPr="00A00994">
              <w:rPr>
                <w:spacing w:val="0"/>
                <w:lang w:val="en-GB"/>
              </w:rPr>
              <w:t xml:space="preserve">Prices grew in the absolute majority of consumption basket divisions.  </w:t>
            </w:r>
          </w:p>
        </w:tc>
        <w:tc>
          <w:tcPr>
            <w:tcW w:w="224" w:type="dxa"/>
            <w:shd w:val="clear" w:color="auto" w:fill="auto"/>
            <w:tcMar>
              <w:left w:w="0" w:type="dxa"/>
            </w:tcMar>
          </w:tcPr>
          <w:p w14:paraId="6362795D"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53D6C511" w14:textId="77777777" w:rsidR="00073B58" w:rsidRPr="00A00994" w:rsidRDefault="00073B58" w:rsidP="00073B58">
            <w:pPr>
              <w:rPr>
                <w:lang w:val="en-GB"/>
              </w:rPr>
            </w:pPr>
            <w:r w:rsidRPr="00A00994">
              <w:rPr>
                <w:lang w:val="en-GB"/>
              </w:rPr>
              <w:t xml:space="preserve">Year-on-year growth of prices of </w:t>
            </w:r>
            <w:r>
              <w:rPr>
                <w:lang w:val="en-GB"/>
              </w:rPr>
              <w:t>restaurants and hotels</w:t>
            </w:r>
            <w:r w:rsidRPr="00A00994">
              <w:rPr>
                <w:lang w:val="en-GB"/>
              </w:rPr>
              <w:t xml:space="preserve"> sharply accelerated to 21.4% in Q2 (it was 12.3% in Q1). The addition increased for both </w:t>
            </w:r>
            <w:r>
              <w:rPr>
                <w:lang w:val="en-GB"/>
              </w:rPr>
              <w:t xml:space="preserve">restaurants </w:t>
            </w:r>
            <w:r w:rsidRPr="00A00994">
              <w:rPr>
                <w:lang w:val="en-GB"/>
              </w:rPr>
              <w:t xml:space="preserve">(21.9%) and </w:t>
            </w:r>
            <w:r>
              <w:rPr>
                <w:lang w:val="en-GB"/>
              </w:rPr>
              <w:t>hotels</w:t>
            </w:r>
            <w:r w:rsidRPr="00A00994">
              <w:rPr>
                <w:lang w:val="en-GB"/>
              </w:rPr>
              <w:t xml:space="preserve"> (17.9%). Prices of </w:t>
            </w:r>
            <w:r>
              <w:rPr>
                <w:lang w:val="en-GB"/>
              </w:rPr>
              <w:t>restaurants and hotels</w:t>
            </w:r>
            <w:r w:rsidRPr="00A00994">
              <w:rPr>
                <w:lang w:val="en-GB"/>
              </w:rPr>
              <w:t xml:space="preserve"> were by 8.9% higher quarter-on-quarter, which was the most among all consumption basket divisions. Prices of recreation and cultur</w:t>
            </w:r>
            <w:r>
              <w:rPr>
                <w:lang w:val="en-GB"/>
              </w:rPr>
              <w:t>e</w:t>
            </w:r>
            <w:r w:rsidRPr="00A00994">
              <w:rPr>
                <w:lang w:val="en-GB"/>
              </w:rPr>
              <w:t xml:space="preserve"> grew by 11.3% year-on-year. Prices of other items for recreation and leisure time were raised by 16.3%, audio-visual and photographic equipment by 11.9%. Prices of </w:t>
            </w:r>
            <w:r>
              <w:rPr>
                <w:lang w:val="en-GB"/>
              </w:rPr>
              <w:t xml:space="preserve">package </w:t>
            </w:r>
            <w:r w:rsidRPr="00A00994">
              <w:rPr>
                <w:lang w:val="en-GB"/>
              </w:rPr>
              <w:t xml:space="preserve">holidays increased by 10.2%, prices of recreational and cultural services by 8.9% and in case of newspapers, books and paper goods the increase was 11.1%. Items which with the view to their low weight usually are not reflected in the index so notably recorded marked contribution to the year-on-year growth of the consumer prices. It involves wearing apparel and footwear, whose prices were by 20.0% higher year-on-year, and household equipment, goods and repairs, whose prices went up by 11.7%. Year-on-year addition to prices of other goods and services accelerated to 9.7% and health to 8.4%. In contrast the growth of prices of alcoholic beverages and tobacco moderated to 5.6%.  </w:t>
            </w:r>
          </w:p>
        </w:tc>
      </w:tr>
      <w:tr w:rsidR="00073B58" w:rsidRPr="00A00994" w14:paraId="2088D320" w14:textId="77777777" w:rsidTr="00073B58">
        <w:trPr>
          <w:trHeight w:val="145"/>
        </w:trPr>
        <w:tc>
          <w:tcPr>
            <w:tcW w:w="1805" w:type="dxa"/>
            <w:shd w:val="clear" w:color="auto" w:fill="auto"/>
            <w:tcMar>
              <w:left w:w="0" w:type="dxa"/>
            </w:tcMar>
          </w:tcPr>
          <w:p w14:paraId="1933EB19" w14:textId="77777777" w:rsidR="00073B58" w:rsidRPr="00A00994" w:rsidRDefault="00073B58" w:rsidP="00073B58">
            <w:pPr>
              <w:pStyle w:val="Marginlie"/>
              <w:rPr>
                <w:spacing w:val="0"/>
                <w:lang w:val="en-GB"/>
              </w:rPr>
            </w:pPr>
            <w:r w:rsidRPr="00A00994">
              <w:rPr>
                <w:spacing w:val="0"/>
                <w:lang w:val="en-GB"/>
              </w:rPr>
              <w:t xml:space="preserve">Growth of consumer prices in the EU also accelerated. </w:t>
            </w:r>
          </w:p>
        </w:tc>
        <w:tc>
          <w:tcPr>
            <w:tcW w:w="224" w:type="dxa"/>
            <w:shd w:val="clear" w:color="auto" w:fill="auto"/>
            <w:tcMar>
              <w:left w:w="0" w:type="dxa"/>
            </w:tcMar>
          </w:tcPr>
          <w:p w14:paraId="77CEE63C"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576388ED" w14:textId="77777777" w:rsidR="00073B58" w:rsidRPr="00A00994" w:rsidRDefault="00073B58" w:rsidP="00073B58">
            <w:pPr>
              <w:rPr>
                <w:lang w:val="en-GB"/>
              </w:rPr>
            </w:pPr>
            <w:r w:rsidRPr="00A00994">
              <w:rPr>
                <w:lang w:val="en-GB"/>
              </w:rPr>
              <w:t>Year-on-year growth of the Harmonised Index of Consumer Prices (HICP)</w:t>
            </w:r>
            <w:r w:rsidRPr="00A00994">
              <w:rPr>
                <w:rStyle w:val="Znakapoznpodarou"/>
                <w:lang w:val="en-GB"/>
              </w:rPr>
              <w:footnoteReference w:id="52"/>
            </w:r>
            <w:r w:rsidRPr="00A00994">
              <w:rPr>
                <w:lang w:val="en-GB"/>
              </w:rPr>
              <w:t xml:space="preserve"> in the EU quickened to 8.8% in Q2 (it reached 6.5% in Q1). The price growth strengthened in all EU countries and was affected mainly by the development of prices of food, housing and energies and transportation, but the acceleration of the year-on-year dynamics was apparent for the majority of divisions of the consumption basket also in Europe. The consumer prices grew the most in Estonia (20.4%), Lithuania (18.5%) and Latvia (16.4%), where the prices of energies increased steeply, year-on-year in Q2. The Czech Republic ranked immediately behind them with the year-on-year increase in the amount of 15.0%. It thus considerably also exceeded its Central European neighbours – Poland (12.8%), Slovakia (11.8%) and mainly Germany (8.3%) and Austria (7.9%). Consumer prices grew the least in Malta (5.8%), France (5.9%) and Finland (7.0%) year-on-year.      </w:t>
            </w:r>
          </w:p>
        </w:tc>
      </w:tr>
      <w:tr w:rsidR="00073B58" w:rsidRPr="00A00994" w14:paraId="7C358893" w14:textId="77777777" w:rsidTr="00073B58">
        <w:trPr>
          <w:trHeight w:val="145"/>
        </w:trPr>
        <w:tc>
          <w:tcPr>
            <w:tcW w:w="1805" w:type="dxa"/>
            <w:shd w:val="clear" w:color="auto" w:fill="auto"/>
            <w:tcMar>
              <w:left w:w="0" w:type="dxa"/>
            </w:tcMar>
          </w:tcPr>
          <w:p w14:paraId="3C184319" w14:textId="77777777" w:rsidR="00073B58" w:rsidRPr="00A00994" w:rsidRDefault="00073B58" w:rsidP="00073B58">
            <w:pPr>
              <w:pStyle w:val="Marginlie"/>
              <w:rPr>
                <w:spacing w:val="0"/>
                <w:lang w:val="en-GB"/>
              </w:rPr>
            </w:pPr>
            <w:r w:rsidRPr="00A00994">
              <w:rPr>
                <w:spacing w:val="0"/>
                <w:lang w:val="en-GB"/>
              </w:rPr>
              <w:lastRenderedPageBreak/>
              <w:t xml:space="preserve">Catalogue prices of flats sharply increased. </w:t>
            </w:r>
          </w:p>
        </w:tc>
        <w:tc>
          <w:tcPr>
            <w:tcW w:w="224" w:type="dxa"/>
            <w:shd w:val="clear" w:color="auto" w:fill="auto"/>
            <w:tcMar>
              <w:left w:w="0" w:type="dxa"/>
            </w:tcMar>
          </w:tcPr>
          <w:p w14:paraId="09D2F312"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7CC3BCF9" w14:textId="77777777" w:rsidR="00073B58" w:rsidRPr="00A00994" w:rsidRDefault="00073B58" w:rsidP="00073B58">
            <w:pPr>
              <w:rPr>
                <w:lang w:val="en-GB"/>
              </w:rPr>
            </w:pPr>
            <w:r w:rsidRPr="00A00994">
              <w:rPr>
                <w:lang w:val="en-GB"/>
              </w:rPr>
              <w:t xml:space="preserve">The year-on-year growth of the catalogue prices of flats further accelerated in the CR and it amounted to 24.7% in Q2. While the increase of catalogue prices of flats in the CR outside of Prague strengthened to 30.6% and in Prague it accelerated to 19.7%. Quarter-on-quarter growth of the catalogue prices of flats strengthened to 8.7% in the CR, it reached 9.5% in the CR apart from Prague and by 8.0% in Prague. Realised prices of older flats were by 27.6% higher in the CR year-on-year in Q2. At the same time the year-on-year pace strengthened only slightly after the period of substantial acceleration. The year-on-year growth of realised prices of older flats even weakened in Prague for the second time in a row (16.7%). The dynamics mildly strengthened to 30.8% in the whole CR without Prague. Quarter-on-quarter, the realised prices of older flats increased by 5.3% in the CR, by 6.2% in the CR without Prague and by 1.8% in Prague. Realised prices of new flats increased by 26.3% in Prague year-on-year, but only by 0.5% quarter-on-quarter, which represented the smallest increase since the end of year 2017. </w:t>
            </w:r>
          </w:p>
        </w:tc>
      </w:tr>
      <w:tr w:rsidR="00073B58" w:rsidRPr="00A00994" w14:paraId="5CF276DF" w14:textId="77777777" w:rsidTr="00073B58">
        <w:trPr>
          <w:trHeight w:val="170"/>
        </w:trPr>
        <w:tc>
          <w:tcPr>
            <w:tcW w:w="1805" w:type="dxa"/>
            <w:vMerge w:val="restart"/>
            <w:shd w:val="clear" w:color="auto" w:fill="auto"/>
            <w:tcMar>
              <w:left w:w="0" w:type="dxa"/>
            </w:tcMar>
          </w:tcPr>
          <w:p w14:paraId="2CC573CD" w14:textId="77777777" w:rsidR="00073B58" w:rsidRPr="00A00994" w:rsidRDefault="00073B58" w:rsidP="00073B58">
            <w:pPr>
              <w:pStyle w:val="Marginlie"/>
              <w:rPr>
                <w:spacing w:val="0"/>
                <w:lang w:val="en-GB"/>
              </w:rPr>
            </w:pPr>
          </w:p>
        </w:tc>
        <w:tc>
          <w:tcPr>
            <w:tcW w:w="224" w:type="dxa"/>
            <w:vMerge w:val="restart"/>
            <w:shd w:val="clear" w:color="auto" w:fill="auto"/>
            <w:tcMar>
              <w:left w:w="0" w:type="dxa"/>
            </w:tcMar>
          </w:tcPr>
          <w:p w14:paraId="2DF857D1"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2B4DA653" w14:textId="77777777" w:rsidR="00073B58" w:rsidRPr="00A00994" w:rsidRDefault="00073B58" w:rsidP="00073B58">
            <w:pPr>
              <w:spacing w:after="0"/>
              <w:rPr>
                <w:lang w:val="en-GB"/>
              </w:rPr>
            </w:pPr>
            <w:r w:rsidRPr="00A00994">
              <w:rPr>
                <w:b/>
                <w:sz w:val="18"/>
                <w:szCs w:val="18"/>
                <w:lang w:val="en-GB" w:eastAsia="en-US"/>
              </w:rPr>
              <w:t xml:space="preserve">Chart 11 Prices of real estate </w:t>
            </w:r>
            <w:r w:rsidRPr="00A00994">
              <w:rPr>
                <w:sz w:val="18"/>
                <w:szCs w:val="18"/>
                <w:lang w:val="en-GB" w:eastAsia="en-US"/>
              </w:rPr>
              <w:t>(year-on-year change, in %)</w:t>
            </w:r>
          </w:p>
        </w:tc>
      </w:tr>
      <w:tr w:rsidR="00073B58" w:rsidRPr="00A00994" w14:paraId="7A95BDF7" w14:textId="77777777" w:rsidTr="00073B58">
        <w:tblPrEx>
          <w:tblCellMar>
            <w:left w:w="70" w:type="dxa"/>
            <w:right w:w="70" w:type="dxa"/>
          </w:tblCellMar>
        </w:tblPrEx>
        <w:trPr>
          <w:trHeight w:val="170"/>
        </w:trPr>
        <w:tc>
          <w:tcPr>
            <w:tcW w:w="1805" w:type="dxa"/>
            <w:vMerge/>
            <w:shd w:val="clear" w:color="auto" w:fill="auto"/>
          </w:tcPr>
          <w:p w14:paraId="5CC7361B" w14:textId="77777777" w:rsidR="00073B58" w:rsidRPr="00A00994" w:rsidRDefault="00073B58" w:rsidP="00073B58">
            <w:pPr>
              <w:pStyle w:val="Marginlie"/>
              <w:rPr>
                <w:spacing w:val="0"/>
                <w:lang w:val="en-GB"/>
              </w:rPr>
            </w:pPr>
          </w:p>
        </w:tc>
        <w:tc>
          <w:tcPr>
            <w:tcW w:w="224" w:type="dxa"/>
            <w:vMerge/>
            <w:shd w:val="clear" w:color="auto" w:fill="auto"/>
          </w:tcPr>
          <w:p w14:paraId="617395A1" w14:textId="77777777" w:rsidR="00073B58" w:rsidRPr="00A00994" w:rsidRDefault="00073B58" w:rsidP="00073B58">
            <w:pPr>
              <w:pStyle w:val="Textpoznpodarou1"/>
              <w:jc w:val="both"/>
              <w:rPr>
                <w:lang w:val="en-GB"/>
              </w:rPr>
            </w:pPr>
          </w:p>
        </w:tc>
        <w:tc>
          <w:tcPr>
            <w:tcW w:w="7610" w:type="dxa"/>
            <w:shd w:val="clear" w:color="auto" w:fill="auto"/>
          </w:tcPr>
          <w:p w14:paraId="2A4029F1" w14:textId="77777777" w:rsidR="00073B58" w:rsidRPr="00A00994" w:rsidRDefault="00073B58" w:rsidP="00073B58">
            <w:pPr>
              <w:spacing w:after="0"/>
              <w:rPr>
                <w:lang w:val="en-GB"/>
              </w:rPr>
            </w:pPr>
            <w:r>
              <w:rPr>
                <w:noProof/>
              </w:rPr>
              <w:drawing>
                <wp:inline distT="0" distB="0" distL="0" distR="0" wp14:anchorId="02FD1A05" wp14:editId="42DBE345">
                  <wp:extent cx="4737600" cy="3553200"/>
                  <wp:effectExtent l="0" t="0" r="6350" b="0"/>
                  <wp:docPr id="47" name="Graf 4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073B58" w:rsidRPr="00A00994" w14:paraId="1BC3E887" w14:textId="77777777" w:rsidTr="00073B58">
        <w:trPr>
          <w:trHeight w:val="170"/>
        </w:trPr>
        <w:tc>
          <w:tcPr>
            <w:tcW w:w="1805" w:type="dxa"/>
            <w:vMerge/>
            <w:shd w:val="clear" w:color="auto" w:fill="auto"/>
            <w:tcMar>
              <w:left w:w="0" w:type="dxa"/>
            </w:tcMar>
          </w:tcPr>
          <w:p w14:paraId="5DA5AE81" w14:textId="77777777" w:rsidR="00073B58" w:rsidRPr="00A00994" w:rsidRDefault="00073B58" w:rsidP="00073B58">
            <w:pPr>
              <w:pStyle w:val="Marginlie"/>
              <w:rPr>
                <w:spacing w:val="0"/>
                <w:lang w:val="en-GB"/>
              </w:rPr>
            </w:pPr>
          </w:p>
        </w:tc>
        <w:tc>
          <w:tcPr>
            <w:tcW w:w="224" w:type="dxa"/>
            <w:vMerge/>
            <w:shd w:val="clear" w:color="auto" w:fill="auto"/>
            <w:tcMar>
              <w:left w:w="0" w:type="dxa"/>
            </w:tcMar>
          </w:tcPr>
          <w:p w14:paraId="38247BC8"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6AAD773A" w14:textId="77777777" w:rsidR="00073B58" w:rsidRPr="00A00994" w:rsidRDefault="00073B58" w:rsidP="00073B58">
            <w:pPr>
              <w:rPr>
                <w:b/>
                <w:bCs/>
                <w:sz w:val="16"/>
                <w:szCs w:val="16"/>
                <w:lang w:val="en-GB"/>
              </w:rPr>
            </w:pPr>
            <w:r w:rsidRPr="00A00994">
              <w:rPr>
                <w:sz w:val="14"/>
                <w:szCs w:val="14"/>
                <w:lang w:val="en-GB"/>
              </w:rPr>
              <w:t>Source: CZSO</w:t>
            </w:r>
          </w:p>
        </w:tc>
      </w:tr>
      <w:tr w:rsidR="00073B58" w:rsidRPr="00A00994" w14:paraId="0FAE4D66" w14:textId="77777777" w:rsidTr="00073B58">
        <w:trPr>
          <w:trHeight w:val="145"/>
        </w:trPr>
        <w:tc>
          <w:tcPr>
            <w:tcW w:w="1805" w:type="dxa"/>
            <w:shd w:val="clear" w:color="auto" w:fill="auto"/>
            <w:tcMar>
              <w:left w:w="0" w:type="dxa"/>
            </w:tcMar>
          </w:tcPr>
          <w:p w14:paraId="45BC5191" w14:textId="77777777" w:rsidR="00073B58" w:rsidRPr="00A00994" w:rsidRDefault="00073B58" w:rsidP="00073B58">
            <w:pPr>
              <w:pStyle w:val="Marginlie"/>
              <w:rPr>
                <w:spacing w:val="0"/>
                <w:lang w:val="en-GB"/>
              </w:rPr>
            </w:pPr>
            <w:r w:rsidRPr="00A00994">
              <w:rPr>
                <w:spacing w:val="0"/>
                <w:lang w:val="en-GB"/>
              </w:rPr>
              <w:t xml:space="preserve">Continuing growth of prices of materials drove the year-on-year dynamics of the industrial producer prices. </w:t>
            </w:r>
          </w:p>
        </w:tc>
        <w:tc>
          <w:tcPr>
            <w:tcW w:w="224" w:type="dxa"/>
            <w:shd w:val="clear" w:color="auto" w:fill="auto"/>
            <w:tcMar>
              <w:left w:w="0" w:type="dxa"/>
            </w:tcMar>
          </w:tcPr>
          <w:p w14:paraId="64920F4D"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5261DED4" w14:textId="77777777" w:rsidR="00073B58" w:rsidRPr="00A00994" w:rsidRDefault="00073B58" w:rsidP="00073B58">
            <w:pPr>
              <w:rPr>
                <w:lang w:val="en-GB"/>
              </w:rPr>
            </w:pPr>
            <w:r w:rsidRPr="00A00994">
              <w:rPr>
                <w:lang w:val="en-GB"/>
              </w:rPr>
              <w:t xml:space="preserve">Industrial producer prices increased by 27.7% year-on-year in Q2. Quarter-on-quarter, they went up by 7.8%. The year-on-year thus further accelerated, mainly under the influence of growing prices of oil and natural gas and also electricity. Manufacturing, whose </w:t>
            </w:r>
            <w:r>
              <w:rPr>
                <w:lang w:val="en-GB"/>
              </w:rPr>
              <w:t xml:space="preserve">prices </w:t>
            </w:r>
            <w:r w:rsidRPr="00A00994">
              <w:rPr>
                <w:lang w:val="en-GB"/>
              </w:rPr>
              <w:t>year-on-year increase strengthened to 24.2%, had an essential share on the growth of prices of industrial producers. The development of prices of coke and refined oil products</w:t>
            </w:r>
            <w:r w:rsidRPr="00A00994">
              <w:rPr>
                <w:rStyle w:val="Znakapoznpodarou"/>
                <w:lang w:val="en-GB"/>
              </w:rPr>
              <w:footnoteReference w:id="53"/>
            </w:r>
            <w:r w:rsidRPr="00A00994">
              <w:rPr>
                <w:lang w:val="en-GB"/>
              </w:rPr>
              <w:t xml:space="preserve"> contributed the most. Prices of basic metals and fabricated metal products grew massively (33.4%) and year-on-year increases of prices of food products, beverages and tobacco (18.6%), rubber and plastic products (20.7%), chemical substances and products (42.8%), wood, paper and print (32.7%) also had a strong impact. Prices of textile, wearing apparel and leather (13.8%), machinery and equipment (12.6%), furniture and other manufacturing products (9.4%), computers, electronic and optical appliances (7.6%), electrical appliances (7.6%) and basic pharmaceutical products (7.1%) also grew strongly. Prices of transport equipment </w:t>
            </w:r>
            <w:r w:rsidRPr="00A00994">
              <w:rPr>
                <w:lang w:val="en-GB"/>
              </w:rPr>
              <w:lastRenderedPageBreak/>
              <w:t>(2.1%), which did not join the growth trend observed in the rest of industry in the previous quarters, also features a mild year-on-year increase.</w:t>
            </w:r>
          </w:p>
        </w:tc>
      </w:tr>
      <w:tr w:rsidR="00073B58" w:rsidRPr="00A00994" w14:paraId="0FCE8A8F" w14:textId="77777777" w:rsidTr="00073B58">
        <w:trPr>
          <w:trHeight w:val="145"/>
        </w:trPr>
        <w:tc>
          <w:tcPr>
            <w:tcW w:w="1805" w:type="dxa"/>
            <w:shd w:val="clear" w:color="auto" w:fill="auto"/>
            <w:tcMar>
              <w:left w:w="0" w:type="dxa"/>
            </w:tcMar>
          </w:tcPr>
          <w:p w14:paraId="2CDC087D" w14:textId="77777777" w:rsidR="00073B58" w:rsidRPr="00A00994" w:rsidRDefault="00073B58" w:rsidP="00073B58">
            <w:pPr>
              <w:pStyle w:val="Marginlie"/>
              <w:rPr>
                <w:spacing w:val="0"/>
                <w:lang w:val="en-GB"/>
              </w:rPr>
            </w:pPr>
            <w:r w:rsidRPr="00A00994">
              <w:rPr>
                <w:spacing w:val="0"/>
                <w:lang w:val="en-GB"/>
              </w:rPr>
              <w:lastRenderedPageBreak/>
              <w:t xml:space="preserve">Electricity prices substantially contributed to the increase of industrial producer prices.  </w:t>
            </w:r>
          </w:p>
        </w:tc>
        <w:tc>
          <w:tcPr>
            <w:tcW w:w="224" w:type="dxa"/>
            <w:shd w:val="clear" w:color="auto" w:fill="auto"/>
            <w:tcMar>
              <w:left w:w="0" w:type="dxa"/>
            </w:tcMar>
          </w:tcPr>
          <w:p w14:paraId="103E735D"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46DC62FE" w14:textId="77777777" w:rsidR="00073B58" w:rsidRPr="00A00994" w:rsidRDefault="00073B58" w:rsidP="00073B58">
            <w:pPr>
              <w:rPr>
                <w:lang w:val="en-GB"/>
              </w:rPr>
            </w:pPr>
            <w:r w:rsidRPr="00A00994">
              <w:rPr>
                <w:lang w:val="en-GB"/>
              </w:rPr>
              <w:t>Electricity, gas, steam and air conditioning also considerably contributed to the industrial producer price growth. The year-on-year increase of their prices slightly strengthened to 47.2% in Q2. Year-on-year growth of prices of mining and quarrying was also strengthening (31.9%). Prices of extraction of oil and natural gas and coal featured immense growth, but prices of other mining, where for instance building materials belong, also kept growing strongly. Prices of water supply</w:t>
            </w:r>
            <w:r>
              <w:rPr>
                <w:lang w:val="en-GB"/>
              </w:rPr>
              <w:t xml:space="preserve">, sewerage and waste </w:t>
            </w:r>
            <w:r w:rsidRPr="00A00994">
              <w:rPr>
                <w:lang w:val="en-GB"/>
              </w:rPr>
              <w:t>management were raised by 5.3%.</w:t>
            </w:r>
          </w:p>
        </w:tc>
      </w:tr>
      <w:tr w:rsidR="00073B58" w:rsidRPr="00A00994" w14:paraId="233E3A93" w14:textId="77777777" w:rsidTr="00073B58">
        <w:trPr>
          <w:trHeight w:val="145"/>
        </w:trPr>
        <w:tc>
          <w:tcPr>
            <w:tcW w:w="1805" w:type="dxa"/>
            <w:shd w:val="clear" w:color="auto" w:fill="auto"/>
            <w:tcMar>
              <w:left w:w="0" w:type="dxa"/>
            </w:tcMar>
          </w:tcPr>
          <w:p w14:paraId="01A65317" w14:textId="77777777" w:rsidR="00073B58" w:rsidRPr="00A00994" w:rsidRDefault="00073B58" w:rsidP="00073B58">
            <w:pPr>
              <w:pStyle w:val="Marginlie"/>
              <w:rPr>
                <w:spacing w:val="0"/>
                <w:lang w:val="en-GB"/>
              </w:rPr>
            </w:pPr>
            <w:r w:rsidRPr="00A00994">
              <w:rPr>
                <w:spacing w:val="0"/>
                <w:lang w:val="en-GB"/>
              </w:rPr>
              <w:t xml:space="preserve">Industrial producer prices continued strongly growing in the EU. </w:t>
            </w:r>
          </w:p>
        </w:tc>
        <w:tc>
          <w:tcPr>
            <w:tcW w:w="224" w:type="dxa"/>
            <w:shd w:val="clear" w:color="auto" w:fill="auto"/>
            <w:tcMar>
              <w:left w:w="0" w:type="dxa"/>
            </w:tcMar>
          </w:tcPr>
          <w:p w14:paraId="64CE433D"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57F6699B" w14:textId="77777777" w:rsidR="00073B58" w:rsidRPr="00A00994" w:rsidRDefault="00073B58" w:rsidP="00073B58">
            <w:pPr>
              <w:rPr>
                <w:lang w:val="en-GB"/>
              </w:rPr>
            </w:pPr>
            <w:r w:rsidRPr="00A00994">
              <w:rPr>
                <w:lang w:val="en-GB"/>
              </w:rPr>
              <w:t>Year-on-year increase of industrial producer prices in the EU</w:t>
            </w:r>
            <w:r w:rsidRPr="00A00994">
              <w:rPr>
                <w:rStyle w:val="Znakapoznpodarou"/>
                <w:lang w:val="en-GB"/>
              </w:rPr>
              <w:footnoteReference w:id="54"/>
            </w:r>
            <w:r w:rsidRPr="00A00994">
              <w:rPr>
                <w:lang w:val="en-GB"/>
              </w:rPr>
              <w:t xml:space="preserve"> amounted to 36.5% in Q2 2022. The increase quickened, however its strengthening was milder compared to the preceding quarters. Producer prices rose by 6.2% quarter-on-quarter, which presents a slower pace than in the previous two quarters. The prices of electricity, gas, steam and air conditioning grew the most in the EU (100.8%), the acceleration of their dynamics nevertheless halted. Prices of mining and quarrying were by 81.7% higher year-on-year in Q2, which represented substantial strengthening of the pace. Prices were higher by 20.8% in manufacturing. The industrial producer prices increased the most in Romania (60.4%), Denmark (59.2%) and in Belgium (51.9%). The addition to prices in Estonia also overtook the 50% level (50.5%). Prices of industrial producers increased the least in Malta (9.5%), Sweden (23.3%) and Cyprus (24.5%) year-on-year.</w:t>
            </w:r>
          </w:p>
        </w:tc>
      </w:tr>
      <w:tr w:rsidR="00073B58" w:rsidRPr="00A00994" w14:paraId="34CF3CBC" w14:textId="77777777" w:rsidTr="00073B58">
        <w:trPr>
          <w:trHeight w:val="170"/>
        </w:trPr>
        <w:tc>
          <w:tcPr>
            <w:tcW w:w="1805" w:type="dxa"/>
            <w:vMerge w:val="restart"/>
            <w:shd w:val="clear" w:color="auto" w:fill="auto"/>
            <w:tcMar>
              <w:left w:w="0" w:type="dxa"/>
            </w:tcMar>
          </w:tcPr>
          <w:p w14:paraId="2559D605" w14:textId="77777777" w:rsidR="00073B58" w:rsidRPr="00A00994" w:rsidRDefault="00073B58" w:rsidP="00073B58">
            <w:pPr>
              <w:pStyle w:val="Marginlie"/>
              <w:rPr>
                <w:spacing w:val="0"/>
                <w:lang w:val="en-GB"/>
              </w:rPr>
            </w:pPr>
          </w:p>
        </w:tc>
        <w:tc>
          <w:tcPr>
            <w:tcW w:w="224" w:type="dxa"/>
            <w:vMerge w:val="restart"/>
            <w:shd w:val="clear" w:color="auto" w:fill="auto"/>
            <w:tcMar>
              <w:left w:w="0" w:type="dxa"/>
            </w:tcMar>
          </w:tcPr>
          <w:p w14:paraId="027455A3" w14:textId="77777777" w:rsidR="00073B58" w:rsidRPr="00A00994" w:rsidRDefault="00073B58" w:rsidP="00073B58">
            <w:pPr>
              <w:pStyle w:val="Textpoznpodarou1"/>
              <w:jc w:val="both"/>
              <w:rPr>
                <w:highlight w:val="yellow"/>
                <w:lang w:val="en-GB"/>
              </w:rPr>
            </w:pPr>
          </w:p>
        </w:tc>
        <w:tc>
          <w:tcPr>
            <w:tcW w:w="7610" w:type="dxa"/>
            <w:shd w:val="clear" w:color="auto" w:fill="auto"/>
            <w:tcMar>
              <w:left w:w="0" w:type="dxa"/>
            </w:tcMar>
          </w:tcPr>
          <w:p w14:paraId="4405FD32" w14:textId="77777777" w:rsidR="00073B58" w:rsidRPr="00A00994" w:rsidRDefault="00073B58" w:rsidP="00073B58">
            <w:pPr>
              <w:spacing w:after="0"/>
              <w:rPr>
                <w:b/>
                <w:szCs w:val="20"/>
                <w:lang w:val="en-GB"/>
              </w:rPr>
            </w:pPr>
            <w:r w:rsidRPr="00A00994">
              <w:rPr>
                <w:b/>
                <w:sz w:val="18"/>
                <w:szCs w:val="18"/>
                <w:lang w:val="en-GB"/>
              </w:rPr>
              <w:t xml:space="preserve">Chart 12 </w:t>
            </w:r>
            <w:r w:rsidRPr="00A00994">
              <w:rPr>
                <w:b/>
                <w:szCs w:val="20"/>
                <w:lang w:val="en-GB" w:eastAsia="en-US"/>
              </w:rPr>
              <w:t xml:space="preserve">Prices of main groups of industrial producers </w:t>
            </w:r>
            <w:r w:rsidRPr="00A00994">
              <w:rPr>
                <w:bCs/>
                <w:szCs w:val="20"/>
                <w:lang w:val="en-GB" w:eastAsia="en-US"/>
              </w:rPr>
              <w:t>(year-on-year change, in %, based on CPA classification)</w:t>
            </w:r>
            <w:r w:rsidRPr="00A00994">
              <w:rPr>
                <w:b/>
                <w:szCs w:val="20"/>
                <w:lang w:val="en-GB" w:eastAsia="en-US"/>
              </w:rPr>
              <w:t xml:space="preserve"> </w:t>
            </w:r>
          </w:p>
        </w:tc>
      </w:tr>
      <w:tr w:rsidR="00073B58" w:rsidRPr="00A00994" w14:paraId="540401BB" w14:textId="77777777" w:rsidTr="00073B58">
        <w:tblPrEx>
          <w:tblCellMar>
            <w:left w:w="70" w:type="dxa"/>
            <w:right w:w="70" w:type="dxa"/>
          </w:tblCellMar>
        </w:tblPrEx>
        <w:trPr>
          <w:trHeight w:val="170"/>
        </w:trPr>
        <w:tc>
          <w:tcPr>
            <w:tcW w:w="1805" w:type="dxa"/>
            <w:vMerge/>
            <w:shd w:val="clear" w:color="auto" w:fill="auto"/>
          </w:tcPr>
          <w:p w14:paraId="0D59D36A" w14:textId="77777777" w:rsidR="00073B58" w:rsidRPr="00A00994" w:rsidRDefault="00073B58" w:rsidP="00073B58">
            <w:pPr>
              <w:pStyle w:val="Marginlie"/>
              <w:rPr>
                <w:spacing w:val="0"/>
                <w:lang w:val="en-GB"/>
              </w:rPr>
            </w:pPr>
          </w:p>
        </w:tc>
        <w:tc>
          <w:tcPr>
            <w:tcW w:w="224" w:type="dxa"/>
            <w:vMerge/>
            <w:shd w:val="clear" w:color="auto" w:fill="auto"/>
          </w:tcPr>
          <w:p w14:paraId="4A103830" w14:textId="77777777" w:rsidR="00073B58" w:rsidRPr="00A00994" w:rsidRDefault="00073B58" w:rsidP="00073B58">
            <w:pPr>
              <w:pStyle w:val="Textpoznpodarou1"/>
              <w:jc w:val="both"/>
              <w:rPr>
                <w:lang w:val="en-GB"/>
              </w:rPr>
            </w:pPr>
          </w:p>
        </w:tc>
        <w:tc>
          <w:tcPr>
            <w:tcW w:w="7610" w:type="dxa"/>
            <w:shd w:val="clear" w:color="auto" w:fill="auto"/>
          </w:tcPr>
          <w:p w14:paraId="6B48697E" w14:textId="77777777" w:rsidR="00073B58" w:rsidRPr="00A00994" w:rsidRDefault="00073B58" w:rsidP="00073B58">
            <w:pPr>
              <w:spacing w:after="0"/>
              <w:rPr>
                <w:lang w:val="en-GB"/>
              </w:rPr>
            </w:pPr>
            <w:r>
              <w:rPr>
                <w:noProof/>
              </w:rPr>
              <w:drawing>
                <wp:inline distT="0" distB="0" distL="0" distR="0" wp14:anchorId="08AAA36A" wp14:editId="154BDFB8">
                  <wp:extent cx="4737600" cy="3553200"/>
                  <wp:effectExtent l="0" t="0" r="6350" b="0"/>
                  <wp:docPr id="51" name="Graf 5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073B58" w:rsidRPr="00A00994" w14:paraId="55FE032C" w14:textId="77777777" w:rsidTr="00073B58">
        <w:trPr>
          <w:trHeight w:val="170"/>
        </w:trPr>
        <w:tc>
          <w:tcPr>
            <w:tcW w:w="1805" w:type="dxa"/>
            <w:vMerge/>
            <w:shd w:val="clear" w:color="auto" w:fill="auto"/>
            <w:tcMar>
              <w:left w:w="0" w:type="dxa"/>
            </w:tcMar>
          </w:tcPr>
          <w:p w14:paraId="38C33F9F" w14:textId="77777777" w:rsidR="00073B58" w:rsidRPr="00A00994" w:rsidRDefault="00073B58" w:rsidP="00073B58">
            <w:pPr>
              <w:pStyle w:val="Marginlie"/>
              <w:rPr>
                <w:spacing w:val="0"/>
                <w:lang w:val="en-GB"/>
              </w:rPr>
            </w:pPr>
          </w:p>
        </w:tc>
        <w:tc>
          <w:tcPr>
            <w:tcW w:w="224" w:type="dxa"/>
            <w:vMerge/>
            <w:shd w:val="clear" w:color="auto" w:fill="auto"/>
            <w:tcMar>
              <w:left w:w="0" w:type="dxa"/>
            </w:tcMar>
          </w:tcPr>
          <w:p w14:paraId="356C84B0"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1F2B2A2F" w14:textId="77777777" w:rsidR="00073B58" w:rsidRPr="00A00994" w:rsidRDefault="00073B58" w:rsidP="00073B58">
            <w:pPr>
              <w:rPr>
                <w:b/>
                <w:bCs/>
                <w:sz w:val="16"/>
                <w:szCs w:val="16"/>
                <w:lang w:val="en-GB"/>
              </w:rPr>
            </w:pPr>
            <w:r w:rsidRPr="00A00994">
              <w:rPr>
                <w:sz w:val="14"/>
                <w:szCs w:val="14"/>
                <w:lang w:val="en-GB"/>
              </w:rPr>
              <w:t>Source: CZSO</w:t>
            </w:r>
          </w:p>
        </w:tc>
      </w:tr>
      <w:tr w:rsidR="00073B58" w:rsidRPr="00A00994" w14:paraId="7F08EEB9" w14:textId="77777777" w:rsidTr="00073B58">
        <w:trPr>
          <w:trHeight w:val="145"/>
        </w:trPr>
        <w:tc>
          <w:tcPr>
            <w:tcW w:w="1805" w:type="dxa"/>
            <w:shd w:val="clear" w:color="auto" w:fill="auto"/>
            <w:tcMar>
              <w:left w:w="0" w:type="dxa"/>
            </w:tcMar>
          </w:tcPr>
          <w:p w14:paraId="0CCC8E5F" w14:textId="77777777" w:rsidR="00073B58" w:rsidRPr="00A00994" w:rsidRDefault="00073B58" w:rsidP="00073B58">
            <w:pPr>
              <w:pStyle w:val="Marginlie"/>
              <w:rPr>
                <w:spacing w:val="0"/>
                <w:lang w:val="en-GB"/>
              </w:rPr>
            </w:pPr>
            <w:r w:rsidRPr="00A00994">
              <w:rPr>
                <w:spacing w:val="0"/>
                <w:lang w:val="en-GB"/>
              </w:rPr>
              <w:t xml:space="preserve">Year-on-year dynamics of prices of construction works also strengthened. </w:t>
            </w:r>
          </w:p>
        </w:tc>
        <w:tc>
          <w:tcPr>
            <w:tcW w:w="224" w:type="dxa"/>
            <w:shd w:val="clear" w:color="auto" w:fill="auto"/>
            <w:tcMar>
              <w:left w:w="0" w:type="dxa"/>
            </w:tcMar>
          </w:tcPr>
          <w:p w14:paraId="1E7E8EC2"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78375D73" w14:textId="77777777" w:rsidR="00073B58" w:rsidRPr="00A00994" w:rsidRDefault="00073B58" w:rsidP="00073B58">
            <w:pPr>
              <w:rPr>
                <w:lang w:val="en-GB"/>
              </w:rPr>
            </w:pPr>
            <w:r w:rsidRPr="00A00994">
              <w:rPr>
                <w:lang w:val="en-GB"/>
              </w:rPr>
              <w:t xml:space="preserve">Prices of construction works increased by 3.8% as estimated quarter-on-quarter in Q2. It was significantly added by the development of prices of materials and productions consumed in construction, which increased by </w:t>
            </w:r>
            <w:r w:rsidRPr="00A00994">
              <w:rPr>
                <w:szCs w:val="20"/>
                <w:lang w:val="en-GB"/>
              </w:rPr>
              <w:t>9.1</w:t>
            </w:r>
            <w:r w:rsidRPr="00A00994">
              <w:rPr>
                <w:lang w:val="en-GB"/>
              </w:rPr>
              <w:t xml:space="preserve">%. Year-on-year growth of prices of </w:t>
            </w:r>
            <w:r w:rsidRPr="00A00994">
              <w:rPr>
                <w:lang w:val="en-GB"/>
              </w:rPr>
              <w:lastRenderedPageBreak/>
              <w:t xml:space="preserve">construction works strengthened to 13.1%. In that prices of materials and products used in construction were by 25.9% higher in comparison to the same period of year 2021.  </w:t>
            </w:r>
          </w:p>
        </w:tc>
      </w:tr>
      <w:tr w:rsidR="00073B58" w:rsidRPr="00A00994" w14:paraId="60D78A78" w14:textId="77777777" w:rsidTr="00073B58">
        <w:trPr>
          <w:trHeight w:val="145"/>
        </w:trPr>
        <w:tc>
          <w:tcPr>
            <w:tcW w:w="1805" w:type="dxa"/>
            <w:shd w:val="clear" w:color="auto" w:fill="auto"/>
            <w:tcMar>
              <w:left w:w="0" w:type="dxa"/>
            </w:tcMar>
          </w:tcPr>
          <w:p w14:paraId="14BB296B" w14:textId="77777777" w:rsidR="00073B58" w:rsidRPr="00A00994" w:rsidRDefault="00073B58" w:rsidP="00073B58">
            <w:pPr>
              <w:pStyle w:val="Marginlie"/>
              <w:rPr>
                <w:spacing w:val="0"/>
                <w:lang w:val="en-GB"/>
              </w:rPr>
            </w:pPr>
            <w:r w:rsidRPr="00A00994">
              <w:rPr>
                <w:spacing w:val="0"/>
                <w:lang w:val="en-GB"/>
              </w:rPr>
              <w:lastRenderedPageBreak/>
              <w:t xml:space="preserve">Growth of prices of market services was stronger. </w:t>
            </w:r>
          </w:p>
        </w:tc>
        <w:tc>
          <w:tcPr>
            <w:tcW w:w="224" w:type="dxa"/>
            <w:shd w:val="clear" w:color="auto" w:fill="auto"/>
            <w:tcMar>
              <w:left w:w="0" w:type="dxa"/>
            </w:tcMar>
          </w:tcPr>
          <w:p w14:paraId="6B30AB3C"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452613EF" w14:textId="77777777" w:rsidR="00073B58" w:rsidRPr="00A00994" w:rsidRDefault="00073B58" w:rsidP="00073B58">
            <w:pPr>
              <w:rPr>
                <w:lang w:val="en-GB"/>
              </w:rPr>
            </w:pPr>
            <w:r w:rsidRPr="00A00994">
              <w:rPr>
                <w:lang w:val="en-GB"/>
              </w:rPr>
              <w:t>Year-on-year growth of prices of market services further quickened to 5.8%. They were by 2.3% compared to Q1. Prices of storage and support services in transportation added the most to the year-on-year growth (15.4%). Prices of advertising services and market research, which increased by 19.5% and contributed the most to the acceleration of the total growth of prices of market services, also had a notable influence. Prices of land and pipe transportation (year-on-year increase of 5.8%), services in the area of programming and related consultancy activities (4.5%), services in the area of employment (14.5%), architectural and engineering services and technical testing and analysis (5.0%), services in the real estate area (3.2%) also significantly shared in the growth. Only prices of telecommunication services were lower year-on-year (</w:t>
            </w:r>
            <w:r w:rsidRPr="00A00994">
              <w:rPr>
                <w:i/>
                <w:iCs/>
                <w:lang w:val="en-GB"/>
              </w:rPr>
              <w:t>−</w:t>
            </w:r>
            <w:r w:rsidRPr="00A00994">
              <w:rPr>
                <w:lang w:val="en-GB"/>
              </w:rPr>
              <w:t>1.1%).</w:t>
            </w:r>
          </w:p>
        </w:tc>
      </w:tr>
      <w:tr w:rsidR="00073B58" w:rsidRPr="00A00994" w14:paraId="69DCDD10" w14:textId="77777777" w:rsidTr="00073B58">
        <w:trPr>
          <w:trHeight w:val="145"/>
        </w:trPr>
        <w:tc>
          <w:tcPr>
            <w:tcW w:w="1805" w:type="dxa"/>
            <w:shd w:val="clear" w:color="auto" w:fill="auto"/>
            <w:tcMar>
              <w:left w:w="0" w:type="dxa"/>
            </w:tcMar>
          </w:tcPr>
          <w:p w14:paraId="47E804D8" w14:textId="77777777" w:rsidR="00073B58" w:rsidRPr="00A00994" w:rsidRDefault="00073B58" w:rsidP="00073B58">
            <w:pPr>
              <w:pStyle w:val="Marginlie"/>
              <w:rPr>
                <w:spacing w:val="0"/>
                <w:lang w:val="en-GB"/>
              </w:rPr>
            </w:pPr>
            <w:r w:rsidRPr="00A00994">
              <w:rPr>
                <w:spacing w:val="0"/>
                <w:lang w:val="en-GB"/>
              </w:rPr>
              <w:t xml:space="preserve">Increase of costs of energies and production inputs was reflected in the development of prices of agricultural production. </w:t>
            </w:r>
          </w:p>
        </w:tc>
        <w:tc>
          <w:tcPr>
            <w:tcW w:w="224" w:type="dxa"/>
            <w:shd w:val="clear" w:color="auto" w:fill="auto"/>
            <w:tcMar>
              <w:left w:w="0" w:type="dxa"/>
            </w:tcMar>
          </w:tcPr>
          <w:p w14:paraId="2B0EB7D9"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6EAFD074" w14:textId="77777777" w:rsidR="00073B58" w:rsidRPr="00A00994" w:rsidRDefault="00073B58" w:rsidP="00073B58">
            <w:pPr>
              <w:rPr>
                <w:spacing w:val="-2"/>
                <w:lang w:val="en-GB"/>
              </w:rPr>
            </w:pPr>
            <w:r w:rsidRPr="00A00994">
              <w:rPr>
                <w:spacing w:val="-2"/>
                <w:lang w:val="en-GB"/>
              </w:rPr>
              <w:t xml:space="preserve">Prices of agricultural production hiked up by 39.0% year-on-year in Q2. Compared to Q1, they grew by 18.9%. Their year-on-year growth sharply accelerated and development of both plant and animal production participated. Prices of plant production increased by 54.4% year-on-year. It also mirrored the increase of prices of crops on the global market (e.g. wheat), but also the marked heightening of costs – fuels or for instance fertilisers. Prices of cereals grew steeply (60.0%), in that price of wheat by 64.3%, rye by 80.7%, barley by 53.4%, oat by 42.5% and corn by 44.2%. Prices of industrial crop went up by 59.6%, in that oil plants by 59.6% (seed of the oilseed rape were by 64.1% more expensive year-on-year) and legumes by 56.7%. Prices of forage plants were higher by 5.9% and prices of vegetables and garden products by 18.2%. Year-on-year growth of prices of potatoes markedly strengthened (30.0%). Prices of fruit grew moderately (2.4%). Prices of agricultural production were by 21.2% higher in Q2. The dynamics of prices of farm animals strengthened (20.9%), in that prices of cattle increased by 29.5%, pigs and piglets by 20.0% and prices of poultry by 13.0%. Year-on-year increase of prices of animal products accelerated to 21.4%. Prices of milk were raised by 21.6% and eggs by 18.8%.      </w:t>
            </w:r>
          </w:p>
        </w:tc>
      </w:tr>
      <w:tr w:rsidR="00073B58" w:rsidRPr="00A00994" w14:paraId="5314F3F3" w14:textId="77777777" w:rsidTr="00073B58">
        <w:trPr>
          <w:trHeight w:val="145"/>
        </w:trPr>
        <w:tc>
          <w:tcPr>
            <w:tcW w:w="1805" w:type="dxa"/>
            <w:shd w:val="clear" w:color="auto" w:fill="auto"/>
            <w:tcMar>
              <w:left w:w="0" w:type="dxa"/>
            </w:tcMar>
          </w:tcPr>
          <w:p w14:paraId="59199071" w14:textId="77777777" w:rsidR="00073B58" w:rsidRPr="00A00994" w:rsidRDefault="00073B58" w:rsidP="00073B58">
            <w:pPr>
              <w:pStyle w:val="Marginlie"/>
              <w:rPr>
                <w:spacing w:val="0"/>
                <w:lang w:val="en-GB"/>
              </w:rPr>
            </w:pPr>
            <w:r w:rsidRPr="00A00994">
              <w:rPr>
                <w:spacing w:val="0"/>
                <w:lang w:val="en-GB"/>
              </w:rPr>
              <w:t xml:space="preserve">Export prices grew strongly. </w:t>
            </w:r>
          </w:p>
        </w:tc>
        <w:tc>
          <w:tcPr>
            <w:tcW w:w="224" w:type="dxa"/>
            <w:shd w:val="clear" w:color="auto" w:fill="auto"/>
            <w:tcMar>
              <w:left w:w="0" w:type="dxa"/>
            </w:tcMar>
          </w:tcPr>
          <w:p w14:paraId="44C732E4"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28F827A0" w14:textId="77777777" w:rsidR="00073B58" w:rsidRPr="00A00994" w:rsidRDefault="00073B58" w:rsidP="00073B58">
            <w:pPr>
              <w:rPr>
                <w:lang w:val="en-GB"/>
              </w:rPr>
            </w:pPr>
            <w:r w:rsidRPr="00A00994">
              <w:rPr>
                <w:lang w:val="en-GB"/>
              </w:rPr>
              <w:t>Prices of exports of goods were by 15.1% higher year-on-year in Q2. Exchange rate development had in total an anti-inflationary effect. Since in the end the year-on-year stronger koruna foreign exchange per euro outweighed its depreciation towards dollar</w:t>
            </w:r>
            <w:r w:rsidRPr="00A00994">
              <w:rPr>
                <w:rStyle w:val="Znakapoznpodarou"/>
                <w:lang w:val="en-GB"/>
              </w:rPr>
              <w:footnoteReference w:id="55"/>
            </w:r>
            <w:r w:rsidRPr="00A00994">
              <w:rPr>
                <w:lang w:val="en-GB"/>
              </w:rPr>
              <w:t>. Prices of export of mineral fuels and lubricants (151.3%), other materials</w:t>
            </w:r>
            <w:r w:rsidRPr="00A00994">
              <w:rPr>
                <w:rStyle w:val="Znakapoznpodarou"/>
                <w:lang w:val="en-GB"/>
              </w:rPr>
              <w:footnoteReference w:id="56"/>
            </w:r>
            <w:r w:rsidRPr="00A00994">
              <w:rPr>
                <w:lang w:val="en-GB"/>
              </w:rPr>
              <w:t xml:space="preserve"> (36.6%), food and live animals (26.0%), semi-finished products</w:t>
            </w:r>
            <w:r w:rsidRPr="00A00994">
              <w:rPr>
                <w:rStyle w:val="Znakapoznpodarou"/>
                <w:lang w:val="en-GB"/>
              </w:rPr>
              <w:footnoteReference w:id="57"/>
            </w:r>
            <w:r w:rsidRPr="00A00994">
              <w:rPr>
                <w:lang w:val="en-GB"/>
              </w:rPr>
              <w:t xml:space="preserve"> (24.8%), chemicals and related products (17.3%) increased the most year-on-year. Prices of exports of</w:t>
            </w:r>
            <w:r>
              <w:rPr>
                <w:lang w:val="en-GB"/>
              </w:rPr>
              <w:t xml:space="preserve"> m</w:t>
            </w:r>
            <w:r w:rsidRPr="00116A0A">
              <w:rPr>
                <w:lang w:val="en-GB"/>
              </w:rPr>
              <w:t xml:space="preserve">iscellaneous manufactured articles </w:t>
            </w:r>
            <w:r w:rsidRPr="00A00994">
              <w:rPr>
                <w:lang w:val="en-GB"/>
              </w:rPr>
              <w:t>(6.5%), beverages and tobacco (3.8%), machinery and transport equipment (2.0%) were also higher. Prices of exports of goods increased by 5.9% quarter-on-quarter. Prices of mineral fuels (19.8%), other materials (13.8%) and food (12.6%) grew the most.</w:t>
            </w:r>
          </w:p>
        </w:tc>
      </w:tr>
      <w:tr w:rsidR="00073B58" w:rsidRPr="00A00994" w14:paraId="1B122C1C" w14:textId="77777777" w:rsidTr="00073B58">
        <w:trPr>
          <w:trHeight w:val="145"/>
        </w:trPr>
        <w:tc>
          <w:tcPr>
            <w:tcW w:w="1805" w:type="dxa"/>
            <w:shd w:val="clear" w:color="auto" w:fill="auto"/>
            <w:tcMar>
              <w:left w:w="0" w:type="dxa"/>
            </w:tcMar>
          </w:tcPr>
          <w:p w14:paraId="65DF8E69" w14:textId="77777777" w:rsidR="00073B58" w:rsidRPr="00A00994" w:rsidRDefault="00073B58" w:rsidP="00073B58">
            <w:pPr>
              <w:pStyle w:val="Marginlie"/>
              <w:rPr>
                <w:spacing w:val="0"/>
                <w:lang w:val="en-GB"/>
              </w:rPr>
            </w:pPr>
            <w:r w:rsidRPr="00A00994">
              <w:rPr>
                <w:spacing w:val="0"/>
                <w:lang w:val="en-GB"/>
              </w:rPr>
              <w:t xml:space="preserve">Terms of trade of foreign trade with goods were strongly negative. </w:t>
            </w:r>
          </w:p>
        </w:tc>
        <w:tc>
          <w:tcPr>
            <w:tcW w:w="224" w:type="dxa"/>
            <w:shd w:val="clear" w:color="auto" w:fill="auto"/>
            <w:tcMar>
              <w:left w:w="0" w:type="dxa"/>
            </w:tcMar>
          </w:tcPr>
          <w:p w14:paraId="4C6749E1" w14:textId="77777777" w:rsidR="00073B58" w:rsidRPr="00A00994" w:rsidRDefault="00073B58" w:rsidP="00073B58">
            <w:pPr>
              <w:pStyle w:val="Textpoznpodarou1"/>
              <w:jc w:val="both"/>
              <w:rPr>
                <w:lang w:val="en-GB"/>
              </w:rPr>
            </w:pPr>
          </w:p>
        </w:tc>
        <w:tc>
          <w:tcPr>
            <w:tcW w:w="7610" w:type="dxa"/>
            <w:shd w:val="clear" w:color="auto" w:fill="auto"/>
            <w:tcMar>
              <w:left w:w="0" w:type="dxa"/>
            </w:tcMar>
          </w:tcPr>
          <w:p w14:paraId="318A209E" w14:textId="77777777" w:rsidR="00073B58" w:rsidRPr="00A00994" w:rsidRDefault="00073B58" w:rsidP="00073B58">
            <w:pPr>
              <w:rPr>
                <w:lang w:val="en-GB"/>
              </w:rPr>
            </w:pPr>
            <w:r w:rsidRPr="00A00994">
              <w:rPr>
                <w:lang w:val="en-GB"/>
              </w:rPr>
              <w:t xml:space="preserve">Prices of export of goods increased by 20.0% year-on-year in Q2. Prices of mineral fuels and lubricants (134.0%), semi-finished products (23.0%), other materials (17.5%), chemicals and related products (15.8%), beverages and tobacco (15.7%), food and live animals (11.8%) increased the most. Prices of imports of </w:t>
            </w:r>
            <w:r>
              <w:rPr>
                <w:lang w:val="en-GB"/>
              </w:rPr>
              <w:t>m</w:t>
            </w:r>
            <w:r w:rsidRPr="00116A0A">
              <w:rPr>
                <w:lang w:val="en-GB"/>
              </w:rPr>
              <w:t>iscellaneous manufactured articles</w:t>
            </w:r>
            <w:r w:rsidRPr="00A00994">
              <w:rPr>
                <w:lang w:val="en-GB"/>
              </w:rPr>
              <w:t xml:space="preserve"> (8.0%), machinery and transportation equipment (2.8%) went also up. Quarter-on-quarter, the prices of exports were by 6.8% higher. Similarly to exports, the prices of mineral fuels (20.9%), other materials (14.8%) and food (7.6%) grew the most. Year-</w:t>
            </w:r>
            <w:r w:rsidRPr="00A00994">
              <w:rPr>
                <w:lang w:val="en-GB"/>
              </w:rPr>
              <w:lastRenderedPageBreak/>
              <w:t xml:space="preserve">on-year terms of trade were negative in Q2 and deepened to the value of 95.9%.  The terms of trade were negative for trade with beverages and tobacco (89.7%), </w:t>
            </w:r>
            <w:r>
              <w:rPr>
                <w:lang w:val="en-GB"/>
              </w:rPr>
              <w:t>m</w:t>
            </w:r>
            <w:r w:rsidRPr="00116A0A">
              <w:rPr>
                <w:lang w:val="en-GB"/>
              </w:rPr>
              <w:t>iscellaneous manufactured articles</w:t>
            </w:r>
            <w:r w:rsidRPr="00A00994">
              <w:rPr>
                <w:lang w:val="en-GB"/>
              </w:rPr>
              <w:t xml:space="preserve"> (98.6%), machinery and transport equipment (99.2%). On the contrary, terms of trade were positive in trade with other materials (116.3%), food and live animals (112.7%), mineral fuels (107.4%), semi-finished products (101.5%), chemicals and related products (101.3%). The terms of trade reached value of 99.2% quarter-on-quarter.</w:t>
            </w:r>
          </w:p>
        </w:tc>
      </w:tr>
    </w:tbl>
    <w:p w14:paraId="2332F86E" w14:textId="77777777" w:rsidR="00073B58" w:rsidRPr="00A00994" w:rsidRDefault="00073B58" w:rsidP="00073B58">
      <w:pPr>
        <w:pStyle w:val="Nadpis11"/>
        <w:rPr>
          <w:b w:val="0"/>
          <w:sz w:val="2"/>
          <w:szCs w:val="2"/>
          <w:lang w:val="en-GB"/>
        </w:rPr>
      </w:pPr>
    </w:p>
    <w:bookmarkEnd w:id="39"/>
    <w:p w14:paraId="757147A9" w14:textId="77777777" w:rsidR="00073B58" w:rsidRPr="00A00994" w:rsidRDefault="00073B58" w:rsidP="00073B58">
      <w:pPr>
        <w:spacing w:after="0" w:line="240" w:lineRule="auto"/>
        <w:jc w:val="left"/>
        <w:rPr>
          <w:rFonts w:eastAsia="MS Gothic"/>
          <w:b/>
          <w:bCs/>
          <w:color w:val="71818C"/>
          <w:sz w:val="32"/>
          <w:szCs w:val="28"/>
          <w:lang w:val="en-GB"/>
        </w:rPr>
      </w:pPr>
    </w:p>
    <w:p w14:paraId="15D704F9" w14:textId="77777777" w:rsidR="00073B58" w:rsidRPr="00A00994" w:rsidRDefault="00073B58" w:rsidP="00073B58">
      <w:pPr>
        <w:spacing w:after="0" w:line="240" w:lineRule="auto"/>
        <w:jc w:val="left"/>
        <w:rPr>
          <w:rFonts w:eastAsia="MS Gothic"/>
          <w:b/>
          <w:bCs/>
          <w:color w:val="71818C"/>
          <w:sz w:val="32"/>
          <w:szCs w:val="28"/>
          <w:highlight w:val="yellow"/>
          <w:lang w:val="en-GB"/>
        </w:rPr>
      </w:pPr>
      <w:r w:rsidRPr="00A00994">
        <w:rPr>
          <w:highlight w:val="yellow"/>
          <w:lang w:val="en-GB"/>
        </w:rPr>
        <w:br w:type="page"/>
      </w:r>
    </w:p>
    <w:p w14:paraId="16A94729" w14:textId="0889F023" w:rsidR="00C118A9" w:rsidRPr="00A00994" w:rsidRDefault="00C118A9" w:rsidP="00C118A9">
      <w:pPr>
        <w:pStyle w:val="Nadpis11"/>
        <w:spacing w:after="120"/>
        <w:rPr>
          <w:lang w:val="en-GB"/>
        </w:rPr>
      </w:pPr>
      <w:bookmarkStart w:id="42" w:name="_Toc116642875"/>
      <w:bookmarkEnd w:id="40"/>
      <w:r w:rsidRPr="00A00994">
        <w:rPr>
          <w:lang w:val="en-GB"/>
        </w:rPr>
        <w:lastRenderedPageBreak/>
        <w:t>6. </w:t>
      </w:r>
      <w:r w:rsidR="00C139F8" w:rsidRPr="00A00994">
        <w:rPr>
          <w:lang w:val="en-GB"/>
        </w:rPr>
        <w:t>Labour Market</w:t>
      </w:r>
      <w:bookmarkEnd w:id="42"/>
    </w:p>
    <w:tbl>
      <w:tblPr>
        <w:tblW w:w="9674" w:type="dxa"/>
        <w:tblInd w:w="-35" w:type="dxa"/>
        <w:tblCellMar>
          <w:left w:w="0" w:type="dxa"/>
          <w:right w:w="0" w:type="dxa"/>
        </w:tblCellMar>
        <w:tblLook w:val="00A0" w:firstRow="1" w:lastRow="0" w:firstColumn="1" w:lastColumn="0" w:noHBand="0" w:noVBand="0"/>
      </w:tblPr>
      <w:tblGrid>
        <w:gridCol w:w="1739"/>
        <w:gridCol w:w="220"/>
        <w:gridCol w:w="7715"/>
      </w:tblGrid>
      <w:tr w:rsidR="000C62C0" w:rsidRPr="00A00994" w14:paraId="2FB18B8A" w14:textId="77777777" w:rsidTr="00BC060A">
        <w:trPr>
          <w:trHeight w:val="155"/>
        </w:trPr>
        <w:tc>
          <w:tcPr>
            <w:tcW w:w="1739" w:type="dxa"/>
            <w:shd w:val="clear" w:color="auto" w:fill="auto"/>
            <w:tcMar>
              <w:left w:w="0" w:type="dxa"/>
            </w:tcMar>
          </w:tcPr>
          <w:p w14:paraId="771BBB1F" w14:textId="4C06F93C" w:rsidR="00C118A9" w:rsidRPr="00A00994" w:rsidRDefault="00F809C0" w:rsidP="00621190">
            <w:pPr>
              <w:pStyle w:val="Marginlie"/>
              <w:spacing w:after="120"/>
              <w:rPr>
                <w:color w:val="0D0D0D" w:themeColor="text1" w:themeTint="F2"/>
                <w:spacing w:val="-4"/>
                <w:lang w:val="en-GB"/>
              </w:rPr>
            </w:pPr>
            <w:r w:rsidRPr="00A00994">
              <w:rPr>
                <w:color w:val="0D0D0D" w:themeColor="text1" w:themeTint="F2"/>
                <w:spacing w:val="-4"/>
                <w:lang w:val="en-GB"/>
              </w:rPr>
              <w:t xml:space="preserve">Labour market </w:t>
            </w:r>
            <w:r w:rsidR="002A6FCC" w:rsidRPr="00A00994">
              <w:rPr>
                <w:color w:val="0D0D0D" w:themeColor="text1" w:themeTint="F2"/>
                <w:spacing w:val="-4"/>
                <w:lang w:val="en-GB"/>
              </w:rPr>
              <w:t>was further developing in the CR in Q</w:t>
            </w:r>
            <w:r w:rsidR="00C118A9" w:rsidRPr="00A00994">
              <w:rPr>
                <w:color w:val="0D0D0D" w:themeColor="text1" w:themeTint="F2"/>
                <w:spacing w:val="-4"/>
                <w:lang w:val="en-GB"/>
              </w:rPr>
              <w:t xml:space="preserve">2, </w:t>
            </w:r>
            <w:r w:rsidRPr="00A00994">
              <w:rPr>
                <w:color w:val="0D0D0D" w:themeColor="text1" w:themeTint="F2"/>
                <w:spacing w:val="-4"/>
                <w:lang w:val="en-GB"/>
              </w:rPr>
              <w:t>demand for workers remained high</w:t>
            </w:r>
            <w:r w:rsidR="00C118A9" w:rsidRPr="00A00994">
              <w:rPr>
                <w:color w:val="0D0D0D" w:themeColor="text1" w:themeTint="F2"/>
                <w:spacing w:val="-4"/>
                <w:lang w:val="en-GB"/>
              </w:rPr>
              <w:t>.</w:t>
            </w:r>
          </w:p>
          <w:p w14:paraId="7DE67C2F" w14:textId="77777777" w:rsidR="00C118A9" w:rsidRPr="00A00994" w:rsidRDefault="00C118A9" w:rsidP="00621190">
            <w:pPr>
              <w:pStyle w:val="Marginlie"/>
              <w:spacing w:after="120"/>
              <w:rPr>
                <w:color w:val="0D0D0D" w:themeColor="text1" w:themeTint="F2"/>
                <w:spacing w:val="-4"/>
                <w:lang w:val="en-GB"/>
              </w:rPr>
            </w:pPr>
          </w:p>
          <w:p w14:paraId="0E3714E2" w14:textId="3A59ABA0" w:rsidR="00C118A9" w:rsidRPr="00A00994" w:rsidRDefault="00F809C0" w:rsidP="00621190">
            <w:pPr>
              <w:pStyle w:val="Marginlie"/>
              <w:spacing w:after="120"/>
              <w:rPr>
                <w:color w:val="0D0D0D" w:themeColor="text1" w:themeTint="F2"/>
                <w:spacing w:val="-4"/>
                <w:lang w:val="en-GB"/>
              </w:rPr>
            </w:pPr>
            <w:r w:rsidRPr="00A00994">
              <w:rPr>
                <w:color w:val="0D0D0D" w:themeColor="text1" w:themeTint="F2"/>
                <w:spacing w:val="-4"/>
                <w:lang w:val="en-GB"/>
              </w:rPr>
              <w:t xml:space="preserve">Unprecedented high growth of prices pervading whole economy essentially influenced the economic situation of business as well as purchasing power of wages. </w:t>
            </w:r>
            <w:r w:rsidR="00C118A9" w:rsidRPr="00A00994">
              <w:rPr>
                <w:color w:val="0D0D0D" w:themeColor="text1" w:themeTint="F2"/>
                <w:spacing w:val="-4"/>
                <w:lang w:val="en-GB"/>
              </w:rPr>
              <w:t xml:space="preserve"> </w:t>
            </w:r>
          </w:p>
        </w:tc>
        <w:tc>
          <w:tcPr>
            <w:tcW w:w="220" w:type="dxa"/>
            <w:shd w:val="clear" w:color="auto" w:fill="auto"/>
            <w:tcMar>
              <w:left w:w="0" w:type="dxa"/>
            </w:tcMar>
          </w:tcPr>
          <w:p w14:paraId="7228D4AD"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373E1FE" w14:textId="0617C2D1" w:rsidR="00C118A9" w:rsidRPr="009E74B3" w:rsidRDefault="00E03805" w:rsidP="00621190">
            <w:pPr>
              <w:rPr>
                <w:color w:val="0D0D0D" w:themeColor="text1" w:themeTint="F2"/>
                <w:lang w:val="en-GB"/>
              </w:rPr>
            </w:pPr>
            <w:r w:rsidRPr="009E74B3">
              <w:rPr>
                <w:color w:val="0D0D0D" w:themeColor="text1" w:themeTint="F2"/>
                <w:lang w:val="en-GB"/>
              </w:rPr>
              <w:t>Domestic labour market was further developing in Q2 2022</w:t>
            </w:r>
            <w:r w:rsidR="00C118A9" w:rsidRPr="009E74B3">
              <w:rPr>
                <w:color w:val="0D0D0D" w:themeColor="text1" w:themeTint="F2"/>
                <w:lang w:val="en-GB"/>
              </w:rPr>
              <w:t xml:space="preserve">. </w:t>
            </w:r>
            <w:r w:rsidR="00F375CB" w:rsidRPr="009E74B3">
              <w:rPr>
                <w:color w:val="0D0D0D" w:themeColor="text1" w:themeTint="F2"/>
                <w:lang w:val="en-GB"/>
              </w:rPr>
              <w:t>Ongoing recovery of the part of services hit by the slump of consumption during the pandemic period played a role</w:t>
            </w:r>
            <w:r w:rsidR="00C118A9" w:rsidRPr="009E74B3">
              <w:rPr>
                <w:color w:val="0D0D0D" w:themeColor="text1" w:themeTint="F2"/>
                <w:lang w:val="en-GB"/>
              </w:rPr>
              <w:t xml:space="preserve">, </w:t>
            </w:r>
            <w:r w:rsidR="00F375CB" w:rsidRPr="009E74B3">
              <w:rPr>
                <w:color w:val="0D0D0D" w:themeColor="text1" w:themeTint="F2"/>
                <w:lang w:val="en-GB"/>
              </w:rPr>
              <w:t xml:space="preserve">in addition the difficulties with the supplies of production components in part of industry were mitigated during </w:t>
            </w:r>
            <w:r w:rsidR="00DC1A3D" w:rsidRPr="009E74B3">
              <w:rPr>
                <w:color w:val="0D0D0D" w:themeColor="text1" w:themeTint="F2"/>
                <w:lang w:val="en-GB"/>
              </w:rPr>
              <w:t>s</w:t>
            </w:r>
            <w:r w:rsidR="00E846B0" w:rsidRPr="009E74B3">
              <w:rPr>
                <w:color w:val="0D0D0D" w:themeColor="text1" w:themeTint="F2"/>
                <w:lang w:val="en-GB"/>
              </w:rPr>
              <w:t>pring</w:t>
            </w:r>
            <w:r w:rsidR="00F375CB" w:rsidRPr="009E74B3">
              <w:rPr>
                <w:color w:val="0D0D0D" w:themeColor="text1" w:themeTint="F2"/>
                <w:lang w:val="en-GB"/>
              </w:rPr>
              <w:t xml:space="preserve">. </w:t>
            </w:r>
            <w:r w:rsidR="005C771D" w:rsidRPr="009E74B3">
              <w:rPr>
                <w:color w:val="0D0D0D" w:themeColor="text1" w:themeTint="F2"/>
                <w:lang w:val="en-GB"/>
              </w:rPr>
              <w:t>The large refugee wave from Ukraine undoubtedly also contributed to the revival of the labour market, even though the integration of these persons into the working processes took place more gradually. Demand of businesses for workers remained</w:t>
            </w:r>
            <w:r w:rsidR="00DC1A3D" w:rsidRPr="009E74B3">
              <w:rPr>
                <w:color w:val="0D0D0D" w:themeColor="text1" w:themeTint="F2"/>
                <w:lang w:val="en-GB"/>
              </w:rPr>
              <w:t xml:space="preserve"> high also at the beginning of s</w:t>
            </w:r>
            <w:r w:rsidR="005C771D" w:rsidRPr="009E74B3">
              <w:rPr>
                <w:color w:val="0D0D0D" w:themeColor="text1" w:themeTint="F2"/>
                <w:lang w:val="en-GB"/>
              </w:rPr>
              <w:t>ummer</w:t>
            </w:r>
            <w:r w:rsidR="00C118A9" w:rsidRPr="009E74B3">
              <w:rPr>
                <w:color w:val="0D0D0D" w:themeColor="text1" w:themeTint="F2"/>
                <w:lang w:val="en-GB"/>
              </w:rPr>
              <w:t xml:space="preserve">, </w:t>
            </w:r>
            <w:r w:rsidR="00F375CB" w:rsidRPr="009E74B3">
              <w:rPr>
                <w:color w:val="0D0D0D" w:themeColor="text1" w:themeTint="F2"/>
                <w:lang w:val="en-GB"/>
              </w:rPr>
              <w:t xml:space="preserve">their shortage presented a substantial growth barrier in the number of branches. The unemployment was thus around its historical minimum, especially for males. </w:t>
            </w:r>
            <w:r w:rsidR="006E7410" w:rsidRPr="009E74B3">
              <w:rPr>
                <w:color w:val="0D0D0D" w:themeColor="text1" w:themeTint="F2"/>
                <w:lang w:val="en-GB"/>
              </w:rPr>
              <w:t xml:space="preserve">In contrast to the pre-pandemic period however, a substantial drop of the purchasing power of wages manifested this year. In Q1, it already attained the fastest pace in the current millennium, </w:t>
            </w:r>
            <w:r w:rsidR="00A12D93" w:rsidRPr="009E74B3">
              <w:rPr>
                <w:color w:val="0D0D0D" w:themeColor="text1" w:themeTint="F2"/>
                <w:lang w:val="en-GB"/>
              </w:rPr>
              <w:t xml:space="preserve">due to the impact of the sharp acceleration of the consumer inflation it reached such an intensity in the subsequent quarter, which is completely unprecedented in the history of the independent CR. </w:t>
            </w:r>
            <w:r w:rsidR="006E7410" w:rsidRPr="009E74B3">
              <w:rPr>
                <w:color w:val="0D0D0D" w:themeColor="text1" w:themeTint="F2"/>
                <w:lang w:val="en-GB"/>
              </w:rPr>
              <w:t>Thus not only the entire main branches of the economy were afflicted by lowered purchasing power of wages</w:t>
            </w:r>
            <w:r w:rsidR="00C118A9" w:rsidRPr="009E74B3">
              <w:rPr>
                <w:color w:val="0D0D0D" w:themeColor="text1" w:themeTint="F2"/>
                <w:lang w:val="en-GB"/>
              </w:rPr>
              <w:t>,</w:t>
            </w:r>
            <w:r w:rsidR="006E7410" w:rsidRPr="009E74B3">
              <w:rPr>
                <w:color w:val="0D0D0D" w:themeColor="text1" w:themeTint="F2"/>
                <w:lang w:val="en-GB"/>
              </w:rPr>
              <w:t xml:space="preserve"> but likely also the vast majority of their employees. </w:t>
            </w:r>
          </w:p>
        </w:tc>
      </w:tr>
      <w:tr w:rsidR="000C62C0" w:rsidRPr="00A00994" w14:paraId="5B42C948" w14:textId="77777777" w:rsidTr="00BC060A">
        <w:trPr>
          <w:trHeight w:val="155"/>
        </w:trPr>
        <w:tc>
          <w:tcPr>
            <w:tcW w:w="1739" w:type="dxa"/>
            <w:shd w:val="clear" w:color="auto" w:fill="auto"/>
            <w:tcMar>
              <w:left w:w="0" w:type="dxa"/>
            </w:tcMar>
          </w:tcPr>
          <w:p w14:paraId="494304CC" w14:textId="026C07DB" w:rsidR="00C118A9" w:rsidRPr="00A00994" w:rsidRDefault="00B8792C" w:rsidP="00621190">
            <w:pPr>
              <w:pStyle w:val="Marginlie"/>
              <w:spacing w:after="120"/>
              <w:rPr>
                <w:color w:val="0D0D0D" w:themeColor="text1" w:themeTint="F2"/>
                <w:spacing w:val="-4"/>
                <w:lang w:val="en-GB"/>
              </w:rPr>
            </w:pPr>
            <w:r w:rsidRPr="00A00994">
              <w:rPr>
                <w:color w:val="0D0D0D" w:themeColor="text1" w:themeTint="F2"/>
                <w:spacing w:val="-4"/>
                <w:lang w:val="en-GB"/>
              </w:rPr>
              <w:t>Employment grew swiftly in both year-on-year and quarter-on-quarter view. There was record number of workers in Q2</w:t>
            </w:r>
            <w:r w:rsidR="00C118A9" w:rsidRPr="00A00994">
              <w:rPr>
                <w:color w:val="0D0D0D" w:themeColor="text1" w:themeTint="F2"/>
                <w:spacing w:val="-4"/>
                <w:lang w:val="en-GB"/>
              </w:rPr>
              <w:t>.</w:t>
            </w:r>
          </w:p>
          <w:p w14:paraId="2B1BF3E2" w14:textId="77777777" w:rsidR="00C118A9" w:rsidRPr="00A00994" w:rsidRDefault="00C118A9" w:rsidP="00621190">
            <w:pPr>
              <w:pStyle w:val="Marginlie"/>
              <w:spacing w:after="120"/>
              <w:rPr>
                <w:color w:val="0D0D0D" w:themeColor="text1" w:themeTint="F2"/>
                <w:spacing w:val="-4"/>
                <w:lang w:val="en-GB"/>
              </w:rPr>
            </w:pPr>
          </w:p>
        </w:tc>
        <w:tc>
          <w:tcPr>
            <w:tcW w:w="220" w:type="dxa"/>
            <w:shd w:val="clear" w:color="auto" w:fill="auto"/>
            <w:tcMar>
              <w:left w:w="0" w:type="dxa"/>
            </w:tcMar>
          </w:tcPr>
          <w:p w14:paraId="6A67DC8C"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D84D096" w14:textId="21F50F45" w:rsidR="00C118A9" w:rsidRPr="009E74B3" w:rsidRDefault="00B8792C" w:rsidP="00621190">
            <w:pPr>
              <w:rPr>
                <w:color w:val="0D0D0D" w:themeColor="text1" w:themeTint="F2"/>
                <w:lang w:val="en-GB"/>
              </w:rPr>
            </w:pPr>
            <w:r w:rsidRPr="009E74B3">
              <w:rPr>
                <w:color w:val="0D0D0D" w:themeColor="text1" w:themeTint="F2"/>
                <w:lang w:val="en-GB"/>
              </w:rPr>
              <w:t>The employment growth</w:t>
            </w:r>
            <w:r w:rsidR="00C118A9" w:rsidRPr="009E74B3">
              <w:rPr>
                <w:color w:val="0D0D0D" w:themeColor="text1" w:themeTint="F2"/>
                <w:vertAlign w:val="superscript"/>
                <w:lang w:val="en-GB"/>
              </w:rPr>
              <w:footnoteReference w:id="58"/>
            </w:r>
            <w:r w:rsidRPr="009E74B3">
              <w:rPr>
                <w:color w:val="0D0D0D" w:themeColor="text1" w:themeTint="F2"/>
                <w:lang w:val="en-GB"/>
              </w:rPr>
              <w:t xml:space="preserve"> accelerated in Q</w:t>
            </w:r>
            <w:r w:rsidR="00C118A9" w:rsidRPr="009E74B3">
              <w:rPr>
                <w:color w:val="0D0D0D" w:themeColor="text1" w:themeTint="F2"/>
                <w:lang w:val="en-GB"/>
              </w:rPr>
              <w:t>2</w:t>
            </w:r>
            <w:r w:rsidRPr="009E74B3">
              <w:rPr>
                <w:color w:val="0D0D0D" w:themeColor="text1" w:themeTint="F2"/>
                <w:lang w:val="en-GB"/>
              </w:rPr>
              <w:t xml:space="preserve"> </w:t>
            </w:r>
            <w:r w:rsidR="00C118A9" w:rsidRPr="009E74B3">
              <w:rPr>
                <w:color w:val="0D0D0D" w:themeColor="text1" w:themeTint="F2"/>
                <w:lang w:val="en-GB"/>
              </w:rPr>
              <w:t>2022</w:t>
            </w:r>
            <w:r w:rsidRPr="009E74B3">
              <w:rPr>
                <w:color w:val="0D0D0D" w:themeColor="text1" w:themeTint="F2"/>
                <w:lang w:val="en-GB"/>
              </w:rPr>
              <w:t xml:space="preserve">, it reached swift </w:t>
            </w:r>
            <w:r w:rsidR="00C118A9" w:rsidRPr="009E74B3">
              <w:rPr>
                <w:color w:val="0D0D0D" w:themeColor="text1" w:themeTint="F2"/>
                <w:lang w:val="en-GB"/>
              </w:rPr>
              <w:t>1</w:t>
            </w:r>
            <w:r w:rsidRPr="009E74B3">
              <w:rPr>
                <w:color w:val="0D0D0D" w:themeColor="text1" w:themeTint="F2"/>
                <w:lang w:val="en-GB"/>
              </w:rPr>
              <w:t>.</w:t>
            </w:r>
            <w:r w:rsidR="00C118A9" w:rsidRPr="009E74B3">
              <w:rPr>
                <w:color w:val="0D0D0D" w:themeColor="text1" w:themeTint="F2"/>
                <w:lang w:val="en-GB"/>
              </w:rPr>
              <w:t>6%</w:t>
            </w:r>
            <w:r w:rsidRPr="009E74B3">
              <w:rPr>
                <w:color w:val="0D0D0D" w:themeColor="text1" w:themeTint="F2"/>
                <w:lang w:val="en-GB"/>
              </w:rPr>
              <w:t xml:space="preserve"> quarter-on-quarter</w:t>
            </w:r>
            <w:r w:rsidR="00C118A9" w:rsidRPr="009E74B3">
              <w:rPr>
                <w:color w:val="0D0D0D" w:themeColor="text1" w:themeTint="F2"/>
                <w:lang w:val="en-GB"/>
              </w:rPr>
              <w:t xml:space="preserve">. </w:t>
            </w:r>
            <w:r w:rsidRPr="009E74B3">
              <w:rPr>
                <w:color w:val="0D0D0D" w:themeColor="text1" w:themeTint="F2"/>
                <w:lang w:val="en-GB"/>
              </w:rPr>
              <w:t>The group trade, transportation, accommodation and restaurants was the most instrumental in this result</w:t>
            </w:r>
            <w:r w:rsidR="00C118A9" w:rsidRPr="009E74B3">
              <w:rPr>
                <w:color w:val="0D0D0D" w:themeColor="text1" w:themeTint="F2"/>
                <w:lang w:val="en-GB"/>
              </w:rPr>
              <w:t>,</w:t>
            </w:r>
            <w:r w:rsidRPr="009E74B3">
              <w:rPr>
                <w:color w:val="0D0D0D" w:themeColor="text1" w:themeTint="F2"/>
                <w:lang w:val="en-GB"/>
              </w:rPr>
              <w:t xml:space="preserve"> manufacturing also contributed significantly. </w:t>
            </w:r>
            <w:r w:rsidR="00E16FC8" w:rsidRPr="009E74B3">
              <w:rPr>
                <w:color w:val="0D0D0D" w:themeColor="text1" w:themeTint="F2"/>
                <w:lang w:val="en-GB"/>
              </w:rPr>
              <w:t>But practically a</w:t>
            </w:r>
            <w:r w:rsidR="00B74306" w:rsidRPr="009E74B3">
              <w:rPr>
                <w:color w:val="0D0D0D" w:themeColor="text1" w:themeTint="F2"/>
                <w:lang w:val="en-GB"/>
              </w:rPr>
              <w:t xml:space="preserve">ll </w:t>
            </w:r>
            <w:r w:rsidR="00E16FC8" w:rsidRPr="009E74B3">
              <w:rPr>
                <w:color w:val="0D0D0D" w:themeColor="text1" w:themeTint="F2"/>
                <w:lang w:val="en-GB"/>
              </w:rPr>
              <w:t xml:space="preserve">main </w:t>
            </w:r>
            <w:r w:rsidR="00B74306" w:rsidRPr="009E74B3">
              <w:rPr>
                <w:color w:val="0D0D0D" w:themeColor="text1" w:themeTint="F2"/>
                <w:lang w:val="en-GB"/>
              </w:rPr>
              <w:t>branches</w:t>
            </w:r>
            <w:r w:rsidR="00E16FC8" w:rsidRPr="009E74B3">
              <w:rPr>
                <w:color w:val="0D0D0D" w:themeColor="text1" w:themeTint="F2"/>
                <w:lang w:val="en-GB"/>
              </w:rPr>
              <w:t xml:space="preserve"> revived</w:t>
            </w:r>
            <w:r w:rsidR="00C118A9" w:rsidRPr="009E74B3">
              <w:rPr>
                <w:color w:val="0D0D0D" w:themeColor="text1" w:themeTint="F2"/>
                <w:lang w:val="en-GB"/>
              </w:rPr>
              <w:t xml:space="preserve">. </w:t>
            </w:r>
            <w:r w:rsidR="00E16FC8" w:rsidRPr="009E74B3">
              <w:rPr>
                <w:color w:val="0D0D0D" w:themeColor="text1" w:themeTint="F2"/>
                <w:lang w:val="en-GB"/>
              </w:rPr>
              <w:t xml:space="preserve">Total number of workers reached </w:t>
            </w:r>
            <w:r w:rsidR="00C118A9" w:rsidRPr="009E74B3">
              <w:rPr>
                <w:lang w:val="en-GB"/>
              </w:rPr>
              <w:t>5</w:t>
            </w:r>
            <w:r w:rsidR="00E16FC8" w:rsidRPr="009E74B3">
              <w:rPr>
                <w:lang w:val="en-GB"/>
              </w:rPr>
              <w:t>.</w:t>
            </w:r>
            <w:r w:rsidR="00C118A9" w:rsidRPr="009E74B3">
              <w:rPr>
                <w:lang w:val="en-GB"/>
              </w:rPr>
              <w:t>48 mil</w:t>
            </w:r>
            <w:r w:rsidR="00E16FC8" w:rsidRPr="009E74B3">
              <w:rPr>
                <w:lang w:val="en-GB"/>
              </w:rPr>
              <w:t xml:space="preserve"> in the whole economy and exceeded the record level from year </w:t>
            </w:r>
            <w:r w:rsidR="00C118A9" w:rsidRPr="009E74B3">
              <w:rPr>
                <w:lang w:val="en-GB"/>
              </w:rPr>
              <w:t>2019</w:t>
            </w:r>
            <w:r w:rsidR="00E16FC8" w:rsidRPr="009E74B3">
              <w:rPr>
                <w:lang w:val="en-GB"/>
              </w:rPr>
              <w:t xml:space="preserve"> for the first time</w:t>
            </w:r>
            <w:r w:rsidR="00C118A9" w:rsidRPr="009E74B3">
              <w:rPr>
                <w:lang w:val="en-GB"/>
              </w:rPr>
              <w:t xml:space="preserve">. </w:t>
            </w:r>
            <w:r w:rsidR="00E16FC8" w:rsidRPr="009E74B3">
              <w:rPr>
                <w:lang w:val="en-GB"/>
              </w:rPr>
              <w:t>2.5% persons more thus worked compared to last year’s Q</w:t>
            </w:r>
            <w:r w:rsidR="00C118A9" w:rsidRPr="009E74B3">
              <w:rPr>
                <w:lang w:val="en-GB"/>
              </w:rPr>
              <w:t>2.</w:t>
            </w:r>
            <w:r w:rsidR="00E16FC8" w:rsidRPr="009E74B3">
              <w:rPr>
                <w:lang w:val="en-GB"/>
              </w:rPr>
              <w:t xml:space="preserve"> It is positive, that both employees and self-employed persons participated on this growth, self-employed persons increased in number for the first time since year </w:t>
            </w:r>
            <w:r w:rsidR="00C118A9" w:rsidRPr="009E74B3">
              <w:rPr>
                <w:lang w:val="en-GB"/>
              </w:rPr>
              <w:t xml:space="preserve">2017. </w:t>
            </w:r>
          </w:p>
        </w:tc>
      </w:tr>
      <w:tr w:rsidR="000C62C0" w:rsidRPr="00A00994" w14:paraId="34903DB1" w14:textId="77777777" w:rsidTr="00BC060A">
        <w:trPr>
          <w:trHeight w:val="155"/>
        </w:trPr>
        <w:tc>
          <w:tcPr>
            <w:tcW w:w="1739" w:type="dxa"/>
            <w:shd w:val="clear" w:color="auto" w:fill="auto"/>
            <w:tcMar>
              <w:left w:w="0" w:type="dxa"/>
            </w:tcMar>
          </w:tcPr>
          <w:p w14:paraId="2C30B13D" w14:textId="7878426E" w:rsidR="00C118A9" w:rsidRPr="00A00994" w:rsidRDefault="00C118A9" w:rsidP="00621190">
            <w:pPr>
              <w:pStyle w:val="Marginlie"/>
              <w:rPr>
                <w:color w:val="0D0D0D" w:themeColor="text1" w:themeTint="F2"/>
                <w:spacing w:val="-4"/>
                <w:lang w:val="en-GB"/>
              </w:rPr>
            </w:pPr>
            <w:r w:rsidRPr="00A00994">
              <w:rPr>
                <w:color w:val="0D0D0D" w:themeColor="text1" w:themeTint="F2"/>
                <w:spacing w:val="-4"/>
                <w:lang w:val="en-GB"/>
              </w:rPr>
              <w:t>N</w:t>
            </w:r>
            <w:r w:rsidR="00FE0292" w:rsidRPr="00A00994">
              <w:rPr>
                <w:color w:val="0D0D0D" w:themeColor="text1" w:themeTint="F2"/>
                <w:spacing w:val="-4"/>
                <w:lang w:val="en-GB"/>
              </w:rPr>
              <w:t>ew job positions were created the most in</w:t>
            </w:r>
            <w:r w:rsidR="009E74B3">
              <w:rPr>
                <w:color w:val="0D0D0D" w:themeColor="text1" w:themeTint="F2"/>
                <w:spacing w:val="-4"/>
                <w:lang w:val="en-GB"/>
              </w:rPr>
              <w:t xml:space="preserve"> services, mainly in</w:t>
            </w:r>
            <w:r w:rsidR="00FE0292" w:rsidRPr="00A00994">
              <w:rPr>
                <w:color w:val="0D0D0D" w:themeColor="text1" w:themeTint="F2"/>
                <w:spacing w:val="-4"/>
                <w:lang w:val="en-GB"/>
              </w:rPr>
              <w:t xml:space="preserve"> trade and activities associated with tourism and with real estate. </w:t>
            </w:r>
          </w:p>
          <w:p w14:paraId="630C4215" w14:textId="77777777" w:rsidR="00C118A9" w:rsidRPr="00A00994" w:rsidRDefault="00C118A9" w:rsidP="00621190">
            <w:pPr>
              <w:pStyle w:val="Marginlie"/>
              <w:rPr>
                <w:color w:val="0D0D0D" w:themeColor="text1" w:themeTint="F2"/>
                <w:spacing w:val="-4"/>
                <w:lang w:val="en-GB"/>
              </w:rPr>
            </w:pPr>
          </w:p>
          <w:p w14:paraId="6850000F" w14:textId="77777777" w:rsidR="00C118A9" w:rsidRPr="00A00994" w:rsidRDefault="00C118A9" w:rsidP="00621190">
            <w:pPr>
              <w:pStyle w:val="Marginlie"/>
              <w:rPr>
                <w:color w:val="0D0D0D" w:themeColor="text1" w:themeTint="F2"/>
                <w:spacing w:val="-4"/>
                <w:lang w:val="en-GB"/>
              </w:rPr>
            </w:pPr>
          </w:p>
          <w:p w14:paraId="601F36E2" w14:textId="77777777" w:rsidR="00C118A9" w:rsidRPr="00A00994" w:rsidRDefault="00C118A9" w:rsidP="00621190">
            <w:pPr>
              <w:pStyle w:val="Marginlie"/>
              <w:rPr>
                <w:color w:val="0D0D0D" w:themeColor="text1" w:themeTint="F2"/>
                <w:spacing w:val="-4"/>
                <w:lang w:val="en-GB"/>
              </w:rPr>
            </w:pPr>
          </w:p>
          <w:p w14:paraId="28896A79" w14:textId="77777777" w:rsidR="00C118A9" w:rsidRPr="00A00994" w:rsidRDefault="00C118A9" w:rsidP="00621190">
            <w:pPr>
              <w:pStyle w:val="Marginlie"/>
              <w:rPr>
                <w:color w:val="0D0D0D" w:themeColor="text1" w:themeTint="F2"/>
                <w:spacing w:val="-4"/>
                <w:lang w:val="en-GB"/>
              </w:rPr>
            </w:pPr>
          </w:p>
          <w:p w14:paraId="3AC66CCA" w14:textId="77777777" w:rsidR="00C118A9" w:rsidRPr="00A00994" w:rsidRDefault="00C118A9" w:rsidP="00621190">
            <w:pPr>
              <w:pStyle w:val="Marginlie"/>
              <w:rPr>
                <w:color w:val="0D0D0D" w:themeColor="text1" w:themeTint="F2"/>
                <w:spacing w:val="-4"/>
                <w:lang w:val="en-GB"/>
              </w:rPr>
            </w:pPr>
          </w:p>
          <w:p w14:paraId="69484A23" w14:textId="77777777" w:rsidR="00C118A9" w:rsidRPr="00A00994" w:rsidRDefault="00C118A9" w:rsidP="00621190">
            <w:pPr>
              <w:pStyle w:val="Marginlie"/>
              <w:rPr>
                <w:color w:val="0D0D0D" w:themeColor="text1" w:themeTint="F2"/>
                <w:spacing w:val="-4"/>
                <w:lang w:val="en-GB"/>
              </w:rPr>
            </w:pPr>
          </w:p>
          <w:p w14:paraId="155108DE" w14:textId="77777777" w:rsidR="00C118A9" w:rsidRPr="00A00994" w:rsidRDefault="00C118A9" w:rsidP="00621190">
            <w:pPr>
              <w:pStyle w:val="Marginlie"/>
              <w:rPr>
                <w:color w:val="0D0D0D" w:themeColor="text1" w:themeTint="F2"/>
                <w:spacing w:val="-4"/>
                <w:lang w:val="en-GB"/>
              </w:rPr>
            </w:pPr>
          </w:p>
          <w:p w14:paraId="60CDF28E" w14:textId="77777777" w:rsidR="00C118A9" w:rsidRPr="00A00994" w:rsidRDefault="00C118A9" w:rsidP="00621190">
            <w:pPr>
              <w:pStyle w:val="Marginlie"/>
              <w:rPr>
                <w:color w:val="0D0D0D" w:themeColor="text1" w:themeTint="F2"/>
                <w:spacing w:val="-4"/>
                <w:lang w:val="en-GB"/>
              </w:rPr>
            </w:pPr>
          </w:p>
          <w:p w14:paraId="57DF1D7B" w14:textId="77777777" w:rsidR="00C118A9" w:rsidRPr="00A00994" w:rsidRDefault="00C118A9" w:rsidP="00621190">
            <w:pPr>
              <w:pStyle w:val="Marginlie"/>
              <w:rPr>
                <w:color w:val="0D0D0D" w:themeColor="text1" w:themeTint="F2"/>
                <w:spacing w:val="-4"/>
                <w:lang w:val="en-GB"/>
              </w:rPr>
            </w:pPr>
          </w:p>
          <w:p w14:paraId="257AE71B" w14:textId="0BFB442A" w:rsidR="00C118A9" w:rsidRPr="00A00994" w:rsidRDefault="00FE0292" w:rsidP="00621190">
            <w:pPr>
              <w:pStyle w:val="Marginlie"/>
              <w:spacing w:after="120"/>
              <w:rPr>
                <w:color w:val="0D0D0D" w:themeColor="text1" w:themeTint="F2"/>
                <w:spacing w:val="-4"/>
                <w:lang w:val="en-GB"/>
              </w:rPr>
            </w:pPr>
            <w:r w:rsidRPr="00A00994">
              <w:rPr>
                <w:color w:val="0D0D0D" w:themeColor="text1" w:themeTint="F2"/>
                <w:spacing w:val="-4"/>
                <w:lang w:val="en-GB"/>
              </w:rPr>
              <w:t>Employment increased more gradually in manufacturing;</w:t>
            </w:r>
            <w:r w:rsidR="00C118A9" w:rsidRPr="00A00994">
              <w:rPr>
                <w:color w:val="0D0D0D" w:themeColor="text1" w:themeTint="F2"/>
                <w:spacing w:val="-4"/>
                <w:lang w:val="en-GB"/>
              </w:rPr>
              <w:t xml:space="preserve"> s</w:t>
            </w:r>
            <w:r w:rsidR="00E16FC8" w:rsidRPr="00A00994">
              <w:rPr>
                <w:color w:val="0D0D0D" w:themeColor="text1" w:themeTint="F2"/>
                <w:spacing w:val="-4"/>
                <w:lang w:val="en-GB"/>
              </w:rPr>
              <w:t xml:space="preserve">ituation varied at the levels of sub-branches. </w:t>
            </w:r>
          </w:p>
        </w:tc>
        <w:tc>
          <w:tcPr>
            <w:tcW w:w="220" w:type="dxa"/>
            <w:shd w:val="clear" w:color="auto" w:fill="auto"/>
            <w:tcMar>
              <w:left w:w="0" w:type="dxa"/>
            </w:tcMar>
          </w:tcPr>
          <w:p w14:paraId="7700AE1A"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70241D98" w14:textId="79D6C27B" w:rsidR="00C118A9" w:rsidRPr="009E74B3" w:rsidRDefault="00C118A9" w:rsidP="009E74B3">
            <w:pPr>
              <w:spacing w:after="200"/>
              <w:rPr>
                <w:color w:val="0D0D0D" w:themeColor="text1" w:themeTint="F2"/>
                <w:lang w:val="en-GB"/>
              </w:rPr>
            </w:pPr>
            <w:r w:rsidRPr="009E74B3">
              <w:rPr>
                <w:lang w:val="en-GB"/>
              </w:rPr>
              <w:t>N</w:t>
            </w:r>
            <w:r w:rsidR="00FE0292" w:rsidRPr="009E74B3">
              <w:rPr>
                <w:lang w:val="en-GB"/>
              </w:rPr>
              <w:t xml:space="preserve">ew job positions were created mainly in services, </w:t>
            </w:r>
            <w:r w:rsidRPr="009E74B3">
              <w:rPr>
                <w:lang w:val="en-GB"/>
              </w:rPr>
              <w:t>90 t</w:t>
            </w:r>
            <w:r w:rsidR="00FE0292" w:rsidRPr="009E74B3">
              <w:rPr>
                <w:lang w:val="en-GB"/>
              </w:rPr>
              <w:t>housand persons more worked here year-on-year in Q2</w:t>
            </w:r>
            <w:r w:rsidRPr="009E74B3">
              <w:rPr>
                <w:lang w:val="en-GB"/>
              </w:rPr>
              <w:t xml:space="preserve"> – </w:t>
            </w:r>
            <w:r w:rsidR="00FE0292" w:rsidRPr="009E74B3">
              <w:rPr>
                <w:lang w:val="en-GB"/>
              </w:rPr>
              <w:t xml:space="preserve">partially it was an expected effect of the post crisis revival. </w:t>
            </w:r>
            <w:r w:rsidR="0067623E" w:rsidRPr="009E74B3">
              <w:rPr>
                <w:lang w:val="en-GB"/>
              </w:rPr>
              <w:t xml:space="preserve">Activities in the real estate area thrived the most </w:t>
            </w:r>
            <w:r w:rsidRPr="009E74B3">
              <w:rPr>
                <w:lang w:val="en-GB"/>
              </w:rPr>
              <w:t>(+6</w:t>
            </w:r>
            <w:r w:rsidR="0067623E" w:rsidRPr="009E74B3">
              <w:rPr>
                <w:lang w:val="en-GB"/>
              </w:rPr>
              <w:t>.</w:t>
            </w:r>
            <w:r w:rsidRPr="009E74B3">
              <w:rPr>
                <w:lang w:val="en-GB"/>
              </w:rPr>
              <w:t>4%)</w:t>
            </w:r>
            <w:r w:rsidR="0067623E" w:rsidRPr="009E74B3">
              <w:rPr>
                <w:lang w:val="en-GB"/>
              </w:rPr>
              <w:t xml:space="preserve"> similarly to the total for the whole last year</w:t>
            </w:r>
            <w:r w:rsidRPr="009E74B3">
              <w:rPr>
                <w:lang w:val="en-GB"/>
              </w:rPr>
              <w:t xml:space="preserve">. </w:t>
            </w:r>
            <w:r w:rsidR="00686DFB" w:rsidRPr="009E74B3">
              <w:rPr>
                <w:lang w:val="en-GB"/>
              </w:rPr>
              <w:t xml:space="preserve">The vigorous recovery in the area of trade, transportation, accommodation and restaurant, where the levels of employed elevated by 4.1% and mildly also </w:t>
            </w:r>
            <w:r w:rsidR="00A95A5C" w:rsidRPr="009E74B3">
              <w:rPr>
                <w:lang w:val="en-GB"/>
              </w:rPr>
              <w:t>surpassed</w:t>
            </w:r>
            <w:r w:rsidR="00686DFB" w:rsidRPr="009E74B3">
              <w:rPr>
                <w:lang w:val="en-GB"/>
              </w:rPr>
              <w:t xml:space="preserve"> the so far highest value from the pre-crisis period, </w:t>
            </w:r>
            <w:r w:rsidR="00686DFB" w:rsidRPr="009E74B3">
              <w:rPr>
                <w:color w:val="0D0D0D" w:themeColor="text1" w:themeTint="F2"/>
                <w:lang w:val="en-GB"/>
              </w:rPr>
              <w:t>was however decisive for the whole tertiary sector. Growth of employment slightly quickened in the long-time growing public services</w:t>
            </w:r>
            <w:r w:rsidRPr="009E74B3">
              <w:rPr>
                <w:rStyle w:val="Znakapoznpodarou"/>
                <w:lang w:val="en-GB"/>
              </w:rPr>
              <w:footnoteReference w:id="59"/>
            </w:r>
            <w:r w:rsidR="00686DFB" w:rsidRPr="009E74B3">
              <w:rPr>
                <w:color w:val="0D0D0D" w:themeColor="text1" w:themeTint="F2"/>
                <w:lang w:val="en-GB"/>
              </w:rPr>
              <w:t xml:space="preserve"> </w:t>
            </w:r>
            <w:r w:rsidRPr="009E74B3">
              <w:rPr>
                <w:lang w:val="en-GB"/>
              </w:rPr>
              <w:t>(</w:t>
            </w:r>
            <w:r w:rsidR="00686DFB" w:rsidRPr="009E74B3">
              <w:rPr>
                <w:lang w:val="en-GB"/>
              </w:rPr>
              <w:t xml:space="preserve">to even </w:t>
            </w:r>
            <w:r w:rsidRPr="009E74B3">
              <w:rPr>
                <w:lang w:val="en-GB"/>
              </w:rPr>
              <w:t>2%).</w:t>
            </w:r>
            <w:r w:rsidR="00120F97" w:rsidRPr="009E74B3">
              <w:rPr>
                <w:lang w:val="en-GB"/>
              </w:rPr>
              <w:t xml:space="preserve"> The state reacted here to the heightened demand especially in the area of education and health and social work similarly to the previous years.</w:t>
            </w:r>
            <w:r w:rsidRPr="009E74B3">
              <w:rPr>
                <w:lang w:val="en-GB"/>
              </w:rPr>
              <w:t xml:space="preserve"> 3</w:t>
            </w:r>
            <w:r w:rsidR="00120F97" w:rsidRPr="009E74B3">
              <w:rPr>
                <w:lang w:val="en-GB"/>
              </w:rPr>
              <w:t>.</w:t>
            </w:r>
            <w:r w:rsidRPr="009E74B3">
              <w:rPr>
                <w:lang w:val="en-GB"/>
              </w:rPr>
              <w:t>3%</w:t>
            </w:r>
            <w:r w:rsidR="00120F97" w:rsidRPr="009E74B3">
              <w:rPr>
                <w:lang w:val="en-GB"/>
              </w:rPr>
              <w:t xml:space="preserve"> persons more worked in the long-term flourishing information and communication year-on-year, nevertheless only exclusively due to the higher number of employees this year. Progressing digitalisation</w:t>
            </w:r>
            <w:r w:rsidR="00ED0702" w:rsidRPr="009E74B3">
              <w:rPr>
                <w:lang w:val="en-GB"/>
              </w:rPr>
              <w:t xml:space="preserve"> levies a tax on the employment in the financial activities i</w:t>
            </w:r>
            <w:r w:rsidR="00120F97" w:rsidRPr="009E74B3">
              <w:rPr>
                <w:lang w:val="en-GB"/>
              </w:rPr>
              <w:t>n the past years</w:t>
            </w:r>
            <w:r w:rsidRPr="009E74B3">
              <w:rPr>
                <w:lang w:val="en-GB"/>
              </w:rPr>
              <w:t xml:space="preserve">, </w:t>
            </w:r>
            <w:r w:rsidR="00120F97" w:rsidRPr="009E74B3">
              <w:rPr>
                <w:lang w:val="en-GB"/>
              </w:rPr>
              <w:t xml:space="preserve">positions diminish relative more for the small </w:t>
            </w:r>
            <w:r w:rsidR="00ED0702" w:rsidRPr="009E74B3">
              <w:rPr>
                <w:lang w:val="en-GB"/>
              </w:rPr>
              <w:t>entrepreneurs</w:t>
            </w:r>
            <w:r w:rsidR="00120F97" w:rsidRPr="009E74B3">
              <w:rPr>
                <w:lang w:val="en-GB"/>
              </w:rPr>
              <w:t xml:space="preserve"> here. </w:t>
            </w:r>
            <w:r w:rsidR="00ED0702" w:rsidRPr="009E74B3">
              <w:rPr>
                <w:lang w:val="en-GB"/>
              </w:rPr>
              <w:t>Outside the tertiary sector, construction thrived the most, the large stock of public orders was also reflected in the higher employment here in Q</w:t>
            </w:r>
            <w:r w:rsidR="00770AB9" w:rsidRPr="009E74B3">
              <w:rPr>
                <w:lang w:val="en-GB"/>
              </w:rPr>
              <w:t>2</w:t>
            </w:r>
            <w:r w:rsidR="00ED0702" w:rsidRPr="009E74B3">
              <w:rPr>
                <w:lang w:val="en-GB"/>
              </w:rPr>
              <w:t xml:space="preserve"> </w:t>
            </w:r>
            <w:r w:rsidRPr="009E74B3">
              <w:rPr>
                <w:lang w:val="en-GB"/>
              </w:rPr>
              <w:t>(+3</w:t>
            </w:r>
            <w:r w:rsidR="00ED0702" w:rsidRPr="009E74B3">
              <w:rPr>
                <w:lang w:val="en-GB"/>
              </w:rPr>
              <w:t>.</w:t>
            </w:r>
            <w:r w:rsidRPr="009E74B3">
              <w:rPr>
                <w:lang w:val="en-GB"/>
              </w:rPr>
              <w:t>8%),</w:t>
            </w:r>
            <w:r w:rsidR="00ED0702" w:rsidRPr="009E74B3">
              <w:rPr>
                <w:lang w:val="en-GB"/>
              </w:rPr>
              <w:t xml:space="preserve"> also supported by the increase of the number of self-employed.</w:t>
            </w:r>
            <w:r w:rsidR="00D50C95" w:rsidRPr="009E74B3">
              <w:rPr>
                <w:lang w:val="en-GB"/>
              </w:rPr>
              <w:t xml:space="preserve"> Number of workers was expanding in manufacturing already since half of the last year, but only by a slower pace, which was also valid for Q</w:t>
            </w:r>
            <w:r w:rsidRPr="009E74B3">
              <w:rPr>
                <w:lang w:val="en-GB"/>
              </w:rPr>
              <w:t>2</w:t>
            </w:r>
            <w:r w:rsidR="00D50C95" w:rsidRPr="009E74B3">
              <w:rPr>
                <w:lang w:val="en-GB"/>
              </w:rPr>
              <w:t xml:space="preserve"> </w:t>
            </w:r>
            <w:r w:rsidRPr="009E74B3">
              <w:rPr>
                <w:lang w:val="en-GB"/>
              </w:rPr>
              <w:t>(+1</w:t>
            </w:r>
            <w:r w:rsidR="00D50C95" w:rsidRPr="009E74B3">
              <w:rPr>
                <w:lang w:val="en-GB"/>
              </w:rPr>
              <w:t>.</w:t>
            </w:r>
            <w:r w:rsidRPr="009E74B3">
              <w:rPr>
                <w:lang w:val="en-GB"/>
              </w:rPr>
              <w:t>6%). Situa</w:t>
            </w:r>
            <w:r w:rsidR="0005621E" w:rsidRPr="009E74B3">
              <w:rPr>
                <w:lang w:val="en-GB"/>
              </w:rPr>
              <w:t>tion varied in the individual industrial activities, next to the current demand for output, the energy performance of the production as well as the business strategy of individual businesses in the area of securing supplies of energies also likely played a role</w:t>
            </w:r>
            <w:r w:rsidRPr="009E74B3">
              <w:rPr>
                <w:lang w:val="en-GB"/>
              </w:rPr>
              <w:t xml:space="preserve">. </w:t>
            </w:r>
            <w:r w:rsidR="00D50C95" w:rsidRPr="009E74B3">
              <w:rPr>
                <w:lang w:val="en-GB"/>
              </w:rPr>
              <w:t xml:space="preserve">Businesses in industry, construction as well as some </w:t>
            </w:r>
            <w:r w:rsidR="00CD2AF5" w:rsidRPr="009E74B3">
              <w:rPr>
                <w:color w:val="0D0D0D" w:themeColor="text1" w:themeTint="F2"/>
                <w:lang w:val="en-GB"/>
              </w:rPr>
              <w:t>“</w:t>
            </w:r>
            <w:r w:rsidR="00D50C95" w:rsidRPr="009E74B3">
              <w:rPr>
                <w:color w:val="0D0D0D" w:themeColor="text1" w:themeTint="F2"/>
                <w:lang w:val="en-GB"/>
              </w:rPr>
              <w:t>low-income</w:t>
            </w:r>
            <w:r w:rsidR="00CD2AF5" w:rsidRPr="009E74B3">
              <w:rPr>
                <w:color w:val="0D0D0D" w:themeColor="text1" w:themeTint="F2"/>
                <w:lang w:val="en-GB"/>
              </w:rPr>
              <w:t>”</w:t>
            </w:r>
            <w:r w:rsidR="00D50C95" w:rsidRPr="009E74B3">
              <w:rPr>
                <w:color w:val="0D0D0D" w:themeColor="text1" w:themeTint="F2"/>
                <w:lang w:val="en-GB"/>
              </w:rPr>
              <w:t xml:space="preserve"> branches of services to a significant extent </w:t>
            </w:r>
            <w:r w:rsidR="00D50C95" w:rsidRPr="009E74B3">
              <w:rPr>
                <w:color w:val="0D0D0D" w:themeColor="text1" w:themeTint="F2"/>
                <w:lang w:val="en-GB"/>
              </w:rPr>
              <w:lastRenderedPageBreak/>
              <w:t>saturated the demand for available labour force by recruitment</w:t>
            </w:r>
            <w:r w:rsidRPr="009E74B3">
              <w:rPr>
                <w:rStyle w:val="Znakapoznpodarou"/>
                <w:color w:val="0D0D0D" w:themeColor="text1" w:themeTint="F2"/>
                <w:lang w:val="en-GB"/>
              </w:rPr>
              <w:footnoteReference w:id="60"/>
            </w:r>
            <w:r w:rsidRPr="009E74B3">
              <w:rPr>
                <w:color w:val="0D0D0D" w:themeColor="text1" w:themeTint="F2"/>
                <w:lang w:val="en-GB"/>
              </w:rPr>
              <w:t xml:space="preserve">, </w:t>
            </w:r>
            <w:r w:rsidR="00D50C95" w:rsidRPr="009E74B3">
              <w:rPr>
                <w:color w:val="0D0D0D" w:themeColor="text1" w:themeTint="F2"/>
                <w:lang w:val="en-GB"/>
              </w:rPr>
              <w:t>since the reservoir of the local potential labour force was nearly exhausted</w:t>
            </w:r>
            <w:r w:rsidRPr="009E74B3">
              <w:rPr>
                <w:rStyle w:val="Znakapoznpodarou"/>
                <w:color w:val="0D0D0D" w:themeColor="text1" w:themeTint="F2"/>
                <w:lang w:val="en-GB"/>
              </w:rPr>
              <w:footnoteReference w:id="61"/>
            </w:r>
            <w:r w:rsidRPr="009E74B3">
              <w:rPr>
                <w:color w:val="0D0D0D" w:themeColor="text1" w:themeTint="F2"/>
                <w:lang w:val="en-GB"/>
              </w:rPr>
              <w:t>.</w:t>
            </w:r>
          </w:p>
        </w:tc>
      </w:tr>
      <w:tr w:rsidR="000C62C0" w:rsidRPr="00A00994" w14:paraId="083B68D4" w14:textId="77777777" w:rsidTr="00BC060A">
        <w:trPr>
          <w:trHeight w:val="155"/>
        </w:trPr>
        <w:tc>
          <w:tcPr>
            <w:tcW w:w="1739" w:type="dxa"/>
            <w:shd w:val="clear" w:color="auto" w:fill="auto"/>
            <w:tcMar>
              <w:left w:w="0" w:type="dxa"/>
            </w:tcMar>
          </w:tcPr>
          <w:p w14:paraId="1C9B7151" w14:textId="14DEB1B0" w:rsidR="00C118A9" w:rsidRPr="00A00994" w:rsidRDefault="00F73AA6" w:rsidP="00621190">
            <w:pPr>
              <w:pStyle w:val="Marginlie"/>
              <w:spacing w:after="120"/>
              <w:rPr>
                <w:color w:val="0D0D0D" w:themeColor="text1" w:themeTint="F2"/>
                <w:spacing w:val="-4"/>
                <w:lang w:val="en-GB"/>
              </w:rPr>
            </w:pPr>
            <w:r w:rsidRPr="00A00994">
              <w:rPr>
                <w:color w:val="0D0D0D" w:themeColor="text1" w:themeTint="F2"/>
                <w:spacing w:val="-4"/>
                <w:lang w:val="en-GB"/>
              </w:rPr>
              <w:lastRenderedPageBreak/>
              <w:t>Number of hours worked</w:t>
            </w:r>
            <w:r w:rsidR="0092276B" w:rsidRPr="00A00994">
              <w:rPr>
                <w:color w:val="0D0D0D" w:themeColor="text1" w:themeTint="F2"/>
                <w:spacing w:val="-4"/>
                <w:lang w:val="en-GB"/>
              </w:rPr>
              <w:t xml:space="preserve"> only stagnated compared to the beginning of the year. </w:t>
            </w:r>
          </w:p>
        </w:tc>
        <w:tc>
          <w:tcPr>
            <w:tcW w:w="220" w:type="dxa"/>
            <w:shd w:val="clear" w:color="auto" w:fill="auto"/>
            <w:tcMar>
              <w:left w:w="0" w:type="dxa"/>
            </w:tcMar>
          </w:tcPr>
          <w:p w14:paraId="1256E4E1"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A9744E9" w14:textId="3F8BFCC2" w:rsidR="00C118A9" w:rsidRPr="00A00994" w:rsidRDefault="0092276B" w:rsidP="00621190">
            <w:pPr>
              <w:rPr>
                <w:color w:val="0D0D0D" w:themeColor="text1" w:themeTint="F2"/>
                <w:spacing w:val="-4"/>
                <w:lang w:val="en-GB"/>
              </w:rPr>
            </w:pPr>
            <w:r w:rsidRPr="00A00994">
              <w:rPr>
                <w:spacing w:val="-4"/>
                <w:lang w:val="en-GB"/>
              </w:rPr>
              <w:t>Number of hours worked compared to the previous quarter only stagnated in the whole economy in Q</w:t>
            </w:r>
            <w:r w:rsidR="00C118A9" w:rsidRPr="00A00994">
              <w:rPr>
                <w:spacing w:val="-4"/>
                <w:lang w:val="en-GB"/>
              </w:rPr>
              <w:t>2</w:t>
            </w:r>
            <w:r w:rsidRPr="00A00994">
              <w:rPr>
                <w:spacing w:val="-4"/>
                <w:lang w:val="en-GB"/>
              </w:rPr>
              <w:t xml:space="preserve"> </w:t>
            </w:r>
            <w:r w:rsidR="00C118A9" w:rsidRPr="00A00994">
              <w:rPr>
                <w:spacing w:val="-4"/>
                <w:lang w:val="en-GB"/>
              </w:rPr>
              <w:t xml:space="preserve">2022. </w:t>
            </w:r>
            <w:r w:rsidR="0064123E" w:rsidRPr="00A00994">
              <w:rPr>
                <w:spacing w:val="-4"/>
                <w:lang w:val="en-GB"/>
              </w:rPr>
              <w:t xml:space="preserve">The employment growth </w:t>
            </w:r>
            <w:r w:rsidR="00C118A9" w:rsidRPr="00A00994">
              <w:rPr>
                <w:spacing w:val="-4"/>
                <w:lang w:val="en-GB"/>
              </w:rPr>
              <w:t>(</w:t>
            </w:r>
            <w:r w:rsidR="0064123E" w:rsidRPr="00A00994">
              <w:rPr>
                <w:spacing w:val="-4"/>
                <w:lang w:val="en-GB"/>
              </w:rPr>
              <w:t>for natural persons</w:t>
            </w:r>
            <w:r w:rsidR="00C118A9" w:rsidRPr="00A00994">
              <w:rPr>
                <w:spacing w:val="-4"/>
                <w:lang w:val="en-GB"/>
              </w:rPr>
              <w:t>)</w:t>
            </w:r>
            <w:r w:rsidR="0064123E" w:rsidRPr="00A00994">
              <w:rPr>
                <w:spacing w:val="-4"/>
                <w:lang w:val="en-GB"/>
              </w:rPr>
              <w:t xml:space="preserve"> thus presumably came about via higher supply of part-time contracts, alternatively other forms (e.g. contract for work</w:t>
            </w:r>
            <w:r w:rsidR="00C118A9" w:rsidRPr="00A00994">
              <w:rPr>
                <w:spacing w:val="-4"/>
                <w:lang w:val="en-GB"/>
              </w:rPr>
              <w:t xml:space="preserve">), </w:t>
            </w:r>
            <w:r w:rsidR="00253ED9" w:rsidRPr="00A00994">
              <w:rPr>
                <w:spacing w:val="-4"/>
                <w:lang w:val="en-GB"/>
              </w:rPr>
              <w:t xml:space="preserve">which could have been linked to the integration of refuges into the labour market. </w:t>
            </w:r>
            <w:r w:rsidR="00126A48" w:rsidRPr="00A00994">
              <w:rPr>
                <w:spacing w:val="-4"/>
                <w:lang w:val="en-GB"/>
              </w:rPr>
              <w:t xml:space="preserve">The growth of the hours worked was compared to employment nearly double </w:t>
            </w:r>
            <w:r w:rsidR="00C118A9" w:rsidRPr="00A00994">
              <w:rPr>
                <w:spacing w:val="-4"/>
                <w:lang w:val="en-GB"/>
              </w:rPr>
              <w:t>(4</w:t>
            </w:r>
            <w:r w:rsidR="00126A48" w:rsidRPr="00A00994">
              <w:rPr>
                <w:spacing w:val="-4"/>
                <w:lang w:val="en-GB"/>
              </w:rPr>
              <w:t>.</w:t>
            </w:r>
            <w:r w:rsidR="00C118A9" w:rsidRPr="00A00994">
              <w:rPr>
                <w:spacing w:val="-4"/>
                <w:lang w:val="en-GB"/>
              </w:rPr>
              <w:t>8%)</w:t>
            </w:r>
            <w:r w:rsidR="00126A48" w:rsidRPr="00A00994">
              <w:rPr>
                <w:spacing w:val="-4"/>
                <w:lang w:val="en-GB"/>
              </w:rPr>
              <w:t xml:space="preserve"> in the year-on-year comparison</w:t>
            </w:r>
            <w:r w:rsidR="00C118A9" w:rsidRPr="00A00994">
              <w:rPr>
                <w:spacing w:val="-4"/>
                <w:lang w:val="en-GB"/>
              </w:rPr>
              <w:t>,</w:t>
            </w:r>
            <w:r w:rsidR="00126A48" w:rsidRPr="00A00994">
              <w:rPr>
                <w:spacing w:val="-4"/>
                <w:lang w:val="en-GB"/>
              </w:rPr>
              <w:t xml:space="preserve"> </w:t>
            </w:r>
            <w:r w:rsidR="00253ED9" w:rsidRPr="00A00994">
              <w:rPr>
                <w:spacing w:val="-4"/>
                <w:lang w:val="en-GB"/>
              </w:rPr>
              <w:t>s</w:t>
            </w:r>
            <w:r w:rsidR="00126A48" w:rsidRPr="00A00994">
              <w:rPr>
                <w:spacing w:val="-4"/>
                <w:lang w:val="en-GB"/>
              </w:rPr>
              <w:t>ince</w:t>
            </w:r>
            <w:r w:rsidR="00253ED9" w:rsidRPr="00A00994">
              <w:rPr>
                <w:spacing w:val="-4"/>
                <w:lang w:val="en-GB"/>
              </w:rPr>
              <w:t xml:space="preserve"> </w:t>
            </w:r>
            <w:r w:rsidR="00D70700" w:rsidRPr="00A00994">
              <w:rPr>
                <w:spacing w:val="-4"/>
                <w:lang w:val="en-GB"/>
              </w:rPr>
              <w:t>part of servi</w:t>
            </w:r>
            <w:r w:rsidR="008E0C88" w:rsidRPr="00A00994">
              <w:rPr>
                <w:spacing w:val="-4"/>
                <w:lang w:val="en-GB"/>
              </w:rPr>
              <w:t>c</w:t>
            </w:r>
            <w:r w:rsidR="00D70700" w:rsidRPr="00A00994">
              <w:rPr>
                <w:spacing w:val="-4"/>
                <w:lang w:val="en-GB"/>
              </w:rPr>
              <w:t xml:space="preserve">es was still troubled last year in </w:t>
            </w:r>
            <w:r w:rsidR="00DC1A3D">
              <w:rPr>
                <w:spacing w:val="-4"/>
                <w:lang w:val="en-GB"/>
              </w:rPr>
              <w:t>s</w:t>
            </w:r>
            <w:r w:rsidR="00E846B0" w:rsidRPr="00A00994">
              <w:rPr>
                <w:spacing w:val="-4"/>
                <w:lang w:val="en-GB"/>
              </w:rPr>
              <w:t>pring</w:t>
            </w:r>
            <w:r w:rsidR="00D70700" w:rsidRPr="00A00994">
              <w:rPr>
                <w:spacing w:val="-4"/>
                <w:lang w:val="en-GB"/>
              </w:rPr>
              <w:t>, due to the</w:t>
            </w:r>
            <w:r w:rsidR="008E0C88" w:rsidRPr="00A00994">
              <w:rPr>
                <w:spacing w:val="-4"/>
                <w:lang w:val="en-GB"/>
              </w:rPr>
              <w:t xml:space="preserve"> aftermath of the counter pandemic measures, by a weak demand</w:t>
            </w:r>
            <w:r w:rsidR="00C118A9" w:rsidRPr="00A00994">
              <w:rPr>
                <w:rStyle w:val="Znakapoznpodarou"/>
                <w:spacing w:val="-4"/>
                <w:lang w:val="en-GB"/>
              </w:rPr>
              <w:footnoteReference w:id="62"/>
            </w:r>
            <w:r w:rsidR="00C118A9" w:rsidRPr="00A00994">
              <w:rPr>
                <w:spacing w:val="-4"/>
                <w:lang w:val="en-GB"/>
              </w:rPr>
              <w:t xml:space="preserve">. </w:t>
            </w:r>
          </w:p>
        </w:tc>
      </w:tr>
      <w:tr w:rsidR="000C62C0" w:rsidRPr="00A00994" w14:paraId="4A8BBBE3" w14:textId="77777777" w:rsidTr="00BC060A">
        <w:trPr>
          <w:trHeight w:val="155"/>
        </w:trPr>
        <w:tc>
          <w:tcPr>
            <w:tcW w:w="1739" w:type="dxa"/>
            <w:vMerge w:val="restart"/>
            <w:shd w:val="clear" w:color="auto" w:fill="auto"/>
            <w:tcMar>
              <w:left w:w="0" w:type="dxa"/>
            </w:tcMar>
          </w:tcPr>
          <w:p w14:paraId="6A3139BF" w14:textId="77777777" w:rsidR="00C118A9" w:rsidRPr="00A00994" w:rsidRDefault="00C118A9" w:rsidP="00621190">
            <w:pPr>
              <w:pStyle w:val="Marginlie"/>
              <w:spacing w:after="120"/>
              <w:rPr>
                <w:spacing w:val="-4"/>
                <w:lang w:val="en-GB"/>
              </w:rPr>
            </w:pPr>
          </w:p>
        </w:tc>
        <w:tc>
          <w:tcPr>
            <w:tcW w:w="220" w:type="dxa"/>
            <w:vMerge w:val="restart"/>
            <w:shd w:val="clear" w:color="auto" w:fill="auto"/>
            <w:tcMar>
              <w:left w:w="0" w:type="dxa"/>
            </w:tcMar>
          </w:tcPr>
          <w:p w14:paraId="7D813F15" w14:textId="77777777" w:rsidR="00C118A9" w:rsidRPr="00A00994" w:rsidRDefault="00C118A9" w:rsidP="00621190">
            <w:pPr>
              <w:pStyle w:val="Textpoznpodarou"/>
              <w:spacing w:after="120"/>
              <w:jc w:val="both"/>
              <w:rPr>
                <w:spacing w:val="-4"/>
                <w:lang w:val="en-GB"/>
              </w:rPr>
            </w:pPr>
          </w:p>
        </w:tc>
        <w:tc>
          <w:tcPr>
            <w:tcW w:w="7715" w:type="dxa"/>
            <w:shd w:val="clear" w:color="auto" w:fill="auto"/>
            <w:tcMar>
              <w:left w:w="0" w:type="dxa"/>
            </w:tcMar>
          </w:tcPr>
          <w:p w14:paraId="625DFBA4" w14:textId="28CAE28D" w:rsidR="00C118A9" w:rsidRPr="001D4E19" w:rsidRDefault="00D50C95" w:rsidP="00621190">
            <w:pPr>
              <w:spacing w:after="0"/>
              <w:rPr>
                <w:spacing w:val="-3"/>
                <w:szCs w:val="20"/>
                <w:lang w:val="en-GB"/>
              </w:rPr>
            </w:pPr>
            <w:r w:rsidRPr="001D4E19">
              <w:rPr>
                <w:rFonts w:cs="Arial"/>
                <w:b/>
                <w:bCs/>
                <w:color w:val="000000"/>
                <w:spacing w:val="-3"/>
                <w:szCs w:val="20"/>
                <w:lang w:val="en-GB"/>
              </w:rPr>
              <w:t xml:space="preserve">Chart </w:t>
            </w:r>
            <w:r w:rsidR="00C118A9" w:rsidRPr="001D4E19">
              <w:rPr>
                <w:rFonts w:cs="Arial"/>
                <w:b/>
                <w:bCs/>
                <w:color w:val="000000"/>
                <w:spacing w:val="-3"/>
                <w:szCs w:val="20"/>
                <w:lang w:val="en-GB"/>
              </w:rPr>
              <w:t xml:space="preserve">13 </w:t>
            </w:r>
            <w:r w:rsidR="00B233BF" w:rsidRPr="001D4E19">
              <w:rPr>
                <w:rFonts w:cs="Arial"/>
                <w:b/>
                <w:bCs/>
                <w:color w:val="000000"/>
                <w:spacing w:val="-3"/>
                <w:szCs w:val="20"/>
                <w:lang w:val="en-GB"/>
              </w:rPr>
              <w:t xml:space="preserve">Total employment </w:t>
            </w:r>
            <w:r w:rsidR="00B233BF" w:rsidRPr="001D4E19">
              <w:rPr>
                <w:rFonts w:cs="Arial"/>
                <w:color w:val="000000"/>
                <w:spacing w:val="-3"/>
                <w:szCs w:val="20"/>
                <w:lang w:val="en-GB"/>
              </w:rPr>
              <w:t>(year-on-year in %),</w:t>
            </w:r>
            <w:r w:rsidR="00B233BF" w:rsidRPr="001D4E19">
              <w:rPr>
                <w:rFonts w:cs="Arial"/>
                <w:b/>
                <w:bCs/>
                <w:color w:val="000000"/>
                <w:spacing w:val="-3"/>
                <w:szCs w:val="20"/>
                <w:lang w:val="en-GB"/>
              </w:rPr>
              <w:t xml:space="preserve"> contributions of branches to year-on-year change of employment </w:t>
            </w:r>
            <w:r w:rsidR="00B233BF" w:rsidRPr="001D4E19">
              <w:rPr>
                <w:rFonts w:cs="Arial"/>
                <w:color w:val="000000"/>
                <w:spacing w:val="-3"/>
                <w:szCs w:val="20"/>
                <w:lang w:val="en-GB"/>
              </w:rPr>
              <w:t>(in p.p.)</w:t>
            </w:r>
            <w:r w:rsidR="00B233BF" w:rsidRPr="001D4E19">
              <w:rPr>
                <w:rFonts w:cs="Arial"/>
                <w:b/>
                <w:bCs/>
                <w:color w:val="000000"/>
                <w:spacing w:val="-3"/>
                <w:szCs w:val="20"/>
                <w:lang w:val="en-GB"/>
              </w:rPr>
              <w:t xml:space="preserve"> and expectations of employment </w:t>
            </w:r>
            <w:r w:rsidR="00B233BF" w:rsidRPr="001D4E19">
              <w:rPr>
                <w:rFonts w:cs="Arial"/>
                <w:color w:val="000000"/>
                <w:spacing w:val="-3"/>
                <w:szCs w:val="20"/>
                <w:lang w:val="en-GB"/>
              </w:rPr>
              <w:t>development (balance in p. p.)</w:t>
            </w:r>
          </w:p>
        </w:tc>
      </w:tr>
      <w:tr w:rsidR="000C62C0" w:rsidRPr="00A00994" w14:paraId="530245E7" w14:textId="77777777" w:rsidTr="00BC060A">
        <w:tblPrEx>
          <w:tblCellMar>
            <w:left w:w="70" w:type="dxa"/>
            <w:right w:w="70" w:type="dxa"/>
          </w:tblCellMar>
        </w:tblPrEx>
        <w:trPr>
          <w:trHeight w:val="155"/>
        </w:trPr>
        <w:tc>
          <w:tcPr>
            <w:tcW w:w="1739" w:type="dxa"/>
            <w:vMerge/>
            <w:shd w:val="clear" w:color="auto" w:fill="auto"/>
          </w:tcPr>
          <w:p w14:paraId="6DB3D039" w14:textId="77777777" w:rsidR="00C118A9" w:rsidRPr="00A00994" w:rsidRDefault="00C118A9" w:rsidP="00621190">
            <w:pPr>
              <w:pStyle w:val="Marginlie"/>
              <w:spacing w:after="120"/>
              <w:rPr>
                <w:spacing w:val="-4"/>
                <w:lang w:val="en-GB"/>
              </w:rPr>
            </w:pPr>
          </w:p>
        </w:tc>
        <w:tc>
          <w:tcPr>
            <w:tcW w:w="220" w:type="dxa"/>
            <w:vMerge/>
            <w:shd w:val="clear" w:color="auto" w:fill="auto"/>
          </w:tcPr>
          <w:p w14:paraId="264815F7" w14:textId="77777777" w:rsidR="00C118A9" w:rsidRPr="00A00994" w:rsidRDefault="00C118A9" w:rsidP="00621190">
            <w:pPr>
              <w:pStyle w:val="Textpoznpodarou"/>
              <w:spacing w:after="120"/>
              <w:jc w:val="both"/>
              <w:rPr>
                <w:spacing w:val="-4"/>
                <w:lang w:val="en-GB"/>
              </w:rPr>
            </w:pPr>
          </w:p>
        </w:tc>
        <w:tc>
          <w:tcPr>
            <w:tcW w:w="7715" w:type="dxa"/>
            <w:shd w:val="clear" w:color="auto" w:fill="auto"/>
          </w:tcPr>
          <w:p w14:paraId="367F76ED" w14:textId="548CBB04" w:rsidR="00C118A9" w:rsidRPr="00A00994" w:rsidRDefault="00822490" w:rsidP="00621190">
            <w:pPr>
              <w:spacing w:after="0"/>
              <w:rPr>
                <w:spacing w:val="-4"/>
                <w:lang w:val="en-GB"/>
              </w:rPr>
            </w:pPr>
            <w:r>
              <w:rPr>
                <w:noProof/>
              </w:rPr>
              <w:drawing>
                <wp:inline distT="0" distB="0" distL="0" distR="0" wp14:anchorId="35EF6657" wp14:editId="053FC199">
                  <wp:extent cx="4683125" cy="3657600"/>
                  <wp:effectExtent l="0" t="0" r="317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0C62C0" w:rsidRPr="00A00994" w14:paraId="6D35B739" w14:textId="77777777" w:rsidTr="00BC060A">
        <w:trPr>
          <w:trHeight w:val="671"/>
        </w:trPr>
        <w:tc>
          <w:tcPr>
            <w:tcW w:w="1739" w:type="dxa"/>
            <w:vMerge/>
            <w:shd w:val="clear" w:color="auto" w:fill="auto"/>
            <w:tcMar>
              <w:left w:w="0" w:type="dxa"/>
            </w:tcMar>
          </w:tcPr>
          <w:p w14:paraId="194086A9" w14:textId="77777777" w:rsidR="00C118A9" w:rsidRPr="00A00994" w:rsidRDefault="00C118A9" w:rsidP="00621190">
            <w:pPr>
              <w:pStyle w:val="Marginlie"/>
              <w:spacing w:after="120"/>
              <w:rPr>
                <w:spacing w:val="-4"/>
                <w:lang w:val="en-GB"/>
              </w:rPr>
            </w:pPr>
          </w:p>
        </w:tc>
        <w:tc>
          <w:tcPr>
            <w:tcW w:w="220" w:type="dxa"/>
            <w:vMerge/>
            <w:shd w:val="clear" w:color="auto" w:fill="auto"/>
            <w:tcMar>
              <w:left w:w="0" w:type="dxa"/>
            </w:tcMar>
          </w:tcPr>
          <w:p w14:paraId="5B7ACFC5" w14:textId="77777777" w:rsidR="00C118A9" w:rsidRPr="00A00994" w:rsidRDefault="00C118A9" w:rsidP="00621190">
            <w:pPr>
              <w:pStyle w:val="Textpoznpodarou"/>
              <w:spacing w:after="120"/>
              <w:jc w:val="both"/>
              <w:rPr>
                <w:spacing w:val="-4"/>
                <w:lang w:val="en-GB"/>
              </w:rPr>
            </w:pPr>
          </w:p>
        </w:tc>
        <w:tc>
          <w:tcPr>
            <w:tcW w:w="7715" w:type="dxa"/>
            <w:shd w:val="clear" w:color="auto" w:fill="auto"/>
            <w:tcMar>
              <w:left w:w="0" w:type="dxa"/>
            </w:tcMar>
          </w:tcPr>
          <w:p w14:paraId="11819242" w14:textId="21EC63BC" w:rsidR="00C118A9" w:rsidRPr="00A00994" w:rsidRDefault="00C118A9" w:rsidP="00621190">
            <w:pPr>
              <w:spacing w:after="0" w:line="240" w:lineRule="auto"/>
              <w:rPr>
                <w:rFonts w:cs="Arial"/>
                <w:sz w:val="14"/>
                <w:szCs w:val="14"/>
                <w:lang w:val="en-GB"/>
              </w:rPr>
            </w:pPr>
            <w:r w:rsidRPr="00A00994">
              <w:rPr>
                <w:rFonts w:cs="Arial"/>
                <w:color w:val="0D0D0D" w:themeColor="text1" w:themeTint="F2"/>
                <w:spacing w:val="-2"/>
                <w:sz w:val="14"/>
                <w:szCs w:val="14"/>
                <w:lang w:val="en-GB"/>
              </w:rPr>
              <w:t>*</w:t>
            </w:r>
            <w:r w:rsidRPr="00A00994">
              <w:rPr>
                <w:rFonts w:cs="Arial"/>
                <w:sz w:val="14"/>
                <w:szCs w:val="14"/>
                <w:lang w:val="en-GB"/>
              </w:rPr>
              <w:t xml:space="preserve"> </w:t>
            </w:r>
            <w:r w:rsidR="00B233BF" w:rsidRPr="00A00994">
              <w:rPr>
                <w:rFonts w:cs="Arial"/>
                <w:sz w:val="14"/>
                <w:szCs w:val="14"/>
                <w:lang w:val="en-GB"/>
              </w:rPr>
              <w:t xml:space="preserve">Mining and energetics; Financial and insurance activities; Real estate activities; Arts, entertainment and recreation activities. </w:t>
            </w:r>
          </w:p>
          <w:p w14:paraId="32D4B1B6" w14:textId="63FBA970" w:rsidR="00C118A9" w:rsidRPr="00A00994" w:rsidRDefault="00B233BF" w:rsidP="00621190">
            <w:pPr>
              <w:spacing w:after="0" w:line="240" w:lineRule="auto"/>
              <w:rPr>
                <w:rFonts w:cs="Arial"/>
                <w:sz w:val="14"/>
                <w:szCs w:val="14"/>
                <w:lang w:val="en-GB"/>
              </w:rPr>
            </w:pPr>
            <w:r w:rsidRPr="00A00994">
              <w:rPr>
                <w:rFonts w:cs="Arial"/>
                <w:sz w:val="14"/>
                <w:szCs w:val="14"/>
                <w:lang w:val="en-GB"/>
              </w:rPr>
              <w:t>Note</w:t>
            </w:r>
            <w:r w:rsidR="00C118A9" w:rsidRPr="00A00994">
              <w:rPr>
                <w:rFonts w:cs="Arial"/>
                <w:sz w:val="14"/>
                <w:szCs w:val="14"/>
                <w:lang w:val="en-GB"/>
              </w:rPr>
              <w:t xml:space="preserve">: </w:t>
            </w:r>
            <w:r w:rsidRPr="00A00994">
              <w:rPr>
                <w:rFonts w:cs="Arial"/>
                <w:sz w:val="14"/>
                <w:szCs w:val="14"/>
                <w:lang w:val="en-GB"/>
              </w:rPr>
              <w:t xml:space="preserve">Balance of expectations expresses the difference in p.p. between categories growth vs. decrease of employment in the nearest three months. Data are seasonally adjusted and relate to the second month of the given quarter. </w:t>
            </w:r>
          </w:p>
          <w:p w14:paraId="24B274C0" w14:textId="7EC1269D" w:rsidR="00B233BF" w:rsidRPr="00822490" w:rsidRDefault="00B233BF" w:rsidP="00822490">
            <w:pPr>
              <w:spacing w:after="200" w:line="240" w:lineRule="auto"/>
              <w:rPr>
                <w:rFonts w:cs="Arial"/>
                <w:sz w:val="14"/>
                <w:szCs w:val="14"/>
                <w:lang w:val="en-GB"/>
              </w:rPr>
            </w:pPr>
            <w:r w:rsidRPr="00A00994">
              <w:rPr>
                <w:rFonts w:cs="Arial"/>
                <w:sz w:val="14"/>
                <w:szCs w:val="14"/>
                <w:lang w:val="en-GB"/>
              </w:rPr>
              <w:t>Source</w:t>
            </w:r>
            <w:r w:rsidR="00C118A9" w:rsidRPr="00A00994">
              <w:rPr>
                <w:rFonts w:cs="Arial"/>
                <w:sz w:val="14"/>
                <w:szCs w:val="14"/>
                <w:lang w:val="en-GB"/>
              </w:rPr>
              <w:t xml:space="preserve">: </w:t>
            </w:r>
            <w:r w:rsidRPr="00A00994">
              <w:rPr>
                <w:rFonts w:cs="Arial"/>
                <w:sz w:val="14"/>
                <w:szCs w:val="14"/>
                <w:lang w:val="en-GB"/>
              </w:rPr>
              <w:t>CZSO</w:t>
            </w:r>
            <w:r w:rsidR="00C118A9" w:rsidRPr="00A00994">
              <w:rPr>
                <w:rFonts w:cs="Arial"/>
                <w:sz w:val="14"/>
                <w:szCs w:val="14"/>
                <w:lang w:val="en-GB"/>
              </w:rPr>
              <w:t>, Eurostat (</w:t>
            </w:r>
            <w:r w:rsidRPr="00A00994">
              <w:rPr>
                <w:rFonts w:cs="Arial"/>
                <w:sz w:val="14"/>
                <w:szCs w:val="14"/>
                <w:lang w:val="en-GB"/>
              </w:rPr>
              <w:t>LFSS</w:t>
            </w:r>
            <w:r w:rsidR="00C118A9" w:rsidRPr="00A00994">
              <w:rPr>
                <w:rFonts w:cs="Arial"/>
                <w:sz w:val="14"/>
                <w:szCs w:val="14"/>
                <w:lang w:val="en-GB"/>
              </w:rPr>
              <w:t xml:space="preserve">, </w:t>
            </w:r>
            <w:r w:rsidRPr="00A00994">
              <w:rPr>
                <w:rFonts w:cs="Arial"/>
                <w:sz w:val="14"/>
                <w:szCs w:val="14"/>
                <w:lang w:val="en-GB"/>
              </w:rPr>
              <w:t>business cycle surveys</w:t>
            </w:r>
            <w:r w:rsidR="00822490">
              <w:rPr>
                <w:rFonts w:cs="Arial"/>
                <w:sz w:val="14"/>
                <w:szCs w:val="14"/>
                <w:lang w:val="en-GB"/>
              </w:rPr>
              <w:t>)</w:t>
            </w:r>
          </w:p>
        </w:tc>
      </w:tr>
      <w:tr w:rsidR="000C62C0" w:rsidRPr="00A00994" w14:paraId="79E657FA" w14:textId="77777777" w:rsidTr="00BC060A">
        <w:trPr>
          <w:trHeight w:val="145"/>
        </w:trPr>
        <w:tc>
          <w:tcPr>
            <w:tcW w:w="1739" w:type="dxa"/>
            <w:shd w:val="clear" w:color="auto" w:fill="auto"/>
            <w:tcMar>
              <w:left w:w="0" w:type="dxa"/>
            </w:tcMar>
          </w:tcPr>
          <w:p w14:paraId="40C2FEDE" w14:textId="5E80F93E" w:rsidR="00C118A9" w:rsidRPr="00A00994" w:rsidRDefault="007B561F" w:rsidP="00621190">
            <w:pPr>
              <w:pStyle w:val="Marginlie"/>
              <w:rPr>
                <w:color w:val="0D0D0D" w:themeColor="text1" w:themeTint="F2"/>
                <w:spacing w:val="-5"/>
                <w:lang w:val="en-GB"/>
              </w:rPr>
            </w:pPr>
            <w:r w:rsidRPr="00A00994">
              <w:rPr>
                <w:spacing w:val="-4"/>
                <w:lang w:val="en-GB"/>
              </w:rPr>
              <w:t>Employment grew similarly to the CR in the EU in Q2</w:t>
            </w:r>
            <w:r w:rsidR="00C118A9" w:rsidRPr="00A00994">
              <w:rPr>
                <w:spacing w:val="-4"/>
                <w:lang w:val="en-GB"/>
              </w:rPr>
              <w:t xml:space="preserve"> 2022</w:t>
            </w:r>
            <w:r w:rsidRPr="00A00994">
              <w:rPr>
                <w:spacing w:val="-4"/>
                <w:lang w:val="en-GB"/>
              </w:rPr>
              <w:t xml:space="preserve">, it </w:t>
            </w:r>
            <w:r w:rsidRPr="00A00994">
              <w:rPr>
                <w:spacing w:val="-4"/>
                <w:lang w:val="en-GB"/>
              </w:rPr>
              <w:lastRenderedPageBreak/>
              <w:t xml:space="preserve">however recovered faster for the whole pandemic period. </w:t>
            </w:r>
          </w:p>
        </w:tc>
        <w:tc>
          <w:tcPr>
            <w:tcW w:w="220" w:type="dxa"/>
            <w:shd w:val="clear" w:color="auto" w:fill="auto"/>
            <w:tcMar>
              <w:left w:w="0" w:type="dxa"/>
            </w:tcMar>
          </w:tcPr>
          <w:p w14:paraId="13B8598D"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25033F7" w14:textId="17C7ABB1" w:rsidR="00C118A9" w:rsidRPr="00A00994" w:rsidRDefault="007B561F" w:rsidP="00621190">
            <w:pPr>
              <w:spacing w:after="200"/>
              <w:rPr>
                <w:color w:val="1D1B11" w:themeColor="background2" w:themeShade="1A"/>
                <w:spacing w:val="-4"/>
                <w:lang w:val="en-GB"/>
              </w:rPr>
            </w:pPr>
            <w:r w:rsidRPr="00A00994">
              <w:rPr>
                <w:spacing w:val="-4"/>
                <w:lang w:val="en-GB"/>
              </w:rPr>
              <w:t>Renewed economic growth accompanied by high demand of businesses for labour force was favourably reflected in the employment also in the EU</w:t>
            </w:r>
            <w:r w:rsidR="00C118A9" w:rsidRPr="00A00994">
              <w:rPr>
                <w:spacing w:val="-4"/>
                <w:lang w:val="en-GB"/>
              </w:rPr>
              <w:t xml:space="preserve">. </w:t>
            </w:r>
            <w:r w:rsidR="00D86677" w:rsidRPr="00A00994">
              <w:rPr>
                <w:spacing w:val="-4"/>
                <w:lang w:val="en-GB"/>
              </w:rPr>
              <w:t xml:space="preserve">It increased by </w:t>
            </w:r>
            <w:r w:rsidR="00C118A9" w:rsidRPr="00A00994">
              <w:rPr>
                <w:spacing w:val="-4"/>
                <w:lang w:val="en-GB"/>
              </w:rPr>
              <w:t>0</w:t>
            </w:r>
            <w:r w:rsidR="00D86677" w:rsidRPr="00A00994">
              <w:rPr>
                <w:spacing w:val="-4"/>
                <w:lang w:val="en-GB"/>
              </w:rPr>
              <w:t>.</w:t>
            </w:r>
            <w:r w:rsidR="00C118A9" w:rsidRPr="00A00994">
              <w:rPr>
                <w:spacing w:val="-4"/>
                <w:lang w:val="en-GB"/>
              </w:rPr>
              <w:t>5%</w:t>
            </w:r>
            <w:r w:rsidR="00D86677" w:rsidRPr="00A00994">
              <w:rPr>
                <w:spacing w:val="-4"/>
                <w:lang w:val="en-GB"/>
              </w:rPr>
              <w:t xml:space="preserve"> quarter-on-quarter in Q2 and by </w:t>
            </w:r>
            <w:r w:rsidR="00C118A9" w:rsidRPr="00A00994">
              <w:rPr>
                <w:spacing w:val="-4"/>
                <w:lang w:val="en-GB"/>
              </w:rPr>
              <w:t>2</w:t>
            </w:r>
            <w:r w:rsidR="00D86677" w:rsidRPr="00A00994">
              <w:rPr>
                <w:spacing w:val="-4"/>
                <w:lang w:val="en-GB"/>
              </w:rPr>
              <w:t>.</w:t>
            </w:r>
            <w:r w:rsidR="00C118A9" w:rsidRPr="00A00994">
              <w:rPr>
                <w:spacing w:val="-4"/>
                <w:lang w:val="en-GB"/>
              </w:rPr>
              <w:t>2%</w:t>
            </w:r>
            <w:r w:rsidR="00D86677" w:rsidRPr="00A00994">
              <w:rPr>
                <w:spacing w:val="-4"/>
                <w:lang w:val="en-GB"/>
              </w:rPr>
              <w:t xml:space="preserve"> compared to the same period of the last year</w:t>
            </w:r>
            <w:r w:rsidR="00C118A9" w:rsidRPr="00A00994">
              <w:rPr>
                <w:spacing w:val="-4"/>
                <w:lang w:val="en-GB"/>
              </w:rPr>
              <w:t xml:space="preserve">. </w:t>
            </w:r>
            <w:r w:rsidR="00471533" w:rsidRPr="00A00994">
              <w:rPr>
                <w:spacing w:val="-4"/>
                <w:lang w:val="en-GB"/>
              </w:rPr>
              <w:t xml:space="preserve">Year-on-year, in </w:t>
            </w:r>
            <w:r w:rsidR="00471533" w:rsidRPr="00A00994">
              <w:rPr>
                <w:spacing w:val="-4"/>
                <w:lang w:val="en-GB"/>
              </w:rPr>
              <w:lastRenderedPageBreak/>
              <w:t xml:space="preserve">rose the most in Ireland </w:t>
            </w:r>
            <w:r w:rsidR="00C118A9" w:rsidRPr="00A00994">
              <w:rPr>
                <w:spacing w:val="-4"/>
                <w:lang w:val="en-GB"/>
              </w:rPr>
              <w:t>(8</w:t>
            </w:r>
            <w:r w:rsidR="00471533" w:rsidRPr="00A00994">
              <w:rPr>
                <w:spacing w:val="-4"/>
                <w:lang w:val="en-GB"/>
              </w:rPr>
              <w:t>.</w:t>
            </w:r>
            <w:r w:rsidR="00C118A9" w:rsidRPr="00A00994">
              <w:rPr>
                <w:spacing w:val="-4"/>
                <w:lang w:val="en-GB"/>
              </w:rPr>
              <w:t>8%), L</w:t>
            </w:r>
            <w:r w:rsidR="00471533" w:rsidRPr="00A00994">
              <w:rPr>
                <w:spacing w:val="-4"/>
                <w:lang w:val="en-GB"/>
              </w:rPr>
              <w:t xml:space="preserve">ithuania </w:t>
            </w:r>
            <w:r w:rsidR="00C118A9" w:rsidRPr="00A00994">
              <w:rPr>
                <w:spacing w:val="-4"/>
                <w:lang w:val="en-GB"/>
              </w:rPr>
              <w:t>(6</w:t>
            </w:r>
            <w:r w:rsidR="00471533" w:rsidRPr="00A00994">
              <w:rPr>
                <w:spacing w:val="-4"/>
                <w:lang w:val="en-GB"/>
              </w:rPr>
              <w:t>.</w:t>
            </w:r>
            <w:r w:rsidR="00C118A9" w:rsidRPr="00A00994">
              <w:rPr>
                <w:spacing w:val="-4"/>
                <w:lang w:val="en-GB"/>
              </w:rPr>
              <w:t>6%) a</w:t>
            </w:r>
            <w:r w:rsidR="00471533" w:rsidRPr="00A00994">
              <w:rPr>
                <w:spacing w:val="-4"/>
                <w:lang w:val="en-GB"/>
              </w:rPr>
              <w:t xml:space="preserve">nd Estonia </w:t>
            </w:r>
            <w:r w:rsidR="00C118A9" w:rsidRPr="00A00994">
              <w:rPr>
                <w:spacing w:val="-4"/>
                <w:lang w:val="en-GB"/>
              </w:rPr>
              <w:t>(5</w:t>
            </w:r>
            <w:r w:rsidR="00471533" w:rsidRPr="00A00994">
              <w:rPr>
                <w:spacing w:val="-4"/>
                <w:lang w:val="en-GB"/>
              </w:rPr>
              <w:t>.</w:t>
            </w:r>
            <w:r w:rsidR="00C118A9" w:rsidRPr="00A00994">
              <w:rPr>
                <w:spacing w:val="-4"/>
                <w:lang w:val="en-GB"/>
              </w:rPr>
              <w:t xml:space="preserve">6%), </w:t>
            </w:r>
            <w:r w:rsidR="00471533" w:rsidRPr="00A00994">
              <w:rPr>
                <w:spacing w:val="-4"/>
                <w:lang w:val="en-GB"/>
              </w:rPr>
              <w:t>among more significant economic</w:t>
            </w:r>
            <w:r w:rsidR="00E25304" w:rsidRPr="00A00994">
              <w:rPr>
                <w:spacing w:val="-4"/>
                <w:lang w:val="en-GB"/>
              </w:rPr>
              <w:t>s</w:t>
            </w:r>
            <w:r w:rsidR="00471533" w:rsidRPr="00A00994">
              <w:rPr>
                <w:spacing w:val="-4"/>
                <w:lang w:val="en-GB"/>
              </w:rPr>
              <w:t xml:space="preserve"> then in Spain </w:t>
            </w:r>
            <w:r w:rsidR="00464BF5" w:rsidRPr="00A00994">
              <w:rPr>
                <w:spacing w:val="-4"/>
                <w:lang w:val="en-GB"/>
              </w:rPr>
              <w:t>(3</w:t>
            </w:r>
            <w:r w:rsidR="00471533" w:rsidRPr="00A00994">
              <w:rPr>
                <w:spacing w:val="-4"/>
                <w:lang w:val="en-GB"/>
              </w:rPr>
              <w:t>.</w:t>
            </w:r>
            <w:r w:rsidR="00464BF5" w:rsidRPr="00A00994">
              <w:rPr>
                <w:spacing w:val="-4"/>
                <w:lang w:val="en-GB"/>
              </w:rPr>
              <w:t>8</w:t>
            </w:r>
            <w:r w:rsidR="00C118A9" w:rsidRPr="00A00994">
              <w:rPr>
                <w:spacing w:val="-4"/>
                <w:lang w:val="en-GB"/>
              </w:rPr>
              <w:t>%),</w:t>
            </w:r>
            <w:r w:rsidR="00471533" w:rsidRPr="00A00994">
              <w:rPr>
                <w:spacing w:val="-4"/>
                <w:lang w:val="en-GB"/>
              </w:rPr>
              <w:t xml:space="preserve"> the least on contrary in Poland </w:t>
            </w:r>
            <w:r w:rsidR="00C118A9" w:rsidRPr="00A00994">
              <w:rPr>
                <w:spacing w:val="-4"/>
                <w:lang w:val="en-GB"/>
              </w:rPr>
              <w:t>(1</w:t>
            </w:r>
            <w:r w:rsidR="00471533" w:rsidRPr="00A00994">
              <w:rPr>
                <w:spacing w:val="-4"/>
                <w:lang w:val="en-GB"/>
              </w:rPr>
              <w:t>.</w:t>
            </w:r>
            <w:r w:rsidR="00C118A9" w:rsidRPr="00A00994">
              <w:rPr>
                <w:spacing w:val="-4"/>
                <w:lang w:val="en-GB"/>
              </w:rPr>
              <w:t>0%), L</w:t>
            </w:r>
            <w:r w:rsidR="002A5D3A" w:rsidRPr="00A00994">
              <w:rPr>
                <w:spacing w:val="-4"/>
                <w:lang w:val="en-GB"/>
              </w:rPr>
              <w:t xml:space="preserve">atvia </w:t>
            </w:r>
            <w:r w:rsidR="00C118A9" w:rsidRPr="00A00994">
              <w:rPr>
                <w:spacing w:val="-4"/>
                <w:lang w:val="en-GB"/>
              </w:rPr>
              <w:t>(1</w:t>
            </w:r>
            <w:r w:rsidR="002A5D3A" w:rsidRPr="00A00994">
              <w:rPr>
                <w:spacing w:val="-4"/>
                <w:lang w:val="en-GB"/>
              </w:rPr>
              <w:t>.</w:t>
            </w:r>
            <w:r w:rsidR="00C118A9" w:rsidRPr="00A00994">
              <w:rPr>
                <w:spacing w:val="-4"/>
                <w:lang w:val="en-GB"/>
              </w:rPr>
              <w:t>2%)</w:t>
            </w:r>
            <w:r w:rsidR="002A5D3A" w:rsidRPr="00A00994">
              <w:rPr>
                <w:spacing w:val="-4"/>
                <w:lang w:val="en-GB"/>
              </w:rPr>
              <w:t xml:space="preserve"> and Germany </w:t>
            </w:r>
            <w:r w:rsidR="00C118A9" w:rsidRPr="00A00994">
              <w:rPr>
                <w:spacing w:val="-4"/>
                <w:lang w:val="en-GB"/>
              </w:rPr>
              <w:t>(1</w:t>
            </w:r>
            <w:r w:rsidR="002A5D3A" w:rsidRPr="00A00994">
              <w:rPr>
                <w:spacing w:val="-4"/>
                <w:lang w:val="en-GB"/>
              </w:rPr>
              <w:t>.</w:t>
            </w:r>
            <w:r w:rsidR="00C118A9" w:rsidRPr="00A00994">
              <w:rPr>
                <w:spacing w:val="-4"/>
                <w:lang w:val="en-GB"/>
              </w:rPr>
              <w:t xml:space="preserve">5%). </w:t>
            </w:r>
            <w:r w:rsidR="002A5D3A" w:rsidRPr="00A00994">
              <w:rPr>
                <w:spacing w:val="-4"/>
                <w:lang w:val="en-GB"/>
              </w:rPr>
              <w:t xml:space="preserve">Despite relatively low weight of services, the Czech economy belonged to a distinctive minority within the EU, </w:t>
            </w:r>
            <w:r w:rsidR="00743DB7" w:rsidRPr="00A00994">
              <w:rPr>
                <w:spacing w:val="-4"/>
                <w:lang w:val="en-GB"/>
              </w:rPr>
              <w:t xml:space="preserve">where the precrisis level of employment </w:t>
            </w:r>
            <w:r w:rsidR="00C118A9" w:rsidRPr="00A00994">
              <w:rPr>
                <w:spacing w:val="-4"/>
                <w:lang w:val="en-GB"/>
              </w:rPr>
              <w:t>(</w:t>
            </w:r>
            <w:r w:rsidR="00743DB7" w:rsidRPr="00A00994">
              <w:rPr>
                <w:spacing w:val="-4"/>
                <w:lang w:val="en-GB"/>
              </w:rPr>
              <w:t xml:space="preserve">from year </w:t>
            </w:r>
            <w:r w:rsidR="00C118A9" w:rsidRPr="00A00994">
              <w:rPr>
                <w:spacing w:val="-4"/>
                <w:lang w:val="en-GB"/>
              </w:rPr>
              <w:t>2019)</w:t>
            </w:r>
            <w:r w:rsidR="00C107F8" w:rsidRPr="00A00994">
              <w:rPr>
                <w:spacing w:val="-4"/>
                <w:lang w:val="en-GB"/>
              </w:rPr>
              <w:t xml:space="preserve"> was overcome only this year </w:t>
            </w:r>
            <w:r w:rsidR="00C118A9" w:rsidRPr="00A00994">
              <w:rPr>
                <w:spacing w:val="-4"/>
                <w:lang w:val="en-GB"/>
              </w:rPr>
              <w:t>(</w:t>
            </w:r>
            <w:r w:rsidR="00C107F8" w:rsidRPr="00A00994">
              <w:rPr>
                <w:spacing w:val="-4"/>
                <w:lang w:val="en-GB"/>
              </w:rPr>
              <w:t>only Slovakia, Latvia and Bulgaria did not manage to do that yet</w:t>
            </w:r>
            <w:r w:rsidR="00C118A9" w:rsidRPr="00A00994">
              <w:rPr>
                <w:spacing w:val="-4"/>
                <w:lang w:val="en-GB"/>
              </w:rPr>
              <w:t xml:space="preserve">). </w:t>
            </w:r>
            <w:r w:rsidR="00C107F8" w:rsidRPr="00A00994">
              <w:rPr>
                <w:spacing w:val="-4"/>
                <w:lang w:val="en-GB"/>
              </w:rPr>
              <w:t>Still the CR preserved a front position in the EU from the view of the participation of population on the labour market</w:t>
            </w:r>
            <w:r w:rsidR="00C118A9" w:rsidRPr="00A00994">
              <w:rPr>
                <w:rStyle w:val="Znakapoznpodarou"/>
                <w:spacing w:val="-4"/>
                <w:lang w:val="en-GB"/>
              </w:rPr>
              <w:footnoteReference w:id="63"/>
            </w:r>
            <w:r w:rsidR="00C118A9" w:rsidRPr="00A00994">
              <w:rPr>
                <w:spacing w:val="-4"/>
                <w:lang w:val="en-GB"/>
              </w:rPr>
              <w:t xml:space="preserve">. </w:t>
            </w:r>
          </w:p>
        </w:tc>
      </w:tr>
      <w:tr w:rsidR="000C62C0" w:rsidRPr="00A00994" w14:paraId="6622A5AE" w14:textId="77777777" w:rsidTr="00BC060A">
        <w:trPr>
          <w:trHeight w:val="145"/>
        </w:trPr>
        <w:tc>
          <w:tcPr>
            <w:tcW w:w="1739" w:type="dxa"/>
            <w:shd w:val="clear" w:color="auto" w:fill="auto"/>
            <w:tcMar>
              <w:left w:w="0" w:type="dxa"/>
            </w:tcMar>
          </w:tcPr>
          <w:p w14:paraId="14CA1C71" w14:textId="782CD529" w:rsidR="00C118A9" w:rsidRPr="00A00994" w:rsidRDefault="00587D30" w:rsidP="00621190">
            <w:pPr>
              <w:pStyle w:val="Marginlie"/>
              <w:rPr>
                <w:color w:val="0D0D0D" w:themeColor="text1" w:themeTint="F2"/>
                <w:spacing w:val="-5"/>
                <w:lang w:val="en-GB"/>
              </w:rPr>
            </w:pPr>
            <w:r w:rsidRPr="00A00994">
              <w:rPr>
                <w:color w:val="0D0D0D" w:themeColor="text1" w:themeTint="F2"/>
                <w:spacing w:val="-5"/>
                <w:lang w:val="en-GB"/>
              </w:rPr>
              <w:lastRenderedPageBreak/>
              <w:t xml:space="preserve">Expectations of businesses in the area of own employment gradually mildly deteriorated this year. Businesses in trade maintained the highest optimism. </w:t>
            </w:r>
          </w:p>
        </w:tc>
        <w:tc>
          <w:tcPr>
            <w:tcW w:w="220" w:type="dxa"/>
            <w:shd w:val="clear" w:color="auto" w:fill="auto"/>
            <w:tcMar>
              <w:left w:w="0" w:type="dxa"/>
            </w:tcMar>
          </w:tcPr>
          <w:p w14:paraId="28B1D007"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48866021" w14:textId="6C73586B" w:rsidR="00C118A9" w:rsidRPr="00A00994" w:rsidRDefault="00804D33" w:rsidP="00621190">
            <w:pPr>
              <w:spacing w:after="200"/>
              <w:rPr>
                <w:color w:val="1D1B11" w:themeColor="background2" w:themeShade="1A"/>
                <w:spacing w:val="-4"/>
                <w:lang w:val="en-GB"/>
              </w:rPr>
            </w:pPr>
            <w:r w:rsidRPr="00A00994">
              <w:rPr>
                <w:color w:val="1D1B11" w:themeColor="background2" w:themeShade="1A"/>
                <w:spacing w:val="-4"/>
                <w:lang w:val="en-GB"/>
              </w:rPr>
              <w:t xml:space="preserve">Short term expectations of businesses in the whole economy in the area of employment later mildly deteriorated following the optimistic outlooks from the beginning of this year. Still it stayed more positive in August compared to the period just before the onset of pandemics. </w:t>
            </w:r>
            <w:r w:rsidR="00867934" w:rsidRPr="00A00994">
              <w:rPr>
                <w:color w:val="1D1B11" w:themeColor="background2" w:themeShade="1A"/>
                <w:spacing w:val="-4"/>
                <w:lang w:val="en-GB"/>
              </w:rPr>
              <w:t xml:space="preserve">The businesses in trade maintained the highest optimism. </w:t>
            </w:r>
            <w:r w:rsidR="00464BF5" w:rsidRPr="00A00994">
              <w:rPr>
                <w:color w:val="1D1B11" w:themeColor="background2" w:themeShade="1A"/>
                <w:spacing w:val="-4"/>
                <w:lang w:val="en-GB"/>
              </w:rPr>
              <w:t>15</w:t>
            </w:r>
            <w:r w:rsidR="00C118A9" w:rsidRPr="00A00994">
              <w:rPr>
                <w:color w:val="1D1B11" w:themeColor="background2" w:themeShade="1A"/>
                <w:spacing w:val="-4"/>
                <w:lang w:val="en-GB"/>
              </w:rPr>
              <w:t>%</w:t>
            </w:r>
            <w:r w:rsidR="00867934" w:rsidRPr="00A00994">
              <w:rPr>
                <w:color w:val="1D1B11" w:themeColor="background2" w:themeShade="1A"/>
                <w:spacing w:val="-4"/>
                <w:lang w:val="en-GB"/>
              </w:rPr>
              <w:t xml:space="preserve"> of them planned to create new job positions in the next 3 months, 10% then lowering of the employee levels. </w:t>
            </w:r>
            <w:r w:rsidR="00BC4A8C" w:rsidRPr="00A00994">
              <w:rPr>
                <w:color w:val="1D1B11" w:themeColor="background2" w:themeShade="1A"/>
                <w:spacing w:val="-4"/>
                <w:lang w:val="en-GB"/>
              </w:rPr>
              <w:t xml:space="preserve">The share of both above-mentioned categories was comparable in industry as well as construction </w:t>
            </w:r>
            <w:r w:rsidR="00C118A9" w:rsidRPr="00A00994">
              <w:rPr>
                <w:color w:val="1D1B11" w:themeColor="background2" w:themeShade="1A"/>
                <w:spacing w:val="-4"/>
                <w:lang w:val="en-GB"/>
              </w:rPr>
              <w:t>(</w:t>
            </w:r>
            <w:r w:rsidR="00BC4A8C" w:rsidRPr="00A00994">
              <w:rPr>
                <w:color w:val="1D1B11" w:themeColor="background2" w:themeShade="1A"/>
                <w:spacing w:val="-4"/>
                <w:lang w:val="en-GB"/>
              </w:rPr>
              <w:t xml:space="preserve">it always slightly exceeded </w:t>
            </w:r>
            <w:r w:rsidR="00C118A9" w:rsidRPr="00A00994">
              <w:rPr>
                <w:color w:val="1D1B11" w:themeColor="background2" w:themeShade="1A"/>
                <w:spacing w:val="-4"/>
                <w:lang w:val="en-GB"/>
              </w:rPr>
              <w:t>10%)</w:t>
            </w:r>
            <w:r w:rsidR="00C118A9" w:rsidRPr="00A00994">
              <w:rPr>
                <w:rStyle w:val="Znakapoznpodarou"/>
                <w:color w:val="1D1B11" w:themeColor="background2" w:themeShade="1A"/>
                <w:spacing w:val="-4"/>
                <w:lang w:val="en-GB"/>
              </w:rPr>
              <w:footnoteReference w:id="64"/>
            </w:r>
            <w:r w:rsidR="00C118A9" w:rsidRPr="00A00994">
              <w:rPr>
                <w:color w:val="1D1B11" w:themeColor="background2" w:themeShade="1A"/>
                <w:spacing w:val="-4"/>
                <w:lang w:val="en-GB"/>
              </w:rPr>
              <w:t xml:space="preserve">. </w:t>
            </w:r>
            <w:r w:rsidR="00BC4A8C" w:rsidRPr="00A00994">
              <w:rPr>
                <w:color w:val="1D1B11" w:themeColor="background2" w:themeShade="1A"/>
                <w:spacing w:val="-4"/>
                <w:lang w:val="en-GB"/>
              </w:rPr>
              <w:t xml:space="preserve">The last year’s pessimism perceptibly shrank in services, still the anticipations of further reduction prevailed here </w:t>
            </w:r>
            <w:r w:rsidR="00C118A9" w:rsidRPr="00A00994">
              <w:rPr>
                <w:color w:val="1D1B11" w:themeColor="background2" w:themeShade="1A"/>
                <w:spacing w:val="-4"/>
                <w:lang w:val="en-GB"/>
              </w:rPr>
              <w:t>(16%)</w:t>
            </w:r>
            <w:r w:rsidR="00BC4A8C" w:rsidRPr="00A00994">
              <w:rPr>
                <w:color w:val="1D1B11" w:themeColor="background2" w:themeShade="1A"/>
                <w:spacing w:val="-4"/>
                <w:lang w:val="en-GB"/>
              </w:rPr>
              <w:t xml:space="preserve"> over growth </w:t>
            </w:r>
            <w:r w:rsidR="00C118A9" w:rsidRPr="00A00994">
              <w:rPr>
                <w:color w:val="1D1B11" w:themeColor="background2" w:themeShade="1A"/>
                <w:spacing w:val="-4"/>
                <w:lang w:val="en-GB"/>
              </w:rPr>
              <w:t>(10%)</w:t>
            </w:r>
            <w:r w:rsidR="00C118A9" w:rsidRPr="00A00994">
              <w:rPr>
                <w:rStyle w:val="Znakapoznpodarou"/>
                <w:color w:val="1D1B11" w:themeColor="background2" w:themeShade="1A"/>
                <w:spacing w:val="-4"/>
                <w:lang w:val="en-GB"/>
              </w:rPr>
              <w:footnoteReference w:id="65"/>
            </w:r>
            <w:r w:rsidR="00C118A9" w:rsidRPr="00A00994">
              <w:rPr>
                <w:color w:val="1D1B11" w:themeColor="background2" w:themeShade="1A"/>
                <w:spacing w:val="-4"/>
                <w:lang w:val="en-GB"/>
              </w:rPr>
              <w:t xml:space="preserve">. </w:t>
            </w:r>
            <w:r w:rsidR="009757EA" w:rsidRPr="00A00994">
              <w:rPr>
                <w:color w:val="1D1B11" w:themeColor="background2" w:themeShade="1A"/>
                <w:spacing w:val="-4"/>
                <w:lang w:val="en-GB"/>
              </w:rPr>
              <w:t xml:space="preserve">Both in </w:t>
            </w:r>
            <w:r w:rsidR="00DC1A3D">
              <w:rPr>
                <w:color w:val="1D1B11" w:themeColor="background2" w:themeShade="1A"/>
                <w:spacing w:val="-4"/>
                <w:lang w:val="en-GB"/>
              </w:rPr>
              <w:t>s</w:t>
            </w:r>
            <w:r w:rsidR="00E846B0" w:rsidRPr="00A00994">
              <w:rPr>
                <w:color w:val="1D1B11" w:themeColor="background2" w:themeShade="1A"/>
                <w:spacing w:val="-4"/>
                <w:lang w:val="en-GB"/>
              </w:rPr>
              <w:t>pring</w:t>
            </w:r>
            <w:r w:rsidR="00DC1A3D">
              <w:rPr>
                <w:color w:val="1D1B11" w:themeColor="background2" w:themeShade="1A"/>
                <w:spacing w:val="-4"/>
                <w:lang w:val="en-GB"/>
              </w:rPr>
              <w:t xml:space="preserve"> and s</w:t>
            </w:r>
            <w:r w:rsidR="009757EA" w:rsidRPr="00A00994">
              <w:rPr>
                <w:color w:val="1D1B11" w:themeColor="background2" w:themeShade="1A"/>
                <w:spacing w:val="-4"/>
                <w:lang w:val="en-GB"/>
              </w:rPr>
              <w:t>ummer this year, in connection with the worsening of the overall economic outlooks, the proportion of businesses where the shortage of labour force presents one of the important growth barriers slightly decreased. This problem however kept playing a key role in construction</w:t>
            </w:r>
            <w:r w:rsidR="00C118A9" w:rsidRPr="00A00994">
              <w:rPr>
                <w:color w:val="1D1B11" w:themeColor="background2" w:themeShade="1A"/>
                <w:spacing w:val="-4"/>
                <w:lang w:val="en-GB"/>
              </w:rPr>
              <w:t xml:space="preserve">, </w:t>
            </w:r>
            <w:r w:rsidR="009757EA" w:rsidRPr="00A00994">
              <w:rPr>
                <w:color w:val="1D1B11" w:themeColor="background2" w:themeShade="1A"/>
                <w:spacing w:val="-4"/>
                <w:lang w:val="en-GB"/>
              </w:rPr>
              <w:t xml:space="preserve">since it still limited around </w:t>
            </w:r>
            <w:r w:rsidR="00C118A9" w:rsidRPr="00A00994">
              <w:rPr>
                <w:color w:val="1D1B11" w:themeColor="background2" w:themeShade="1A"/>
                <w:spacing w:val="-4"/>
                <w:lang w:val="en-GB"/>
              </w:rPr>
              <w:t>40%</w:t>
            </w:r>
            <w:r w:rsidR="009757EA" w:rsidRPr="00A00994">
              <w:rPr>
                <w:color w:val="1D1B11" w:themeColor="background2" w:themeShade="1A"/>
                <w:spacing w:val="-4"/>
                <w:lang w:val="en-GB"/>
              </w:rPr>
              <w:t xml:space="preserve"> of businesses</w:t>
            </w:r>
            <w:r w:rsidR="00C118A9" w:rsidRPr="00A00994">
              <w:rPr>
                <w:color w:val="1D1B11" w:themeColor="background2" w:themeShade="1A"/>
                <w:spacing w:val="-4"/>
                <w:lang w:val="en-GB"/>
              </w:rPr>
              <w:t>.</w:t>
            </w:r>
            <w:r w:rsidR="009757EA" w:rsidRPr="00A00994">
              <w:rPr>
                <w:color w:val="1D1B11" w:themeColor="background2" w:themeShade="1A"/>
                <w:spacing w:val="-4"/>
                <w:lang w:val="en-GB"/>
              </w:rPr>
              <w:t xml:space="preserve"> It did not even evade some sub-branches in industry or services,</w:t>
            </w:r>
            <w:r w:rsidR="00C118A9" w:rsidRPr="00A00994">
              <w:rPr>
                <w:color w:val="1D1B11" w:themeColor="background2" w:themeShade="1A"/>
                <w:spacing w:val="-4"/>
                <w:lang w:val="en-GB"/>
              </w:rPr>
              <w:t xml:space="preserve"> </w:t>
            </w:r>
            <w:r w:rsidR="009757EA" w:rsidRPr="00A00994">
              <w:rPr>
                <w:color w:val="1D1B11" w:themeColor="background2" w:themeShade="1A"/>
                <w:spacing w:val="-4"/>
                <w:lang w:val="en-GB"/>
              </w:rPr>
              <w:t>especially those with low level of earnings</w:t>
            </w:r>
            <w:r w:rsidR="00C118A9" w:rsidRPr="00A00994">
              <w:rPr>
                <w:color w:val="1D1B11" w:themeColor="background2" w:themeShade="1A"/>
                <w:spacing w:val="-4"/>
                <w:lang w:val="en-GB"/>
              </w:rPr>
              <w:t>.</w:t>
            </w:r>
          </w:p>
        </w:tc>
      </w:tr>
      <w:tr w:rsidR="000C62C0" w:rsidRPr="00A00994" w14:paraId="75C9C131" w14:textId="77777777" w:rsidTr="00BC060A">
        <w:trPr>
          <w:trHeight w:val="145"/>
        </w:trPr>
        <w:tc>
          <w:tcPr>
            <w:tcW w:w="1739" w:type="dxa"/>
            <w:shd w:val="clear" w:color="auto" w:fill="auto"/>
            <w:tcMar>
              <w:left w:w="0" w:type="dxa"/>
            </w:tcMar>
          </w:tcPr>
          <w:p w14:paraId="24870F4B" w14:textId="44F5205F" w:rsidR="00C118A9" w:rsidRPr="00A00994" w:rsidRDefault="00D3008B" w:rsidP="00D3008B">
            <w:pPr>
              <w:pStyle w:val="Marginlie"/>
              <w:rPr>
                <w:color w:val="0D0D0D" w:themeColor="text1" w:themeTint="F2"/>
                <w:spacing w:val="-5"/>
                <w:lang w:val="en-GB"/>
              </w:rPr>
            </w:pPr>
            <w:r w:rsidRPr="00A00994">
              <w:rPr>
                <w:color w:val="0D0D0D" w:themeColor="text1" w:themeTint="F2"/>
                <w:spacing w:val="-5"/>
                <w:lang w:val="en-GB"/>
              </w:rPr>
              <w:t xml:space="preserve">Unemployment rate slightly lowered year-on-year, it was falling faster for males. Number of long-term unemployed however mildly increased. </w:t>
            </w:r>
          </w:p>
          <w:p w14:paraId="0486082B" w14:textId="77777777" w:rsidR="00D3008B" w:rsidRPr="00A00994" w:rsidRDefault="00D3008B" w:rsidP="00D3008B">
            <w:pPr>
              <w:pStyle w:val="Marginlie"/>
              <w:rPr>
                <w:color w:val="0D0D0D" w:themeColor="text1" w:themeTint="F2"/>
                <w:spacing w:val="-5"/>
                <w:lang w:val="en-GB"/>
              </w:rPr>
            </w:pPr>
          </w:p>
          <w:p w14:paraId="6C62861D" w14:textId="77777777" w:rsidR="00C118A9" w:rsidRPr="00A00994" w:rsidRDefault="00C118A9" w:rsidP="00621190">
            <w:pPr>
              <w:pStyle w:val="Marginlie"/>
              <w:rPr>
                <w:color w:val="0D0D0D" w:themeColor="text1" w:themeTint="F2"/>
                <w:spacing w:val="-5"/>
                <w:lang w:val="en-GB"/>
              </w:rPr>
            </w:pPr>
          </w:p>
          <w:p w14:paraId="1ABFE685" w14:textId="77777777" w:rsidR="00C118A9" w:rsidRPr="00A00994" w:rsidRDefault="00C118A9" w:rsidP="00621190">
            <w:pPr>
              <w:pStyle w:val="Marginlie"/>
              <w:rPr>
                <w:color w:val="0D0D0D" w:themeColor="text1" w:themeTint="F2"/>
                <w:spacing w:val="-5"/>
                <w:lang w:val="en-GB"/>
              </w:rPr>
            </w:pPr>
          </w:p>
          <w:p w14:paraId="4EFB4A04" w14:textId="77777777" w:rsidR="00C118A9" w:rsidRPr="00A00994" w:rsidRDefault="00C118A9" w:rsidP="00621190">
            <w:pPr>
              <w:pStyle w:val="Marginlie"/>
              <w:rPr>
                <w:color w:val="0D0D0D" w:themeColor="text1" w:themeTint="F2"/>
                <w:spacing w:val="-5"/>
                <w:lang w:val="en-GB"/>
              </w:rPr>
            </w:pPr>
          </w:p>
          <w:p w14:paraId="19536328" w14:textId="77777777" w:rsidR="00C118A9" w:rsidRPr="00A00994" w:rsidRDefault="00C118A9" w:rsidP="00621190">
            <w:pPr>
              <w:pStyle w:val="Marginlie"/>
              <w:rPr>
                <w:color w:val="0D0D0D" w:themeColor="text1" w:themeTint="F2"/>
                <w:spacing w:val="-5"/>
                <w:lang w:val="en-GB"/>
              </w:rPr>
            </w:pPr>
          </w:p>
          <w:p w14:paraId="2F0FB7FE" w14:textId="5E482176" w:rsidR="00C118A9" w:rsidRPr="00A00994" w:rsidRDefault="00D3008B" w:rsidP="00621190">
            <w:pPr>
              <w:pStyle w:val="Marginlie"/>
              <w:rPr>
                <w:color w:val="0D0D0D" w:themeColor="text1" w:themeTint="F2"/>
                <w:lang w:val="en-GB"/>
              </w:rPr>
            </w:pPr>
            <w:r w:rsidRPr="00A00994">
              <w:rPr>
                <w:color w:val="0D0D0D" w:themeColor="text1" w:themeTint="F2"/>
                <w:lang w:val="en-GB"/>
              </w:rPr>
              <w:t xml:space="preserve">Concerns of people regarding the unemployment slowly started to heighten. </w:t>
            </w:r>
          </w:p>
        </w:tc>
        <w:tc>
          <w:tcPr>
            <w:tcW w:w="220" w:type="dxa"/>
            <w:shd w:val="clear" w:color="auto" w:fill="auto"/>
            <w:tcMar>
              <w:left w:w="0" w:type="dxa"/>
            </w:tcMar>
          </w:tcPr>
          <w:p w14:paraId="09126989"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2677394" w14:textId="693F8F04" w:rsidR="00C118A9" w:rsidRPr="00A00994" w:rsidRDefault="00D3008B" w:rsidP="00621190">
            <w:pPr>
              <w:spacing w:after="200"/>
              <w:rPr>
                <w:color w:val="1D1B11" w:themeColor="background2" w:themeShade="1A"/>
                <w:spacing w:val="-4"/>
                <w:lang w:val="en-GB"/>
              </w:rPr>
            </w:pPr>
            <w:r w:rsidRPr="00A00994">
              <w:rPr>
                <w:color w:val="1D1B11" w:themeColor="background2" w:themeShade="1A"/>
                <w:spacing w:val="-4"/>
                <w:lang w:val="en-GB"/>
              </w:rPr>
              <w:t>The general unemployment rate</w:t>
            </w:r>
            <w:r w:rsidR="00C118A9" w:rsidRPr="00A00994">
              <w:rPr>
                <w:rStyle w:val="Znakapoznpodarou"/>
                <w:color w:val="1D1B11" w:themeColor="background2" w:themeShade="1A"/>
                <w:spacing w:val="-4"/>
                <w:lang w:val="en-GB"/>
              </w:rPr>
              <w:footnoteReference w:id="66"/>
            </w:r>
            <w:r w:rsidR="00C118A9" w:rsidRPr="00A00994">
              <w:rPr>
                <w:color w:val="1D1B11" w:themeColor="background2" w:themeShade="1A"/>
                <w:spacing w:val="-4"/>
                <w:lang w:val="en-GB"/>
              </w:rPr>
              <w:t xml:space="preserve"> (</w:t>
            </w:r>
            <w:r w:rsidRPr="00A00994">
              <w:rPr>
                <w:color w:val="1D1B11" w:themeColor="background2" w:themeShade="1A"/>
                <w:spacing w:val="-4"/>
                <w:lang w:val="en-GB"/>
              </w:rPr>
              <w:t xml:space="preserve">persons aged </w:t>
            </w:r>
            <w:r w:rsidR="00C118A9" w:rsidRPr="00A00994">
              <w:rPr>
                <w:color w:val="1D1B11" w:themeColor="background2" w:themeShade="1A"/>
                <w:spacing w:val="-4"/>
                <w:lang w:val="en-GB"/>
              </w:rPr>
              <w:t>15</w:t>
            </w:r>
            <w:r w:rsidRPr="00A00994">
              <w:rPr>
                <w:color w:val="1D1B11" w:themeColor="background2" w:themeShade="1A"/>
                <w:spacing w:val="-4"/>
                <w:lang w:val="en-GB"/>
              </w:rPr>
              <w:t xml:space="preserve"> to </w:t>
            </w:r>
            <w:r w:rsidR="00C118A9" w:rsidRPr="00A00994">
              <w:rPr>
                <w:color w:val="1D1B11" w:themeColor="background2" w:themeShade="1A"/>
                <w:spacing w:val="-4"/>
                <w:lang w:val="en-GB"/>
              </w:rPr>
              <w:t>64</w:t>
            </w:r>
            <w:r w:rsidRPr="00A00994">
              <w:rPr>
                <w:color w:val="1D1B11" w:themeColor="background2" w:themeShade="1A"/>
                <w:spacing w:val="-4"/>
                <w:lang w:val="en-GB"/>
              </w:rPr>
              <w:t xml:space="preserve"> years</w:t>
            </w:r>
            <w:r w:rsidR="00C118A9" w:rsidRPr="00A00994">
              <w:rPr>
                <w:color w:val="1D1B11" w:themeColor="background2" w:themeShade="1A"/>
                <w:spacing w:val="-4"/>
                <w:lang w:val="en-GB"/>
              </w:rPr>
              <w:t>)</w:t>
            </w:r>
            <w:r w:rsidR="00DB13EF" w:rsidRPr="00A00994">
              <w:rPr>
                <w:color w:val="1D1B11" w:themeColor="background2" w:themeShade="1A"/>
                <w:spacing w:val="-4"/>
                <w:lang w:val="en-GB"/>
              </w:rPr>
              <w:t xml:space="preserve"> </w:t>
            </w:r>
            <w:r w:rsidR="00C34430" w:rsidRPr="00A00994">
              <w:rPr>
                <w:color w:val="1D1B11" w:themeColor="background2" w:themeShade="1A"/>
                <w:spacing w:val="-4"/>
                <w:lang w:val="en-GB"/>
              </w:rPr>
              <w:t xml:space="preserve">arrived at </w:t>
            </w:r>
            <w:r w:rsidR="00C118A9" w:rsidRPr="00A00994">
              <w:rPr>
                <w:color w:val="1D1B11" w:themeColor="background2" w:themeShade="1A"/>
                <w:spacing w:val="-4"/>
                <w:lang w:val="en-GB"/>
              </w:rPr>
              <w:t>2</w:t>
            </w:r>
            <w:r w:rsidR="00C34430" w:rsidRPr="00A00994">
              <w:rPr>
                <w:color w:val="1D1B11" w:themeColor="background2" w:themeShade="1A"/>
                <w:spacing w:val="-4"/>
                <w:lang w:val="en-GB"/>
              </w:rPr>
              <w:t>.</w:t>
            </w:r>
            <w:r w:rsidR="00C118A9" w:rsidRPr="00A00994">
              <w:rPr>
                <w:color w:val="1D1B11" w:themeColor="background2" w:themeShade="1A"/>
                <w:spacing w:val="-4"/>
                <w:lang w:val="en-GB"/>
              </w:rPr>
              <w:t>3%</w:t>
            </w:r>
            <w:r w:rsidR="00C34430" w:rsidRPr="00A00994">
              <w:rPr>
                <w:color w:val="1D1B11" w:themeColor="background2" w:themeShade="1A"/>
                <w:spacing w:val="-4"/>
                <w:lang w:val="en-GB"/>
              </w:rPr>
              <w:t xml:space="preserve"> this year in July</w:t>
            </w:r>
            <w:r w:rsidR="00C118A9" w:rsidRPr="00A00994">
              <w:rPr>
                <w:color w:val="1D1B11" w:themeColor="background2" w:themeShade="1A"/>
                <w:spacing w:val="-4"/>
                <w:lang w:val="en-GB"/>
              </w:rPr>
              <w:t xml:space="preserve">. </w:t>
            </w:r>
            <w:r w:rsidR="00C34430" w:rsidRPr="00A00994">
              <w:rPr>
                <w:color w:val="1D1B11" w:themeColor="background2" w:themeShade="1A"/>
                <w:spacing w:val="-4"/>
                <w:lang w:val="en-GB"/>
              </w:rPr>
              <w:t>It mildly decreased year-on-year, mainly thanks to the more favourable development in H</w:t>
            </w:r>
            <w:r w:rsidR="00C118A9" w:rsidRPr="00A00994">
              <w:rPr>
                <w:color w:val="1D1B11" w:themeColor="background2" w:themeShade="1A"/>
                <w:spacing w:val="-4"/>
                <w:lang w:val="en-GB"/>
              </w:rPr>
              <w:t>2</w:t>
            </w:r>
            <w:r w:rsidR="00C34430" w:rsidRPr="00A00994">
              <w:rPr>
                <w:color w:val="1D1B11" w:themeColor="background2" w:themeShade="1A"/>
                <w:spacing w:val="-4"/>
                <w:lang w:val="en-GB"/>
              </w:rPr>
              <w:t xml:space="preserve"> </w:t>
            </w:r>
            <w:r w:rsidR="00C118A9" w:rsidRPr="00A00994">
              <w:rPr>
                <w:color w:val="1D1B11" w:themeColor="background2" w:themeShade="1A"/>
                <w:spacing w:val="-4"/>
                <w:lang w:val="en-GB"/>
              </w:rPr>
              <w:t xml:space="preserve">2021. </w:t>
            </w:r>
            <w:r w:rsidR="00E411F9" w:rsidRPr="00A00994">
              <w:rPr>
                <w:color w:val="1D1B11" w:themeColor="background2" w:themeShade="1A"/>
                <w:spacing w:val="-4"/>
                <w:lang w:val="en-GB"/>
              </w:rPr>
              <w:t xml:space="preserve">It was falling faster for males </w:t>
            </w:r>
            <w:r w:rsidR="00C118A9" w:rsidRPr="00A00994">
              <w:rPr>
                <w:color w:val="1D1B11" w:themeColor="background2" w:themeShade="1A"/>
                <w:spacing w:val="-4"/>
                <w:lang w:val="en-GB"/>
              </w:rPr>
              <w:t>(</w:t>
            </w:r>
            <w:r w:rsidR="00E411F9" w:rsidRPr="00A00994">
              <w:rPr>
                <w:color w:val="1D1B11" w:themeColor="background2" w:themeShade="1A"/>
                <w:spacing w:val="-4"/>
                <w:lang w:val="en-GB"/>
              </w:rPr>
              <w:t xml:space="preserve">by </w:t>
            </w:r>
            <w:r w:rsidR="00C118A9" w:rsidRPr="00A00994">
              <w:rPr>
                <w:color w:val="1D1B11" w:themeColor="background2" w:themeShade="1A"/>
                <w:spacing w:val="-4"/>
                <w:lang w:val="en-GB"/>
              </w:rPr>
              <w:t>0</w:t>
            </w:r>
            <w:r w:rsidR="00E411F9" w:rsidRPr="00A00994">
              <w:rPr>
                <w:color w:val="1D1B11" w:themeColor="background2" w:themeShade="1A"/>
                <w:spacing w:val="-4"/>
                <w:lang w:val="en-GB"/>
              </w:rPr>
              <w:t>.</w:t>
            </w:r>
            <w:r w:rsidR="00C118A9" w:rsidRPr="00A00994">
              <w:rPr>
                <w:color w:val="1D1B11" w:themeColor="background2" w:themeShade="1A"/>
                <w:spacing w:val="-4"/>
                <w:lang w:val="en-GB"/>
              </w:rPr>
              <w:t>5</w:t>
            </w:r>
            <w:r w:rsidR="00E411F9" w:rsidRPr="00A00994">
              <w:rPr>
                <w:color w:val="1D1B11" w:themeColor="background2" w:themeShade="1A"/>
                <w:spacing w:val="-4"/>
                <w:lang w:val="en-GB"/>
              </w:rPr>
              <w:t xml:space="preserve"> p.p. to </w:t>
            </w:r>
            <w:r w:rsidR="00DB13EF" w:rsidRPr="00A00994">
              <w:rPr>
                <w:color w:val="1D1B11" w:themeColor="background2" w:themeShade="1A"/>
                <w:spacing w:val="-4"/>
                <w:lang w:val="en-GB"/>
              </w:rPr>
              <w:t>1</w:t>
            </w:r>
            <w:r w:rsidR="00E411F9" w:rsidRPr="00A00994">
              <w:rPr>
                <w:color w:val="1D1B11" w:themeColor="background2" w:themeShade="1A"/>
                <w:spacing w:val="-4"/>
                <w:lang w:val="en-GB"/>
              </w:rPr>
              <w:t>.</w:t>
            </w:r>
            <w:r w:rsidR="00DB13EF" w:rsidRPr="00A00994">
              <w:rPr>
                <w:color w:val="1D1B11" w:themeColor="background2" w:themeShade="1A"/>
                <w:spacing w:val="-4"/>
                <w:lang w:val="en-GB"/>
              </w:rPr>
              <w:t xml:space="preserve">8%) </w:t>
            </w:r>
            <w:r w:rsidR="00E411F9" w:rsidRPr="00A00994">
              <w:rPr>
                <w:color w:val="1D1B11" w:themeColor="background2" w:themeShade="1A"/>
                <w:spacing w:val="-4"/>
                <w:lang w:val="en-GB"/>
              </w:rPr>
              <w:t xml:space="preserve">than females </w:t>
            </w:r>
            <w:r w:rsidR="00DB13EF" w:rsidRPr="00A00994">
              <w:rPr>
                <w:color w:val="1D1B11" w:themeColor="background2" w:themeShade="1A"/>
                <w:spacing w:val="-4"/>
                <w:lang w:val="en-GB"/>
              </w:rPr>
              <w:t>(</w:t>
            </w:r>
            <w:r w:rsidR="00E411F9" w:rsidRPr="00A00994">
              <w:rPr>
                <w:color w:val="1D1B11" w:themeColor="background2" w:themeShade="1A"/>
                <w:spacing w:val="-4"/>
                <w:lang w:val="en-GB"/>
              </w:rPr>
              <w:t xml:space="preserve">by </w:t>
            </w:r>
            <w:r w:rsidR="00DB13EF" w:rsidRPr="00A00994">
              <w:rPr>
                <w:color w:val="1D1B11" w:themeColor="background2" w:themeShade="1A"/>
                <w:spacing w:val="-4"/>
                <w:lang w:val="en-GB"/>
              </w:rPr>
              <w:t>0</w:t>
            </w:r>
            <w:r w:rsidR="00E411F9" w:rsidRPr="00A00994">
              <w:rPr>
                <w:color w:val="1D1B11" w:themeColor="background2" w:themeShade="1A"/>
                <w:spacing w:val="-4"/>
                <w:lang w:val="en-GB"/>
              </w:rPr>
              <w:t>.</w:t>
            </w:r>
            <w:r w:rsidR="00DB13EF" w:rsidRPr="00A00994">
              <w:rPr>
                <w:color w:val="1D1B11" w:themeColor="background2" w:themeShade="1A"/>
                <w:spacing w:val="-4"/>
                <w:lang w:val="en-GB"/>
              </w:rPr>
              <w:t>1</w:t>
            </w:r>
            <w:r w:rsidR="00C118A9" w:rsidRPr="00A00994">
              <w:rPr>
                <w:color w:val="1D1B11" w:themeColor="background2" w:themeShade="1A"/>
                <w:spacing w:val="-4"/>
                <w:lang w:val="en-GB"/>
              </w:rPr>
              <w:t xml:space="preserve"> p.</w:t>
            </w:r>
            <w:r w:rsidR="00E411F9" w:rsidRPr="00A00994">
              <w:rPr>
                <w:color w:val="1D1B11" w:themeColor="background2" w:themeShade="1A"/>
                <w:spacing w:val="-4"/>
                <w:lang w:val="en-GB"/>
              </w:rPr>
              <w:t xml:space="preserve">p. to </w:t>
            </w:r>
            <w:r w:rsidR="00C118A9" w:rsidRPr="00A00994">
              <w:rPr>
                <w:color w:val="1D1B11" w:themeColor="background2" w:themeShade="1A"/>
                <w:spacing w:val="-4"/>
                <w:lang w:val="en-GB"/>
              </w:rPr>
              <w:t>3</w:t>
            </w:r>
            <w:r w:rsidR="00E411F9" w:rsidRPr="00A00994">
              <w:rPr>
                <w:color w:val="1D1B11" w:themeColor="background2" w:themeShade="1A"/>
                <w:spacing w:val="-4"/>
                <w:lang w:val="en-GB"/>
              </w:rPr>
              <w:t>.</w:t>
            </w:r>
            <w:r w:rsidR="00C118A9" w:rsidRPr="00A00994">
              <w:rPr>
                <w:color w:val="1D1B11" w:themeColor="background2" w:themeShade="1A"/>
                <w:spacing w:val="-4"/>
                <w:lang w:val="en-GB"/>
              </w:rPr>
              <w:t xml:space="preserve">0%). </w:t>
            </w:r>
            <w:r w:rsidR="00E411F9" w:rsidRPr="00A00994">
              <w:rPr>
                <w:color w:val="1D1B11" w:themeColor="background2" w:themeShade="1A"/>
                <w:spacing w:val="-4"/>
                <w:lang w:val="en-GB"/>
              </w:rPr>
              <w:t xml:space="preserve">Data regarding the registered job applicants also confirmed this development. </w:t>
            </w:r>
            <w:r w:rsidR="00F11C1D" w:rsidRPr="00A00994">
              <w:rPr>
                <w:color w:val="1D1B11" w:themeColor="background2" w:themeShade="1A"/>
                <w:spacing w:val="-4"/>
                <w:lang w:val="en-GB"/>
              </w:rPr>
              <w:t xml:space="preserve">The unemployment rate of females still remained slightly above the level of peak of the pre-pandemic boom, which was linked to the slower recovery of </w:t>
            </w:r>
            <w:r w:rsidR="006305F7" w:rsidRPr="00A00994">
              <w:rPr>
                <w:color w:val="1D1B11" w:themeColor="background2" w:themeShade="1A"/>
                <w:spacing w:val="-4"/>
                <w:lang w:val="en-GB"/>
              </w:rPr>
              <w:t>employment</w:t>
            </w:r>
            <w:r w:rsidR="00F11C1D" w:rsidRPr="00A00994">
              <w:rPr>
                <w:color w:val="1D1B11" w:themeColor="background2" w:themeShade="1A"/>
                <w:spacing w:val="-4"/>
                <w:lang w:val="en-GB"/>
              </w:rPr>
              <w:t xml:space="preserve"> in some services activities </w:t>
            </w:r>
            <w:r w:rsidR="006305F7" w:rsidRPr="00A00994">
              <w:rPr>
                <w:color w:val="1D1B11" w:themeColor="background2" w:themeShade="1A"/>
                <w:spacing w:val="-4"/>
                <w:lang w:val="en-GB"/>
              </w:rPr>
              <w:t>strongly</w:t>
            </w:r>
            <w:r w:rsidR="00F11C1D" w:rsidRPr="00A00994">
              <w:rPr>
                <w:color w:val="1D1B11" w:themeColor="background2" w:themeShade="1A"/>
                <w:spacing w:val="-4"/>
                <w:lang w:val="en-GB"/>
              </w:rPr>
              <w:t xml:space="preserve"> hit by the slump of demand during the pandemics and further also to the inadequate supply of short-term jobs.</w:t>
            </w:r>
            <w:r w:rsidR="006305F7" w:rsidRPr="00A00994">
              <w:rPr>
                <w:color w:val="1D1B11" w:themeColor="background2" w:themeShade="1A"/>
                <w:spacing w:val="-4"/>
                <w:lang w:val="en-GB"/>
              </w:rPr>
              <w:t xml:space="preserve"> The number of long-term unemployed mildly increased year-on-year</w:t>
            </w:r>
            <w:r w:rsidR="00C118A9" w:rsidRPr="00A00994">
              <w:rPr>
                <w:color w:val="0D0D0D" w:themeColor="text1" w:themeTint="F2"/>
                <w:spacing w:val="-4"/>
                <w:lang w:val="en-GB"/>
              </w:rPr>
              <w:t>. 40%</w:t>
            </w:r>
            <w:r w:rsidR="006305F7" w:rsidRPr="00A00994">
              <w:rPr>
                <w:color w:val="0D0D0D" w:themeColor="text1" w:themeTint="F2"/>
                <w:spacing w:val="-4"/>
                <w:lang w:val="en-GB"/>
              </w:rPr>
              <w:t xml:space="preserve"> of all unemployed thus was more than one year without a job in Q2, i.e. approximately by </w:t>
            </w:r>
            <w:r w:rsidR="00C118A9" w:rsidRPr="00A00994">
              <w:rPr>
                <w:color w:val="0D0D0D" w:themeColor="text1" w:themeTint="F2"/>
                <w:spacing w:val="-4"/>
                <w:lang w:val="en-GB"/>
              </w:rPr>
              <w:t>10 p.</w:t>
            </w:r>
            <w:r w:rsidR="006305F7" w:rsidRPr="00A00994">
              <w:rPr>
                <w:color w:val="0D0D0D" w:themeColor="text1" w:themeTint="F2"/>
                <w:spacing w:val="-4"/>
                <w:lang w:val="en-GB"/>
              </w:rPr>
              <w:t xml:space="preserve">p. more than in year </w:t>
            </w:r>
            <w:r w:rsidR="00C118A9" w:rsidRPr="00A00994">
              <w:rPr>
                <w:color w:val="0D0D0D" w:themeColor="text1" w:themeTint="F2"/>
                <w:spacing w:val="-4"/>
                <w:lang w:val="en-GB"/>
              </w:rPr>
              <w:t xml:space="preserve">2019. </w:t>
            </w:r>
            <w:r w:rsidR="006305F7" w:rsidRPr="00A00994">
              <w:rPr>
                <w:color w:val="0D0D0D" w:themeColor="text1" w:themeTint="F2"/>
                <w:spacing w:val="-4"/>
                <w:lang w:val="en-GB"/>
              </w:rPr>
              <w:t xml:space="preserve">Number of households expecting worsening of the economic situation in the CR in the upcoming 12 months considerably increased during this year’s </w:t>
            </w:r>
            <w:r w:rsidR="00DC1A3D">
              <w:rPr>
                <w:color w:val="0D0D0D" w:themeColor="text1" w:themeTint="F2"/>
                <w:spacing w:val="-4"/>
                <w:lang w:val="en-GB"/>
              </w:rPr>
              <w:t>s</w:t>
            </w:r>
            <w:r w:rsidR="00E846B0" w:rsidRPr="00A00994">
              <w:rPr>
                <w:color w:val="0D0D0D" w:themeColor="text1" w:themeTint="F2"/>
                <w:spacing w:val="-4"/>
                <w:lang w:val="en-GB"/>
              </w:rPr>
              <w:t>pring</w:t>
            </w:r>
            <w:r w:rsidR="006305F7" w:rsidRPr="00A00994">
              <w:rPr>
                <w:color w:val="0D0D0D" w:themeColor="text1" w:themeTint="F2"/>
                <w:spacing w:val="-4"/>
                <w:lang w:val="en-GB"/>
              </w:rPr>
              <w:t xml:space="preserve">, which </w:t>
            </w:r>
            <w:r w:rsidR="00E62287" w:rsidRPr="00A00994">
              <w:rPr>
                <w:color w:val="0D0D0D" w:themeColor="text1" w:themeTint="F2"/>
                <w:spacing w:val="-4"/>
                <w:lang w:val="en-GB"/>
              </w:rPr>
              <w:t xml:space="preserve">was also mirrored in the mild increase of concerns of people about the rise of unemployment. </w:t>
            </w:r>
            <w:r w:rsidR="00C118A9" w:rsidRPr="00A00994">
              <w:rPr>
                <w:color w:val="0D0D0D" w:themeColor="text1" w:themeTint="F2"/>
                <w:spacing w:val="-4"/>
                <w:lang w:val="en-GB"/>
              </w:rPr>
              <w:t>T</w:t>
            </w:r>
            <w:r w:rsidR="00E62287" w:rsidRPr="00A00994">
              <w:rPr>
                <w:color w:val="0D0D0D" w:themeColor="text1" w:themeTint="F2"/>
                <w:spacing w:val="-4"/>
                <w:lang w:val="en-GB"/>
              </w:rPr>
              <w:t xml:space="preserve">hey were stronger compared to year 2019 this year in </w:t>
            </w:r>
            <w:r w:rsidR="008B5068" w:rsidRPr="00A00994">
              <w:rPr>
                <w:color w:val="0D0D0D" w:themeColor="text1" w:themeTint="F2"/>
                <w:spacing w:val="-4"/>
                <w:lang w:val="en-GB"/>
              </w:rPr>
              <w:t>August but</w:t>
            </w:r>
            <w:r w:rsidR="00E62287" w:rsidRPr="00A00994">
              <w:rPr>
                <w:color w:val="0D0D0D" w:themeColor="text1" w:themeTint="F2"/>
                <w:spacing w:val="-4"/>
                <w:lang w:val="en-GB"/>
              </w:rPr>
              <w:t xml:space="preserve"> were far from reaching the intensity from the acute phase of the pandemics or the previous periods of economic recession so far. </w:t>
            </w:r>
          </w:p>
        </w:tc>
      </w:tr>
      <w:tr w:rsidR="001D4E19" w:rsidRPr="00A00994" w14:paraId="438FEA41" w14:textId="77777777" w:rsidTr="00BC060A">
        <w:trPr>
          <w:trHeight w:val="145"/>
        </w:trPr>
        <w:tc>
          <w:tcPr>
            <w:tcW w:w="1739" w:type="dxa"/>
            <w:shd w:val="clear" w:color="auto" w:fill="auto"/>
            <w:tcMar>
              <w:left w:w="0" w:type="dxa"/>
            </w:tcMar>
          </w:tcPr>
          <w:p w14:paraId="5D3710D1" w14:textId="158A1BD8" w:rsidR="001D4E19" w:rsidRPr="00A00994" w:rsidRDefault="001D4E19" w:rsidP="001D4E19">
            <w:pPr>
              <w:pStyle w:val="Marginlie"/>
              <w:rPr>
                <w:color w:val="0D0D0D" w:themeColor="text1" w:themeTint="F2"/>
                <w:spacing w:val="-5"/>
                <w:lang w:val="en-GB"/>
              </w:rPr>
            </w:pPr>
            <w:r w:rsidRPr="00A00994">
              <w:rPr>
                <w:color w:val="0D0D0D" w:themeColor="text1" w:themeTint="F2"/>
                <w:spacing w:val="-5"/>
                <w:lang w:val="en-GB"/>
              </w:rPr>
              <w:t xml:space="preserve">Supply of job vacancies for persons with lower qualification started decreasing at LO since </w:t>
            </w:r>
            <w:r>
              <w:rPr>
                <w:color w:val="0D0D0D" w:themeColor="text1" w:themeTint="F2"/>
                <w:spacing w:val="-5"/>
                <w:lang w:val="en-GB"/>
              </w:rPr>
              <w:t>s</w:t>
            </w:r>
            <w:r w:rsidRPr="00A00994">
              <w:rPr>
                <w:color w:val="0D0D0D" w:themeColor="text1" w:themeTint="F2"/>
                <w:spacing w:val="-5"/>
                <w:lang w:val="en-GB"/>
              </w:rPr>
              <w:t xml:space="preserve">pring. </w:t>
            </w:r>
          </w:p>
        </w:tc>
        <w:tc>
          <w:tcPr>
            <w:tcW w:w="220" w:type="dxa"/>
            <w:shd w:val="clear" w:color="auto" w:fill="auto"/>
            <w:tcMar>
              <w:left w:w="0" w:type="dxa"/>
            </w:tcMar>
          </w:tcPr>
          <w:p w14:paraId="248D0249" w14:textId="77777777" w:rsidR="001D4E19" w:rsidRPr="00A00994" w:rsidRDefault="001D4E19" w:rsidP="001D4E19">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509D749F" w14:textId="7B7DC75E" w:rsidR="001D4E19" w:rsidRPr="001D4E19" w:rsidRDefault="001D4E19" w:rsidP="001D4E19">
            <w:pPr>
              <w:spacing w:after="200"/>
              <w:rPr>
                <w:color w:val="0D0D0D" w:themeColor="text1" w:themeTint="F2"/>
                <w:spacing w:val="-4"/>
                <w:lang w:val="en-GB"/>
              </w:rPr>
            </w:pPr>
            <w:r w:rsidRPr="00A00994">
              <w:rPr>
                <w:color w:val="0D0D0D" w:themeColor="text1" w:themeTint="F2"/>
                <w:spacing w:val="-4"/>
                <w:lang w:val="en-GB"/>
              </w:rPr>
              <w:t>Growth of the number of job vacancies offered by the LO ceased in May this year. It amounted to 319 thousand</w:t>
            </w:r>
            <w:r w:rsidRPr="00A00994">
              <w:rPr>
                <w:rStyle w:val="Znakapoznpodarou"/>
                <w:color w:val="0D0D0D" w:themeColor="text1" w:themeTint="F2"/>
                <w:spacing w:val="-4"/>
                <w:lang w:val="en-GB"/>
              </w:rPr>
              <w:footnoteReference w:id="67"/>
            </w:r>
            <w:r w:rsidRPr="00A00994">
              <w:rPr>
                <w:color w:val="0D0D0D" w:themeColor="text1" w:themeTint="F2"/>
                <w:spacing w:val="-4"/>
                <w:lang w:val="en-GB"/>
              </w:rPr>
              <w:t xml:space="preserve"> in June and it was already by one tenth lower year-on-year. While the number of positions requiring tertiary education stagnated (to 16 thousand) and the offer for secondary school graduates went slightly up (+5%, to 25</w:t>
            </w:r>
            <w:r w:rsidRPr="00A00994">
              <w:rPr>
                <w:bCs/>
                <w:color w:val="0D0D0D" w:themeColor="text1" w:themeTint="F2"/>
                <w:spacing w:val="-4"/>
                <w:lang w:val="en-GB"/>
              </w:rPr>
              <w:t> </w:t>
            </w:r>
            <w:r w:rsidRPr="00A00994">
              <w:rPr>
                <w:color w:val="0D0D0D" w:themeColor="text1" w:themeTint="F2"/>
                <w:spacing w:val="-4"/>
                <w:lang w:val="en-GB"/>
              </w:rPr>
              <w:t xml:space="preserve">thousand), number of </w:t>
            </w:r>
            <w:r w:rsidRPr="00A00994">
              <w:rPr>
                <w:color w:val="0D0D0D" w:themeColor="text1" w:themeTint="F2"/>
                <w:spacing w:val="-4"/>
                <w:lang w:val="en-GB"/>
              </w:rPr>
              <w:lastRenderedPageBreak/>
              <w:t xml:space="preserve">positions for secondary school leavers without certificate shrank by 5% and the least qualified positions even by 13% (still they formed more than 70% of total offer of LO vacancies). It can be assumed, that part of the less qualified positions could have been accepted by the refugees from Ukraine during the </w:t>
            </w:r>
            <w:r>
              <w:rPr>
                <w:color w:val="0D0D0D" w:themeColor="text1" w:themeTint="F2"/>
                <w:spacing w:val="-4"/>
                <w:lang w:val="en-GB"/>
              </w:rPr>
              <w:t>s</w:t>
            </w:r>
            <w:r w:rsidRPr="00A00994">
              <w:rPr>
                <w:color w:val="0D0D0D" w:themeColor="text1" w:themeTint="F2"/>
                <w:spacing w:val="-4"/>
                <w:lang w:val="en-GB"/>
              </w:rPr>
              <w:t>pring. The excess of all supply of job vacancies over the number of registered job applications manifested in nearly two thirds of the CR regions and in more than one half of municipalities this year in July</w:t>
            </w:r>
            <w:r w:rsidRPr="00A00994">
              <w:rPr>
                <w:rStyle w:val="Znakapoznpodarou"/>
                <w:color w:val="0D0D0D" w:themeColor="text1" w:themeTint="F2"/>
                <w:spacing w:val="-4"/>
                <w:lang w:val="en-GB"/>
              </w:rPr>
              <w:footnoteReference w:id="68"/>
            </w:r>
            <w:r>
              <w:rPr>
                <w:color w:val="0D0D0D" w:themeColor="text1" w:themeTint="F2"/>
                <w:spacing w:val="-4"/>
                <w:lang w:val="en-GB"/>
              </w:rPr>
              <w:t xml:space="preserve">. </w:t>
            </w:r>
          </w:p>
        </w:tc>
      </w:tr>
      <w:tr w:rsidR="001D4E19" w:rsidRPr="00A00994" w14:paraId="70E62B14" w14:textId="77777777" w:rsidTr="00BC060A">
        <w:trPr>
          <w:trHeight w:val="155"/>
        </w:trPr>
        <w:tc>
          <w:tcPr>
            <w:tcW w:w="1739" w:type="dxa"/>
            <w:vMerge w:val="restart"/>
            <w:shd w:val="clear" w:color="auto" w:fill="auto"/>
            <w:tcMar>
              <w:left w:w="0" w:type="dxa"/>
            </w:tcMar>
          </w:tcPr>
          <w:p w14:paraId="58055921" w14:textId="77777777" w:rsidR="001D4E19" w:rsidRPr="00A00994" w:rsidRDefault="001D4E19" w:rsidP="001D4E19">
            <w:pPr>
              <w:pStyle w:val="Marginlie"/>
              <w:spacing w:after="120"/>
              <w:rPr>
                <w:spacing w:val="-4"/>
                <w:lang w:val="en-GB"/>
              </w:rPr>
            </w:pPr>
          </w:p>
        </w:tc>
        <w:tc>
          <w:tcPr>
            <w:tcW w:w="220" w:type="dxa"/>
            <w:vMerge w:val="restart"/>
            <w:shd w:val="clear" w:color="auto" w:fill="auto"/>
            <w:tcMar>
              <w:left w:w="0" w:type="dxa"/>
            </w:tcMar>
          </w:tcPr>
          <w:p w14:paraId="60392938"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0BEF2835" w14:textId="1FCF2804" w:rsidR="001D4E19" w:rsidRPr="00A00994" w:rsidRDefault="001D4E19" w:rsidP="001D4E19">
            <w:pPr>
              <w:spacing w:after="0"/>
              <w:rPr>
                <w:b/>
                <w:spacing w:val="-4"/>
                <w:lang w:val="en-GB"/>
              </w:rPr>
            </w:pPr>
            <w:r w:rsidRPr="00A00994">
              <w:rPr>
                <w:b/>
                <w:spacing w:val="-4"/>
                <w:lang w:val="en-GB"/>
              </w:rPr>
              <w:t xml:space="preserve">Chart 14 </w:t>
            </w:r>
            <w:r w:rsidRPr="00A00994">
              <w:rPr>
                <w:rFonts w:cs="Arial"/>
                <w:b/>
                <w:spacing w:val="-3"/>
                <w:lang w:val="en-GB"/>
              </w:rPr>
              <w:t xml:space="preserve">General unemployment rate </w:t>
            </w:r>
            <w:r w:rsidRPr="00A00994">
              <w:rPr>
                <w:rFonts w:cs="Arial"/>
                <w:bCs/>
                <w:spacing w:val="-3"/>
                <w:lang w:val="en-GB"/>
              </w:rPr>
              <w:t>(in %, age 15 to 64 years)</w:t>
            </w:r>
            <w:r w:rsidRPr="00A00994">
              <w:rPr>
                <w:rFonts w:cs="Arial"/>
                <w:b/>
                <w:spacing w:val="-3"/>
                <w:lang w:val="en-GB"/>
              </w:rPr>
              <w:t xml:space="preserve">, rate of economic activity </w:t>
            </w:r>
            <w:r w:rsidRPr="00A00994">
              <w:rPr>
                <w:rFonts w:cs="Arial"/>
                <w:bCs/>
                <w:spacing w:val="-3"/>
                <w:lang w:val="en-GB"/>
              </w:rPr>
              <w:t>(in %, age 15 to 64 years)</w:t>
            </w:r>
            <w:r w:rsidRPr="00A00994">
              <w:rPr>
                <w:rFonts w:cs="Arial"/>
                <w:b/>
                <w:spacing w:val="-3"/>
                <w:lang w:val="en-GB"/>
              </w:rPr>
              <w:t xml:space="preserve">, economically inactive willing to work </w:t>
            </w:r>
            <w:r w:rsidRPr="00A00994">
              <w:rPr>
                <w:rFonts w:cs="Arial"/>
                <w:bCs/>
                <w:spacing w:val="-3"/>
                <w:lang w:val="en-GB"/>
              </w:rPr>
              <w:t>(in thousand persons)</w:t>
            </w:r>
            <w:r w:rsidRPr="00A00994">
              <w:rPr>
                <w:rFonts w:cs="Arial"/>
                <w:bCs/>
                <w:spacing w:val="-4"/>
                <w:lang w:val="en-GB"/>
              </w:rPr>
              <w:t>*</w:t>
            </w:r>
            <w:r w:rsidRPr="00A00994">
              <w:rPr>
                <w:rFonts w:cs="Arial"/>
                <w:b/>
                <w:spacing w:val="-3"/>
                <w:lang w:val="en-GB"/>
              </w:rPr>
              <w:t xml:space="preserve"> and unemployment expectations of households </w:t>
            </w:r>
            <w:r w:rsidRPr="00A00994">
              <w:rPr>
                <w:rFonts w:cs="Arial"/>
                <w:bCs/>
                <w:spacing w:val="-4"/>
                <w:lang w:val="en-GB"/>
              </w:rPr>
              <w:t>(in p. p.)**</w:t>
            </w:r>
          </w:p>
        </w:tc>
      </w:tr>
      <w:tr w:rsidR="001D4E19" w:rsidRPr="00A00994" w14:paraId="534B8E66" w14:textId="77777777" w:rsidTr="00BC060A">
        <w:tblPrEx>
          <w:tblCellMar>
            <w:left w:w="70" w:type="dxa"/>
            <w:right w:w="70" w:type="dxa"/>
          </w:tblCellMar>
        </w:tblPrEx>
        <w:trPr>
          <w:trHeight w:val="155"/>
        </w:trPr>
        <w:tc>
          <w:tcPr>
            <w:tcW w:w="1739" w:type="dxa"/>
            <w:vMerge/>
            <w:shd w:val="clear" w:color="auto" w:fill="auto"/>
          </w:tcPr>
          <w:p w14:paraId="490F9673" w14:textId="77777777" w:rsidR="001D4E19" w:rsidRPr="00A00994" w:rsidRDefault="001D4E19" w:rsidP="001D4E19">
            <w:pPr>
              <w:pStyle w:val="Marginlie"/>
              <w:spacing w:after="120"/>
              <w:rPr>
                <w:spacing w:val="-4"/>
                <w:lang w:val="en-GB"/>
              </w:rPr>
            </w:pPr>
          </w:p>
        </w:tc>
        <w:tc>
          <w:tcPr>
            <w:tcW w:w="220" w:type="dxa"/>
            <w:vMerge/>
            <w:shd w:val="clear" w:color="auto" w:fill="auto"/>
          </w:tcPr>
          <w:p w14:paraId="760BA11A" w14:textId="77777777" w:rsidR="001D4E19" w:rsidRPr="00A00994" w:rsidRDefault="001D4E19" w:rsidP="001D4E19">
            <w:pPr>
              <w:pStyle w:val="Textpoznpodarou"/>
              <w:spacing w:after="120"/>
              <w:jc w:val="both"/>
              <w:rPr>
                <w:spacing w:val="-4"/>
                <w:lang w:val="en-GB"/>
              </w:rPr>
            </w:pPr>
          </w:p>
        </w:tc>
        <w:tc>
          <w:tcPr>
            <w:tcW w:w="7715" w:type="dxa"/>
            <w:shd w:val="clear" w:color="auto" w:fill="auto"/>
          </w:tcPr>
          <w:p w14:paraId="37304ECB" w14:textId="0D2EA30B" w:rsidR="001D4E19" w:rsidRPr="00A00994" w:rsidRDefault="001D4E19" w:rsidP="001D4E19">
            <w:pPr>
              <w:spacing w:after="0"/>
              <w:rPr>
                <w:spacing w:val="-4"/>
                <w:lang w:val="en-GB"/>
              </w:rPr>
            </w:pPr>
            <w:r>
              <w:rPr>
                <w:noProof/>
              </w:rPr>
              <w:drawing>
                <wp:inline distT="0" distB="0" distL="0" distR="0" wp14:anchorId="5131A18E" wp14:editId="251028D7">
                  <wp:extent cx="4753999" cy="3528000"/>
                  <wp:effectExtent l="0" t="0" r="8890" b="0"/>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1D4E19" w:rsidRPr="00A00994" w14:paraId="3A60583F" w14:textId="77777777" w:rsidTr="00BC060A">
        <w:trPr>
          <w:trHeight w:val="132"/>
        </w:trPr>
        <w:tc>
          <w:tcPr>
            <w:tcW w:w="1739" w:type="dxa"/>
            <w:vMerge/>
            <w:shd w:val="clear" w:color="auto" w:fill="auto"/>
            <w:tcMar>
              <w:left w:w="0" w:type="dxa"/>
            </w:tcMar>
          </w:tcPr>
          <w:p w14:paraId="14A2B1EE" w14:textId="77777777" w:rsidR="001D4E19" w:rsidRPr="00A00994" w:rsidRDefault="001D4E19" w:rsidP="001D4E19">
            <w:pPr>
              <w:pStyle w:val="Marginlie"/>
              <w:rPr>
                <w:spacing w:val="-4"/>
                <w:lang w:val="en-GB"/>
              </w:rPr>
            </w:pPr>
          </w:p>
        </w:tc>
        <w:tc>
          <w:tcPr>
            <w:tcW w:w="220" w:type="dxa"/>
            <w:vMerge/>
            <w:shd w:val="clear" w:color="auto" w:fill="auto"/>
            <w:tcMar>
              <w:left w:w="0" w:type="dxa"/>
            </w:tcMar>
          </w:tcPr>
          <w:p w14:paraId="4090A6E4" w14:textId="77777777" w:rsidR="001D4E19" w:rsidRPr="00A00994" w:rsidRDefault="001D4E19" w:rsidP="001D4E19">
            <w:pPr>
              <w:pStyle w:val="Textpoznpodarou"/>
              <w:jc w:val="both"/>
              <w:rPr>
                <w:spacing w:val="-4"/>
                <w:lang w:val="en-GB"/>
              </w:rPr>
            </w:pPr>
          </w:p>
        </w:tc>
        <w:tc>
          <w:tcPr>
            <w:tcW w:w="7715" w:type="dxa"/>
            <w:shd w:val="clear" w:color="auto" w:fill="auto"/>
            <w:tcMar>
              <w:left w:w="0" w:type="dxa"/>
            </w:tcMar>
          </w:tcPr>
          <w:p w14:paraId="792549E7" w14:textId="5470C70F" w:rsidR="001D4E19" w:rsidRPr="00A00994" w:rsidRDefault="001D4E19" w:rsidP="001D4E19">
            <w:pPr>
              <w:spacing w:after="0" w:line="240" w:lineRule="auto"/>
              <w:rPr>
                <w:rFonts w:cs="Arial"/>
                <w:color w:val="0D0D0D" w:themeColor="text1" w:themeTint="F2"/>
                <w:sz w:val="14"/>
                <w:szCs w:val="14"/>
                <w:lang w:val="en-GB"/>
              </w:rPr>
            </w:pPr>
            <w:r w:rsidRPr="00A00994">
              <w:rPr>
                <w:rFonts w:cs="Arial"/>
                <w:color w:val="0D0D0D" w:themeColor="text1" w:themeTint="F2"/>
                <w:sz w:val="14"/>
                <w:szCs w:val="14"/>
                <w:lang w:val="en-GB"/>
              </w:rPr>
              <w:t>Note: Figures regarding the unemployment rate as well as economic activity are seasonally adjusted.</w:t>
            </w:r>
          </w:p>
          <w:p w14:paraId="26910C0B" w14:textId="77777777" w:rsidR="001D4E19" w:rsidRPr="00A00994" w:rsidRDefault="001D4E19" w:rsidP="001D4E19">
            <w:pPr>
              <w:spacing w:after="0" w:line="240" w:lineRule="auto"/>
              <w:rPr>
                <w:rFonts w:cs="Arial"/>
                <w:bCs/>
                <w:color w:val="0D0D0D" w:themeColor="text1" w:themeTint="F2"/>
                <w:sz w:val="14"/>
                <w:szCs w:val="14"/>
                <w:lang w:val="en-GB"/>
              </w:rPr>
            </w:pPr>
            <w:r w:rsidRPr="00A00994">
              <w:rPr>
                <w:rFonts w:cs="Arial"/>
                <w:bCs/>
                <w:color w:val="0D0D0D" w:themeColor="text1" w:themeTint="F2"/>
                <w:sz w:val="14"/>
                <w:szCs w:val="14"/>
                <w:lang w:val="en-GB"/>
              </w:rPr>
              <w:t xml:space="preserve">*Persons not in employment, not seeking work, but expressing the willingness to work. </w:t>
            </w:r>
          </w:p>
          <w:p w14:paraId="2587D5D8" w14:textId="3A8284B0" w:rsidR="001D4E19" w:rsidRPr="00A00994" w:rsidRDefault="001D4E19" w:rsidP="001D4E19">
            <w:pPr>
              <w:spacing w:after="0" w:line="240" w:lineRule="auto"/>
              <w:rPr>
                <w:rFonts w:cs="Arial"/>
                <w:color w:val="0D0D0D" w:themeColor="text1" w:themeTint="F2"/>
                <w:spacing w:val="-2"/>
                <w:sz w:val="14"/>
                <w:szCs w:val="14"/>
                <w:lang w:val="en-GB"/>
              </w:rPr>
            </w:pPr>
            <w:r w:rsidRPr="00A00994">
              <w:rPr>
                <w:rFonts w:cs="Arial"/>
                <w:color w:val="0D0D0D" w:themeColor="text1" w:themeTint="F2"/>
                <w:spacing w:val="-2"/>
                <w:sz w:val="14"/>
                <w:szCs w:val="14"/>
                <w:lang w:val="en-GB"/>
              </w:rPr>
              <w:t xml:space="preserve">**Seasonally adjusted balance of expectations of unemployment in the next 12 months (difference between percentage frequency of answers of households “growth” and “decrease” expressed in percentage points). Data relates to the middle month of the given quarter. </w:t>
            </w:r>
          </w:p>
          <w:p w14:paraId="7B48FEB5" w14:textId="21B8F7BA" w:rsidR="001D4E19" w:rsidRPr="00BC060A" w:rsidRDefault="001D4E19" w:rsidP="001D4E19">
            <w:pPr>
              <w:spacing w:after="220" w:line="240" w:lineRule="auto"/>
              <w:rPr>
                <w:rFonts w:cs="Arial"/>
                <w:color w:val="0D0D0D" w:themeColor="text1" w:themeTint="F2"/>
                <w:sz w:val="14"/>
                <w:szCs w:val="14"/>
                <w:lang w:val="en-GB"/>
              </w:rPr>
            </w:pPr>
            <w:r w:rsidRPr="00A00994">
              <w:rPr>
                <w:rFonts w:cs="Arial"/>
                <w:color w:val="0D0D0D" w:themeColor="text1" w:themeTint="F2"/>
                <w:sz w:val="14"/>
                <w:szCs w:val="14"/>
                <w:lang w:val="en-GB"/>
              </w:rPr>
              <w:t>Source: CZSO (LFSS, business cycle surveys)</w:t>
            </w:r>
          </w:p>
        </w:tc>
      </w:tr>
      <w:tr w:rsidR="001D4E19" w:rsidRPr="00A00994" w14:paraId="0C6E3E3D" w14:textId="77777777" w:rsidTr="00BC060A">
        <w:trPr>
          <w:trHeight w:val="671"/>
        </w:trPr>
        <w:tc>
          <w:tcPr>
            <w:tcW w:w="1739" w:type="dxa"/>
            <w:shd w:val="clear" w:color="auto" w:fill="auto"/>
            <w:tcMar>
              <w:left w:w="0" w:type="dxa"/>
            </w:tcMar>
          </w:tcPr>
          <w:p w14:paraId="6A87B0E7" w14:textId="5925E9B6" w:rsidR="001D4E19" w:rsidRPr="00A00994" w:rsidRDefault="001D4E19" w:rsidP="001D4E19">
            <w:pPr>
              <w:pStyle w:val="Marginlie"/>
              <w:rPr>
                <w:color w:val="0D0D0D" w:themeColor="text1" w:themeTint="F2"/>
                <w:spacing w:val="-5"/>
                <w:lang w:val="en-GB"/>
              </w:rPr>
            </w:pPr>
            <w:r w:rsidRPr="00A00994">
              <w:rPr>
                <w:color w:val="0D0D0D" w:themeColor="text1" w:themeTint="F2"/>
                <w:spacing w:val="-5"/>
                <w:lang w:val="en-GB"/>
              </w:rPr>
              <w:t xml:space="preserve">The effect of the last year’ high basis caused by the pay out of extraordinary bonuses in health care stood behind the slowdown of year-on-year growth of wages. </w:t>
            </w:r>
          </w:p>
        </w:tc>
        <w:tc>
          <w:tcPr>
            <w:tcW w:w="220" w:type="dxa"/>
            <w:shd w:val="clear" w:color="auto" w:fill="auto"/>
            <w:tcMar>
              <w:left w:w="0" w:type="dxa"/>
            </w:tcMar>
          </w:tcPr>
          <w:p w14:paraId="729A88B9" w14:textId="77777777" w:rsidR="001D4E19" w:rsidRPr="00A00994" w:rsidRDefault="001D4E19" w:rsidP="001D4E19">
            <w:pPr>
              <w:pStyle w:val="Textpoznpodarou"/>
              <w:spacing w:line="276" w:lineRule="auto"/>
              <w:jc w:val="both"/>
              <w:rPr>
                <w:spacing w:val="-4"/>
                <w:lang w:val="en-GB"/>
              </w:rPr>
            </w:pPr>
          </w:p>
        </w:tc>
        <w:tc>
          <w:tcPr>
            <w:tcW w:w="7715" w:type="dxa"/>
            <w:shd w:val="clear" w:color="auto" w:fill="auto"/>
            <w:tcMar>
              <w:left w:w="0" w:type="dxa"/>
            </w:tcMar>
          </w:tcPr>
          <w:p w14:paraId="2D7C163F" w14:textId="33CFC163" w:rsidR="001D4E19" w:rsidRPr="00A00994" w:rsidRDefault="001D4E19" w:rsidP="001D4E19">
            <w:pPr>
              <w:spacing w:after="200"/>
              <w:rPr>
                <w:color w:val="0D0D0D" w:themeColor="text1" w:themeTint="F2"/>
                <w:spacing w:val="-4"/>
                <w:lang w:val="en-GB"/>
              </w:rPr>
            </w:pPr>
            <w:r w:rsidRPr="00A00994">
              <w:rPr>
                <w:color w:val="0D0D0D" w:themeColor="text1" w:themeTint="F2"/>
                <w:spacing w:val="-5"/>
                <w:lang w:val="en-GB"/>
              </w:rPr>
              <w:t xml:space="preserve">The average gross monthly nominal wage (per employee, with the view to the length of the job contract) ascended narrowly below the 40 CZK thousand level in Q2 2022. Its year-on-year pace decelerated to 4.4% (from 7.3% in Q1). Nevertheless, after exclusion of the branch health and social works, where its development was essentially influenced by the pay out of extraordinary cumulative </w:t>
            </w:r>
            <w:r>
              <w:rPr>
                <w:color w:val="0D0D0D" w:themeColor="text1" w:themeTint="F2"/>
                <w:spacing w:val="-5"/>
                <w:lang w:val="en-GB"/>
              </w:rPr>
              <w:t>“covid”</w:t>
            </w:r>
            <w:r w:rsidRPr="00A00994">
              <w:rPr>
                <w:color w:val="0D0D0D" w:themeColor="text1" w:themeTint="F2"/>
                <w:spacing w:val="-5"/>
                <w:lang w:val="en-GB"/>
              </w:rPr>
              <w:t xml:space="preserve"> bonuses last year in </w:t>
            </w:r>
            <w:r>
              <w:rPr>
                <w:color w:val="0D0D0D" w:themeColor="text1" w:themeTint="F2"/>
                <w:spacing w:val="-5"/>
                <w:lang w:val="en-GB"/>
              </w:rPr>
              <w:t>s</w:t>
            </w:r>
            <w:r w:rsidRPr="00A00994">
              <w:rPr>
                <w:color w:val="0D0D0D" w:themeColor="text1" w:themeTint="F2"/>
                <w:spacing w:val="-5"/>
                <w:lang w:val="en-GB"/>
              </w:rPr>
              <w:t xml:space="preserve">pring, the wage growth was at the level slightly above 7.5% – that is at a similar level as at the beginning of this year. Wage after adjustment for seasonal effect increased by </w:t>
            </w:r>
            <w:r w:rsidRPr="00A00994">
              <w:rPr>
                <w:spacing w:val="-5"/>
                <w:lang w:val="en-GB"/>
              </w:rPr>
              <w:t xml:space="preserve">1.3% quarter-on-quarter in Q2 and also this pace was not notably deviating from the development of the recent period.  </w:t>
            </w:r>
          </w:p>
        </w:tc>
      </w:tr>
      <w:tr w:rsidR="001D4E19" w:rsidRPr="00A00994" w14:paraId="2452AD31" w14:textId="77777777" w:rsidTr="00BC060A">
        <w:trPr>
          <w:trHeight w:val="671"/>
        </w:trPr>
        <w:tc>
          <w:tcPr>
            <w:tcW w:w="1739" w:type="dxa"/>
            <w:shd w:val="clear" w:color="auto" w:fill="auto"/>
            <w:tcMar>
              <w:left w:w="0" w:type="dxa"/>
            </w:tcMar>
          </w:tcPr>
          <w:p w14:paraId="69ED9CC2" w14:textId="7FACC8CA" w:rsidR="001D4E19" w:rsidRPr="00A00994" w:rsidRDefault="001D4E19" w:rsidP="001D4E19">
            <w:pPr>
              <w:pStyle w:val="Marginlie"/>
              <w:rPr>
                <w:spacing w:val="-4"/>
                <w:lang w:val="en-GB"/>
              </w:rPr>
            </w:pPr>
            <w:r w:rsidRPr="00A00994">
              <w:rPr>
                <w:spacing w:val="-4"/>
                <w:lang w:val="en-GB"/>
              </w:rPr>
              <w:t xml:space="preserve">Mainly market branches were behind the wage growth. The effect of saving measures was evident in branches with the dominance of state. </w:t>
            </w:r>
          </w:p>
          <w:p w14:paraId="4D3BD466" w14:textId="0B50216D" w:rsidR="001D4E19" w:rsidRPr="00A00994" w:rsidRDefault="001D4E19" w:rsidP="001D4E19">
            <w:pPr>
              <w:pStyle w:val="Marginlie"/>
              <w:rPr>
                <w:spacing w:val="-4"/>
                <w:lang w:val="en-GB"/>
              </w:rPr>
            </w:pPr>
          </w:p>
          <w:p w14:paraId="1C1F1A4E" w14:textId="77777777" w:rsidR="001D4E19" w:rsidRPr="00A00994" w:rsidRDefault="001D4E19" w:rsidP="001D4E19">
            <w:pPr>
              <w:pStyle w:val="Marginlie"/>
              <w:rPr>
                <w:spacing w:val="-4"/>
                <w:lang w:val="en-GB"/>
              </w:rPr>
            </w:pPr>
          </w:p>
          <w:p w14:paraId="5BA3B430" w14:textId="77777777" w:rsidR="001D4E19" w:rsidRPr="00A00994" w:rsidRDefault="001D4E19" w:rsidP="001D4E19">
            <w:pPr>
              <w:pStyle w:val="Marginlie"/>
              <w:rPr>
                <w:spacing w:val="-4"/>
                <w:lang w:val="en-GB"/>
              </w:rPr>
            </w:pPr>
          </w:p>
          <w:p w14:paraId="087BD0CD" w14:textId="1FAF621C" w:rsidR="001D4E19" w:rsidRPr="00A00994" w:rsidRDefault="001D4E19" w:rsidP="001D4E19">
            <w:pPr>
              <w:pStyle w:val="Marginlie"/>
              <w:rPr>
                <w:spacing w:val="-4"/>
                <w:lang w:val="en-GB"/>
              </w:rPr>
            </w:pPr>
            <w:r w:rsidRPr="00A00994">
              <w:rPr>
                <w:spacing w:val="-4"/>
                <w:lang w:val="en-GB"/>
              </w:rPr>
              <w:lastRenderedPageBreak/>
              <w:t xml:space="preserve">Fast and difficult to predict for the future expansion of production costs narrowed room for larger increase of wages to the businesses. </w:t>
            </w:r>
          </w:p>
        </w:tc>
        <w:tc>
          <w:tcPr>
            <w:tcW w:w="220" w:type="dxa"/>
            <w:shd w:val="clear" w:color="auto" w:fill="auto"/>
            <w:tcMar>
              <w:left w:w="0" w:type="dxa"/>
            </w:tcMar>
          </w:tcPr>
          <w:p w14:paraId="1106089D" w14:textId="77777777" w:rsidR="001D4E19" w:rsidRPr="00A00994" w:rsidRDefault="001D4E19" w:rsidP="001D4E19">
            <w:pPr>
              <w:pStyle w:val="Textpoznpodarou"/>
              <w:spacing w:line="276" w:lineRule="auto"/>
              <w:jc w:val="both"/>
              <w:rPr>
                <w:spacing w:val="-4"/>
                <w:lang w:val="en-GB"/>
              </w:rPr>
            </w:pPr>
          </w:p>
        </w:tc>
        <w:tc>
          <w:tcPr>
            <w:tcW w:w="7715" w:type="dxa"/>
            <w:shd w:val="clear" w:color="auto" w:fill="auto"/>
            <w:tcMar>
              <w:left w:w="0" w:type="dxa"/>
            </w:tcMar>
          </w:tcPr>
          <w:p w14:paraId="2F853518" w14:textId="4F051946" w:rsidR="001D4E19" w:rsidRPr="00A00994" w:rsidRDefault="001D4E19" w:rsidP="001D4E19">
            <w:pPr>
              <w:spacing w:after="220"/>
              <w:rPr>
                <w:spacing w:val="-4"/>
                <w:lang w:val="en-GB"/>
              </w:rPr>
            </w:pPr>
            <w:r w:rsidRPr="00A00994">
              <w:rPr>
                <w:spacing w:val="-4"/>
                <w:lang w:val="en-GB"/>
              </w:rPr>
              <w:t>Year-on-year rate of growth of wages reflected the ongoing recovery of the economy in Q</w:t>
            </w:r>
            <w:r w:rsidRPr="00A00994">
              <w:rPr>
                <w:color w:val="0D0D0D" w:themeColor="text1" w:themeTint="F2"/>
                <w:spacing w:val="-4"/>
                <w:lang w:val="en-GB"/>
              </w:rPr>
              <w:t>2 (mainly of some services</w:t>
            </w:r>
            <w:r w:rsidRPr="00A00994">
              <w:rPr>
                <w:spacing w:val="-4"/>
                <w:lang w:val="en-GB"/>
              </w:rPr>
              <w:t xml:space="preserve">) also expressed by the swift growth of the number of hours worked. Tension on the labour market connected to the low unemployment, still high number of job vacancies as well as fact, that the lack of employees limited production in the number of significant branches, also had a pro-growth effect. The continuing rise of the minimum wage had an impact mostly in branches with low level of earnings. On the contrary, the arrival of Ukrainian refugees did not affect the level of average wages practically even in these </w:t>
            </w:r>
            <w:r w:rsidRPr="00A00994">
              <w:rPr>
                <w:spacing w:val="-4"/>
                <w:lang w:val="en-GB"/>
              </w:rPr>
              <w:lastRenderedPageBreak/>
              <w:t xml:space="preserve">branches so far since these persons joined the labour market gradually and often apparently via shortened job contracts or only in the form of various contracts. Growth of wages in the whole economy was inhibited mainly by the setting of the wage tariffs in the budget sphere (freeze or only a very small growth for the majority of employee groups). High inflationary anticipations showed ambiguously in the wage area so far. It did lead to the increasing pressure of employees on fast wage growth, it however collided with the difficult situation of employers. Pressure on the growth on non-wage production costs due to the significant increase of practically or intermediate inputs considerably intensified in the last quarters and was even amplified by the marked uncertainties related to the future development of both prices and the availability of energies itself. Situation of businesses however varied widely, even within individual branches.  </w:t>
            </w:r>
          </w:p>
        </w:tc>
      </w:tr>
      <w:tr w:rsidR="001D4E19" w:rsidRPr="00A00994" w14:paraId="0A06FD59" w14:textId="77777777" w:rsidTr="00BC060A">
        <w:trPr>
          <w:trHeight w:val="145"/>
        </w:trPr>
        <w:tc>
          <w:tcPr>
            <w:tcW w:w="1739" w:type="dxa"/>
            <w:shd w:val="clear" w:color="auto" w:fill="auto"/>
            <w:tcMar>
              <w:left w:w="0" w:type="dxa"/>
            </w:tcMar>
          </w:tcPr>
          <w:p w14:paraId="12CAF19E" w14:textId="6311712C" w:rsidR="001D4E19" w:rsidRPr="00A00994" w:rsidRDefault="001D4E19" w:rsidP="001D4E19">
            <w:pPr>
              <w:pStyle w:val="Marginlie"/>
              <w:spacing w:after="120"/>
              <w:rPr>
                <w:color w:val="0D0D0D" w:themeColor="text1" w:themeTint="F2"/>
                <w:spacing w:val="-5"/>
                <w:lang w:val="en-GB"/>
              </w:rPr>
            </w:pPr>
            <w:r w:rsidRPr="00A00994">
              <w:rPr>
                <w:color w:val="0D0D0D" w:themeColor="text1" w:themeTint="F2"/>
                <w:spacing w:val="-5"/>
                <w:lang w:val="en-GB"/>
              </w:rPr>
              <w:lastRenderedPageBreak/>
              <w:t xml:space="preserve">Deep real decrease of average wage continued third quarter in a row. </w:t>
            </w:r>
          </w:p>
        </w:tc>
        <w:tc>
          <w:tcPr>
            <w:tcW w:w="220" w:type="dxa"/>
            <w:shd w:val="clear" w:color="auto" w:fill="auto"/>
            <w:tcMar>
              <w:left w:w="0" w:type="dxa"/>
            </w:tcMar>
          </w:tcPr>
          <w:p w14:paraId="0EA3F273" w14:textId="77777777" w:rsidR="001D4E19" w:rsidRPr="00A00994" w:rsidRDefault="001D4E19" w:rsidP="001D4E19">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4298D428" w14:textId="2B3F3FEC" w:rsidR="001D4E19" w:rsidRPr="00A00994" w:rsidRDefault="001D4E19" w:rsidP="001D4E19">
            <w:pPr>
              <w:spacing w:after="0"/>
              <w:rPr>
                <w:spacing w:val="-5"/>
                <w:lang w:val="en-GB"/>
              </w:rPr>
            </w:pPr>
            <w:r w:rsidRPr="00A00994">
              <w:rPr>
                <w:spacing w:val="-5"/>
                <w:lang w:val="en-GB"/>
              </w:rPr>
              <w:t>Real decrease of average wages continued a third quarter in a row. Due to the acceleration of the growth of consumer prices, this decrease deepened in Q2 (to 9.8%). Even though it was the deepest in the current millennium already in the preceding quarter (3.5%) and afflicted vast majority of branches. Simultaneously it had a major effect on the reduction of the total purchasing power of domestic households</w:t>
            </w:r>
            <w:r w:rsidRPr="00A00994">
              <w:rPr>
                <w:rStyle w:val="Znakapoznpodarou"/>
                <w:spacing w:val="-5"/>
                <w:lang w:val="en-GB"/>
              </w:rPr>
              <w:footnoteReference w:id="69"/>
            </w:r>
            <w:r w:rsidRPr="00A00994">
              <w:rPr>
                <w:spacing w:val="-5"/>
                <w:lang w:val="en-GB"/>
              </w:rPr>
              <w:t>.</w:t>
            </w:r>
          </w:p>
          <w:p w14:paraId="7C0FED13" w14:textId="77777777" w:rsidR="001D4E19" w:rsidRPr="00A00994" w:rsidRDefault="001D4E19" w:rsidP="001D4E19">
            <w:pPr>
              <w:spacing w:after="0"/>
              <w:rPr>
                <w:spacing w:val="-4"/>
                <w:lang w:val="en-GB"/>
              </w:rPr>
            </w:pPr>
          </w:p>
        </w:tc>
      </w:tr>
      <w:tr w:rsidR="001D4E19" w:rsidRPr="00A00994" w14:paraId="1B7BF757" w14:textId="77777777" w:rsidTr="00BC060A">
        <w:trPr>
          <w:trHeight w:val="145"/>
        </w:trPr>
        <w:tc>
          <w:tcPr>
            <w:tcW w:w="1739" w:type="dxa"/>
            <w:shd w:val="clear" w:color="auto" w:fill="auto"/>
            <w:tcMar>
              <w:left w:w="0" w:type="dxa"/>
            </w:tcMar>
          </w:tcPr>
          <w:p w14:paraId="4931F428" w14:textId="7D90AC82" w:rsidR="001D4E19" w:rsidRPr="00A00994" w:rsidRDefault="001D4E19" w:rsidP="001D4E19">
            <w:pPr>
              <w:pStyle w:val="Marginlie"/>
              <w:spacing w:after="120"/>
              <w:rPr>
                <w:lang w:val="en-GB"/>
              </w:rPr>
            </w:pPr>
            <w:r w:rsidRPr="00A00994">
              <w:rPr>
                <w:lang w:val="en-GB"/>
              </w:rPr>
              <w:t xml:space="preserve">Average wages grew the fastest in accommodation, food service and restaurants. Vast majority of other market services also attained a swift growth. </w:t>
            </w:r>
          </w:p>
          <w:p w14:paraId="02161C99" w14:textId="2553D5FA" w:rsidR="001D4E19" w:rsidRPr="00A00994" w:rsidRDefault="001D4E19" w:rsidP="001D4E19">
            <w:pPr>
              <w:pStyle w:val="Marginlie"/>
              <w:spacing w:after="120"/>
              <w:rPr>
                <w:lang w:val="en-GB"/>
              </w:rPr>
            </w:pPr>
          </w:p>
          <w:p w14:paraId="1C449ABC" w14:textId="0EF0F0A5" w:rsidR="001D4E19" w:rsidRPr="00A00994" w:rsidRDefault="001D4E19" w:rsidP="001D4E19">
            <w:pPr>
              <w:pStyle w:val="Marginlie"/>
              <w:spacing w:after="120"/>
              <w:rPr>
                <w:lang w:val="en-GB"/>
              </w:rPr>
            </w:pPr>
          </w:p>
          <w:p w14:paraId="4C4CB552" w14:textId="35D4DA4A" w:rsidR="001D4E19" w:rsidRPr="00A00994" w:rsidRDefault="001D4E19" w:rsidP="001D4E19">
            <w:pPr>
              <w:pStyle w:val="Marginlie"/>
              <w:spacing w:after="120"/>
              <w:rPr>
                <w:lang w:val="en-GB"/>
              </w:rPr>
            </w:pPr>
          </w:p>
          <w:p w14:paraId="41C71802" w14:textId="77777777" w:rsidR="001D4E19" w:rsidRPr="00A00994" w:rsidRDefault="001D4E19" w:rsidP="001D4E19">
            <w:pPr>
              <w:pStyle w:val="Marginlie"/>
              <w:spacing w:after="120"/>
              <w:rPr>
                <w:lang w:val="en-GB"/>
              </w:rPr>
            </w:pPr>
          </w:p>
          <w:p w14:paraId="1C707E8C" w14:textId="1B3D7E08" w:rsidR="001D4E19" w:rsidRPr="00A00994" w:rsidRDefault="001D4E19" w:rsidP="001D4E19">
            <w:pPr>
              <w:pStyle w:val="Marginlie"/>
              <w:spacing w:after="120"/>
              <w:rPr>
                <w:lang w:val="en-GB"/>
              </w:rPr>
            </w:pPr>
            <w:r w:rsidRPr="00A00994">
              <w:rPr>
                <w:lang w:val="en-GB"/>
              </w:rPr>
              <w:t xml:space="preserve">Wage growth was accelerating in both industry and construction during H1. The size of average earnings however did not reach the level of the whole economy here. </w:t>
            </w:r>
          </w:p>
        </w:tc>
        <w:tc>
          <w:tcPr>
            <w:tcW w:w="220" w:type="dxa"/>
            <w:shd w:val="clear" w:color="auto" w:fill="auto"/>
            <w:tcMar>
              <w:left w:w="0" w:type="dxa"/>
            </w:tcMar>
          </w:tcPr>
          <w:p w14:paraId="22B3766F"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59D3554B" w14:textId="116D527A" w:rsidR="001D4E19" w:rsidRPr="00A00994" w:rsidRDefault="001D4E19" w:rsidP="001D4E19">
            <w:pPr>
              <w:rPr>
                <w:spacing w:val="-6"/>
                <w:lang w:val="en-GB"/>
              </w:rPr>
            </w:pPr>
            <w:r w:rsidRPr="00A00994">
              <w:rPr>
                <w:spacing w:val="-6"/>
                <w:lang w:val="en-GB"/>
              </w:rPr>
              <w:t xml:space="preserve">In Q2, the average wages grew at the highest year-on-year pace in the branch accommodation, food service and restaurants (11.3%). This size did not reach even three fifths of the level of the whole economy and thus it still represented a branch with the lowest level of wages. Weight significant branches of trade or transportation and storage, where earnings strengthened by nearly 9%, also benefited from the post crisis revival of demand also associated with the realisation of the postponed private consumption. It was also valid about the cultural, amusement and recreational activities (9.6%), where the wage growth was however hampered by the development in the segment of public cultural institutions. Budget savings measures also stood behind lower growth in education (2.6%) and also in the branch public administration, health and social work (3.8%), where in addition the earnings grew at below average pace throughout the whole last year as well. The thriving branch information and communication in contrast continued in swift growth (11.0%) and the average monthly wage approached the 70 thousand boundary here. Employees in financial activities could have also counted on similar average earnings, the wage growth nevertheless notably lagged behind compared to the information and communication area here in both years 2020 and 2021. Wage growth accelerated to even 8% in the key branch – manufacturing – in Q2, specifically mainly due to the production of motor vehicles, where monthly earnings reached on average nearly 51 thousand CZK. The whole branch did fare well also last year in </w:t>
            </w:r>
            <w:r>
              <w:rPr>
                <w:spacing w:val="-6"/>
                <w:lang w:val="en-GB"/>
              </w:rPr>
              <w:t>s</w:t>
            </w:r>
            <w:r w:rsidRPr="00A00994">
              <w:rPr>
                <w:spacing w:val="-6"/>
                <w:lang w:val="en-GB"/>
              </w:rPr>
              <w:t>pring, which was also positively reflected in the wage area at that time. Despite of this fact, the average wages remained still below the level of the national economy in the whole industry (by 1 %) also this year. The same was valid to an even larger extent also for construction (</w:t>
            </w:r>
            <w:r w:rsidRPr="00A00994">
              <w:rPr>
                <w:i/>
                <w:iCs/>
                <w:spacing w:val="-6"/>
                <w:lang w:val="en-GB"/>
              </w:rPr>
              <w:t>–</w:t>
            </w:r>
            <w:r w:rsidRPr="00A00994">
              <w:rPr>
                <w:spacing w:val="-6"/>
                <w:lang w:val="en-GB"/>
              </w:rPr>
              <w:t>14%), which was recovering from the pandemic recession gradually. The wage growth however accelerated here this year and it was 7.8% in Q2.</w:t>
            </w:r>
          </w:p>
        </w:tc>
      </w:tr>
      <w:tr w:rsidR="001D4E19" w:rsidRPr="00A00994" w14:paraId="4CD528D7" w14:textId="77777777" w:rsidTr="00BC060A">
        <w:trPr>
          <w:trHeight w:val="145"/>
        </w:trPr>
        <w:tc>
          <w:tcPr>
            <w:tcW w:w="1739" w:type="dxa"/>
            <w:shd w:val="clear" w:color="auto" w:fill="auto"/>
            <w:tcMar>
              <w:left w:w="0" w:type="dxa"/>
            </w:tcMar>
          </w:tcPr>
          <w:p w14:paraId="7DCC76F4" w14:textId="738E0595" w:rsidR="001D4E19" w:rsidRPr="00A00994" w:rsidRDefault="001D4E19" w:rsidP="001D4E19">
            <w:pPr>
              <w:pStyle w:val="Marginlie"/>
              <w:spacing w:after="120"/>
              <w:rPr>
                <w:lang w:val="en-GB"/>
              </w:rPr>
            </w:pPr>
            <w:r w:rsidRPr="00A00994">
              <w:rPr>
                <w:lang w:val="en-GB"/>
              </w:rPr>
              <w:t xml:space="preserve">Above average wage growth reflected the revival of majority of market services in Prague. </w:t>
            </w:r>
          </w:p>
        </w:tc>
        <w:tc>
          <w:tcPr>
            <w:tcW w:w="220" w:type="dxa"/>
            <w:shd w:val="clear" w:color="auto" w:fill="auto"/>
            <w:tcMar>
              <w:left w:w="0" w:type="dxa"/>
            </w:tcMar>
          </w:tcPr>
          <w:p w14:paraId="27FC713E"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1A912214" w14:textId="5D3627D0" w:rsidR="001D4E19" w:rsidRPr="00A00994" w:rsidRDefault="001D4E19" w:rsidP="001D4E19">
            <w:pPr>
              <w:rPr>
                <w:spacing w:val="-5"/>
                <w:lang w:val="en-GB"/>
              </w:rPr>
            </w:pPr>
            <w:r w:rsidRPr="00A00994">
              <w:rPr>
                <w:spacing w:val="-5"/>
                <w:lang w:val="en-GB"/>
              </w:rPr>
              <w:t xml:space="preserve">Regarding the average wage, employees in Prague improved their position the most year-on-year in Q2 (by 5.7%), the least in </w:t>
            </w:r>
            <w:r>
              <w:rPr>
                <w:spacing w:val="-5"/>
                <w:lang w:val="en-GB"/>
              </w:rPr>
              <w:t>Ústí nad Labem</w:t>
            </w:r>
            <w:r w:rsidRPr="00A00994">
              <w:rPr>
                <w:spacing w:val="-5"/>
                <w:lang w:val="en-GB"/>
              </w:rPr>
              <w:t xml:space="preserve"> region (1.6%). The higher wage pace likely mirrored the improved economic situation in branches of market services in the metropolis (concentrated here more than in other regions). The wage growth was traditionally supported by more favourable development of employment in Prague. The ongoing downturn of the mining industry was evident in Moravia-Silesian region and Karlovy Vary region, even though less than last year. Size of average wages in the Karlovy Vary region belonged to the lowest </w:t>
            </w:r>
            <w:r w:rsidRPr="00A00994">
              <w:rPr>
                <w:spacing w:val="-5"/>
                <w:lang w:val="en-GB"/>
              </w:rPr>
              <w:lastRenderedPageBreak/>
              <w:t>among regions, since it lagged by 13% behind the state-wide level. The wages in Prague in contrast exceeded it by 23%. The situation was similar in the pre-pandemic year 2019.</w:t>
            </w:r>
          </w:p>
        </w:tc>
      </w:tr>
      <w:tr w:rsidR="001D4E19" w:rsidRPr="00A00994" w14:paraId="0EBFA331" w14:textId="77777777" w:rsidTr="00BC060A">
        <w:trPr>
          <w:trHeight w:val="145"/>
        </w:trPr>
        <w:tc>
          <w:tcPr>
            <w:tcW w:w="1739" w:type="dxa"/>
            <w:shd w:val="clear" w:color="auto" w:fill="auto"/>
            <w:tcMar>
              <w:left w:w="0" w:type="dxa"/>
            </w:tcMar>
          </w:tcPr>
          <w:p w14:paraId="288C9633" w14:textId="5665062B" w:rsidR="001D4E19" w:rsidRPr="00A00994" w:rsidRDefault="001D4E19" w:rsidP="001D4E19">
            <w:pPr>
              <w:pStyle w:val="Marginlie"/>
              <w:spacing w:after="120"/>
              <w:rPr>
                <w:lang w:val="en-GB"/>
              </w:rPr>
            </w:pPr>
            <w:r w:rsidRPr="00A00994">
              <w:rPr>
                <w:lang w:val="en-GB"/>
              </w:rPr>
              <w:lastRenderedPageBreak/>
              <w:t xml:space="preserve">The wage differentiation narrowed this year. </w:t>
            </w:r>
          </w:p>
        </w:tc>
        <w:tc>
          <w:tcPr>
            <w:tcW w:w="220" w:type="dxa"/>
            <w:shd w:val="clear" w:color="auto" w:fill="auto"/>
            <w:tcMar>
              <w:left w:w="0" w:type="dxa"/>
            </w:tcMar>
          </w:tcPr>
          <w:p w14:paraId="346AF10E"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05AE675A" w14:textId="72C4D874" w:rsidR="001D4E19" w:rsidRPr="00A00994" w:rsidRDefault="001D4E19" w:rsidP="001D4E19">
            <w:pPr>
              <w:rPr>
                <w:spacing w:val="-4"/>
                <w:lang w:val="en-GB"/>
              </w:rPr>
            </w:pPr>
            <w:r w:rsidRPr="00A00994">
              <w:rPr>
                <w:bCs/>
                <w:color w:val="0D0D0D" w:themeColor="text1" w:themeTint="F2"/>
                <w:spacing w:val="-4"/>
                <w:lang w:val="en-GB"/>
              </w:rPr>
              <w:t xml:space="preserve">The wage median climbed up to </w:t>
            </w:r>
            <w:r w:rsidRPr="00A00994">
              <w:rPr>
                <w:bCs/>
                <w:spacing w:val="-4"/>
                <w:lang w:val="en-GB"/>
              </w:rPr>
              <w:t>36.9 CZK thousand for males, 31.2 CZK thousand for females in Q2 2022. Unlike the previous years, it increased more for males (7.3%) than females (3.7</w:t>
            </w:r>
            <w:r w:rsidRPr="00A00994">
              <w:rPr>
                <w:spacing w:val="-4"/>
                <w:lang w:val="en-GB"/>
              </w:rPr>
              <w:t xml:space="preserve">%). The wage distribution for males did not change year-on-year. Growth of earnings of females was in the large extent driven by strengthening of below average wages (in connection to the revival of the majority of market services branches), while the average and above average wages were increasing relatively slower (mainly because of perceptible slowdown of growth in education and health and social works). Total wage distribution narrowed in both Q1 and 2 this year compared to the last year. </w:t>
            </w:r>
          </w:p>
        </w:tc>
      </w:tr>
      <w:tr w:rsidR="001D4E19" w:rsidRPr="00A00994" w14:paraId="22EAB61B" w14:textId="77777777" w:rsidTr="00BC060A">
        <w:trPr>
          <w:trHeight w:val="145"/>
        </w:trPr>
        <w:tc>
          <w:tcPr>
            <w:tcW w:w="1739" w:type="dxa"/>
            <w:shd w:val="clear" w:color="auto" w:fill="auto"/>
            <w:tcMar>
              <w:left w:w="0" w:type="dxa"/>
            </w:tcMar>
          </w:tcPr>
          <w:p w14:paraId="68E44AD1" w14:textId="77777777" w:rsidR="001D4E19" w:rsidRPr="00A00994" w:rsidRDefault="001D4E19" w:rsidP="001D4E19">
            <w:pPr>
              <w:pStyle w:val="Marginlie"/>
              <w:spacing w:after="120"/>
              <w:rPr>
                <w:lang w:val="en-GB"/>
              </w:rPr>
            </w:pPr>
          </w:p>
        </w:tc>
        <w:tc>
          <w:tcPr>
            <w:tcW w:w="220" w:type="dxa"/>
            <w:shd w:val="clear" w:color="auto" w:fill="auto"/>
            <w:tcMar>
              <w:left w:w="0" w:type="dxa"/>
            </w:tcMar>
          </w:tcPr>
          <w:p w14:paraId="191720B9"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274F2928" w14:textId="50983C58" w:rsidR="001D4E19" w:rsidRPr="00A00994" w:rsidRDefault="001D4E19" w:rsidP="001D4E19">
            <w:pPr>
              <w:spacing w:after="0"/>
              <w:rPr>
                <w:spacing w:val="-4"/>
                <w:lang w:val="en-GB"/>
              </w:rPr>
            </w:pPr>
            <w:r w:rsidRPr="00A00994">
              <w:rPr>
                <w:b/>
                <w:spacing w:val="-4"/>
                <w:lang w:val="en-GB"/>
              </w:rPr>
              <w:t xml:space="preserve">Chart 15 </w:t>
            </w:r>
            <w:r w:rsidRPr="00A00994">
              <w:rPr>
                <w:b/>
                <w:spacing w:val="-2"/>
                <w:lang w:val="en-GB"/>
              </w:rPr>
              <w:t xml:space="preserve">Average nominal and real wage and wage median </w:t>
            </w:r>
            <w:r w:rsidRPr="00A00994">
              <w:rPr>
                <w:spacing w:val="-2"/>
                <w:lang w:val="en-GB"/>
              </w:rPr>
              <w:t>(year-on-year, in %)</w:t>
            </w:r>
          </w:p>
        </w:tc>
      </w:tr>
      <w:tr w:rsidR="001D4E19" w:rsidRPr="00A00994" w14:paraId="54988777" w14:textId="77777777" w:rsidTr="00BC060A">
        <w:tblPrEx>
          <w:tblCellMar>
            <w:left w:w="70" w:type="dxa"/>
            <w:right w:w="70" w:type="dxa"/>
          </w:tblCellMar>
        </w:tblPrEx>
        <w:trPr>
          <w:trHeight w:val="145"/>
        </w:trPr>
        <w:tc>
          <w:tcPr>
            <w:tcW w:w="1739" w:type="dxa"/>
            <w:shd w:val="clear" w:color="auto" w:fill="auto"/>
          </w:tcPr>
          <w:p w14:paraId="2158E3BB" w14:textId="77777777" w:rsidR="001D4E19" w:rsidRPr="00A00994" w:rsidRDefault="001D4E19" w:rsidP="001D4E19">
            <w:pPr>
              <w:pStyle w:val="Marginlie"/>
              <w:spacing w:after="120"/>
              <w:rPr>
                <w:lang w:val="en-GB"/>
              </w:rPr>
            </w:pPr>
          </w:p>
        </w:tc>
        <w:tc>
          <w:tcPr>
            <w:tcW w:w="220" w:type="dxa"/>
            <w:shd w:val="clear" w:color="auto" w:fill="auto"/>
          </w:tcPr>
          <w:p w14:paraId="6A254011" w14:textId="77777777" w:rsidR="001D4E19" w:rsidRPr="00A00994" w:rsidRDefault="001D4E19" w:rsidP="001D4E19">
            <w:pPr>
              <w:pStyle w:val="Textpoznpodarou"/>
              <w:spacing w:after="120"/>
              <w:jc w:val="both"/>
              <w:rPr>
                <w:spacing w:val="-4"/>
                <w:lang w:val="en-GB"/>
              </w:rPr>
            </w:pPr>
          </w:p>
        </w:tc>
        <w:tc>
          <w:tcPr>
            <w:tcW w:w="7715" w:type="dxa"/>
            <w:shd w:val="clear" w:color="auto" w:fill="auto"/>
          </w:tcPr>
          <w:p w14:paraId="3217C2CA" w14:textId="47E26592" w:rsidR="001D4E19" w:rsidRPr="00A00994" w:rsidRDefault="001D4E19" w:rsidP="001D4E19">
            <w:pPr>
              <w:spacing w:after="0"/>
              <w:rPr>
                <w:b/>
                <w:spacing w:val="-4"/>
                <w:lang w:val="en-GB"/>
              </w:rPr>
            </w:pPr>
            <w:r>
              <w:rPr>
                <w:noProof/>
              </w:rPr>
              <w:drawing>
                <wp:inline distT="0" distB="0" distL="0" distR="0" wp14:anchorId="535F7C5D" wp14:editId="2F6E6398">
                  <wp:extent cx="4810540" cy="3724386"/>
                  <wp:effectExtent l="0" t="0" r="0" b="0"/>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1D4E19" w:rsidRPr="00A00994" w14:paraId="5639B9F2" w14:textId="77777777" w:rsidTr="00BC060A">
        <w:trPr>
          <w:trHeight w:val="145"/>
        </w:trPr>
        <w:tc>
          <w:tcPr>
            <w:tcW w:w="1739" w:type="dxa"/>
            <w:shd w:val="clear" w:color="auto" w:fill="auto"/>
            <w:tcMar>
              <w:left w:w="0" w:type="dxa"/>
            </w:tcMar>
          </w:tcPr>
          <w:p w14:paraId="7A91B007" w14:textId="77777777" w:rsidR="001D4E19" w:rsidRPr="00A00994" w:rsidRDefault="001D4E19" w:rsidP="001D4E19">
            <w:pPr>
              <w:pStyle w:val="Marginlie"/>
              <w:spacing w:after="120"/>
              <w:rPr>
                <w:lang w:val="en-GB"/>
              </w:rPr>
            </w:pPr>
          </w:p>
        </w:tc>
        <w:tc>
          <w:tcPr>
            <w:tcW w:w="220" w:type="dxa"/>
            <w:shd w:val="clear" w:color="auto" w:fill="auto"/>
            <w:tcMar>
              <w:left w:w="0" w:type="dxa"/>
            </w:tcMar>
          </w:tcPr>
          <w:p w14:paraId="421AE78A"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1D3181A9" w14:textId="403AB29B" w:rsidR="001D4E19" w:rsidRPr="00A00994" w:rsidRDefault="001D4E19" w:rsidP="001D4E19">
            <w:pPr>
              <w:tabs>
                <w:tab w:val="right" w:pos="7683"/>
              </w:tabs>
              <w:spacing w:after="0"/>
              <w:rPr>
                <w:bCs/>
                <w:sz w:val="14"/>
                <w:szCs w:val="14"/>
                <w:lang w:val="en-GB"/>
              </w:rPr>
            </w:pPr>
            <w:r w:rsidRPr="00A00994">
              <w:rPr>
                <w:bCs/>
                <w:sz w:val="14"/>
                <w:szCs w:val="14"/>
                <w:lang w:val="en-GB"/>
              </w:rPr>
              <w:t>Note: Date are given for individual half-years.</w:t>
            </w:r>
          </w:p>
          <w:p w14:paraId="0E9B8065" w14:textId="51357F1F" w:rsidR="001D4E19" w:rsidRPr="00A00994" w:rsidRDefault="001D4E19" w:rsidP="001D4E19">
            <w:pPr>
              <w:tabs>
                <w:tab w:val="right" w:pos="7683"/>
              </w:tabs>
              <w:spacing w:after="0"/>
              <w:rPr>
                <w:bCs/>
                <w:sz w:val="14"/>
                <w:szCs w:val="14"/>
                <w:lang w:val="en-GB"/>
              </w:rPr>
            </w:pPr>
            <w:r w:rsidRPr="00A00994">
              <w:rPr>
                <w:bCs/>
                <w:sz w:val="14"/>
                <w:szCs w:val="14"/>
                <w:lang w:val="en-GB"/>
              </w:rPr>
              <w:t>*</w:t>
            </w:r>
            <w:r w:rsidRPr="00A00994">
              <w:rPr>
                <w:rFonts w:cs="Arial"/>
                <w:spacing w:val="-3"/>
                <w:sz w:val="14"/>
                <w:szCs w:val="14"/>
                <w:lang w:val="en-GB"/>
              </w:rPr>
              <w:t xml:space="preserve"> Includes branches with a significant state involvement: Public administration, defence, social security; Education; Human health and social work activities; Cultural, amusement and recreational activities.</w:t>
            </w:r>
            <w:r w:rsidRPr="00A00994">
              <w:rPr>
                <w:bCs/>
                <w:sz w:val="14"/>
                <w:szCs w:val="14"/>
                <w:lang w:val="en-GB"/>
              </w:rPr>
              <w:tab/>
              <w:t>Source</w:t>
            </w:r>
            <w:r w:rsidRPr="00A00994">
              <w:rPr>
                <w:rFonts w:cs="Arial"/>
                <w:color w:val="0D0D0D" w:themeColor="text1" w:themeTint="F2"/>
                <w:spacing w:val="-2"/>
                <w:sz w:val="14"/>
                <w:szCs w:val="14"/>
                <w:lang w:val="en-GB"/>
              </w:rPr>
              <w:t>: CZSO</w:t>
            </w:r>
          </w:p>
          <w:p w14:paraId="68E54D0A" w14:textId="59C0BC56" w:rsidR="001D4E19" w:rsidRPr="00A00994" w:rsidRDefault="001D4E19" w:rsidP="001D4E19">
            <w:pPr>
              <w:tabs>
                <w:tab w:val="right" w:pos="7683"/>
              </w:tabs>
              <w:spacing w:after="0"/>
              <w:rPr>
                <w:rFonts w:cs="Arial"/>
                <w:b/>
                <w:bCs/>
                <w:noProof/>
                <w:color w:val="0D0D0D" w:themeColor="text1" w:themeTint="F2"/>
                <w:spacing w:val="-2"/>
                <w:sz w:val="16"/>
                <w:szCs w:val="16"/>
                <w:lang w:val="en-GB"/>
              </w:rPr>
            </w:pPr>
          </w:p>
          <w:p w14:paraId="0CD9BB74" w14:textId="77777777" w:rsidR="001D4E19" w:rsidRPr="00A00994" w:rsidRDefault="001D4E19" w:rsidP="001D4E19">
            <w:pPr>
              <w:tabs>
                <w:tab w:val="right" w:pos="7683"/>
              </w:tabs>
              <w:spacing w:after="0"/>
              <w:rPr>
                <w:rFonts w:cs="Arial"/>
                <w:noProof/>
                <w:color w:val="0D0D0D" w:themeColor="text1" w:themeTint="F2"/>
                <w:spacing w:val="-2"/>
                <w:sz w:val="14"/>
                <w:szCs w:val="14"/>
                <w:lang w:val="en-GB"/>
              </w:rPr>
            </w:pPr>
          </w:p>
          <w:p w14:paraId="0F47F2C9" w14:textId="28923A77" w:rsidR="001D4E19" w:rsidRPr="00A00994" w:rsidRDefault="001D4E19" w:rsidP="001D4E19">
            <w:pPr>
              <w:tabs>
                <w:tab w:val="right" w:pos="7683"/>
              </w:tabs>
              <w:spacing w:after="0"/>
              <w:rPr>
                <w:noProof/>
                <w:sz w:val="14"/>
                <w:szCs w:val="14"/>
                <w:lang w:val="en-GB"/>
              </w:rPr>
            </w:pPr>
          </w:p>
        </w:tc>
      </w:tr>
      <w:bookmarkEnd w:id="28"/>
      <w:bookmarkEnd w:id="29"/>
      <w:bookmarkEnd w:id="30"/>
      <w:bookmarkEnd w:id="31"/>
    </w:tbl>
    <w:p w14:paraId="5FD2BD2B" w14:textId="77777777" w:rsidR="00073B58" w:rsidRDefault="00073B58" w:rsidP="008F2E83">
      <w:pPr>
        <w:pStyle w:val="Nadpis11"/>
        <w:spacing w:after="120"/>
        <w:rPr>
          <w:lang w:val="en-GB"/>
        </w:rPr>
      </w:pPr>
    </w:p>
    <w:p w14:paraId="2436798C" w14:textId="77777777" w:rsidR="00073B58" w:rsidRDefault="00073B58">
      <w:pPr>
        <w:spacing w:after="0" w:line="240" w:lineRule="auto"/>
        <w:jc w:val="left"/>
        <w:rPr>
          <w:rFonts w:eastAsia="MS Gothic"/>
          <w:b/>
          <w:bCs/>
          <w:color w:val="71818C"/>
          <w:sz w:val="32"/>
          <w:szCs w:val="28"/>
          <w:lang w:val="en-GB"/>
        </w:rPr>
      </w:pPr>
      <w:r>
        <w:rPr>
          <w:lang w:val="en-GB"/>
        </w:rPr>
        <w:br w:type="page"/>
      </w:r>
    </w:p>
    <w:p w14:paraId="1391F3D1" w14:textId="77777777" w:rsidR="00073B58" w:rsidRPr="00A00994" w:rsidRDefault="00073B58" w:rsidP="00073B58">
      <w:pPr>
        <w:pStyle w:val="Nadpis11"/>
        <w:spacing w:after="120"/>
        <w:rPr>
          <w:lang w:val="en-GB"/>
        </w:rPr>
      </w:pPr>
      <w:bookmarkStart w:id="43" w:name="_Toc116642876"/>
      <w:r w:rsidRPr="00A00994">
        <w:rPr>
          <w:lang w:val="en-GB"/>
        </w:rPr>
        <w:lastRenderedPageBreak/>
        <w:t>7. Monetary Conditions</w:t>
      </w:r>
      <w:bookmarkEnd w:id="43"/>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073B58" w:rsidRPr="00A00994" w14:paraId="0B29F81F" w14:textId="77777777" w:rsidTr="00073B58">
        <w:trPr>
          <w:trHeight w:val="145"/>
        </w:trPr>
        <w:tc>
          <w:tcPr>
            <w:tcW w:w="1802" w:type="dxa"/>
          </w:tcPr>
          <w:p w14:paraId="614354B8" w14:textId="77777777" w:rsidR="00073B58" w:rsidRPr="00A00994" w:rsidRDefault="00073B58" w:rsidP="00073B58">
            <w:pPr>
              <w:pStyle w:val="Marginlie"/>
              <w:rPr>
                <w:lang w:val="en-GB" w:eastAsia="en-US"/>
              </w:rPr>
            </w:pPr>
            <w:r w:rsidRPr="00A00994">
              <w:rPr>
                <w:lang w:val="en-GB" w:eastAsia="en-US"/>
              </w:rPr>
              <w:t>Monetary policy-relevant interest rates were changed three times during Q2.</w:t>
            </w:r>
          </w:p>
        </w:tc>
        <w:tc>
          <w:tcPr>
            <w:tcW w:w="229" w:type="dxa"/>
          </w:tcPr>
          <w:p w14:paraId="6F15EEBB" w14:textId="77777777" w:rsidR="00073B58" w:rsidRPr="00A00994" w:rsidRDefault="00073B58" w:rsidP="00073B58">
            <w:pPr>
              <w:pStyle w:val="Textpoznpodarou"/>
              <w:jc w:val="both"/>
              <w:rPr>
                <w:spacing w:val="-4"/>
                <w:lang w:val="en-GB" w:eastAsia="en-US"/>
              </w:rPr>
            </w:pPr>
          </w:p>
        </w:tc>
        <w:tc>
          <w:tcPr>
            <w:tcW w:w="7610" w:type="dxa"/>
          </w:tcPr>
          <w:p w14:paraId="37747E9C" w14:textId="77777777" w:rsidR="00073B58" w:rsidRPr="00A00994" w:rsidRDefault="00073B58" w:rsidP="00073B58">
            <w:pPr>
              <w:rPr>
                <w:spacing w:val="-2"/>
                <w:lang w:val="en-GB" w:eastAsia="en-US"/>
              </w:rPr>
            </w:pPr>
            <w:r w:rsidRPr="00A00994">
              <w:rPr>
                <w:spacing w:val="-2"/>
                <w:lang w:val="en-GB" w:eastAsia="en-US"/>
              </w:rPr>
              <w:t>In the environment of significantly accelerating inflation, the monetary policy-relevant interest rates were raised three times during Q2. At first, the two-week repo rate was increased by 0.50 p.p. to 5.00% in April</w:t>
            </w:r>
            <w:r w:rsidRPr="00A00994">
              <w:rPr>
                <w:rStyle w:val="Znakapoznpodarou"/>
                <w:spacing w:val="-2"/>
                <w:lang w:val="en-GB" w:eastAsia="en-US"/>
              </w:rPr>
              <w:footnoteReference w:id="70"/>
            </w:r>
            <w:r w:rsidRPr="00A00994">
              <w:rPr>
                <w:spacing w:val="-2"/>
                <w:lang w:val="en-GB" w:eastAsia="en-US"/>
              </w:rPr>
              <w:t xml:space="preserve">, another increase to 5.75 % took place in May and another one to 7.00% in June. The discount rate reached 6.00 %at the end of Q2 and the Lombard rate 8.0%. Koruna foreign exchange per euro attained an average value of 24.64 CZK/EUR in Q2. The CNB forex intervention played a major role, which following the steep depreciation, which manifested in the half of May returned the koruna foreign exchange to the previous level and were preventing further depreciation. The koruna foreign exchange per euro was stronger by 3.9% compared to last year’s Q2 and it nearly did not change quarter-on-quarter. Koruna foreign exchange per dollar fluctuated more substantially during Q2. The average reached 23.16 CZK/USD for the whole Q2, the koruna foreign exchange per dollar however depreciated from the level of 22.06 CZK per dollar at the beginning of April up to 23.82 CZK at the end of June. The jump depreciation, which was common to all countries of the Central Europe with own currencies, occurred in the second half of April in connection to the interruption of supplies of gas to Europe and the timing of May as well as June shift of the koruna foreign exchange coincided with the period of inflation data publishing. Koruna foreign exchange per dollar was weaker by 8.9% year-on-year in Q2 and by 5.3% quarter-on-quarter.   </w:t>
            </w:r>
          </w:p>
        </w:tc>
      </w:tr>
      <w:tr w:rsidR="00073B58" w:rsidRPr="00A00994" w14:paraId="57553552" w14:textId="77777777" w:rsidTr="00073B58">
        <w:trPr>
          <w:trHeight w:val="145"/>
        </w:trPr>
        <w:tc>
          <w:tcPr>
            <w:tcW w:w="1802" w:type="dxa"/>
          </w:tcPr>
          <w:p w14:paraId="642081BF" w14:textId="77777777" w:rsidR="00073B58" w:rsidRPr="00A00994" w:rsidRDefault="00073B58" w:rsidP="00073B58">
            <w:pPr>
              <w:pStyle w:val="Marginlie"/>
              <w:rPr>
                <w:lang w:val="en-GB" w:eastAsia="en-US"/>
              </w:rPr>
            </w:pPr>
            <w:r w:rsidRPr="00A00994">
              <w:rPr>
                <w:lang w:val="en-GB" w:eastAsia="en-US"/>
              </w:rPr>
              <w:t>Yields of government bonds went up.</w:t>
            </w:r>
          </w:p>
        </w:tc>
        <w:tc>
          <w:tcPr>
            <w:tcW w:w="229" w:type="dxa"/>
          </w:tcPr>
          <w:p w14:paraId="4E1E56F9" w14:textId="77777777" w:rsidR="00073B58" w:rsidRPr="00A00994" w:rsidRDefault="00073B58" w:rsidP="00073B58">
            <w:pPr>
              <w:pStyle w:val="Textpoznpodarou"/>
              <w:jc w:val="both"/>
              <w:rPr>
                <w:spacing w:val="-4"/>
                <w:lang w:val="en-GB" w:eastAsia="en-US"/>
              </w:rPr>
            </w:pPr>
          </w:p>
        </w:tc>
        <w:tc>
          <w:tcPr>
            <w:tcW w:w="7610" w:type="dxa"/>
          </w:tcPr>
          <w:p w14:paraId="7CFB7F72" w14:textId="77777777" w:rsidR="00073B58" w:rsidRPr="00A00994" w:rsidRDefault="00073B58" w:rsidP="00073B58">
            <w:pPr>
              <w:rPr>
                <w:spacing w:val="-1"/>
                <w:lang w:val="en-GB" w:eastAsia="en-US"/>
              </w:rPr>
            </w:pPr>
            <w:r w:rsidRPr="00A00994">
              <w:rPr>
                <w:spacing w:val="-1"/>
                <w:lang w:val="en-GB" w:eastAsia="en-US"/>
              </w:rPr>
              <w:t>The interbank rates reacted to the increase of the monetary policy-relevant interest rates by analogous increase. The three-month PRIBOR rate rose by 1.78 p.p.</w:t>
            </w:r>
            <w:r w:rsidRPr="00A00994">
              <w:rPr>
                <w:rStyle w:val="Znakapoznpodarou"/>
                <w:spacing w:val="-1"/>
                <w:lang w:val="en-GB" w:eastAsia="en-US"/>
              </w:rPr>
              <w:footnoteReference w:id="71"/>
            </w:r>
            <w:r w:rsidRPr="00A00994">
              <w:rPr>
                <w:spacing w:val="-1"/>
                <w:lang w:val="en-GB" w:eastAsia="en-US"/>
              </w:rPr>
              <w:t xml:space="preserve"> to 6.64% in Q2 and the interest rates of other maturities also behaved similarly. The yields of government bonds continued growing in Q2, which lasts since the second half of year 2020. Bonds with short-term maturity thus bore interest on average of 6.26% at the end of June 2022 (increase by 1.72 p.p.), with medium-term maturity 5.49% (+1.64 p.p.) and with long-term maturity 5.12% (+1.59 p. p).         </w:t>
            </w:r>
          </w:p>
        </w:tc>
      </w:tr>
      <w:tr w:rsidR="00073B58" w:rsidRPr="00A00994" w14:paraId="491C2566" w14:textId="77777777" w:rsidTr="00073B58">
        <w:trPr>
          <w:trHeight w:val="145"/>
        </w:trPr>
        <w:tc>
          <w:tcPr>
            <w:tcW w:w="1802" w:type="dxa"/>
            <w:hideMark/>
          </w:tcPr>
          <w:p w14:paraId="7AEB5CD5" w14:textId="77777777" w:rsidR="00073B58" w:rsidRPr="00A00994" w:rsidRDefault="00073B58" w:rsidP="00073B58">
            <w:pPr>
              <w:pStyle w:val="Marginlie"/>
              <w:rPr>
                <w:lang w:val="en-GB" w:eastAsia="en-US"/>
              </w:rPr>
            </w:pPr>
            <w:r w:rsidRPr="00A00994">
              <w:rPr>
                <w:lang w:val="en-GB" w:eastAsia="en-US"/>
              </w:rPr>
              <w:t xml:space="preserve">Strong inflow of funds to term deposits continued. </w:t>
            </w:r>
          </w:p>
        </w:tc>
        <w:tc>
          <w:tcPr>
            <w:tcW w:w="229" w:type="dxa"/>
          </w:tcPr>
          <w:p w14:paraId="3255539C" w14:textId="77777777" w:rsidR="00073B58" w:rsidRPr="00A00994" w:rsidRDefault="00073B58" w:rsidP="00073B58">
            <w:pPr>
              <w:pStyle w:val="Textpoznpodarou"/>
              <w:jc w:val="both"/>
              <w:rPr>
                <w:spacing w:val="-4"/>
                <w:lang w:val="en-GB" w:eastAsia="en-US"/>
              </w:rPr>
            </w:pPr>
          </w:p>
        </w:tc>
        <w:tc>
          <w:tcPr>
            <w:tcW w:w="7610" w:type="dxa"/>
          </w:tcPr>
          <w:p w14:paraId="0E7567CF" w14:textId="77777777" w:rsidR="00073B58" w:rsidRPr="00A00994" w:rsidRDefault="00073B58" w:rsidP="00073B58">
            <w:pPr>
              <w:rPr>
                <w:spacing w:val="-3"/>
                <w:lang w:val="en-GB" w:eastAsia="en-US"/>
              </w:rPr>
            </w:pPr>
            <w:r w:rsidRPr="00A00994">
              <w:rPr>
                <w:spacing w:val="-3"/>
                <w:lang w:val="en-GB" w:eastAsia="en-US"/>
              </w:rPr>
              <w:t>Interest rates on client deposits also generally moved upwards. In case of current accounts of households</w:t>
            </w:r>
            <w:r w:rsidRPr="00A00994">
              <w:rPr>
                <w:rStyle w:val="Znakapoznpodarou"/>
                <w:spacing w:val="-3"/>
                <w:lang w:val="en-GB" w:eastAsia="en-US"/>
              </w:rPr>
              <w:footnoteReference w:id="72"/>
            </w:r>
            <w:r w:rsidRPr="00A00994">
              <w:rPr>
                <w:spacing w:val="-3"/>
                <w:lang w:val="en-GB" w:eastAsia="en-US"/>
              </w:rPr>
              <w:t xml:space="preserve"> the interest rates stayed at a very low level (0.08%), but the average interest on one-day deposits went up by 0.26 p.p. to 0.77% in Q2. Deposits with agreed maturity recorded a large shift (by 1.86 p. p. to 5.37%). Current accounts of non-financial businesses bore interest of 0.7% on average at the end of Q2, which represents an increase of 0.33 p.p. The average interest rate on their deposits with agreed maturity rose by 1.9 p. p. to 5.8%. The development of the volume of deposits reflected the growing inflation and shift of interest rates. In Q2, the decrease of volume of non-term deposits atypical from the long-term point of view further continued (by 261.6 CZK bn year-on-year, by 54.9 bn quarter-on-quarter). This decrease was evidently absorbed by term deposits, which bear much better interest currently. They expanded by 746.9 CZK bn year-on-year and by 223.2 bn quarter-on-quarter. The dynamics of the total volume of deposits did not alter significantly.     </w:t>
            </w:r>
          </w:p>
        </w:tc>
      </w:tr>
      <w:tr w:rsidR="00073B58" w:rsidRPr="00A00994" w14:paraId="3F3B636C" w14:textId="77777777" w:rsidTr="00073B58">
        <w:trPr>
          <w:trHeight w:val="145"/>
        </w:trPr>
        <w:tc>
          <w:tcPr>
            <w:tcW w:w="1802" w:type="dxa"/>
          </w:tcPr>
          <w:p w14:paraId="57D3928B" w14:textId="77777777" w:rsidR="00073B58" w:rsidRPr="00A00994" w:rsidRDefault="00073B58" w:rsidP="00073B58">
            <w:pPr>
              <w:pStyle w:val="Marginlie"/>
              <w:rPr>
                <w:lang w:val="en-GB" w:eastAsia="en-US"/>
              </w:rPr>
            </w:pPr>
            <w:r w:rsidRPr="00A00994">
              <w:rPr>
                <w:lang w:val="en-GB" w:eastAsia="en-US"/>
              </w:rPr>
              <w:t xml:space="preserve">Increase of interest rates on credit for households was accompanied by cooling of their provision.  </w:t>
            </w:r>
          </w:p>
        </w:tc>
        <w:tc>
          <w:tcPr>
            <w:tcW w:w="229" w:type="dxa"/>
          </w:tcPr>
          <w:p w14:paraId="6AA9CC30" w14:textId="77777777" w:rsidR="00073B58" w:rsidRPr="00A00994" w:rsidRDefault="00073B58" w:rsidP="00073B58">
            <w:pPr>
              <w:pStyle w:val="Textpoznpodarou"/>
              <w:jc w:val="both"/>
              <w:rPr>
                <w:spacing w:val="-4"/>
                <w:lang w:val="en-GB" w:eastAsia="en-US"/>
              </w:rPr>
            </w:pPr>
          </w:p>
        </w:tc>
        <w:tc>
          <w:tcPr>
            <w:tcW w:w="7610" w:type="dxa"/>
          </w:tcPr>
          <w:p w14:paraId="0F0B4AA5" w14:textId="77777777" w:rsidR="00073B58" w:rsidRPr="00A00994" w:rsidRDefault="00073B58" w:rsidP="00073B58">
            <w:pPr>
              <w:rPr>
                <w:lang w:val="en-GB" w:eastAsia="en-US"/>
              </w:rPr>
            </w:pPr>
            <w:r w:rsidRPr="00A00994">
              <w:rPr>
                <w:lang w:val="en-GB" w:eastAsia="en-US"/>
              </w:rPr>
              <w:t xml:space="preserve">The growth of interest rates on credit for households also continued. The average interest on consumer credit increased by 0.64 p. p. to 8.84% during Q2, which is the most since the end of Q3 2017. The average interest rate on credit to purchase residential real estate also had another large increase (by 0.59 p. p. to 4.43%). Expansion of the volume of credit provided to households markedly slowed down in Q2. The year-on-year increase of consumer credit slowed down to 7.1% in Q2. The still </w:t>
            </w:r>
            <w:r w:rsidRPr="00A00994">
              <w:rPr>
                <w:lang w:val="en-GB" w:eastAsia="en-US"/>
              </w:rPr>
              <w:lastRenderedPageBreak/>
              <w:t xml:space="preserve">relatively strong increase was assisted by the weaker comparative basis of last year’s Q2, when the retail trade set in motion after the pandemics shutdown. The quarter-on-quarter increase however slowed down to 0.4%, while it was more than 2% in the previous four quarters. Volume of provided mortgages was by 8.8% higher year-on-year at the end of June 2022. Their expansion nevertheless slowed down to 0.7% between the end of June and March, which was the least since Q1 2014. The sharp hike of rates put further brakes on the provision of new mortgages. The volume of new mortgage credits attained 28.2 CZK bn, which was the least since the end of year 2019. Mainly the </w:t>
            </w:r>
            <w:r>
              <w:rPr>
                <w:lang w:val="en-GB" w:eastAsia="en-US"/>
              </w:rPr>
              <w:t>pure</w:t>
            </w:r>
            <w:r w:rsidRPr="00A00994">
              <w:rPr>
                <w:lang w:val="en-GB" w:eastAsia="en-US"/>
              </w:rPr>
              <w:t xml:space="preserve"> new loans dropped</w:t>
            </w:r>
            <w:r w:rsidRPr="00A00994">
              <w:rPr>
                <w:rStyle w:val="Znakapoznpodarou"/>
                <w:lang w:val="en-GB" w:eastAsia="en-US"/>
              </w:rPr>
              <w:footnoteReference w:id="73"/>
            </w:r>
            <w:r w:rsidRPr="00A00994">
              <w:rPr>
                <w:lang w:val="en-GB" w:eastAsia="en-US"/>
              </w:rPr>
              <w:t xml:space="preserve">. Total indebtedness of households went up by 8.1% year-on-year, but quarter-on-quarter addition slowed down to 0.7%.  </w:t>
            </w:r>
          </w:p>
        </w:tc>
      </w:tr>
      <w:tr w:rsidR="00073B58" w:rsidRPr="00A00994" w14:paraId="3154D194" w14:textId="77777777" w:rsidTr="00073B58">
        <w:trPr>
          <w:trHeight w:val="145"/>
        </w:trPr>
        <w:tc>
          <w:tcPr>
            <w:tcW w:w="1802" w:type="dxa"/>
          </w:tcPr>
          <w:p w14:paraId="64620B03" w14:textId="77777777" w:rsidR="00073B58" w:rsidRPr="00A00994" w:rsidRDefault="00073B58" w:rsidP="00073B58">
            <w:pPr>
              <w:pStyle w:val="Marginlie"/>
              <w:rPr>
                <w:lang w:val="en-GB" w:eastAsia="en-US"/>
              </w:rPr>
            </w:pPr>
            <w:r w:rsidRPr="00A00994">
              <w:rPr>
                <w:lang w:val="en-GB" w:eastAsia="en-US"/>
              </w:rPr>
              <w:lastRenderedPageBreak/>
              <w:t xml:space="preserve">Volume of credit and liabilities of non-financial businesses in foreign currencies sharply increased. </w:t>
            </w:r>
          </w:p>
        </w:tc>
        <w:tc>
          <w:tcPr>
            <w:tcW w:w="229" w:type="dxa"/>
          </w:tcPr>
          <w:p w14:paraId="204D57B2" w14:textId="77777777" w:rsidR="00073B58" w:rsidRPr="00A00994" w:rsidRDefault="00073B58" w:rsidP="00073B58">
            <w:pPr>
              <w:pStyle w:val="Textpoznpodarou"/>
              <w:jc w:val="both"/>
              <w:rPr>
                <w:spacing w:val="-4"/>
                <w:lang w:val="en-GB" w:eastAsia="en-US"/>
              </w:rPr>
            </w:pPr>
          </w:p>
        </w:tc>
        <w:tc>
          <w:tcPr>
            <w:tcW w:w="7610" w:type="dxa"/>
          </w:tcPr>
          <w:p w14:paraId="522A06D4" w14:textId="77777777" w:rsidR="00073B58" w:rsidRPr="00A00994" w:rsidRDefault="00073B58" w:rsidP="00073B58">
            <w:pPr>
              <w:rPr>
                <w:lang w:val="en-GB" w:eastAsia="en-US"/>
              </w:rPr>
            </w:pPr>
            <w:r w:rsidRPr="00A00994">
              <w:rPr>
                <w:lang w:val="en-GB" w:eastAsia="en-US"/>
              </w:rPr>
              <w:t xml:space="preserve">The cost of credit financing was raised also to non-financial businesses. The interest on loans with volume above 30 CZK mil went up the most in Q2 (by 1.92 p.p. to 8.14%). The medium category of credit between 7.5 and 30 mil the interest rate was raised by 0.78 p.p. to 6.56% and by 0.63 p.p. to 6.9% in case of credit up to 7.5 mil. The total volume of credit and liabilities of non-financial businesses was by 7.7% year-on-year in Q2. Mainly short term credit expanded (17.6%). At the same time the volume of credit provided in CZK was lower year-on-year (−5.7%), while those denominated in foreign currencies increased by 36.2% and their proportion in total volume of provided credit climbed above 40%. From the view of individual branches, the volume of credit was growing the most year-on-year in wholesale, retail and repairs and maintenance of motor vehicles (20.4%), in transportation and storage (17.1%) and the pace briskly accelerated in financial and insurance activities (12.6%). The year-on-year increase of the volume of credit in real estate activities (7.9%) also strengthened. Apart from the usual slump of credit for mining and quarrying (−45.0%), credit in public administration, mandatory social security, education, health and social works (−27.9%) also shrank markedly. The volume of credit for production and distribution of electricity, gas, heat, air, water and waste water shrank by 7.2%.   </w:t>
            </w:r>
          </w:p>
        </w:tc>
      </w:tr>
      <w:tr w:rsidR="00073B58" w:rsidRPr="00A00994" w14:paraId="3770AAD0" w14:textId="77777777" w:rsidTr="00073B58">
        <w:trPr>
          <w:trHeight w:val="304"/>
        </w:trPr>
        <w:tc>
          <w:tcPr>
            <w:tcW w:w="1802" w:type="dxa"/>
            <w:vMerge w:val="restart"/>
          </w:tcPr>
          <w:p w14:paraId="1DF8D716" w14:textId="77777777" w:rsidR="00073B58" w:rsidRPr="00A00994" w:rsidRDefault="00073B58" w:rsidP="00073B58">
            <w:pPr>
              <w:pStyle w:val="Marginlie"/>
              <w:rPr>
                <w:lang w:val="en-GB" w:eastAsia="en-US"/>
              </w:rPr>
            </w:pPr>
          </w:p>
        </w:tc>
        <w:tc>
          <w:tcPr>
            <w:tcW w:w="229" w:type="dxa"/>
            <w:vMerge w:val="restart"/>
          </w:tcPr>
          <w:p w14:paraId="6E6022EF" w14:textId="77777777" w:rsidR="00073B58" w:rsidRPr="00A00994" w:rsidRDefault="00073B58" w:rsidP="00073B58">
            <w:pPr>
              <w:pStyle w:val="Textpoznpodarou"/>
              <w:jc w:val="both"/>
              <w:rPr>
                <w:spacing w:val="-4"/>
                <w:lang w:val="en-GB" w:eastAsia="en-US"/>
              </w:rPr>
            </w:pPr>
          </w:p>
        </w:tc>
        <w:tc>
          <w:tcPr>
            <w:tcW w:w="7610" w:type="dxa"/>
            <w:hideMark/>
          </w:tcPr>
          <w:p w14:paraId="792910A6" w14:textId="77777777" w:rsidR="00073B58" w:rsidRPr="00A00994" w:rsidRDefault="00073B58" w:rsidP="00073B58">
            <w:pPr>
              <w:spacing w:after="0"/>
              <w:rPr>
                <w:szCs w:val="20"/>
                <w:lang w:val="en-GB" w:eastAsia="en-US"/>
              </w:rPr>
            </w:pPr>
            <w:r w:rsidRPr="00A00994">
              <w:rPr>
                <w:rFonts w:cs="Arial"/>
                <w:b/>
                <w:bCs/>
                <w:color w:val="000000"/>
                <w:szCs w:val="20"/>
                <w:lang w:val="en-GB" w:eastAsia="en-US"/>
              </w:rPr>
              <w:t xml:space="preserve">Chart 16 Market interest rates </w:t>
            </w:r>
            <w:r w:rsidRPr="00A00994">
              <w:rPr>
                <w:bCs/>
                <w:spacing w:val="-4"/>
                <w:szCs w:val="20"/>
                <w:lang w:val="en-GB" w:eastAsia="en-US"/>
              </w:rPr>
              <w:t>(in %)</w:t>
            </w:r>
          </w:p>
        </w:tc>
      </w:tr>
      <w:tr w:rsidR="00073B58" w:rsidRPr="00A00994" w14:paraId="472AD6BB" w14:textId="77777777" w:rsidTr="00073B58">
        <w:tblPrEx>
          <w:tblCellMar>
            <w:left w:w="70" w:type="dxa"/>
            <w:right w:w="70" w:type="dxa"/>
          </w:tblCellMar>
        </w:tblPrEx>
        <w:trPr>
          <w:trHeight w:val="170"/>
        </w:trPr>
        <w:tc>
          <w:tcPr>
            <w:tcW w:w="1802" w:type="dxa"/>
            <w:vMerge/>
            <w:vAlign w:val="center"/>
            <w:hideMark/>
          </w:tcPr>
          <w:p w14:paraId="7855C6CD" w14:textId="77777777" w:rsidR="00073B58" w:rsidRPr="00A00994" w:rsidRDefault="00073B58" w:rsidP="00073B58">
            <w:pPr>
              <w:spacing w:after="0" w:line="240" w:lineRule="auto"/>
              <w:jc w:val="left"/>
              <w:rPr>
                <w:spacing w:val="-2"/>
                <w:sz w:val="16"/>
                <w:szCs w:val="16"/>
                <w:lang w:val="en-GB" w:eastAsia="en-US"/>
              </w:rPr>
            </w:pPr>
          </w:p>
        </w:tc>
        <w:tc>
          <w:tcPr>
            <w:tcW w:w="229" w:type="dxa"/>
            <w:vMerge/>
            <w:vAlign w:val="center"/>
            <w:hideMark/>
          </w:tcPr>
          <w:p w14:paraId="0DB88D21" w14:textId="77777777" w:rsidR="00073B58" w:rsidRPr="00A00994" w:rsidRDefault="00073B58" w:rsidP="00073B58">
            <w:pPr>
              <w:spacing w:after="0" w:line="240" w:lineRule="auto"/>
              <w:jc w:val="left"/>
              <w:rPr>
                <w:rFonts w:eastAsia="Calibri"/>
                <w:spacing w:val="-4"/>
                <w:szCs w:val="20"/>
                <w:lang w:val="en-GB" w:eastAsia="en-US"/>
              </w:rPr>
            </w:pPr>
          </w:p>
        </w:tc>
        <w:tc>
          <w:tcPr>
            <w:tcW w:w="7610" w:type="dxa"/>
            <w:hideMark/>
          </w:tcPr>
          <w:p w14:paraId="7C0AD8C4" w14:textId="77777777" w:rsidR="00073B58" w:rsidRPr="00A00994" w:rsidRDefault="00073B58" w:rsidP="00073B58">
            <w:pPr>
              <w:spacing w:after="0"/>
              <w:rPr>
                <w:sz w:val="14"/>
                <w:szCs w:val="14"/>
                <w:lang w:val="en-GB" w:eastAsia="en-US"/>
              </w:rPr>
            </w:pPr>
            <w:r>
              <w:rPr>
                <w:noProof/>
              </w:rPr>
              <w:drawing>
                <wp:inline distT="0" distB="0" distL="0" distR="0" wp14:anchorId="088F14DF" wp14:editId="742055D2">
                  <wp:extent cx="4737600" cy="3553200"/>
                  <wp:effectExtent l="0" t="0" r="6350" b="0"/>
                  <wp:docPr id="52" name="Graf 5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073B58" w:rsidRPr="00A00994" w14:paraId="22EA10B1" w14:textId="77777777" w:rsidTr="00073B58">
        <w:trPr>
          <w:trHeight w:val="170"/>
        </w:trPr>
        <w:tc>
          <w:tcPr>
            <w:tcW w:w="0" w:type="auto"/>
            <w:vMerge/>
            <w:vAlign w:val="center"/>
            <w:hideMark/>
          </w:tcPr>
          <w:p w14:paraId="517CA3C4" w14:textId="77777777" w:rsidR="00073B58" w:rsidRPr="00A00994" w:rsidRDefault="00073B58" w:rsidP="00073B58">
            <w:pPr>
              <w:spacing w:after="0" w:line="240" w:lineRule="auto"/>
              <w:jc w:val="left"/>
              <w:rPr>
                <w:spacing w:val="-2"/>
                <w:sz w:val="16"/>
                <w:szCs w:val="16"/>
                <w:lang w:val="en-GB" w:eastAsia="en-US"/>
              </w:rPr>
            </w:pPr>
          </w:p>
        </w:tc>
        <w:tc>
          <w:tcPr>
            <w:tcW w:w="0" w:type="auto"/>
            <w:vMerge/>
            <w:vAlign w:val="center"/>
            <w:hideMark/>
          </w:tcPr>
          <w:p w14:paraId="35A37C42" w14:textId="77777777" w:rsidR="00073B58" w:rsidRPr="00A00994" w:rsidRDefault="00073B58" w:rsidP="00073B58">
            <w:pPr>
              <w:spacing w:after="0" w:line="240" w:lineRule="auto"/>
              <w:jc w:val="left"/>
              <w:rPr>
                <w:rFonts w:eastAsia="Calibri"/>
                <w:spacing w:val="-4"/>
                <w:szCs w:val="20"/>
                <w:lang w:val="en-GB" w:eastAsia="en-US"/>
              </w:rPr>
            </w:pPr>
          </w:p>
        </w:tc>
        <w:tc>
          <w:tcPr>
            <w:tcW w:w="7610" w:type="dxa"/>
            <w:hideMark/>
          </w:tcPr>
          <w:p w14:paraId="5BE2B296" w14:textId="77777777" w:rsidR="00073B58" w:rsidRPr="00A00994" w:rsidRDefault="00073B58" w:rsidP="00073B58">
            <w:pPr>
              <w:spacing w:after="0"/>
              <w:rPr>
                <w:b/>
                <w:bCs/>
                <w:sz w:val="16"/>
                <w:szCs w:val="16"/>
                <w:lang w:val="en-GB" w:eastAsia="en-US"/>
              </w:rPr>
            </w:pPr>
            <w:r w:rsidRPr="00A00994">
              <w:rPr>
                <w:sz w:val="14"/>
                <w:szCs w:val="14"/>
                <w:lang w:val="en-GB" w:eastAsia="en-US"/>
              </w:rPr>
              <w:t>Source: CNB</w:t>
            </w:r>
          </w:p>
        </w:tc>
      </w:tr>
    </w:tbl>
    <w:p w14:paraId="1302FC80" w14:textId="4C67B854" w:rsidR="008F2E83" w:rsidRPr="00A00994" w:rsidRDefault="008F2E83" w:rsidP="008F2E83">
      <w:pPr>
        <w:pStyle w:val="Nadpis11"/>
        <w:rPr>
          <w:lang w:val="en-GB"/>
        </w:rPr>
      </w:pPr>
      <w:bookmarkStart w:id="44" w:name="_Toc116642877"/>
      <w:r w:rsidRPr="00A00994">
        <w:rPr>
          <w:szCs w:val="32"/>
          <w:lang w:val="en-GB"/>
        </w:rPr>
        <w:lastRenderedPageBreak/>
        <w:t>8</w:t>
      </w:r>
      <w:r w:rsidRPr="00A00994">
        <w:rPr>
          <w:lang w:val="en-GB"/>
        </w:rPr>
        <w:t>. St</w:t>
      </w:r>
      <w:r w:rsidR="009A0349" w:rsidRPr="00A00994">
        <w:rPr>
          <w:lang w:val="en-GB"/>
        </w:rPr>
        <w:t>ate Budget</w:t>
      </w:r>
      <w:bookmarkEnd w:id="44"/>
    </w:p>
    <w:tbl>
      <w:tblPr>
        <w:tblW w:w="9669" w:type="dxa"/>
        <w:tblInd w:w="-20" w:type="dxa"/>
        <w:tblCellMar>
          <w:left w:w="0" w:type="dxa"/>
          <w:right w:w="0" w:type="dxa"/>
        </w:tblCellMar>
        <w:tblLook w:val="00A0" w:firstRow="1" w:lastRow="0" w:firstColumn="1" w:lastColumn="0" w:noHBand="0" w:noVBand="0"/>
      </w:tblPr>
      <w:tblGrid>
        <w:gridCol w:w="1805"/>
        <w:gridCol w:w="217"/>
        <w:gridCol w:w="7647"/>
      </w:tblGrid>
      <w:tr w:rsidR="008F2E83" w:rsidRPr="00A00994" w14:paraId="7090E3FE" w14:textId="77777777" w:rsidTr="00EE762D">
        <w:trPr>
          <w:trHeight w:val="145"/>
        </w:trPr>
        <w:tc>
          <w:tcPr>
            <w:tcW w:w="1805" w:type="dxa"/>
            <w:shd w:val="clear" w:color="auto" w:fill="auto"/>
            <w:tcMar>
              <w:left w:w="0" w:type="dxa"/>
            </w:tcMar>
          </w:tcPr>
          <w:p w14:paraId="749D6E46" w14:textId="28D5E16B" w:rsidR="008F2E83" w:rsidRPr="00A00994" w:rsidRDefault="00953B93" w:rsidP="000C7A79">
            <w:pPr>
              <w:pStyle w:val="Marginlie"/>
              <w:rPr>
                <w:lang w:val="en-GB"/>
              </w:rPr>
            </w:pPr>
            <w:r w:rsidRPr="00A00994">
              <w:rPr>
                <w:lang w:val="en-GB"/>
              </w:rPr>
              <w:t xml:space="preserve">Half-yearly state budget deficit remained deep, it however moderated in comparison to years </w:t>
            </w:r>
            <w:r w:rsidR="008F2E83" w:rsidRPr="00A00994">
              <w:rPr>
                <w:lang w:val="en-GB"/>
              </w:rPr>
              <w:t>2020</w:t>
            </w:r>
            <w:r w:rsidRPr="00A00994">
              <w:rPr>
                <w:lang w:val="en-GB"/>
              </w:rPr>
              <w:t xml:space="preserve"> as well as </w:t>
            </w:r>
            <w:r w:rsidR="008F2E83" w:rsidRPr="00A00994">
              <w:rPr>
                <w:lang w:val="en-GB"/>
              </w:rPr>
              <w:t>2021.</w:t>
            </w:r>
          </w:p>
          <w:p w14:paraId="569C60F9" w14:textId="77777777" w:rsidR="008F2E83" w:rsidRPr="00A00994" w:rsidRDefault="008F2E83" w:rsidP="000C7A79">
            <w:pPr>
              <w:pStyle w:val="Marginlie"/>
              <w:rPr>
                <w:lang w:val="en-GB"/>
              </w:rPr>
            </w:pPr>
          </w:p>
          <w:p w14:paraId="48411FE0" w14:textId="77777777" w:rsidR="008F2E83" w:rsidRPr="00A00994" w:rsidRDefault="008F2E83" w:rsidP="000C7A79">
            <w:pPr>
              <w:pStyle w:val="Marginlie"/>
              <w:rPr>
                <w:lang w:val="en-GB"/>
              </w:rPr>
            </w:pPr>
          </w:p>
          <w:p w14:paraId="0570B20A" w14:textId="77777777" w:rsidR="008F2E83" w:rsidRPr="00A00994" w:rsidRDefault="008F2E83" w:rsidP="000C7A79">
            <w:pPr>
              <w:pStyle w:val="Marginlie"/>
              <w:rPr>
                <w:lang w:val="en-GB"/>
              </w:rPr>
            </w:pPr>
          </w:p>
          <w:p w14:paraId="4F6ADF0E" w14:textId="77777777" w:rsidR="008F2E83" w:rsidRPr="00A00994" w:rsidRDefault="008F2E83" w:rsidP="000C7A79">
            <w:pPr>
              <w:pStyle w:val="Marginlie"/>
              <w:rPr>
                <w:lang w:val="en-GB"/>
              </w:rPr>
            </w:pPr>
          </w:p>
          <w:p w14:paraId="51FC097B" w14:textId="77777777" w:rsidR="008F2E83" w:rsidRPr="00A00994" w:rsidRDefault="008F2E83" w:rsidP="000C7A79">
            <w:pPr>
              <w:pStyle w:val="Marginlie"/>
              <w:rPr>
                <w:lang w:val="en-GB"/>
              </w:rPr>
            </w:pPr>
          </w:p>
          <w:p w14:paraId="4D049504" w14:textId="77777777" w:rsidR="008F2E83" w:rsidRPr="00A00994" w:rsidRDefault="008F2E83" w:rsidP="000C7A79">
            <w:pPr>
              <w:pStyle w:val="Marginlie"/>
              <w:rPr>
                <w:lang w:val="en-GB"/>
              </w:rPr>
            </w:pPr>
          </w:p>
          <w:p w14:paraId="43D5926B" w14:textId="6E2A12FF" w:rsidR="008F2E83" w:rsidRPr="00A00994" w:rsidRDefault="00B07674" w:rsidP="000C7A79">
            <w:pPr>
              <w:pStyle w:val="Marginlie"/>
              <w:rPr>
                <w:lang w:val="en-GB"/>
              </w:rPr>
            </w:pPr>
            <w:r w:rsidRPr="00A00994">
              <w:rPr>
                <w:lang w:val="en-GB"/>
              </w:rPr>
              <w:t xml:space="preserve">Total tax income overtook the pre-pandemic level for the first time. </w:t>
            </w:r>
          </w:p>
        </w:tc>
        <w:tc>
          <w:tcPr>
            <w:tcW w:w="217" w:type="dxa"/>
            <w:shd w:val="clear" w:color="auto" w:fill="auto"/>
            <w:tcMar>
              <w:left w:w="0" w:type="dxa"/>
            </w:tcMar>
          </w:tcPr>
          <w:p w14:paraId="735EF626"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1D16037F" w14:textId="09DEA245" w:rsidR="008F2E83" w:rsidRPr="00A00994" w:rsidRDefault="003263F9" w:rsidP="00211E4A">
            <w:pPr>
              <w:spacing w:after="220"/>
              <w:rPr>
                <w:spacing w:val="-4"/>
                <w:lang w:val="en-GB"/>
              </w:rPr>
            </w:pPr>
            <w:r w:rsidRPr="00A00994">
              <w:rPr>
                <w:spacing w:val="-4"/>
                <w:lang w:val="en-GB"/>
              </w:rPr>
              <w:t>The domestic state budget</w:t>
            </w:r>
            <w:r w:rsidR="000D2F9F" w:rsidRPr="00A00994">
              <w:rPr>
                <w:spacing w:val="-4"/>
                <w:lang w:val="en-GB"/>
              </w:rPr>
              <w:t xml:space="preserve"> </w:t>
            </w:r>
            <w:r w:rsidR="008F2E83" w:rsidRPr="00A00994">
              <w:rPr>
                <w:spacing w:val="-4"/>
                <w:lang w:val="en-GB"/>
              </w:rPr>
              <w:t>(S</w:t>
            </w:r>
            <w:r w:rsidRPr="00A00994">
              <w:rPr>
                <w:spacing w:val="-4"/>
                <w:lang w:val="en-GB"/>
              </w:rPr>
              <w:t>B</w:t>
            </w:r>
            <w:r w:rsidR="008F2E83" w:rsidRPr="00A00994">
              <w:rPr>
                <w:spacing w:val="-4"/>
                <w:lang w:val="en-GB"/>
              </w:rPr>
              <w:t>)</w:t>
            </w:r>
            <w:r w:rsidR="008F2E83" w:rsidRPr="00A00994">
              <w:rPr>
                <w:rStyle w:val="Znakapoznpodarou"/>
                <w:spacing w:val="-4"/>
                <w:lang w:val="en-GB"/>
              </w:rPr>
              <w:footnoteReference w:id="74"/>
            </w:r>
            <w:r w:rsidR="008F2E83" w:rsidRPr="00A00994">
              <w:rPr>
                <w:spacing w:val="-4"/>
                <w:lang w:val="en-GB"/>
              </w:rPr>
              <w:t xml:space="preserve"> </w:t>
            </w:r>
            <w:r w:rsidRPr="00A00994">
              <w:rPr>
                <w:spacing w:val="-4"/>
                <w:lang w:val="en-GB"/>
              </w:rPr>
              <w:t xml:space="preserve">recorded a deficit in the amount of </w:t>
            </w:r>
            <w:r w:rsidR="005A70CA" w:rsidRPr="00A00994">
              <w:rPr>
                <w:spacing w:val="-4"/>
                <w:lang w:val="en-GB"/>
              </w:rPr>
              <w:t>183</w:t>
            </w:r>
            <w:r w:rsidRPr="00A00994">
              <w:rPr>
                <w:spacing w:val="-4"/>
                <w:lang w:val="en-GB"/>
              </w:rPr>
              <w:t xml:space="preserve"> CZK bn </w:t>
            </w:r>
            <w:r w:rsidR="000D2F9F" w:rsidRPr="00A00994">
              <w:rPr>
                <w:spacing w:val="-4"/>
                <w:lang w:val="en-GB"/>
              </w:rPr>
              <w:t>for H1 2</w:t>
            </w:r>
            <w:r w:rsidR="00211E4A">
              <w:rPr>
                <w:spacing w:val="-4"/>
                <w:lang w:val="en-GB"/>
              </w:rPr>
              <w:t>022, deficit was observed in this</w:t>
            </w:r>
            <w:r w:rsidR="000D2F9F" w:rsidRPr="00A00994">
              <w:rPr>
                <w:spacing w:val="-4"/>
                <w:lang w:val="en-GB"/>
              </w:rPr>
              <w:t xml:space="preserve"> time period for the fifth year in a row. This year’s deficit was however lower than the result from the first half of years </w:t>
            </w:r>
            <w:r w:rsidR="008F2E83" w:rsidRPr="00A00994">
              <w:rPr>
                <w:spacing w:val="-4"/>
                <w:lang w:val="en-GB"/>
              </w:rPr>
              <w:t>2020</w:t>
            </w:r>
            <w:r w:rsidR="000D2F9F" w:rsidRPr="00A00994">
              <w:rPr>
                <w:spacing w:val="-4"/>
                <w:lang w:val="en-GB"/>
              </w:rPr>
              <w:t xml:space="preserve"> and </w:t>
            </w:r>
            <w:r w:rsidR="008F2E83" w:rsidRPr="00A00994">
              <w:rPr>
                <w:spacing w:val="-4"/>
                <w:lang w:val="en-GB"/>
              </w:rPr>
              <w:t xml:space="preserve">2021. </w:t>
            </w:r>
            <w:r w:rsidR="00A85323" w:rsidRPr="00A00994">
              <w:rPr>
                <w:spacing w:val="-4"/>
                <w:lang w:val="en-GB"/>
              </w:rPr>
              <w:t xml:space="preserve">The </w:t>
            </w:r>
            <w:r w:rsidR="00B5597E" w:rsidRPr="00A00994">
              <w:rPr>
                <w:spacing w:val="-4"/>
                <w:lang w:val="en-GB"/>
              </w:rPr>
              <w:t xml:space="preserve">easing </w:t>
            </w:r>
            <w:r w:rsidR="00A85323" w:rsidRPr="00A00994">
              <w:rPr>
                <w:spacing w:val="-4"/>
                <w:lang w:val="en-GB"/>
              </w:rPr>
              <w:t xml:space="preserve">of pressures on the extraordinary expenditures had an effect here </w:t>
            </w:r>
            <w:r w:rsidR="008F2E83" w:rsidRPr="00A00994">
              <w:rPr>
                <w:spacing w:val="-4"/>
                <w:lang w:val="en-GB"/>
              </w:rPr>
              <w:t>(</w:t>
            </w:r>
            <w:r w:rsidR="000D2F9F" w:rsidRPr="00A00994">
              <w:rPr>
                <w:spacing w:val="-4"/>
                <w:lang w:val="en-GB"/>
              </w:rPr>
              <w:t>in connec</w:t>
            </w:r>
            <w:r w:rsidR="00211E4A">
              <w:rPr>
                <w:spacing w:val="-4"/>
                <w:lang w:val="en-GB"/>
              </w:rPr>
              <w:t>tion with the ending of counter-</w:t>
            </w:r>
            <w:r w:rsidR="000D2F9F" w:rsidRPr="00A00994">
              <w:rPr>
                <w:spacing w:val="-4"/>
                <w:lang w:val="en-GB"/>
              </w:rPr>
              <w:t>pandemic restrictions</w:t>
            </w:r>
            <w:r w:rsidR="008F2E83" w:rsidRPr="00A00994">
              <w:rPr>
                <w:spacing w:val="-4"/>
                <w:lang w:val="en-GB"/>
              </w:rPr>
              <w:t xml:space="preserve">) </w:t>
            </w:r>
            <w:r w:rsidR="00B5597E" w:rsidRPr="00A00994">
              <w:rPr>
                <w:spacing w:val="-4"/>
                <w:lang w:val="en-GB"/>
              </w:rPr>
              <w:t>with simultaneous advancing recovery of the economy</w:t>
            </w:r>
            <w:r w:rsidR="008F2E83" w:rsidRPr="00A00994">
              <w:rPr>
                <w:spacing w:val="-4"/>
                <w:lang w:val="en-GB"/>
              </w:rPr>
              <w:t>.</w:t>
            </w:r>
            <w:r w:rsidR="0016206D" w:rsidRPr="00A00994">
              <w:rPr>
                <w:spacing w:val="-4"/>
                <w:lang w:val="en-GB"/>
              </w:rPr>
              <w:t xml:space="preserve"> It was yet </w:t>
            </w:r>
            <w:r w:rsidR="005C19E3" w:rsidRPr="00A00994">
              <w:rPr>
                <w:spacing w:val="-4"/>
                <w:lang w:val="en-GB"/>
              </w:rPr>
              <w:t xml:space="preserve">with the contribution of the </w:t>
            </w:r>
            <w:r w:rsidR="0016206D" w:rsidRPr="00A00994">
              <w:rPr>
                <w:spacing w:val="-4"/>
                <w:lang w:val="en-GB"/>
              </w:rPr>
              <w:t xml:space="preserve">heightened geopolitical tension </w:t>
            </w:r>
            <w:r w:rsidR="005C19E3" w:rsidRPr="00A00994">
              <w:rPr>
                <w:spacing w:val="-4"/>
                <w:lang w:val="en-GB"/>
              </w:rPr>
              <w:t xml:space="preserve">accompanied by unusually strong prices growth as well the need for unexpected expenditures </w:t>
            </w:r>
            <w:r w:rsidR="000D2F9F" w:rsidRPr="00A00994">
              <w:rPr>
                <w:spacing w:val="-4"/>
                <w:lang w:val="en-GB"/>
              </w:rPr>
              <w:t xml:space="preserve">linked to the refugee inflow from Ukraine. Despite the </w:t>
            </w:r>
            <w:r w:rsidR="00DC1A3D">
              <w:rPr>
                <w:spacing w:val="-4"/>
                <w:lang w:val="en-GB"/>
              </w:rPr>
              <w:t>s</w:t>
            </w:r>
            <w:r w:rsidR="00E846B0" w:rsidRPr="00A00994">
              <w:rPr>
                <w:spacing w:val="-4"/>
                <w:lang w:val="en-GB"/>
              </w:rPr>
              <w:t>pring</w:t>
            </w:r>
            <w:r w:rsidR="000D2F9F" w:rsidRPr="00A00994">
              <w:rPr>
                <w:spacing w:val="-4"/>
                <w:lang w:val="en-GB"/>
              </w:rPr>
              <w:t xml:space="preserve"> revival of a number of services </w:t>
            </w:r>
            <w:r w:rsidR="008F2E83" w:rsidRPr="00A00994">
              <w:rPr>
                <w:spacing w:val="-4"/>
                <w:lang w:val="en-GB"/>
              </w:rPr>
              <w:t>(</w:t>
            </w:r>
            <w:r w:rsidR="000D2F9F" w:rsidRPr="00A00994">
              <w:rPr>
                <w:spacing w:val="-4"/>
                <w:lang w:val="en-GB"/>
              </w:rPr>
              <w:t>incl. tourism</w:t>
            </w:r>
            <w:r w:rsidR="008F2E83" w:rsidRPr="00A00994">
              <w:rPr>
                <w:spacing w:val="-4"/>
                <w:lang w:val="en-GB"/>
              </w:rPr>
              <w:t>)</w:t>
            </w:r>
            <w:r w:rsidR="005C19E3" w:rsidRPr="00A00994">
              <w:rPr>
                <w:spacing w:val="-4"/>
                <w:lang w:val="en-GB"/>
              </w:rPr>
              <w:t xml:space="preserve"> the deficit significantly deepened in Q</w:t>
            </w:r>
            <w:r w:rsidR="008F2E83" w:rsidRPr="00A00994">
              <w:rPr>
                <w:spacing w:val="-4"/>
                <w:lang w:val="en-GB"/>
              </w:rPr>
              <w:t>2</w:t>
            </w:r>
            <w:r w:rsidR="005C19E3" w:rsidRPr="00A00994">
              <w:rPr>
                <w:spacing w:val="-4"/>
                <w:lang w:val="en-GB"/>
              </w:rPr>
              <w:t xml:space="preserve"> </w:t>
            </w:r>
            <w:r w:rsidR="00211E4A">
              <w:rPr>
                <w:spacing w:val="-4"/>
                <w:lang w:val="en-GB"/>
              </w:rPr>
              <w:t xml:space="preserve">2022 </w:t>
            </w:r>
            <w:r w:rsidR="005C19E3" w:rsidRPr="00A00994">
              <w:rPr>
                <w:spacing w:val="-4"/>
                <w:lang w:val="en-GB"/>
              </w:rPr>
              <w:t>compared to the previous quarter</w:t>
            </w:r>
            <w:r w:rsidR="008F2E83" w:rsidRPr="00A00994">
              <w:rPr>
                <w:spacing w:val="-4"/>
                <w:lang w:val="en-GB"/>
              </w:rPr>
              <w:t>.</w:t>
            </w:r>
            <w:r w:rsidR="005C19E3" w:rsidRPr="00A00994">
              <w:rPr>
                <w:spacing w:val="-4"/>
                <w:lang w:val="en-GB"/>
              </w:rPr>
              <w:t xml:space="preserve"> </w:t>
            </w:r>
            <w:r w:rsidR="000D2F9F" w:rsidRPr="00A00994">
              <w:rPr>
                <w:spacing w:val="-4"/>
                <w:lang w:val="en-GB"/>
              </w:rPr>
              <w:t xml:space="preserve">The termination of the </w:t>
            </w:r>
            <w:r w:rsidR="005C19E3" w:rsidRPr="00A00994">
              <w:rPr>
                <w:spacing w:val="-4"/>
                <w:lang w:val="en-GB"/>
              </w:rPr>
              <w:t>interim b</w:t>
            </w:r>
            <w:r w:rsidR="000D2F9F" w:rsidRPr="00A00994">
              <w:rPr>
                <w:spacing w:val="-4"/>
                <w:lang w:val="en-GB"/>
              </w:rPr>
              <w:t>udget</w:t>
            </w:r>
            <w:r w:rsidR="005C19E3" w:rsidRPr="00A00994">
              <w:rPr>
                <w:spacing w:val="-4"/>
                <w:lang w:val="en-GB"/>
              </w:rPr>
              <w:t xml:space="preserve"> a</w:t>
            </w:r>
            <w:r w:rsidR="000D2F9F" w:rsidRPr="00A00994">
              <w:rPr>
                <w:spacing w:val="-4"/>
                <w:lang w:val="en-GB"/>
              </w:rPr>
              <w:t>t the end of this year’s March also played a role</w:t>
            </w:r>
            <w:r w:rsidR="008F2E83" w:rsidRPr="00A00994">
              <w:rPr>
                <w:rStyle w:val="Znakapoznpodarou"/>
                <w:spacing w:val="-4"/>
                <w:lang w:val="en-GB"/>
              </w:rPr>
              <w:footnoteReference w:id="75"/>
            </w:r>
            <w:r w:rsidR="008F2E83" w:rsidRPr="00A00994">
              <w:rPr>
                <w:spacing w:val="-4"/>
                <w:lang w:val="en-GB"/>
              </w:rPr>
              <w:t xml:space="preserve">. </w:t>
            </w:r>
            <w:r w:rsidR="000D2F9F" w:rsidRPr="00A00994">
              <w:rPr>
                <w:spacing w:val="-4"/>
                <w:lang w:val="en-GB"/>
              </w:rPr>
              <w:t>On the other hand, the economic revival as well as growth of prices caused the total tax collection</w:t>
            </w:r>
            <w:r w:rsidR="008F2E83" w:rsidRPr="00A00994">
              <w:rPr>
                <w:rStyle w:val="Znakapoznpodarou"/>
                <w:spacing w:val="-4"/>
                <w:lang w:val="en-GB"/>
              </w:rPr>
              <w:footnoteReference w:id="76"/>
            </w:r>
            <w:r w:rsidR="000D2F9F" w:rsidRPr="00A00994">
              <w:rPr>
                <w:spacing w:val="-4"/>
                <w:lang w:val="en-GB"/>
              </w:rPr>
              <w:t xml:space="preserve"> to overtake the record level from the comparable period before the onset of pandemics</w:t>
            </w:r>
            <w:r w:rsidR="000D2F9F" w:rsidRPr="00A00994">
              <w:rPr>
                <w:rStyle w:val="Znakapoznpodarou"/>
                <w:spacing w:val="-4"/>
                <w:lang w:val="en-GB"/>
              </w:rPr>
              <w:footnoteReference w:id="77"/>
            </w:r>
            <w:r w:rsidR="000D2F9F" w:rsidRPr="00A00994">
              <w:rPr>
                <w:spacing w:val="-4"/>
                <w:lang w:val="en-GB"/>
              </w:rPr>
              <w:t xml:space="preserve"> for the first time this year in H</w:t>
            </w:r>
            <w:r w:rsidR="008F2E83" w:rsidRPr="00A00994">
              <w:rPr>
                <w:spacing w:val="-4"/>
                <w:lang w:val="en-GB"/>
              </w:rPr>
              <w:t>1.</w:t>
            </w:r>
          </w:p>
        </w:tc>
      </w:tr>
      <w:tr w:rsidR="008F2E83" w:rsidRPr="00A00994" w14:paraId="03BD78BB" w14:textId="77777777" w:rsidTr="00EE762D">
        <w:trPr>
          <w:trHeight w:val="145"/>
        </w:trPr>
        <w:tc>
          <w:tcPr>
            <w:tcW w:w="1805" w:type="dxa"/>
            <w:shd w:val="clear" w:color="auto" w:fill="auto"/>
            <w:tcMar>
              <w:left w:w="0" w:type="dxa"/>
            </w:tcMar>
          </w:tcPr>
          <w:p w14:paraId="018784B5" w14:textId="400D32CD" w:rsidR="008F2E83" w:rsidRPr="00A00994" w:rsidRDefault="00705C47" w:rsidP="000C7A79">
            <w:pPr>
              <w:pStyle w:val="Marginlie"/>
              <w:rPr>
                <w:lang w:val="en-GB"/>
              </w:rPr>
            </w:pPr>
            <w:r w:rsidRPr="00A00994">
              <w:rPr>
                <w:lang w:val="en-GB"/>
              </w:rPr>
              <w:t>Tax income grew mainly thanks to the VAT collection</w:t>
            </w:r>
            <w:r w:rsidR="008F2E83" w:rsidRPr="00A00994">
              <w:rPr>
                <w:lang w:val="en-GB"/>
              </w:rPr>
              <w:t>.</w:t>
            </w:r>
            <w:r w:rsidRPr="00A00994">
              <w:rPr>
                <w:lang w:val="en-GB"/>
              </w:rPr>
              <w:t xml:space="preserve"> </w:t>
            </w:r>
            <w:r w:rsidR="00C000A4" w:rsidRPr="00A00994">
              <w:rPr>
                <w:lang w:val="en-GB"/>
              </w:rPr>
              <w:t xml:space="preserve">Revenues from the EU budget dropped and stayed also behind the budget anticipations. </w:t>
            </w:r>
          </w:p>
        </w:tc>
        <w:tc>
          <w:tcPr>
            <w:tcW w:w="217" w:type="dxa"/>
            <w:shd w:val="clear" w:color="auto" w:fill="auto"/>
            <w:tcMar>
              <w:left w:w="0" w:type="dxa"/>
            </w:tcMar>
          </w:tcPr>
          <w:p w14:paraId="46FAC9ED"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1E216F74" w14:textId="646877AC" w:rsidR="008F2E83" w:rsidRPr="00A00994" w:rsidRDefault="00705C47" w:rsidP="00FE1209">
            <w:pPr>
              <w:spacing w:after="220"/>
              <w:rPr>
                <w:spacing w:val="-4"/>
                <w:lang w:val="en-GB"/>
              </w:rPr>
            </w:pPr>
            <w:r w:rsidRPr="00A00994">
              <w:rPr>
                <w:spacing w:val="-5"/>
                <w:lang w:val="en-GB"/>
              </w:rPr>
              <w:t>Total</w:t>
            </w:r>
            <w:r w:rsidR="00FA6122" w:rsidRPr="00A00994">
              <w:rPr>
                <w:spacing w:val="-5"/>
                <w:lang w:val="en-GB"/>
              </w:rPr>
              <w:t xml:space="preserve"> </w:t>
            </w:r>
            <w:r w:rsidRPr="00A00994">
              <w:rPr>
                <w:spacing w:val="-5"/>
                <w:lang w:val="en-GB"/>
              </w:rPr>
              <w:t>SB</w:t>
            </w:r>
            <w:r w:rsidR="00FA6122" w:rsidRPr="00A00994">
              <w:rPr>
                <w:spacing w:val="-5"/>
                <w:lang w:val="en-GB"/>
              </w:rPr>
              <w:t xml:space="preserve"> </w:t>
            </w:r>
            <w:r w:rsidRPr="00A00994">
              <w:rPr>
                <w:spacing w:val="-5"/>
                <w:lang w:val="en-GB"/>
              </w:rPr>
              <w:t>revenues</w:t>
            </w:r>
            <w:r w:rsidR="00FA6122" w:rsidRPr="00A00994">
              <w:rPr>
                <w:spacing w:val="-5"/>
                <w:lang w:val="en-GB"/>
              </w:rPr>
              <w:t xml:space="preserve"> </w:t>
            </w:r>
            <w:r w:rsidRPr="00A00994">
              <w:rPr>
                <w:spacing w:val="-5"/>
                <w:lang w:val="en-GB"/>
              </w:rPr>
              <w:t>exceeded</w:t>
            </w:r>
            <w:r w:rsidR="00FA6122" w:rsidRPr="00A00994">
              <w:rPr>
                <w:spacing w:val="-5"/>
                <w:lang w:val="en-GB"/>
              </w:rPr>
              <w:t xml:space="preserve"> </w:t>
            </w:r>
            <w:r w:rsidRPr="00A00994">
              <w:rPr>
                <w:spacing w:val="-5"/>
                <w:lang w:val="en-GB"/>
              </w:rPr>
              <w:t>the</w:t>
            </w:r>
            <w:r w:rsidR="00FA6122" w:rsidRPr="00A00994">
              <w:rPr>
                <w:spacing w:val="-5"/>
                <w:lang w:val="en-GB"/>
              </w:rPr>
              <w:t xml:space="preserve"> </w:t>
            </w:r>
            <w:r w:rsidRPr="00A00994">
              <w:rPr>
                <w:spacing w:val="-5"/>
                <w:lang w:val="en-GB"/>
              </w:rPr>
              <w:t>last</w:t>
            </w:r>
            <w:r w:rsidR="00FA6122" w:rsidRPr="00A00994">
              <w:rPr>
                <w:spacing w:val="-5"/>
                <w:lang w:val="en-GB"/>
              </w:rPr>
              <w:t xml:space="preserve"> </w:t>
            </w:r>
            <w:r w:rsidRPr="00A00994">
              <w:rPr>
                <w:spacing w:val="-5"/>
                <w:lang w:val="en-GB"/>
              </w:rPr>
              <w:t>year’s</w:t>
            </w:r>
            <w:r w:rsidR="00FA6122" w:rsidRPr="00A00994">
              <w:rPr>
                <w:spacing w:val="-5"/>
                <w:lang w:val="en-GB"/>
              </w:rPr>
              <w:t xml:space="preserve"> </w:t>
            </w:r>
            <w:r w:rsidRPr="00A00994">
              <w:rPr>
                <w:spacing w:val="-5"/>
                <w:lang w:val="en-GB"/>
              </w:rPr>
              <w:t>level</w:t>
            </w:r>
            <w:r w:rsidR="00FA6122" w:rsidRPr="00A00994">
              <w:rPr>
                <w:spacing w:val="-5"/>
                <w:lang w:val="en-GB"/>
              </w:rPr>
              <w:t xml:space="preserve"> </w:t>
            </w:r>
            <w:r w:rsidRPr="00A00994">
              <w:rPr>
                <w:spacing w:val="-5"/>
                <w:lang w:val="en-GB"/>
              </w:rPr>
              <w:t>by</w:t>
            </w:r>
            <w:r w:rsidR="00FA6122" w:rsidRPr="00A00994">
              <w:rPr>
                <w:spacing w:val="-5"/>
                <w:lang w:val="en-GB"/>
              </w:rPr>
              <w:t xml:space="preserve"> </w:t>
            </w:r>
            <w:r w:rsidRPr="00A00994">
              <w:rPr>
                <w:spacing w:val="-5"/>
                <w:lang w:val="en-GB"/>
              </w:rPr>
              <w:t>one</w:t>
            </w:r>
            <w:r w:rsidR="00FA6122" w:rsidRPr="00A00994">
              <w:rPr>
                <w:spacing w:val="-5"/>
                <w:lang w:val="en-GB"/>
              </w:rPr>
              <w:t xml:space="preserve"> </w:t>
            </w:r>
            <w:r w:rsidRPr="00A00994">
              <w:rPr>
                <w:spacing w:val="-5"/>
                <w:lang w:val="en-GB"/>
              </w:rPr>
              <w:t>tenth</w:t>
            </w:r>
            <w:r w:rsidR="00FA6122" w:rsidRPr="00A00994">
              <w:rPr>
                <w:spacing w:val="-5"/>
                <w:lang w:val="en-GB"/>
              </w:rPr>
              <w:t xml:space="preserve"> </w:t>
            </w:r>
            <w:r w:rsidR="008F2E83" w:rsidRPr="00A00994">
              <w:rPr>
                <w:spacing w:val="-5"/>
                <w:lang w:val="en-GB"/>
              </w:rPr>
              <w:t>(</w:t>
            </w:r>
            <w:r w:rsidR="005F6CB0">
              <w:rPr>
                <w:spacing w:val="-5"/>
                <w:lang w:val="en-GB"/>
              </w:rPr>
              <w:t>i.e.</w:t>
            </w:r>
            <w:r w:rsidR="008F2E83" w:rsidRPr="00A00994">
              <w:rPr>
                <w:spacing w:val="-5"/>
                <w:lang w:val="en-GB"/>
              </w:rPr>
              <w:t xml:space="preserve"> 74 </w:t>
            </w:r>
            <w:r w:rsidRPr="00A00994">
              <w:rPr>
                <w:spacing w:val="-5"/>
                <w:lang w:val="en-GB"/>
              </w:rPr>
              <w:t>CZK bn</w:t>
            </w:r>
            <w:r w:rsidR="008F2E83" w:rsidRPr="00A00994">
              <w:rPr>
                <w:spacing w:val="-5"/>
                <w:lang w:val="en-GB"/>
              </w:rPr>
              <w:t>)</w:t>
            </w:r>
            <w:r w:rsidRPr="00A00994">
              <w:rPr>
                <w:spacing w:val="-5"/>
                <w:lang w:val="en-GB"/>
              </w:rPr>
              <w:t xml:space="preserve"> in this year’s H1</w:t>
            </w:r>
            <w:r w:rsidR="008F2E83" w:rsidRPr="00A00994">
              <w:rPr>
                <w:spacing w:val="-5"/>
                <w:lang w:val="en-GB"/>
              </w:rPr>
              <w:t xml:space="preserve">. </w:t>
            </w:r>
            <w:r w:rsidR="00485E4D" w:rsidRPr="00A00994">
              <w:rPr>
                <w:spacing w:val="-5"/>
                <w:lang w:val="en-GB"/>
              </w:rPr>
              <w:t xml:space="preserve">The considerable strengthening of all significant tax revenues contributed </w:t>
            </w:r>
            <w:r w:rsidR="008F2E83" w:rsidRPr="00A00994">
              <w:rPr>
                <w:spacing w:val="-5"/>
                <w:lang w:val="en-GB"/>
              </w:rPr>
              <w:t>(</w:t>
            </w:r>
            <w:r w:rsidR="00C000A4" w:rsidRPr="00A00994">
              <w:rPr>
                <w:spacing w:val="-5"/>
                <w:lang w:val="en-GB"/>
              </w:rPr>
              <w:t>mainly VAT and social security insurance</w:t>
            </w:r>
            <w:r w:rsidR="008F2E83" w:rsidRPr="00A00994">
              <w:rPr>
                <w:spacing w:val="-5"/>
                <w:lang w:val="en-GB"/>
              </w:rPr>
              <w:t>),</w:t>
            </w:r>
            <w:r w:rsidR="00C000A4" w:rsidRPr="00A00994">
              <w:rPr>
                <w:spacing w:val="-5"/>
                <w:lang w:val="en-GB"/>
              </w:rPr>
              <w:t xml:space="preserve"> on the contrary the non-tax and capital revenues slightly decreased </w:t>
            </w:r>
            <w:r w:rsidR="005A70CA" w:rsidRPr="00A00994">
              <w:rPr>
                <w:spacing w:val="-5"/>
                <w:lang w:val="en-GB"/>
              </w:rPr>
              <w:t>(</w:t>
            </w:r>
            <w:r w:rsidR="00C000A4" w:rsidRPr="00A00994">
              <w:rPr>
                <w:spacing w:val="-5"/>
                <w:lang w:val="en-GB"/>
              </w:rPr>
              <w:t xml:space="preserve">by </w:t>
            </w:r>
            <w:r w:rsidR="005A70CA" w:rsidRPr="00A00994">
              <w:rPr>
                <w:spacing w:val="-5"/>
                <w:lang w:val="en-GB"/>
              </w:rPr>
              <w:t>6</w:t>
            </w:r>
            <w:r w:rsidR="00C000A4" w:rsidRPr="00A00994">
              <w:rPr>
                <w:spacing w:val="-5"/>
                <w:lang w:val="en-GB"/>
              </w:rPr>
              <w:t>.</w:t>
            </w:r>
            <w:r w:rsidR="005A70CA" w:rsidRPr="00A00994">
              <w:rPr>
                <w:spacing w:val="-5"/>
                <w:lang w:val="en-GB"/>
              </w:rPr>
              <w:t xml:space="preserve">3%, </w:t>
            </w:r>
            <w:r w:rsidR="00FE1209">
              <w:rPr>
                <w:spacing w:val="-5"/>
                <w:lang w:val="en-GB"/>
              </w:rPr>
              <w:t>i.e.</w:t>
            </w:r>
            <w:r w:rsidR="005A70CA" w:rsidRPr="00A00994">
              <w:rPr>
                <w:spacing w:val="-5"/>
                <w:lang w:val="en-GB"/>
              </w:rPr>
              <w:t xml:space="preserve"> 6</w:t>
            </w:r>
            <w:r w:rsidR="00C000A4" w:rsidRPr="00A00994">
              <w:rPr>
                <w:spacing w:val="-5"/>
                <w:lang w:val="en-GB"/>
              </w:rPr>
              <w:t>.</w:t>
            </w:r>
            <w:r w:rsidR="005A70CA" w:rsidRPr="00A00994">
              <w:rPr>
                <w:spacing w:val="-5"/>
                <w:lang w:val="en-GB"/>
              </w:rPr>
              <w:t>2</w:t>
            </w:r>
            <w:r w:rsidR="00C000A4" w:rsidRPr="00A00994">
              <w:rPr>
                <w:spacing w:val="-5"/>
                <w:lang w:val="en-GB"/>
              </w:rPr>
              <w:t xml:space="preserve"> CZK bn</w:t>
            </w:r>
            <w:r w:rsidR="008F2E83" w:rsidRPr="00A00994">
              <w:rPr>
                <w:spacing w:val="-5"/>
                <w:lang w:val="en-GB"/>
              </w:rPr>
              <w:t xml:space="preserve">). </w:t>
            </w:r>
            <w:r w:rsidR="007B12AF" w:rsidRPr="00A00994">
              <w:rPr>
                <w:spacing w:val="-5"/>
                <w:lang w:val="en-GB"/>
              </w:rPr>
              <w:t>Primarily the lower funds from the EU budget</w:t>
            </w:r>
            <w:r w:rsidR="008F2E83" w:rsidRPr="00A00994">
              <w:rPr>
                <w:spacing w:val="-5"/>
                <w:lang w:val="en-GB"/>
              </w:rPr>
              <w:t xml:space="preserve">, </w:t>
            </w:r>
            <w:r w:rsidR="006D104D" w:rsidRPr="00A00994">
              <w:rPr>
                <w:spacing w:val="-5"/>
                <w:lang w:val="en-GB"/>
              </w:rPr>
              <w:t xml:space="preserve">whose volume did not reach even one third of the </w:t>
            </w:r>
            <w:r w:rsidR="00211E4A">
              <w:rPr>
                <w:rStyle w:val="rynqvb"/>
                <w:rFonts w:eastAsia="MS Gothic"/>
                <w:lang w:val="en"/>
              </w:rPr>
              <w:t>yearlong</w:t>
            </w:r>
            <w:r w:rsidR="00211E4A" w:rsidRPr="00A00994">
              <w:rPr>
                <w:spacing w:val="-5"/>
                <w:lang w:val="en-GB"/>
              </w:rPr>
              <w:t xml:space="preserve"> </w:t>
            </w:r>
            <w:r w:rsidR="006D104D" w:rsidRPr="00A00994">
              <w:rPr>
                <w:spacing w:val="-5"/>
                <w:lang w:val="en-GB"/>
              </w:rPr>
              <w:t>size anticipated by this year’s budget</w:t>
            </w:r>
            <w:r w:rsidR="008F2E83" w:rsidRPr="00A00994">
              <w:rPr>
                <w:rStyle w:val="Znakapoznpodarou"/>
                <w:spacing w:val="-5"/>
                <w:lang w:val="en-GB"/>
              </w:rPr>
              <w:footnoteReference w:id="78"/>
            </w:r>
            <w:r w:rsidR="006A30E5" w:rsidRPr="00A00994">
              <w:rPr>
                <w:spacing w:val="-5"/>
                <w:lang w:val="en-GB"/>
              </w:rPr>
              <w:t>, stood behind it</w:t>
            </w:r>
            <w:r w:rsidR="0039402D" w:rsidRPr="00A00994">
              <w:rPr>
                <w:spacing w:val="-5"/>
                <w:lang w:val="en-GB"/>
              </w:rPr>
              <w:t xml:space="preserve">. </w:t>
            </w:r>
            <w:r w:rsidR="007B12AF" w:rsidRPr="00A00994">
              <w:rPr>
                <w:spacing w:val="-5"/>
                <w:lang w:val="en-GB"/>
              </w:rPr>
              <w:t xml:space="preserve">In addition last </w:t>
            </w:r>
            <w:r w:rsidR="006D104D" w:rsidRPr="00A00994">
              <w:rPr>
                <w:spacing w:val="-5"/>
                <w:lang w:val="en-GB"/>
              </w:rPr>
              <w:t xml:space="preserve">year’s extraordinary yields from the frequency auction </w:t>
            </w:r>
            <w:r w:rsidR="00211E4A">
              <w:rPr>
                <w:spacing w:val="-5"/>
                <w:lang w:val="en-GB"/>
              </w:rPr>
              <w:t xml:space="preserve">(in telecommunication) </w:t>
            </w:r>
            <w:r w:rsidR="007B12AF" w:rsidRPr="00A00994">
              <w:rPr>
                <w:spacing w:val="-5"/>
                <w:lang w:val="en-GB"/>
              </w:rPr>
              <w:t xml:space="preserve">were not repeated any more </w:t>
            </w:r>
            <w:r w:rsidR="008F2E83" w:rsidRPr="00A00994">
              <w:rPr>
                <w:spacing w:val="-5"/>
                <w:lang w:val="en-GB"/>
              </w:rPr>
              <w:t>(5</w:t>
            </w:r>
            <w:r w:rsidR="007B12AF" w:rsidRPr="00A00994">
              <w:rPr>
                <w:spacing w:val="-5"/>
                <w:lang w:val="en-GB"/>
              </w:rPr>
              <w:t>.</w:t>
            </w:r>
            <w:r w:rsidR="008F2E83" w:rsidRPr="00A00994">
              <w:rPr>
                <w:spacing w:val="-5"/>
                <w:lang w:val="en-GB"/>
              </w:rPr>
              <w:t xml:space="preserve">6 </w:t>
            </w:r>
            <w:r w:rsidR="007B12AF" w:rsidRPr="00A00994">
              <w:rPr>
                <w:spacing w:val="-5"/>
                <w:lang w:val="en-GB"/>
              </w:rPr>
              <w:t>CZK bn</w:t>
            </w:r>
            <w:r w:rsidR="008F2E83" w:rsidRPr="00A00994">
              <w:rPr>
                <w:spacing w:val="-5"/>
                <w:lang w:val="en-GB"/>
              </w:rPr>
              <w:t>).</w:t>
            </w:r>
          </w:p>
        </w:tc>
      </w:tr>
      <w:tr w:rsidR="008F2E83" w:rsidRPr="00A00994" w14:paraId="26E32A07" w14:textId="77777777" w:rsidTr="00EE762D">
        <w:trPr>
          <w:trHeight w:val="145"/>
        </w:trPr>
        <w:tc>
          <w:tcPr>
            <w:tcW w:w="1805" w:type="dxa"/>
            <w:shd w:val="clear" w:color="auto" w:fill="auto"/>
            <w:tcMar>
              <w:left w:w="0" w:type="dxa"/>
            </w:tcMar>
          </w:tcPr>
          <w:p w14:paraId="16CD4B45" w14:textId="59F1DC74" w:rsidR="008F2E83" w:rsidRPr="00A00994" w:rsidRDefault="008F2E83" w:rsidP="00A2312C">
            <w:pPr>
              <w:pStyle w:val="Marginlie"/>
              <w:rPr>
                <w:lang w:val="en-GB"/>
              </w:rPr>
            </w:pPr>
            <w:r w:rsidRPr="00A00994">
              <w:rPr>
                <w:lang w:val="en-GB"/>
              </w:rPr>
              <w:t>Dynamic</w:t>
            </w:r>
            <w:r w:rsidR="006D104D" w:rsidRPr="00A00994">
              <w:rPr>
                <w:lang w:val="en-GB"/>
              </w:rPr>
              <w:t xml:space="preserve"> year-on-year growth of the VAT collection reflected the revived consumption as well as the notable acceleration of the </w:t>
            </w:r>
            <w:r w:rsidR="00A2312C">
              <w:rPr>
                <w:lang w:val="en-GB"/>
              </w:rPr>
              <w:t xml:space="preserve">growth of </w:t>
            </w:r>
            <w:r w:rsidR="006D104D" w:rsidRPr="00A00994">
              <w:rPr>
                <w:lang w:val="en-GB"/>
              </w:rPr>
              <w:t>consumer</w:t>
            </w:r>
            <w:r w:rsidR="00A2312C">
              <w:rPr>
                <w:lang w:val="en-GB"/>
              </w:rPr>
              <w:t xml:space="preserve"> prices</w:t>
            </w:r>
            <w:r w:rsidR="006D104D" w:rsidRPr="00A00994">
              <w:rPr>
                <w:lang w:val="en-GB"/>
              </w:rPr>
              <w:t xml:space="preserve">. </w:t>
            </w:r>
          </w:p>
        </w:tc>
        <w:tc>
          <w:tcPr>
            <w:tcW w:w="217" w:type="dxa"/>
            <w:shd w:val="clear" w:color="auto" w:fill="auto"/>
            <w:tcMar>
              <w:left w:w="0" w:type="dxa"/>
            </w:tcMar>
          </w:tcPr>
          <w:p w14:paraId="5CCD456B"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49ED1248" w14:textId="567E1627" w:rsidR="008F2E83" w:rsidRPr="00A00994" w:rsidRDefault="000A7D63" w:rsidP="000C7A79">
            <w:pPr>
              <w:spacing w:after="220"/>
              <w:rPr>
                <w:spacing w:val="-4"/>
                <w:lang w:val="en-GB"/>
              </w:rPr>
            </w:pPr>
            <w:r w:rsidRPr="00A00994">
              <w:rPr>
                <w:spacing w:val="-4"/>
                <w:lang w:val="en-GB"/>
              </w:rPr>
              <w:t>162</w:t>
            </w:r>
            <w:r w:rsidR="00485E4D" w:rsidRPr="00A00994">
              <w:rPr>
                <w:spacing w:val="-4"/>
                <w:lang w:val="en-GB"/>
              </w:rPr>
              <w:t>.</w:t>
            </w:r>
            <w:r w:rsidRPr="00A00994">
              <w:rPr>
                <w:spacing w:val="-4"/>
                <w:lang w:val="en-GB"/>
              </w:rPr>
              <w:t>6</w:t>
            </w:r>
            <w:r w:rsidR="00485E4D" w:rsidRPr="00A00994">
              <w:rPr>
                <w:spacing w:val="-4"/>
                <w:lang w:val="en-GB"/>
              </w:rPr>
              <w:t xml:space="preserve"> CZK bn flowed in to the SB from the weight dominant tax – VAT – in H1, by </w:t>
            </w:r>
            <w:r w:rsidR="008F2E83" w:rsidRPr="00A00994">
              <w:rPr>
                <w:spacing w:val="-4"/>
                <w:lang w:val="en-GB"/>
              </w:rPr>
              <w:t>23%</w:t>
            </w:r>
            <w:r w:rsidR="00485E4D" w:rsidRPr="00A00994">
              <w:rPr>
                <w:spacing w:val="-4"/>
                <w:lang w:val="en-GB"/>
              </w:rPr>
              <w:t xml:space="preserve"> more year-on-year </w:t>
            </w:r>
            <w:r w:rsidR="008F2E83" w:rsidRPr="00A00994">
              <w:rPr>
                <w:spacing w:val="-4"/>
                <w:lang w:val="en-GB"/>
              </w:rPr>
              <w:t>(</w:t>
            </w:r>
            <w:r w:rsidR="008C5AB8" w:rsidRPr="00A00994">
              <w:rPr>
                <w:spacing w:val="-4"/>
                <w:lang w:val="en-GB"/>
              </w:rPr>
              <w:t>the collection grew by similar pace also in Q</w:t>
            </w:r>
            <w:r w:rsidR="008F2E83" w:rsidRPr="00A00994">
              <w:rPr>
                <w:spacing w:val="-4"/>
                <w:lang w:val="en-GB"/>
              </w:rPr>
              <w:t>1</w:t>
            </w:r>
            <w:r w:rsidR="008C5AB8" w:rsidRPr="00A00994">
              <w:rPr>
                <w:spacing w:val="-4"/>
                <w:lang w:val="en-GB"/>
              </w:rPr>
              <w:t xml:space="preserve"> </w:t>
            </w:r>
            <w:r w:rsidR="00860943">
              <w:rPr>
                <w:spacing w:val="-4"/>
                <w:lang w:val="en-GB"/>
              </w:rPr>
              <w:t xml:space="preserve">2022 </w:t>
            </w:r>
            <w:r w:rsidR="008C5AB8" w:rsidRPr="00A00994">
              <w:rPr>
                <w:spacing w:val="-4"/>
                <w:lang w:val="en-GB"/>
              </w:rPr>
              <w:t>itself</w:t>
            </w:r>
            <w:r w:rsidR="008F2E83" w:rsidRPr="00A00994">
              <w:rPr>
                <w:spacing w:val="-4"/>
                <w:lang w:val="en-GB"/>
              </w:rPr>
              <w:t xml:space="preserve">). </w:t>
            </w:r>
            <w:r w:rsidR="008C5AB8" w:rsidRPr="00A00994">
              <w:rPr>
                <w:spacing w:val="-4"/>
                <w:lang w:val="en-GB"/>
              </w:rPr>
              <w:t xml:space="preserve">It was connected to lower basis </w:t>
            </w:r>
            <w:r w:rsidR="008F2E83" w:rsidRPr="00A00994">
              <w:rPr>
                <w:spacing w:val="-4"/>
                <w:lang w:val="en-GB"/>
              </w:rPr>
              <w:t>(</w:t>
            </w:r>
            <w:r w:rsidR="008C5AB8" w:rsidRPr="00A00994">
              <w:rPr>
                <w:spacing w:val="-4"/>
                <w:lang w:val="en-GB"/>
              </w:rPr>
              <w:t>the household consumption was still subdued by restrictions at the beginning of the last year</w:t>
            </w:r>
            <w:r w:rsidR="008F2E83" w:rsidRPr="00A00994">
              <w:rPr>
                <w:spacing w:val="-4"/>
                <w:lang w:val="en-GB"/>
              </w:rPr>
              <w:t>)</w:t>
            </w:r>
            <w:r w:rsidR="008C5AB8" w:rsidRPr="00A00994">
              <w:rPr>
                <w:spacing w:val="-4"/>
                <w:lang w:val="en-GB"/>
              </w:rPr>
              <w:t xml:space="preserve"> as well as the substantial price acceleration. </w:t>
            </w:r>
            <w:r w:rsidR="005F724F" w:rsidRPr="00A00994">
              <w:rPr>
                <w:spacing w:val="-4"/>
                <w:lang w:val="en-GB"/>
              </w:rPr>
              <w:t xml:space="preserve">The markedly revived consumption of non-residents could have already started to be evident </w:t>
            </w:r>
            <w:r w:rsidR="00860943">
              <w:rPr>
                <w:spacing w:val="-4"/>
                <w:lang w:val="en-GB"/>
              </w:rPr>
              <w:t>(</w:t>
            </w:r>
            <w:r w:rsidR="005F724F" w:rsidRPr="00A00994">
              <w:rPr>
                <w:spacing w:val="-4"/>
                <w:lang w:val="en-GB"/>
              </w:rPr>
              <w:t>to a lesser extent</w:t>
            </w:r>
            <w:r w:rsidR="00860943">
              <w:rPr>
                <w:spacing w:val="-4"/>
                <w:lang w:val="en-GB"/>
              </w:rPr>
              <w:t>)</w:t>
            </w:r>
            <w:r w:rsidR="005F724F" w:rsidRPr="00A00994">
              <w:rPr>
                <w:spacing w:val="-4"/>
                <w:lang w:val="en-GB"/>
              </w:rPr>
              <w:t xml:space="preserve">, </w:t>
            </w:r>
            <w:r w:rsidR="00B77D23" w:rsidRPr="00A00994">
              <w:rPr>
                <w:spacing w:val="-4"/>
                <w:lang w:val="en-GB"/>
              </w:rPr>
              <w:t xml:space="preserve">specifically due to the effect of </w:t>
            </w:r>
            <w:r w:rsidR="00DC1A3D">
              <w:rPr>
                <w:spacing w:val="-4"/>
                <w:lang w:val="en-GB"/>
              </w:rPr>
              <w:t>s</w:t>
            </w:r>
            <w:r w:rsidR="00E846B0" w:rsidRPr="00A00994">
              <w:rPr>
                <w:spacing w:val="-4"/>
                <w:lang w:val="en-GB"/>
              </w:rPr>
              <w:t>pring</w:t>
            </w:r>
            <w:r w:rsidR="00B77D23" w:rsidRPr="00A00994">
              <w:rPr>
                <w:spacing w:val="-4"/>
                <w:lang w:val="en-GB"/>
              </w:rPr>
              <w:t xml:space="preserve"> recovery of arrival tourism as well as inflow of refugees from Ukraine. </w:t>
            </w:r>
            <w:r w:rsidR="005F724F" w:rsidRPr="00A00994">
              <w:rPr>
                <w:spacing w:val="-4"/>
                <w:lang w:val="en-GB"/>
              </w:rPr>
              <w:t>Wa</w:t>
            </w:r>
            <w:r w:rsidR="00B77D23" w:rsidRPr="00A00994">
              <w:rPr>
                <w:spacing w:val="-4"/>
                <w:lang w:val="en-GB"/>
              </w:rPr>
              <w:t>iver</w:t>
            </w:r>
            <w:r w:rsidR="007C1EC4" w:rsidRPr="00A00994">
              <w:rPr>
                <w:spacing w:val="-4"/>
                <w:lang w:val="en-GB"/>
              </w:rPr>
              <w:t xml:space="preserve"> of value added tax on selected commodities (energies, vaccines, tests, respirators)</w:t>
            </w:r>
            <w:r w:rsidR="005F724F" w:rsidRPr="00A00994">
              <w:rPr>
                <w:spacing w:val="-4"/>
                <w:lang w:val="en-GB"/>
              </w:rPr>
              <w:t xml:space="preserve"> in contrast affected the tax collection adversely</w:t>
            </w:r>
            <w:r w:rsidR="007C1EC4" w:rsidRPr="00A00994">
              <w:rPr>
                <w:spacing w:val="-4"/>
                <w:lang w:val="en-GB"/>
              </w:rPr>
              <w:t xml:space="preserve">. </w:t>
            </w:r>
          </w:p>
        </w:tc>
      </w:tr>
      <w:tr w:rsidR="008F2E83" w:rsidRPr="00A00994" w14:paraId="579C5992" w14:textId="77777777" w:rsidTr="00EE762D">
        <w:trPr>
          <w:trHeight w:val="145"/>
        </w:trPr>
        <w:tc>
          <w:tcPr>
            <w:tcW w:w="1805" w:type="dxa"/>
            <w:shd w:val="clear" w:color="auto" w:fill="auto"/>
            <w:tcMar>
              <w:left w:w="0" w:type="dxa"/>
            </w:tcMar>
          </w:tcPr>
          <w:p w14:paraId="73D00829" w14:textId="2F1E750E" w:rsidR="008F2E83" w:rsidRPr="00A00994" w:rsidRDefault="00B77D23" w:rsidP="000C7A79">
            <w:pPr>
              <w:pStyle w:val="Marginlie"/>
              <w:rPr>
                <w:lang w:val="en-GB"/>
              </w:rPr>
            </w:pPr>
            <w:r w:rsidRPr="00A00994">
              <w:rPr>
                <w:lang w:val="en-GB"/>
              </w:rPr>
              <w:t xml:space="preserve">Despite swift year-on-year growth, the </w:t>
            </w:r>
            <w:r w:rsidR="00153D54" w:rsidRPr="00A00994">
              <w:rPr>
                <w:lang w:val="en-GB"/>
              </w:rPr>
              <w:t>state-wide</w:t>
            </w:r>
            <w:r w:rsidRPr="00A00994">
              <w:rPr>
                <w:lang w:val="en-GB"/>
              </w:rPr>
              <w:t xml:space="preserve"> collection of consumption taxes </w:t>
            </w:r>
            <w:r w:rsidR="00B276F5" w:rsidRPr="00A00994">
              <w:rPr>
                <w:lang w:val="en-GB"/>
              </w:rPr>
              <w:t xml:space="preserve">did not attain </w:t>
            </w:r>
            <w:r w:rsidR="00210941" w:rsidRPr="00A00994">
              <w:rPr>
                <w:lang w:val="en-GB"/>
              </w:rPr>
              <w:t>the level from H</w:t>
            </w:r>
            <w:r w:rsidR="008F2E83" w:rsidRPr="00A00994">
              <w:rPr>
                <w:lang w:val="en-GB"/>
              </w:rPr>
              <w:t>1</w:t>
            </w:r>
            <w:r w:rsidR="00210941" w:rsidRPr="00A00994">
              <w:rPr>
                <w:lang w:val="en-GB"/>
              </w:rPr>
              <w:t xml:space="preserve"> </w:t>
            </w:r>
            <w:r w:rsidR="008F2E83" w:rsidRPr="00A00994">
              <w:rPr>
                <w:lang w:val="en-GB"/>
              </w:rPr>
              <w:t>2019.</w:t>
            </w:r>
          </w:p>
          <w:p w14:paraId="0ED600E3" w14:textId="77777777" w:rsidR="008F2E83" w:rsidRPr="00A00994" w:rsidRDefault="008F2E83" w:rsidP="000C7A79">
            <w:pPr>
              <w:pStyle w:val="Marginlie"/>
              <w:rPr>
                <w:lang w:val="en-GB"/>
              </w:rPr>
            </w:pPr>
          </w:p>
          <w:p w14:paraId="42ECBED6" w14:textId="77777777" w:rsidR="008F2E83" w:rsidRPr="00A00994" w:rsidRDefault="008F2E83" w:rsidP="000C7A79">
            <w:pPr>
              <w:pStyle w:val="Marginlie"/>
              <w:rPr>
                <w:lang w:val="en-GB"/>
              </w:rPr>
            </w:pPr>
          </w:p>
          <w:p w14:paraId="0F61DE54" w14:textId="77777777" w:rsidR="008F2E83" w:rsidRPr="00A00994" w:rsidRDefault="008F2E83" w:rsidP="000C7A79">
            <w:pPr>
              <w:pStyle w:val="Marginlie"/>
              <w:rPr>
                <w:lang w:val="en-GB"/>
              </w:rPr>
            </w:pPr>
          </w:p>
          <w:p w14:paraId="389AF40A" w14:textId="77777777" w:rsidR="008F2E83" w:rsidRPr="00A00994" w:rsidRDefault="008F2E83" w:rsidP="000C7A79">
            <w:pPr>
              <w:pStyle w:val="Marginlie"/>
              <w:rPr>
                <w:lang w:val="en-GB"/>
              </w:rPr>
            </w:pPr>
          </w:p>
          <w:p w14:paraId="2B90EDF7" w14:textId="77777777" w:rsidR="008F2E83" w:rsidRPr="00A00994" w:rsidRDefault="008F2E83" w:rsidP="000C7A79">
            <w:pPr>
              <w:pStyle w:val="Marginlie"/>
              <w:rPr>
                <w:lang w:val="en-GB"/>
              </w:rPr>
            </w:pPr>
          </w:p>
          <w:p w14:paraId="7205D766" w14:textId="77777777" w:rsidR="008F2E83" w:rsidRPr="00A00994" w:rsidRDefault="008F2E83" w:rsidP="000C7A79">
            <w:pPr>
              <w:pStyle w:val="Marginlie"/>
              <w:rPr>
                <w:lang w:val="en-GB"/>
              </w:rPr>
            </w:pPr>
          </w:p>
          <w:p w14:paraId="65254682" w14:textId="77777777" w:rsidR="008F2E83" w:rsidRPr="00A00994" w:rsidRDefault="008F2E83" w:rsidP="000C7A79">
            <w:pPr>
              <w:pStyle w:val="Marginlie"/>
              <w:rPr>
                <w:lang w:val="en-GB"/>
              </w:rPr>
            </w:pPr>
          </w:p>
          <w:p w14:paraId="620EDD24" w14:textId="53E66022" w:rsidR="008F2E83" w:rsidRPr="00A00994" w:rsidRDefault="00B77D23" w:rsidP="000C7A79">
            <w:pPr>
              <w:pStyle w:val="Marginlie"/>
              <w:rPr>
                <w:lang w:val="en-GB"/>
              </w:rPr>
            </w:pPr>
            <w:r w:rsidRPr="00A00994">
              <w:rPr>
                <w:lang w:val="en-GB"/>
              </w:rPr>
              <w:t xml:space="preserve">Tax on tobacco products contributed the most to the growth of collection. </w:t>
            </w:r>
          </w:p>
        </w:tc>
        <w:tc>
          <w:tcPr>
            <w:tcW w:w="217" w:type="dxa"/>
            <w:shd w:val="clear" w:color="auto" w:fill="auto"/>
            <w:tcMar>
              <w:left w:w="0" w:type="dxa"/>
            </w:tcMar>
          </w:tcPr>
          <w:p w14:paraId="6F4687D7"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7FD6342B" w14:textId="77B00161" w:rsidR="008F2E83" w:rsidRPr="00A252AC" w:rsidRDefault="008F2E83" w:rsidP="00860943">
            <w:pPr>
              <w:spacing w:after="220"/>
              <w:rPr>
                <w:spacing w:val="-5"/>
                <w:lang w:val="en-GB"/>
              </w:rPr>
            </w:pPr>
            <w:r w:rsidRPr="00A252AC">
              <w:rPr>
                <w:spacing w:val="-5"/>
                <w:lang w:val="en-GB"/>
              </w:rPr>
              <w:t>S</w:t>
            </w:r>
            <w:r w:rsidR="00210941" w:rsidRPr="00A252AC">
              <w:rPr>
                <w:spacing w:val="-5"/>
                <w:lang w:val="en-GB"/>
              </w:rPr>
              <w:t xml:space="preserve">B acquired by 16% more </w:t>
            </w:r>
            <w:r w:rsidR="00FC7EB2" w:rsidRPr="00A252AC">
              <w:rPr>
                <w:spacing w:val="-5"/>
                <w:lang w:val="en-GB"/>
              </w:rPr>
              <w:t xml:space="preserve">on consumption taxes year-on-year this year and the collection growth </w:t>
            </w:r>
            <w:r w:rsidR="00A85F12" w:rsidRPr="00A252AC">
              <w:rPr>
                <w:spacing w:val="-5"/>
                <w:lang w:val="en-GB"/>
              </w:rPr>
              <w:t xml:space="preserve">exceeded the budget anticipations </w:t>
            </w:r>
            <w:r w:rsidR="00FC7EB2" w:rsidRPr="00A252AC">
              <w:rPr>
                <w:spacing w:val="-5"/>
                <w:lang w:val="en-GB"/>
              </w:rPr>
              <w:t>so far</w:t>
            </w:r>
            <w:r w:rsidR="00A85F12" w:rsidRPr="00A252AC">
              <w:rPr>
                <w:spacing w:val="-5"/>
                <w:lang w:val="en-GB"/>
              </w:rPr>
              <w:t xml:space="preserve">. State wide collection of this tax however still slightly lagged behind (by 3%) the pre-pandemic period </w:t>
            </w:r>
            <w:r w:rsidRPr="00A252AC">
              <w:rPr>
                <w:spacing w:val="-5"/>
                <w:lang w:val="en-GB"/>
              </w:rPr>
              <w:t>(</w:t>
            </w:r>
            <w:r w:rsidR="00A85F12" w:rsidRPr="00A252AC">
              <w:rPr>
                <w:spacing w:val="-5"/>
                <w:lang w:val="en-GB"/>
              </w:rPr>
              <w:t>H</w:t>
            </w:r>
            <w:r w:rsidRPr="00A252AC">
              <w:rPr>
                <w:spacing w:val="-5"/>
                <w:lang w:val="en-GB"/>
              </w:rPr>
              <w:t>1</w:t>
            </w:r>
            <w:r w:rsidR="00A85F12" w:rsidRPr="00A252AC">
              <w:rPr>
                <w:spacing w:val="-5"/>
                <w:lang w:val="en-GB"/>
              </w:rPr>
              <w:t xml:space="preserve"> </w:t>
            </w:r>
            <w:r w:rsidRPr="00A252AC">
              <w:rPr>
                <w:spacing w:val="-5"/>
                <w:lang w:val="en-GB"/>
              </w:rPr>
              <w:t>2019)</w:t>
            </w:r>
            <w:r w:rsidR="00A85F12" w:rsidRPr="00A252AC">
              <w:rPr>
                <w:spacing w:val="-5"/>
                <w:lang w:val="en-GB"/>
              </w:rPr>
              <w:t xml:space="preserve">. </w:t>
            </w:r>
            <w:r w:rsidR="00B96035" w:rsidRPr="00A252AC">
              <w:rPr>
                <w:spacing w:val="-5"/>
                <w:lang w:val="en-GB"/>
              </w:rPr>
              <w:t xml:space="preserve">Already only by 4.8% more of this tax flew into the SB year-on-year </w:t>
            </w:r>
            <w:r w:rsidR="00832B76" w:rsidRPr="00A252AC">
              <w:rPr>
                <w:spacing w:val="-5"/>
                <w:lang w:val="en-GB"/>
              </w:rPr>
              <w:t>in June 2022 itself</w:t>
            </w:r>
            <w:r w:rsidRPr="00A252AC">
              <w:rPr>
                <w:spacing w:val="-5"/>
                <w:lang w:val="en-GB"/>
              </w:rPr>
              <w:t xml:space="preserve">, </w:t>
            </w:r>
            <w:r w:rsidR="00832B76" w:rsidRPr="00A252AC">
              <w:rPr>
                <w:spacing w:val="-5"/>
                <w:lang w:val="en-GB"/>
              </w:rPr>
              <w:t xml:space="preserve">since the collection of the </w:t>
            </w:r>
            <w:r w:rsidR="00860943" w:rsidRPr="00A252AC">
              <w:rPr>
                <w:spacing w:val="-5"/>
                <w:lang w:val="en-GB"/>
              </w:rPr>
              <w:t xml:space="preserve">most significant tax by volume – </w:t>
            </w:r>
            <w:r w:rsidR="00832B76" w:rsidRPr="00A252AC">
              <w:rPr>
                <w:spacing w:val="-5"/>
                <w:lang w:val="en-GB"/>
              </w:rPr>
              <w:t xml:space="preserve">tax on mineral oils </w:t>
            </w:r>
            <w:r w:rsidR="00860943" w:rsidRPr="00A252AC">
              <w:rPr>
                <w:spacing w:val="-5"/>
                <w:lang w:val="en-GB"/>
              </w:rPr>
              <w:t>–</w:t>
            </w:r>
            <w:r w:rsidR="00832B76" w:rsidRPr="00A252AC">
              <w:rPr>
                <w:spacing w:val="-5"/>
                <w:lang w:val="en-GB"/>
              </w:rPr>
              <w:t xml:space="preserve"> stagnated</w:t>
            </w:r>
            <w:r w:rsidRPr="00A252AC">
              <w:rPr>
                <w:spacing w:val="-5"/>
                <w:lang w:val="en-GB"/>
              </w:rPr>
              <w:t>.</w:t>
            </w:r>
            <w:r w:rsidR="00B96035" w:rsidRPr="00A252AC">
              <w:rPr>
                <w:spacing w:val="-5"/>
                <w:lang w:val="en-GB"/>
              </w:rPr>
              <w:t xml:space="preserve"> It could have been associated to the sharp </w:t>
            </w:r>
            <w:r w:rsidR="00DC1A3D" w:rsidRPr="00A252AC">
              <w:rPr>
                <w:spacing w:val="-5"/>
                <w:lang w:val="en-GB"/>
              </w:rPr>
              <w:t>s</w:t>
            </w:r>
            <w:r w:rsidR="00E846B0" w:rsidRPr="00A252AC">
              <w:rPr>
                <w:spacing w:val="-5"/>
                <w:lang w:val="en-GB"/>
              </w:rPr>
              <w:t>pring</w:t>
            </w:r>
            <w:r w:rsidR="00B96035" w:rsidRPr="00A252AC">
              <w:rPr>
                <w:spacing w:val="-5"/>
                <w:lang w:val="en-GB"/>
              </w:rPr>
              <w:t xml:space="preserve"> </w:t>
            </w:r>
            <w:r w:rsidR="000D27C9" w:rsidRPr="00A252AC">
              <w:rPr>
                <w:spacing w:val="-5"/>
                <w:lang w:val="en-GB"/>
              </w:rPr>
              <w:t xml:space="preserve">rise of prices of motor fuels at petrol stations, to which both households and businesses presumably reacted by limiting their consumption </w:t>
            </w:r>
            <w:r w:rsidRPr="00A252AC">
              <w:rPr>
                <w:spacing w:val="-5"/>
                <w:lang w:val="en-GB"/>
              </w:rPr>
              <w:t>(</w:t>
            </w:r>
            <w:r w:rsidR="000D27C9" w:rsidRPr="00A252AC">
              <w:rPr>
                <w:spacing w:val="-5"/>
                <w:lang w:val="en-GB"/>
              </w:rPr>
              <w:t>this was already indicated in May data related to retail sales for motor fuels</w:t>
            </w:r>
            <w:r w:rsidRPr="00A252AC">
              <w:rPr>
                <w:spacing w:val="-5"/>
                <w:lang w:val="en-GB"/>
              </w:rPr>
              <w:t>).</w:t>
            </w:r>
            <w:r w:rsidR="000D27C9" w:rsidRPr="00A252AC">
              <w:rPr>
                <w:spacing w:val="-5"/>
                <w:lang w:val="en-GB"/>
              </w:rPr>
              <w:t xml:space="preserve"> </w:t>
            </w:r>
            <w:r w:rsidR="002A4F23" w:rsidRPr="00A252AC">
              <w:rPr>
                <w:spacing w:val="-5"/>
                <w:lang w:val="en-GB"/>
              </w:rPr>
              <w:t>On the contrary the impact of temporary cut down of the tax rate</w:t>
            </w:r>
            <w:r w:rsidRPr="00A252AC">
              <w:rPr>
                <w:rStyle w:val="Znakapoznpodarou"/>
                <w:spacing w:val="-5"/>
                <w:lang w:val="en-GB"/>
              </w:rPr>
              <w:footnoteReference w:id="79"/>
            </w:r>
            <w:r w:rsidR="002A4F23" w:rsidRPr="00A252AC">
              <w:rPr>
                <w:spacing w:val="-5"/>
                <w:lang w:val="en-GB"/>
              </w:rPr>
              <w:t xml:space="preserve"> was not shown in the </w:t>
            </w:r>
            <w:r w:rsidR="000D616C" w:rsidRPr="00A252AC">
              <w:rPr>
                <w:spacing w:val="-5"/>
                <w:lang w:val="en-GB"/>
              </w:rPr>
              <w:t xml:space="preserve">treasury </w:t>
            </w:r>
            <w:r w:rsidR="002A4F23" w:rsidRPr="00A252AC">
              <w:rPr>
                <w:spacing w:val="-5"/>
                <w:lang w:val="en-GB"/>
              </w:rPr>
              <w:t xml:space="preserve">fulfilment of the collection yet. </w:t>
            </w:r>
            <w:r w:rsidR="00E62EDE" w:rsidRPr="00A252AC">
              <w:rPr>
                <w:spacing w:val="-5"/>
                <w:lang w:val="en-GB"/>
              </w:rPr>
              <w:t xml:space="preserve">Nevertheless the collection of tax on mineral oils went up by </w:t>
            </w:r>
            <w:r w:rsidRPr="00A252AC">
              <w:rPr>
                <w:spacing w:val="-5"/>
                <w:lang w:val="en-GB"/>
              </w:rPr>
              <w:t>12%</w:t>
            </w:r>
            <w:r w:rsidR="00E62EDE" w:rsidRPr="00A252AC">
              <w:rPr>
                <w:spacing w:val="-5"/>
                <w:lang w:val="en-GB"/>
              </w:rPr>
              <w:t xml:space="preserve"> in total for the whole this year’s half-year</w:t>
            </w:r>
            <w:r w:rsidRPr="00A252AC">
              <w:rPr>
                <w:spacing w:val="-5"/>
                <w:lang w:val="en-GB"/>
              </w:rPr>
              <w:t xml:space="preserve">, </w:t>
            </w:r>
            <w:r w:rsidR="000D27C9" w:rsidRPr="00A252AC">
              <w:rPr>
                <w:spacing w:val="-5"/>
                <w:lang w:val="en-GB"/>
              </w:rPr>
              <w:t xml:space="preserve">mainly due to the effect of low comparative basis </w:t>
            </w:r>
            <w:r w:rsidRPr="00A252AC">
              <w:rPr>
                <w:spacing w:val="-5"/>
                <w:lang w:val="en-GB"/>
              </w:rPr>
              <w:t>(</w:t>
            </w:r>
            <w:r w:rsidR="00860943" w:rsidRPr="00A252AC">
              <w:rPr>
                <w:spacing w:val="-5"/>
                <w:lang w:val="en-GB"/>
              </w:rPr>
              <w:t>the counter-</w:t>
            </w:r>
            <w:r w:rsidR="00C16DD1" w:rsidRPr="00A252AC">
              <w:rPr>
                <w:spacing w:val="-5"/>
                <w:lang w:val="en-GB"/>
              </w:rPr>
              <w:t>pandemic measures were culminating during Q</w:t>
            </w:r>
            <w:r w:rsidRPr="00A252AC">
              <w:rPr>
                <w:spacing w:val="-5"/>
                <w:lang w:val="en-GB"/>
              </w:rPr>
              <w:t>1</w:t>
            </w:r>
            <w:r w:rsidR="00C16DD1" w:rsidRPr="00A252AC">
              <w:rPr>
                <w:spacing w:val="-5"/>
                <w:lang w:val="en-GB"/>
              </w:rPr>
              <w:t xml:space="preserve"> </w:t>
            </w:r>
            <w:r w:rsidRPr="00A252AC">
              <w:rPr>
                <w:spacing w:val="-5"/>
                <w:lang w:val="en-GB"/>
              </w:rPr>
              <w:t>2021</w:t>
            </w:r>
            <w:r w:rsidR="00C16DD1" w:rsidRPr="00A252AC">
              <w:rPr>
                <w:spacing w:val="-5"/>
                <w:lang w:val="en-GB"/>
              </w:rPr>
              <w:t xml:space="preserve"> </w:t>
            </w:r>
            <w:r w:rsidRPr="00A252AC">
              <w:rPr>
                <w:spacing w:val="-5"/>
                <w:lang w:val="en-GB"/>
              </w:rPr>
              <w:t>a</w:t>
            </w:r>
            <w:r w:rsidR="00C16DD1" w:rsidRPr="00A252AC">
              <w:rPr>
                <w:spacing w:val="-5"/>
                <w:lang w:val="en-GB"/>
              </w:rPr>
              <w:t xml:space="preserve">nd the substantial </w:t>
            </w:r>
            <w:r w:rsidR="00B8128A" w:rsidRPr="00A252AC">
              <w:rPr>
                <w:spacing w:val="-5"/>
                <w:lang w:val="en-GB"/>
              </w:rPr>
              <w:t xml:space="preserve">restriction of the mobility of population between regions was reflected in the lowest collection of this tax in the </w:t>
            </w:r>
            <w:r w:rsidR="00B8128A" w:rsidRPr="00A252AC">
              <w:rPr>
                <w:spacing w:val="-5"/>
                <w:lang w:val="en-GB"/>
              </w:rPr>
              <w:lastRenderedPageBreak/>
              <w:t>last eight years at that time</w:t>
            </w:r>
            <w:r w:rsidRPr="00A252AC">
              <w:rPr>
                <w:spacing w:val="-5"/>
                <w:lang w:val="en-GB"/>
              </w:rPr>
              <w:t xml:space="preserve">). </w:t>
            </w:r>
            <w:r w:rsidR="0064341F" w:rsidRPr="00A252AC">
              <w:rPr>
                <w:spacing w:val="-5"/>
                <w:lang w:val="en-GB"/>
              </w:rPr>
              <w:t>Collection of tax on tobacco products, which expanded by one fifth besides other things thanks to the increase of the tax rate</w:t>
            </w:r>
            <w:r w:rsidR="00860943" w:rsidRPr="00A252AC">
              <w:rPr>
                <w:spacing w:val="-5"/>
                <w:lang w:val="en-GB"/>
              </w:rPr>
              <w:t>,</w:t>
            </w:r>
            <w:r w:rsidR="0064341F" w:rsidRPr="00A252AC">
              <w:rPr>
                <w:spacing w:val="-5"/>
                <w:lang w:val="en-GB"/>
              </w:rPr>
              <w:t xml:space="preserve"> contributed the most to higher collection of all consumption taxes this year. </w:t>
            </w:r>
            <w:r w:rsidR="00860943" w:rsidRPr="00A252AC">
              <w:rPr>
                <w:spacing w:val="-5"/>
                <w:lang w:val="en-GB"/>
              </w:rPr>
              <w:t>Growing</w:t>
            </w:r>
            <w:r w:rsidR="00860943" w:rsidRPr="00A252AC">
              <w:rPr>
                <w:rStyle w:val="Nadpis1Char"/>
                <w:spacing w:val="-5"/>
                <w:lang w:val="en"/>
              </w:rPr>
              <w:t xml:space="preserve"> </w:t>
            </w:r>
            <w:r w:rsidR="00860943" w:rsidRPr="00A252AC">
              <w:rPr>
                <w:rStyle w:val="rynqvb"/>
                <w:rFonts w:eastAsia="MS Gothic"/>
                <w:spacing w:val="-5"/>
                <w:lang w:val="en"/>
              </w:rPr>
              <w:t>collection</w:t>
            </w:r>
            <w:r w:rsidR="00F71393" w:rsidRPr="00A252AC">
              <w:rPr>
                <w:spacing w:val="-5"/>
                <w:lang w:val="en-GB"/>
              </w:rPr>
              <w:t xml:space="preserve"> of less significant categories of tax by weight also had a favourable effect</w:t>
            </w:r>
            <w:r w:rsidRPr="00A252AC">
              <w:rPr>
                <w:spacing w:val="-5"/>
                <w:lang w:val="en-GB"/>
              </w:rPr>
              <w:t xml:space="preserve">, </w:t>
            </w:r>
            <w:r w:rsidR="00F71393" w:rsidRPr="00A252AC">
              <w:rPr>
                <w:spacing w:val="-5"/>
                <w:lang w:val="en-GB"/>
              </w:rPr>
              <w:t xml:space="preserve">especially the tax on alcohol and also beer </w:t>
            </w:r>
            <w:r w:rsidRPr="00A252AC">
              <w:rPr>
                <w:spacing w:val="-5"/>
                <w:lang w:val="en-GB"/>
              </w:rPr>
              <w:t>(</w:t>
            </w:r>
            <w:r w:rsidR="00B43496" w:rsidRPr="00A252AC">
              <w:rPr>
                <w:spacing w:val="-5"/>
                <w:lang w:val="en-GB"/>
              </w:rPr>
              <w:t xml:space="preserve">its collection </w:t>
            </w:r>
            <w:r w:rsidR="00ED112D" w:rsidRPr="00A252AC">
              <w:rPr>
                <w:spacing w:val="-5"/>
                <w:lang w:val="en-GB"/>
              </w:rPr>
              <w:t xml:space="preserve">however still fell by more than 5% behind the peak from year </w:t>
            </w:r>
            <w:r w:rsidRPr="00A252AC">
              <w:rPr>
                <w:spacing w:val="-5"/>
                <w:lang w:val="en-GB"/>
              </w:rPr>
              <w:t>2019).</w:t>
            </w:r>
          </w:p>
        </w:tc>
      </w:tr>
      <w:tr w:rsidR="008F2E83" w:rsidRPr="00A00994" w14:paraId="4814A59D" w14:textId="77777777" w:rsidTr="00EE762D">
        <w:trPr>
          <w:trHeight w:val="145"/>
        </w:trPr>
        <w:tc>
          <w:tcPr>
            <w:tcW w:w="1805" w:type="dxa"/>
            <w:shd w:val="clear" w:color="auto" w:fill="auto"/>
            <w:tcMar>
              <w:left w:w="0" w:type="dxa"/>
            </w:tcMar>
          </w:tcPr>
          <w:p w14:paraId="24250AEF" w14:textId="278E3537" w:rsidR="008F2E83" w:rsidRPr="00A00994" w:rsidRDefault="007734F5" w:rsidP="000C7A79">
            <w:pPr>
              <w:pStyle w:val="Marginlie"/>
              <w:rPr>
                <w:lang w:val="en-GB"/>
              </w:rPr>
            </w:pPr>
            <w:r w:rsidRPr="00A00994">
              <w:rPr>
                <w:lang w:val="en-GB"/>
              </w:rPr>
              <w:t xml:space="preserve">Collection of income tax of legal persons </w:t>
            </w:r>
            <w:r w:rsidR="003D4EFE" w:rsidRPr="00A00994">
              <w:rPr>
                <w:lang w:val="en-GB"/>
              </w:rPr>
              <w:t xml:space="preserve">notably increased year-on-year thanks to high June payment. </w:t>
            </w:r>
          </w:p>
        </w:tc>
        <w:tc>
          <w:tcPr>
            <w:tcW w:w="217" w:type="dxa"/>
            <w:shd w:val="clear" w:color="auto" w:fill="auto"/>
            <w:tcMar>
              <w:left w:w="0" w:type="dxa"/>
            </w:tcMar>
          </w:tcPr>
          <w:p w14:paraId="3C2144F2"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635ED4C0" w14:textId="6AF782B4" w:rsidR="008F2E83" w:rsidRPr="00A252AC" w:rsidRDefault="007734F5" w:rsidP="000C7A79">
            <w:pPr>
              <w:spacing w:after="200"/>
              <w:rPr>
                <w:spacing w:val="-2"/>
                <w:lang w:val="en-GB"/>
              </w:rPr>
            </w:pPr>
            <w:r w:rsidRPr="00A252AC">
              <w:rPr>
                <w:spacing w:val="-2"/>
                <w:lang w:val="en-GB"/>
              </w:rPr>
              <w:t xml:space="preserve">SB revenue from the corporate tax briskly grew year-on-year </w:t>
            </w:r>
            <w:r w:rsidR="008F2E83" w:rsidRPr="00A252AC">
              <w:rPr>
                <w:spacing w:val="-2"/>
                <w:lang w:val="en-GB"/>
              </w:rPr>
              <w:t>(+16</w:t>
            </w:r>
            <w:r w:rsidRPr="00A252AC">
              <w:rPr>
                <w:spacing w:val="-2"/>
                <w:lang w:val="en-GB"/>
              </w:rPr>
              <w:t>.</w:t>
            </w:r>
            <w:r w:rsidR="008F2E83" w:rsidRPr="00A252AC">
              <w:rPr>
                <w:spacing w:val="-2"/>
                <w:lang w:val="en-GB"/>
              </w:rPr>
              <w:t>8%),</w:t>
            </w:r>
            <w:r w:rsidRPr="00A252AC">
              <w:rPr>
                <w:spacing w:val="-2"/>
                <w:lang w:val="en-GB"/>
              </w:rPr>
              <w:t xml:space="preserve"> mainly thanks to the high June collection </w:t>
            </w:r>
            <w:r w:rsidR="008F2E83" w:rsidRPr="00A252AC">
              <w:rPr>
                <w:spacing w:val="-2"/>
                <w:lang w:val="en-GB"/>
              </w:rPr>
              <w:t>(</w:t>
            </w:r>
            <w:r w:rsidRPr="00A252AC">
              <w:rPr>
                <w:spacing w:val="-2"/>
                <w:lang w:val="en-GB"/>
              </w:rPr>
              <w:t xml:space="preserve">including both quarter and half-yearly tax advance payments and part of the payment of tax for year </w:t>
            </w:r>
            <w:r w:rsidR="008F2E83" w:rsidRPr="00A252AC">
              <w:rPr>
                <w:spacing w:val="-2"/>
                <w:lang w:val="en-GB"/>
              </w:rPr>
              <w:t>2021</w:t>
            </w:r>
            <w:r w:rsidR="008F2E83" w:rsidRPr="00A252AC">
              <w:rPr>
                <w:rStyle w:val="Znakapoznpodarou"/>
                <w:spacing w:val="-2"/>
                <w:lang w:val="en-GB"/>
              </w:rPr>
              <w:footnoteReference w:id="80"/>
            </w:r>
            <w:r w:rsidR="008F2E83" w:rsidRPr="00A252AC">
              <w:rPr>
                <w:spacing w:val="-2"/>
                <w:lang w:val="en-GB"/>
              </w:rPr>
              <w:t xml:space="preserve">). </w:t>
            </w:r>
            <w:r w:rsidR="003D4EFE" w:rsidRPr="00A252AC">
              <w:rPr>
                <w:spacing w:val="-2"/>
                <w:lang w:val="en-GB"/>
              </w:rPr>
              <w:t>Collection for H</w:t>
            </w:r>
            <w:r w:rsidR="008F2E83" w:rsidRPr="00A252AC">
              <w:rPr>
                <w:spacing w:val="-2"/>
                <w:lang w:val="en-GB"/>
              </w:rPr>
              <w:t>1</w:t>
            </w:r>
            <w:r w:rsidR="003D4EFE" w:rsidRPr="00A252AC">
              <w:rPr>
                <w:spacing w:val="-2"/>
                <w:lang w:val="en-GB"/>
              </w:rPr>
              <w:t xml:space="preserve"> appreciably exceeded the budget anticipations, because it reached nearly three quarters of the anticipated year-long volume and proved relatively good economic results of some large businesses </w:t>
            </w:r>
            <w:r w:rsidR="008F2E83" w:rsidRPr="00A252AC">
              <w:rPr>
                <w:spacing w:val="-2"/>
                <w:lang w:val="en-GB"/>
              </w:rPr>
              <w:t>(</w:t>
            </w:r>
            <w:r w:rsidR="003D4EFE" w:rsidRPr="00A252AC">
              <w:rPr>
                <w:spacing w:val="-2"/>
                <w:lang w:val="en-GB"/>
              </w:rPr>
              <w:t>e.g. in the area of energetics or trade</w:t>
            </w:r>
            <w:r w:rsidR="008F2E83" w:rsidRPr="00A252AC">
              <w:rPr>
                <w:spacing w:val="-2"/>
                <w:lang w:val="en-GB"/>
              </w:rPr>
              <w:t xml:space="preserve">). </w:t>
            </w:r>
            <w:r w:rsidR="00860943" w:rsidRPr="00A252AC">
              <w:rPr>
                <w:spacing w:val="-2"/>
                <w:lang w:val="en-GB"/>
              </w:rPr>
              <w:t>L</w:t>
            </w:r>
            <w:r w:rsidR="003D4EFE" w:rsidRPr="00A252AC">
              <w:rPr>
                <w:spacing w:val="-2"/>
                <w:lang w:val="en-GB"/>
              </w:rPr>
              <w:t>egislative amendments however also affected the size of the collection</w:t>
            </w:r>
            <w:r w:rsidR="008F2E83" w:rsidRPr="00A252AC">
              <w:rPr>
                <w:rStyle w:val="Znakapoznpodarou"/>
                <w:spacing w:val="-2"/>
                <w:lang w:val="en-GB"/>
              </w:rPr>
              <w:footnoteReference w:id="81"/>
            </w:r>
            <w:r w:rsidR="008F2E83" w:rsidRPr="00A252AC">
              <w:rPr>
                <w:spacing w:val="-2"/>
                <w:lang w:val="en-GB"/>
              </w:rPr>
              <w:t>.</w:t>
            </w:r>
          </w:p>
        </w:tc>
      </w:tr>
      <w:tr w:rsidR="008F2E83" w:rsidRPr="00A00994" w14:paraId="605654F0" w14:textId="77777777" w:rsidTr="00EE762D">
        <w:trPr>
          <w:trHeight w:val="145"/>
        </w:trPr>
        <w:tc>
          <w:tcPr>
            <w:tcW w:w="1805" w:type="dxa"/>
            <w:shd w:val="clear" w:color="auto" w:fill="auto"/>
            <w:tcMar>
              <w:left w:w="0" w:type="dxa"/>
            </w:tcMar>
          </w:tcPr>
          <w:p w14:paraId="5B224609" w14:textId="6481A4A3" w:rsidR="008F2E83" w:rsidRPr="00A00994" w:rsidRDefault="008F2E83" w:rsidP="000C7A79">
            <w:pPr>
              <w:pStyle w:val="Marginlie"/>
              <w:rPr>
                <w:lang w:val="en-GB"/>
              </w:rPr>
            </w:pPr>
            <w:r w:rsidRPr="00A00994">
              <w:rPr>
                <w:lang w:val="en-GB"/>
              </w:rPr>
              <w:t>S</w:t>
            </w:r>
            <w:r w:rsidR="007971DC" w:rsidRPr="00A00994">
              <w:rPr>
                <w:lang w:val="en-GB"/>
              </w:rPr>
              <w:t>wift growth of the collection of income tax of natural persons mirrored the fast recovery of the labour market. The collection however considerably fell behind the pre-pandemic level</w:t>
            </w:r>
            <w:r w:rsidR="00C15708">
              <w:rPr>
                <w:lang w:val="en-GB"/>
              </w:rPr>
              <w:t>, mainly due to</w:t>
            </w:r>
            <w:r w:rsidR="007971DC" w:rsidRPr="00A00994">
              <w:rPr>
                <w:lang w:val="en-GB"/>
              </w:rPr>
              <w:t xml:space="preserve"> the influence of legislative amendments. </w:t>
            </w:r>
          </w:p>
        </w:tc>
        <w:tc>
          <w:tcPr>
            <w:tcW w:w="217" w:type="dxa"/>
            <w:shd w:val="clear" w:color="auto" w:fill="auto"/>
            <w:tcMar>
              <w:left w:w="0" w:type="dxa"/>
            </w:tcMar>
          </w:tcPr>
          <w:p w14:paraId="4CE5A47B"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20E3DB07" w14:textId="52CBB927" w:rsidR="008F2E83" w:rsidRPr="00A252AC" w:rsidRDefault="00C53E99" w:rsidP="000C7A79">
            <w:pPr>
              <w:spacing w:after="200"/>
              <w:rPr>
                <w:spacing w:val="-2"/>
                <w:lang w:val="en-GB"/>
              </w:rPr>
            </w:pPr>
            <w:r w:rsidRPr="00A252AC">
              <w:rPr>
                <w:spacing w:val="-2"/>
                <w:lang w:val="en-GB"/>
              </w:rPr>
              <w:t xml:space="preserve">Collection of income tax of natural persons (ITNP) grew by similar pace as the corporate tax collection year-on-year. It reflected the employment growth as well as the brisk nominal rise of average wages. The pay out of the </w:t>
            </w:r>
            <w:r w:rsidR="002474FE" w:rsidRPr="00A252AC">
              <w:rPr>
                <w:spacing w:val="-2"/>
                <w:lang w:val="en-GB"/>
              </w:rPr>
              <w:t xml:space="preserve">compensatory bonus </w:t>
            </w:r>
            <w:r w:rsidR="008F2E83" w:rsidRPr="00A252AC">
              <w:rPr>
                <w:spacing w:val="-2"/>
                <w:lang w:val="en-GB"/>
              </w:rPr>
              <w:t>(</w:t>
            </w:r>
            <w:r w:rsidR="002474FE" w:rsidRPr="00A252AC">
              <w:rPr>
                <w:spacing w:val="-2"/>
                <w:lang w:val="en-GB"/>
              </w:rPr>
              <w:t>to aid small businesses</w:t>
            </w:r>
            <w:r w:rsidR="008F2E83" w:rsidRPr="00A252AC">
              <w:rPr>
                <w:spacing w:val="-2"/>
                <w:lang w:val="en-GB"/>
              </w:rPr>
              <w:t>)</w:t>
            </w:r>
            <w:r w:rsidR="00E95882" w:rsidRPr="00A252AC">
              <w:rPr>
                <w:spacing w:val="-2"/>
                <w:lang w:val="en-GB"/>
              </w:rPr>
              <w:t xml:space="preserve"> still did influence the collection of ITNP adversely</w:t>
            </w:r>
            <w:r w:rsidR="008F2E83" w:rsidRPr="00A252AC">
              <w:rPr>
                <w:spacing w:val="-2"/>
                <w:lang w:val="en-GB"/>
              </w:rPr>
              <w:t xml:space="preserve">, </w:t>
            </w:r>
            <w:r w:rsidR="00097E48" w:rsidRPr="00A252AC">
              <w:rPr>
                <w:spacing w:val="-2"/>
                <w:lang w:val="en-GB"/>
              </w:rPr>
              <w:t>but to a lesser extent than last year</w:t>
            </w:r>
            <w:r w:rsidR="008F2E83" w:rsidRPr="00A252AC">
              <w:rPr>
                <w:spacing w:val="-2"/>
                <w:lang w:val="en-GB"/>
              </w:rPr>
              <w:t xml:space="preserve">. </w:t>
            </w:r>
            <w:r w:rsidR="00097E48" w:rsidRPr="00A252AC">
              <w:rPr>
                <w:spacing w:val="-2"/>
                <w:lang w:val="en-GB"/>
              </w:rPr>
              <w:t xml:space="preserve">In contrast other legislative amendments </w:t>
            </w:r>
            <w:r w:rsidR="008F2E83" w:rsidRPr="00A252AC">
              <w:rPr>
                <w:spacing w:val="-2"/>
                <w:lang w:val="en-GB"/>
              </w:rPr>
              <w:t>(</w:t>
            </w:r>
            <w:r w:rsidR="00E95882" w:rsidRPr="00A252AC">
              <w:rPr>
                <w:spacing w:val="-2"/>
                <w:lang w:val="en-GB"/>
              </w:rPr>
              <w:t xml:space="preserve">ongoing increasing of tax rebate per taxpayer or higher </w:t>
            </w:r>
            <w:r w:rsidR="003F79B6" w:rsidRPr="00A252AC">
              <w:rPr>
                <w:spacing w:val="-2"/>
                <w:lang w:val="en-GB"/>
              </w:rPr>
              <w:t>tax deduction on children</w:t>
            </w:r>
            <w:r w:rsidR="008F2E83" w:rsidRPr="00A252AC">
              <w:rPr>
                <w:spacing w:val="-2"/>
                <w:lang w:val="en-GB"/>
              </w:rPr>
              <w:t xml:space="preserve">) </w:t>
            </w:r>
            <w:r w:rsidR="00560825" w:rsidRPr="00A252AC">
              <w:rPr>
                <w:spacing w:val="-2"/>
                <w:lang w:val="en-GB"/>
              </w:rPr>
              <w:t xml:space="preserve">curbed the pace of </w:t>
            </w:r>
            <w:r w:rsidR="00880C61" w:rsidRPr="00A252AC">
              <w:rPr>
                <w:spacing w:val="-2"/>
                <w:lang w:val="en-GB"/>
              </w:rPr>
              <w:t xml:space="preserve">collection growth more intensively </w:t>
            </w:r>
            <w:r w:rsidR="00560825" w:rsidRPr="00A252AC">
              <w:rPr>
                <w:spacing w:val="-2"/>
                <w:lang w:val="en-GB"/>
              </w:rPr>
              <w:t>this year</w:t>
            </w:r>
            <w:r w:rsidR="008F2E83" w:rsidRPr="00A252AC">
              <w:rPr>
                <w:spacing w:val="-2"/>
                <w:lang w:val="en-GB"/>
              </w:rPr>
              <w:t xml:space="preserve">. </w:t>
            </w:r>
            <w:r w:rsidR="00880C61" w:rsidRPr="00A252AC">
              <w:rPr>
                <w:spacing w:val="-2"/>
                <w:lang w:val="en-GB"/>
              </w:rPr>
              <w:t>While the state-wide collection of the corporate tax overtook the pre-pandemic level already last year, collection of this year’s ITNP did not reach even the level from H</w:t>
            </w:r>
            <w:r w:rsidR="008F2E83" w:rsidRPr="00A252AC">
              <w:rPr>
                <w:spacing w:val="-2"/>
                <w:lang w:val="en-GB"/>
              </w:rPr>
              <w:t>1</w:t>
            </w:r>
            <w:r w:rsidR="00880C61" w:rsidRPr="00A252AC">
              <w:rPr>
                <w:spacing w:val="-2"/>
                <w:lang w:val="en-GB"/>
              </w:rPr>
              <w:t xml:space="preserve"> </w:t>
            </w:r>
            <w:r w:rsidR="008F2E83" w:rsidRPr="00A252AC">
              <w:rPr>
                <w:spacing w:val="-2"/>
                <w:lang w:val="en-GB"/>
              </w:rPr>
              <w:t xml:space="preserve">2017. </w:t>
            </w:r>
            <w:r w:rsidR="00880C61" w:rsidRPr="00A252AC">
              <w:rPr>
                <w:spacing w:val="-2"/>
                <w:lang w:val="en-GB"/>
              </w:rPr>
              <w:t xml:space="preserve">Last year’s abolition of the </w:t>
            </w:r>
            <w:r w:rsidR="00A252AC" w:rsidRPr="00A252AC">
              <w:rPr>
                <w:spacing w:val="-2"/>
                <w:lang w:val="en-GB"/>
              </w:rPr>
              <w:t>“</w:t>
            </w:r>
            <w:r w:rsidR="00880C61" w:rsidRPr="00A252AC">
              <w:rPr>
                <w:spacing w:val="-2"/>
                <w:lang w:val="en-GB"/>
              </w:rPr>
              <w:t>super gross wage</w:t>
            </w:r>
            <w:r w:rsidR="00A252AC" w:rsidRPr="00A252AC">
              <w:rPr>
                <w:spacing w:val="-2"/>
                <w:lang w:val="en-GB"/>
              </w:rPr>
              <w:t>”</w:t>
            </w:r>
            <w:r w:rsidR="00880C61" w:rsidRPr="00A252AC">
              <w:rPr>
                <w:spacing w:val="-2"/>
                <w:lang w:val="en-GB"/>
              </w:rPr>
              <w:t xml:space="preserve"> leading to a substantial lowering of the tax burden on labour played an essential role here. On the contrary the growth</w:t>
            </w:r>
            <w:r w:rsidR="005B62D1" w:rsidRPr="00A252AC">
              <w:rPr>
                <w:spacing w:val="-2"/>
                <w:lang w:val="en-GB"/>
              </w:rPr>
              <w:t xml:space="preserve"> of the collection of ITNP levied by deduction (from capital gains) accelerated and was not significantly affected by the pandemic situation. </w:t>
            </w:r>
          </w:p>
        </w:tc>
      </w:tr>
      <w:tr w:rsidR="008F2E83" w:rsidRPr="00A00994" w14:paraId="67584AEE" w14:textId="77777777" w:rsidTr="00EE762D">
        <w:trPr>
          <w:trHeight w:val="170"/>
        </w:trPr>
        <w:tc>
          <w:tcPr>
            <w:tcW w:w="1805" w:type="dxa"/>
            <w:vMerge w:val="restart"/>
            <w:shd w:val="clear" w:color="auto" w:fill="auto"/>
            <w:tcMar>
              <w:left w:w="0" w:type="dxa"/>
            </w:tcMar>
          </w:tcPr>
          <w:p w14:paraId="6B055A45" w14:textId="3D4928D9" w:rsidR="008F2E83" w:rsidRPr="00A00994" w:rsidRDefault="00880C61" w:rsidP="000C7A79">
            <w:pPr>
              <w:pStyle w:val="Marginlie"/>
              <w:rPr>
                <w:lang w:val="en-GB"/>
              </w:rPr>
            </w:pPr>
            <w:r w:rsidRPr="00A00994">
              <w:rPr>
                <w:lang w:val="en-GB"/>
              </w:rPr>
              <w:t xml:space="preserve"> </w:t>
            </w:r>
          </w:p>
        </w:tc>
        <w:tc>
          <w:tcPr>
            <w:tcW w:w="217" w:type="dxa"/>
            <w:vMerge w:val="restart"/>
            <w:shd w:val="clear" w:color="auto" w:fill="auto"/>
            <w:tcMar>
              <w:left w:w="0" w:type="dxa"/>
            </w:tcMar>
          </w:tcPr>
          <w:p w14:paraId="4764F629"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07446EB8" w14:textId="0B652FC2" w:rsidR="008F2E83" w:rsidRPr="00EE762D" w:rsidRDefault="009A0349" w:rsidP="0052792D">
            <w:pPr>
              <w:spacing w:after="0" w:line="240" w:lineRule="auto"/>
              <w:rPr>
                <w:rFonts w:cs="Arial"/>
                <w:bCs/>
                <w:lang w:val="en-GB"/>
              </w:rPr>
            </w:pPr>
            <w:r w:rsidRPr="00EE762D">
              <w:rPr>
                <w:rFonts w:cs="Arial"/>
                <w:b/>
                <w:bCs/>
                <w:color w:val="000000"/>
                <w:szCs w:val="20"/>
                <w:lang w:val="en-GB"/>
              </w:rPr>
              <w:t xml:space="preserve">Chart </w:t>
            </w:r>
            <w:r w:rsidR="0052792D" w:rsidRPr="00EE762D">
              <w:rPr>
                <w:rFonts w:cs="Arial"/>
                <w:b/>
                <w:bCs/>
                <w:color w:val="000000"/>
                <w:szCs w:val="20"/>
                <w:lang w:val="en-GB"/>
              </w:rPr>
              <w:t xml:space="preserve">17 </w:t>
            </w:r>
            <w:r w:rsidR="00F823E4" w:rsidRPr="00EE762D">
              <w:rPr>
                <w:rFonts w:cs="Arial"/>
                <w:b/>
                <w:bCs/>
                <w:color w:val="000000"/>
                <w:szCs w:val="20"/>
                <w:lang w:val="en-GB"/>
              </w:rPr>
              <w:t>Contribution of constituent revenues to the growth of the s</w:t>
            </w:r>
            <w:r w:rsidR="00F823E4" w:rsidRPr="00EE762D">
              <w:rPr>
                <w:rFonts w:cs="Arial"/>
                <w:b/>
                <w:bCs/>
                <w:lang w:val="en-GB"/>
              </w:rPr>
              <w:t xml:space="preserve">tate wide tax collection* </w:t>
            </w:r>
            <w:r w:rsidR="00F823E4" w:rsidRPr="00EE762D">
              <w:rPr>
                <w:rFonts w:cs="Arial"/>
                <w:bCs/>
                <w:lang w:val="en-GB"/>
              </w:rPr>
              <w:t>(year-on-year in p. p.</w:t>
            </w:r>
            <w:r w:rsidR="00F823E4" w:rsidRPr="00EE762D">
              <w:rPr>
                <w:bCs/>
                <w:lang w:val="en-GB"/>
              </w:rPr>
              <w:t xml:space="preserve">) </w:t>
            </w:r>
            <w:r w:rsidR="00F823E4" w:rsidRPr="00EE762D">
              <w:rPr>
                <w:rFonts w:cs="Arial"/>
                <w:b/>
                <w:bCs/>
                <w:lang w:val="en-GB"/>
              </w:rPr>
              <w:t xml:space="preserve">and state budget balance within H1 </w:t>
            </w:r>
            <w:r w:rsidR="00F823E4" w:rsidRPr="00EE762D">
              <w:rPr>
                <w:rFonts w:cs="Arial"/>
                <w:bCs/>
                <w:lang w:val="en-GB"/>
              </w:rPr>
              <w:t xml:space="preserve">(in CZK bn, right axis) </w:t>
            </w:r>
          </w:p>
        </w:tc>
      </w:tr>
      <w:tr w:rsidR="008F2E83" w:rsidRPr="00A00994" w14:paraId="6F669898" w14:textId="77777777" w:rsidTr="00EE762D">
        <w:tblPrEx>
          <w:tblCellMar>
            <w:left w:w="70" w:type="dxa"/>
            <w:right w:w="70" w:type="dxa"/>
          </w:tblCellMar>
        </w:tblPrEx>
        <w:trPr>
          <w:trHeight w:val="170"/>
        </w:trPr>
        <w:tc>
          <w:tcPr>
            <w:tcW w:w="1805" w:type="dxa"/>
            <w:vMerge/>
            <w:shd w:val="clear" w:color="auto" w:fill="auto"/>
          </w:tcPr>
          <w:p w14:paraId="413F6E3E" w14:textId="77777777" w:rsidR="008F2E83" w:rsidRPr="00A00994" w:rsidRDefault="008F2E83" w:rsidP="000C7A79">
            <w:pPr>
              <w:pStyle w:val="Marginlie"/>
              <w:rPr>
                <w:lang w:val="en-GB"/>
              </w:rPr>
            </w:pPr>
          </w:p>
        </w:tc>
        <w:tc>
          <w:tcPr>
            <w:tcW w:w="217" w:type="dxa"/>
            <w:vMerge/>
            <w:shd w:val="clear" w:color="auto" w:fill="auto"/>
          </w:tcPr>
          <w:p w14:paraId="39751BF0" w14:textId="77777777" w:rsidR="008F2E83" w:rsidRPr="00A00994" w:rsidRDefault="008F2E83" w:rsidP="000C7A79">
            <w:pPr>
              <w:pStyle w:val="Textpoznpodarou"/>
              <w:jc w:val="both"/>
              <w:rPr>
                <w:spacing w:val="-4"/>
                <w:lang w:val="en-GB"/>
              </w:rPr>
            </w:pPr>
          </w:p>
        </w:tc>
        <w:tc>
          <w:tcPr>
            <w:tcW w:w="7647" w:type="dxa"/>
            <w:shd w:val="clear" w:color="auto" w:fill="auto"/>
          </w:tcPr>
          <w:p w14:paraId="5CBD90BD" w14:textId="6A8CFCA3" w:rsidR="008F2E83" w:rsidRPr="00A00994" w:rsidRDefault="00EE762D" w:rsidP="000C7A79">
            <w:pPr>
              <w:spacing w:after="0"/>
              <w:rPr>
                <w:spacing w:val="-6"/>
                <w:lang w:val="en-GB"/>
              </w:rPr>
            </w:pPr>
            <w:r>
              <w:rPr>
                <w:noProof/>
              </w:rPr>
              <w:drawing>
                <wp:inline distT="0" distB="0" distL="0" distR="0" wp14:anchorId="3DC4E63C" wp14:editId="647E881E">
                  <wp:extent cx="4735195" cy="3434963"/>
                  <wp:effectExtent l="0" t="0" r="825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8F2E83" w:rsidRPr="00A00994" w14:paraId="42F95876" w14:textId="77777777" w:rsidTr="00EE762D">
        <w:trPr>
          <w:trHeight w:val="170"/>
        </w:trPr>
        <w:tc>
          <w:tcPr>
            <w:tcW w:w="1805" w:type="dxa"/>
            <w:vMerge/>
            <w:shd w:val="clear" w:color="auto" w:fill="auto"/>
            <w:tcMar>
              <w:left w:w="0" w:type="dxa"/>
            </w:tcMar>
          </w:tcPr>
          <w:p w14:paraId="4DF8FBAD" w14:textId="77777777" w:rsidR="008F2E83" w:rsidRPr="00A00994" w:rsidRDefault="008F2E83" w:rsidP="000C7A79">
            <w:pPr>
              <w:pStyle w:val="Marginlie"/>
              <w:rPr>
                <w:lang w:val="en-GB"/>
              </w:rPr>
            </w:pPr>
          </w:p>
        </w:tc>
        <w:tc>
          <w:tcPr>
            <w:tcW w:w="217" w:type="dxa"/>
            <w:vMerge/>
            <w:shd w:val="clear" w:color="auto" w:fill="auto"/>
            <w:tcMar>
              <w:left w:w="0" w:type="dxa"/>
            </w:tcMar>
          </w:tcPr>
          <w:p w14:paraId="63DBEA72"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06BE0603" w14:textId="1D5BD9F4" w:rsidR="00F823E4" w:rsidRPr="00EE762D" w:rsidRDefault="008F2E83" w:rsidP="00A252AC">
            <w:pPr>
              <w:tabs>
                <w:tab w:val="right" w:pos="7683"/>
              </w:tabs>
              <w:spacing w:after="0" w:line="240" w:lineRule="auto"/>
              <w:jc w:val="left"/>
              <w:rPr>
                <w:spacing w:val="-2"/>
                <w:sz w:val="14"/>
                <w:szCs w:val="14"/>
                <w:lang w:val="en-GB"/>
              </w:rPr>
            </w:pPr>
            <w:r w:rsidRPr="00A00994">
              <w:rPr>
                <w:spacing w:val="-2"/>
                <w:sz w:val="14"/>
                <w:szCs w:val="14"/>
                <w:lang w:val="en-GB"/>
              </w:rPr>
              <w:t xml:space="preserve">* </w:t>
            </w:r>
            <w:r w:rsidR="00F823E4" w:rsidRPr="00A00994">
              <w:rPr>
                <w:spacing w:val="-2"/>
                <w:sz w:val="14"/>
                <w:szCs w:val="14"/>
                <w:lang w:val="en-GB"/>
              </w:rPr>
              <w:t>Includes tax income without the social security insurance</w:t>
            </w:r>
            <w:r w:rsidRPr="00A00994">
              <w:rPr>
                <w:spacing w:val="-2"/>
                <w:sz w:val="14"/>
                <w:szCs w:val="14"/>
                <w:lang w:val="en-GB"/>
              </w:rPr>
              <w:t>.</w:t>
            </w:r>
            <w:r w:rsidRPr="00A00994">
              <w:rPr>
                <w:spacing w:val="-2"/>
                <w:sz w:val="14"/>
                <w:szCs w:val="14"/>
                <w:lang w:val="en-GB"/>
              </w:rPr>
              <w:tab/>
            </w:r>
            <w:r w:rsidR="009A0349" w:rsidRPr="00A00994">
              <w:rPr>
                <w:spacing w:val="-2"/>
                <w:sz w:val="14"/>
                <w:szCs w:val="14"/>
                <w:lang w:val="en-GB"/>
              </w:rPr>
              <w:t>Source</w:t>
            </w:r>
            <w:r w:rsidRPr="00A00994">
              <w:rPr>
                <w:spacing w:val="-2"/>
                <w:sz w:val="14"/>
                <w:szCs w:val="14"/>
                <w:lang w:val="en-GB"/>
              </w:rPr>
              <w:t>: MF </w:t>
            </w:r>
            <w:r w:rsidR="009A0349" w:rsidRPr="00A00994">
              <w:rPr>
                <w:spacing w:val="-2"/>
                <w:sz w:val="14"/>
                <w:szCs w:val="14"/>
                <w:lang w:val="en-GB"/>
              </w:rPr>
              <w:t>C</w:t>
            </w:r>
            <w:r w:rsidRPr="00A00994">
              <w:rPr>
                <w:spacing w:val="-2"/>
                <w:sz w:val="14"/>
                <w:szCs w:val="14"/>
                <w:lang w:val="en-GB"/>
              </w:rPr>
              <w:t>R</w:t>
            </w:r>
          </w:p>
        </w:tc>
      </w:tr>
      <w:tr w:rsidR="008F2E83" w:rsidRPr="00A00994" w14:paraId="1CE13C03" w14:textId="77777777" w:rsidTr="00EE762D">
        <w:trPr>
          <w:trHeight w:val="145"/>
        </w:trPr>
        <w:tc>
          <w:tcPr>
            <w:tcW w:w="1805" w:type="dxa"/>
            <w:shd w:val="clear" w:color="auto" w:fill="auto"/>
            <w:tcMar>
              <w:left w:w="0" w:type="dxa"/>
            </w:tcMar>
          </w:tcPr>
          <w:p w14:paraId="66E3BC44" w14:textId="0B97219A" w:rsidR="008F2E83" w:rsidRPr="00A00994" w:rsidRDefault="003B1C8D" w:rsidP="000C7A79">
            <w:pPr>
              <w:pStyle w:val="Marginlie"/>
              <w:rPr>
                <w:lang w:val="en-GB"/>
              </w:rPr>
            </w:pPr>
            <w:r w:rsidRPr="00A00994">
              <w:rPr>
                <w:lang w:val="en-GB"/>
              </w:rPr>
              <w:lastRenderedPageBreak/>
              <w:t xml:space="preserve">Total SB outlays </w:t>
            </w:r>
            <w:r w:rsidR="007A7B13" w:rsidRPr="00A00994">
              <w:rPr>
                <w:lang w:val="en-GB"/>
              </w:rPr>
              <w:t>grew substantially in Q</w:t>
            </w:r>
            <w:r w:rsidR="008F2E83" w:rsidRPr="00A00994">
              <w:rPr>
                <w:lang w:val="en-GB"/>
              </w:rPr>
              <w:t>2</w:t>
            </w:r>
            <w:r w:rsidR="007A7B13" w:rsidRPr="00A00994">
              <w:rPr>
                <w:lang w:val="en-GB"/>
              </w:rPr>
              <w:t xml:space="preserve"> </w:t>
            </w:r>
            <w:r w:rsidR="008F2E83" w:rsidRPr="00A00994">
              <w:rPr>
                <w:lang w:val="en-GB"/>
              </w:rPr>
              <w:t>2022</w:t>
            </w:r>
            <w:r w:rsidR="007A7B13" w:rsidRPr="00A00994">
              <w:rPr>
                <w:lang w:val="en-GB"/>
              </w:rPr>
              <w:t xml:space="preserve"> compared to the beginning of the year. </w:t>
            </w:r>
            <w:r w:rsidR="004B18DF" w:rsidRPr="00A00994">
              <w:rPr>
                <w:lang w:val="en-GB"/>
              </w:rPr>
              <w:t>Termination of the interim budget as well as the need for exceptional expenditures related to high inflation and also the war in Ukraine had an effect</w:t>
            </w:r>
            <w:r w:rsidR="008F2E83" w:rsidRPr="00A00994">
              <w:rPr>
                <w:lang w:val="en-GB"/>
              </w:rPr>
              <w:t>.</w:t>
            </w:r>
          </w:p>
        </w:tc>
        <w:tc>
          <w:tcPr>
            <w:tcW w:w="217" w:type="dxa"/>
            <w:shd w:val="clear" w:color="auto" w:fill="auto"/>
            <w:tcMar>
              <w:left w:w="0" w:type="dxa"/>
            </w:tcMar>
          </w:tcPr>
          <w:p w14:paraId="49BA72A4"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10CCD3AD" w14:textId="3D5177F7" w:rsidR="008F2E83" w:rsidRPr="00A00994" w:rsidRDefault="003B1C8D" w:rsidP="000C7A79">
            <w:pPr>
              <w:spacing w:after="200"/>
              <w:rPr>
                <w:color w:val="0D0D0D" w:themeColor="text1" w:themeTint="F2"/>
                <w:spacing w:val="-5"/>
                <w:lang w:val="en-GB"/>
              </w:rPr>
            </w:pPr>
            <w:r w:rsidRPr="00A00994">
              <w:rPr>
                <w:color w:val="0D0D0D" w:themeColor="text1" w:themeTint="F2"/>
                <w:spacing w:val="-5"/>
                <w:lang w:val="en-GB"/>
              </w:rPr>
              <w:t xml:space="preserve">Total SB outlays </w:t>
            </w:r>
            <w:r w:rsidR="007A7B13" w:rsidRPr="00A00994">
              <w:rPr>
                <w:color w:val="0D0D0D" w:themeColor="text1" w:themeTint="F2"/>
                <w:spacing w:val="-5"/>
                <w:lang w:val="en-GB"/>
              </w:rPr>
              <w:t xml:space="preserve">amounted to </w:t>
            </w:r>
            <w:r w:rsidR="00A5661B" w:rsidRPr="00A00994">
              <w:rPr>
                <w:color w:val="0D0D0D" w:themeColor="text1" w:themeTint="F2"/>
                <w:spacing w:val="-5"/>
                <w:lang w:val="en-GB"/>
              </w:rPr>
              <w:t>9</w:t>
            </w:r>
            <w:r w:rsidR="008F2E83" w:rsidRPr="00A00994">
              <w:rPr>
                <w:color w:val="0D0D0D" w:themeColor="text1" w:themeTint="F2"/>
                <w:spacing w:val="-5"/>
                <w:lang w:val="en-GB"/>
              </w:rPr>
              <w:t>7</w:t>
            </w:r>
            <w:r w:rsidR="00A5661B" w:rsidRPr="00A00994">
              <w:rPr>
                <w:color w:val="0D0D0D" w:themeColor="text1" w:themeTint="F2"/>
                <w:spacing w:val="-5"/>
                <w:lang w:val="en-GB"/>
              </w:rPr>
              <w:t>0</w:t>
            </w:r>
            <w:r w:rsidR="008F2E83" w:rsidRPr="00A00994">
              <w:rPr>
                <w:color w:val="0D0D0D" w:themeColor="text1" w:themeTint="F2"/>
                <w:spacing w:val="-5"/>
                <w:lang w:val="en-GB"/>
              </w:rPr>
              <w:t xml:space="preserve"> </w:t>
            </w:r>
            <w:r w:rsidR="007A7B13" w:rsidRPr="00A00994">
              <w:rPr>
                <w:color w:val="0D0D0D" w:themeColor="text1" w:themeTint="F2"/>
                <w:spacing w:val="-5"/>
                <w:lang w:val="en-GB"/>
              </w:rPr>
              <w:t>CZK bn for H1 this year an</w:t>
            </w:r>
            <w:r w:rsidRPr="00A00994">
              <w:rPr>
                <w:color w:val="0D0D0D" w:themeColor="text1" w:themeTint="F2"/>
                <w:spacing w:val="-5"/>
                <w:lang w:val="en-GB"/>
              </w:rPr>
              <w:t xml:space="preserve">d mildly dropped year-on-year </w:t>
            </w:r>
            <w:r w:rsidR="008F2E83" w:rsidRPr="00A00994">
              <w:rPr>
                <w:color w:val="0D0D0D" w:themeColor="text1" w:themeTint="F2"/>
                <w:spacing w:val="-5"/>
                <w:lang w:val="en-GB"/>
              </w:rPr>
              <w:t>(</w:t>
            </w:r>
            <w:r w:rsidRPr="00A00994">
              <w:rPr>
                <w:color w:val="0D0D0D" w:themeColor="text1" w:themeTint="F2"/>
                <w:spacing w:val="-5"/>
                <w:lang w:val="en-GB"/>
              </w:rPr>
              <w:t xml:space="preserve">by </w:t>
            </w:r>
            <w:r w:rsidR="008F2E83" w:rsidRPr="00A00994">
              <w:rPr>
                <w:color w:val="0D0D0D" w:themeColor="text1" w:themeTint="F2"/>
                <w:spacing w:val="-5"/>
                <w:lang w:val="en-GB"/>
              </w:rPr>
              <w:t>0</w:t>
            </w:r>
            <w:r w:rsidRPr="00A00994">
              <w:rPr>
                <w:color w:val="0D0D0D" w:themeColor="text1" w:themeTint="F2"/>
                <w:spacing w:val="-5"/>
                <w:lang w:val="en-GB"/>
              </w:rPr>
              <w:t>.</w:t>
            </w:r>
            <w:r w:rsidR="008F2E83" w:rsidRPr="00A00994">
              <w:rPr>
                <w:color w:val="0D0D0D" w:themeColor="text1" w:themeTint="F2"/>
                <w:spacing w:val="-5"/>
                <w:lang w:val="en-GB"/>
              </w:rPr>
              <w:t>8%),</w:t>
            </w:r>
            <w:r w:rsidRPr="00A00994">
              <w:rPr>
                <w:color w:val="0D0D0D" w:themeColor="text1" w:themeTint="F2"/>
                <w:spacing w:val="-5"/>
                <w:lang w:val="en-GB"/>
              </w:rPr>
              <w:t xml:space="preserve"> solely due to the effect of current expenditures. Their development </w:t>
            </w:r>
            <w:r w:rsidR="007A7B13" w:rsidRPr="00A00994">
              <w:rPr>
                <w:color w:val="0D0D0D" w:themeColor="text1" w:themeTint="F2"/>
                <w:spacing w:val="-5"/>
                <w:lang w:val="en-GB"/>
              </w:rPr>
              <w:t>however was more uneven during this year so far</w:t>
            </w:r>
            <w:r w:rsidR="008F2E83" w:rsidRPr="00A00994">
              <w:rPr>
                <w:color w:val="0D0D0D" w:themeColor="text1" w:themeTint="F2"/>
                <w:spacing w:val="-5"/>
                <w:lang w:val="en-GB"/>
              </w:rPr>
              <w:t xml:space="preserve">. </w:t>
            </w:r>
            <w:r w:rsidR="007A7B13" w:rsidRPr="00A00994">
              <w:rPr>
                <w:color w:val="0D0D0D" w:themeColor="text1" w:themeTint="F2"/>
                <w:spacing w:val="-5"/>
                <w:lang w:val="en-GB"/>
              </w:rPr>
              <w:t xml:space="preserve">If </w:t>
            </w:r>
            <w:r w:rsidR="00EC0749" w:rsidRPr="00A00994">
              <w:rPr>
                <w:color w:val="0D0D0D" w:themeColor="text1" w:themeTint="F2"/>
                <w:spacing w:val="-5"/>
                <w:lang w:val="en-GB"/>
              </w:rPr>
              <w:t>the regime of the interim budget</w:t>
            </w:r>
            <w:r w:rsidR="008F2E83" w:rsidRPr="00A00994">
              <w:rPr>
                <w:rStyle w:val="Znakapoznpodarou"/>
                <w:color w:val="0D0D0D" w:themeColor="text1" w:themeTint="F2"/>
                <w:spacing w:val="-5"/>
                <w:lang w:val="en-GB"/>
              </w:rPr>
              <w:footnoteReference w:id="82"/>
            </w:r>
            <w:r w:rsidR="00EC0749" w:rsidRPr="00A00994">
              <w:rPr>
                <w:color w:val="0D0D0D" w:themeColor="text1" w:themeTint="F2"/>
                <w:spacing w:val="-5"/>
                <w:lang w:val="en-GB"/>
              </w:rPr>
              <w:t xml:space="preserve"> limited the expenditures</w:t>
            </w:r>
            <w:r w:rsidR="007A7B13" w:rsidRPr="00A00994">
              <w:rPr>
                <w:color w:val="0D0D0D" w:themeColor="text1" w:themeTint="F2"/>
                <w:spacing w:val="-5"/>
                <w:lang w:val="en-GB"/>
              </w:rPr>
              <w:t xml:space="preserve"> in Q1</w:t>
            </w:r>
            <w:r w:rsidR="008F2E83" w:rsidRPr="00A00994">
              <w:rPr>
                <w:color w:val="0D0D0D" w:themeColor="text1" w:themeTint="F2"/>
                <w:spacing w:val="-5"/>
                <w:lang w:val="en-GB"/>
              </w:rPr>
              <w:t xml:space="preserve">, </w:t>
            </w:r>
            <w:r w:rsidR="00EC0749" w:rsidRPr="00A00994">
              <w:rPr>
                <w:color w:val="0D0D0D" w:themeColor="text1" w:themeTint="F2"/>
                <w:spacing w:val="-5"/>
                <w:lang w:val="en-GB"/>
              </w:rPr>
              <w:t>they were fundamentally influenced by the impacts of the racing inflation, which</w:t>
            </w:r>
            <w:r w:rsidR="007C289D" w:rsidRPr="00A00994">
              <w:rPr>
                <w:color w:val="0D0D0D" w:themeColor="text1" w:themeTint="F2"/>
                <w:spacing w:val="-5"/>
                <w:lang w:val="en-GB"/>
              </w:rPr>
              <w:t xml:space="preserve"> resulted in the need for the pension adjustment as well as other social benefits i</w:t>
            </w:r>
            <w:r w:rsidR="007A7B13" w:rsidRPr="00A00994">
              <w:rPr>
                <w:color w:val="0D0D0D" w:themeColor="text1" w:themeTint="F2"/>
                <w:spacing w:val="-5"/>
                <w:lang w:val="en-GB"/>
              </w:rPr>
              <w:t>n the subsequent period</w:t>
            </w:r>
            <w:r w:rsidR="008F2E83" w:rsidRPr="00A00994">
              <w:rPr>
                <w:color w:val="0D0D0D" w:themeColor="text1" w:themeTint="F2"/>
                <w:spacing w:val="-5"/>
                <w:lang w:val="en-GB"/>
              </w:rPr>
              <w:t>.</w:t>
            </w:r>
            <w:r w:rsidR="007A7B13" w:rsidRPr="00A00994">
              <w:rPr>
                <w:color w:val="0D0D0D" w:themeColor="text1" w:themeTint="F2"/>
                <w:spacing w:val="-5"/>
                <w:lang w:val="en-GB"/>
              </w:rPr>
              <w:t xml:space="preserve"> In addition, the need for </w:t>
            </w:r>
            <w:r w:rsidR="007C289D" w:rsidRPr="00A00994">
              <w:rPr>
                <w:color w:val="0D0D0D" w:themeColor="text1" w:themeTint="F2"/>
                <w:spacing w:val="-5"/>
                <w:lang w:val="en-GB"/>
              </w:rPr>
              <w:t>extraordinary</w:t>
            </w:r>
            <w:r w:rsidR="007A7B13" w:rsidRPr="00A00994">
              <w:rPr>
                <w:color w:val="0D0D0D" w:themeColor="text1" w:themeTint="F2"/>
                <w:spacing w:val="-5"/>
                <w:lang w:val="en-GB"/>
              </w:rPr>
              <w:t xml:space="preserve"> expenditures arose in connection to the war conflict in Ukraine </w:t>
            </w:r>
            <w:r w:rsidR="008F2E83" w:rsidRPr="00A00994">
              <w:rPr>
                <w:color w:val="0D0D0D" w:themeColor="text1" w:themeTint="F2"/>
                <w:spacing w:val="-5"/>
                <w:lang w:val="en-GB"/>
              </w:rPr>
              <w:t>(</w:t>
            </w:r>
            <w:r w:rsidR="007C289D" w:rsidRPr="00A00994">
              <w:rPr>
                <w:color w:val="0D0D0D" w:themeColor="text1" w:themeTint="F2"/>
                <w:spacing w:val="-5"/>
                <w:lang w:val="en-GB"/>
              </w:rPr>
              <w:t>foreign aid, expenditures on the integration of refugees in the CR, crisis management in the area of state material reserves</w:t>
            </w:r>
            <w:r w:rsidR="008F2E83" w:rsidRPr="00A00994">
              <w:rPr>
                <w:color w:val="0D0D0D" w:themeColor="text1" w:themeTint="F2"/>
                <w:spacing w:val="-5"/>
                <w:lang w:val="en-GB"/>
              </w:rPr>
              <w:t>).</w:t>
            </w:r>
            <w:r w:rsidR="007C289D" w:rsidRPr="00A00994">
              <w:rPr>
                <w:color w:val="0D0D0D" w:themeColor="text1" w:themeTint="F2"/>
                <w:spacing w:val="-5"/>
                <w:lang w:val="en-GB"/>
              </w:rPr>
              <w:t xml:space="preserve"> In the opposite direction went the further reduction of the financial assistance </w:t>
            </w:r>
            <w:r w:rsidR="004B18DF" w:rsidRPr="00A00994">
              <w:rPr>
                <w:color w:val="0D0D0D" w:themeColor="text1" w:themeTint="F2"/>
                <w:spacing w:val="-5"/>
                <w:lang w:val="en-GB"/>
              </w:rPr>
              <w:t>r</w:t>
            </w:r>
            <w:r w:rsidR="007C289D" w:rsidRPr="00A00994">
              <w:rPr>
                <w:color w:val="0D0D0D" w:themeColor="text1" w:themeTint="F2"/>
                <w:spacing w:val="-5"/>
                <w:lang w:val="en-GB"/>
              </w:rPr>
              <w:t>elated to the pandemics</w:t>
            </w:r>
            <w:r w:rsidR="008F2E83" w:rsidRPr="00A00994">
              <w:rPr>
                <w:rStyle w:val="Znakapoznpodarou"/>
                <w:color w:val="0D0D0D" w:themeColor="text1" w:themeTint="F2"/>
                <w:spacing w:val="-5"/>
                <w:lang w:val="en-GB"/>
              </w:rPr>
              <w:footnoteReference w:id="83"/>
            </w:r>
            <w:r w:rsidR="008F2E83" w:rsidRPr="00A00994">
              <w:rPr>
                <w:color w:val="0D0D0D" w:themeColor="text1" w:themeTint="F2"/>
                <w:spacing w:val="-5"/>
                <w:lang w:val="en-GB"/>
              </w:rPr>
              <w:t>.</w:t>
            </w:r>
            <w:r w:rsidR="007C289D" w:rsidRPr="00A00994">
              <w:rPr>
                <w:color w:val="0D0D0D" w:themeColor="text1" w:themeTint="F2"/>
                <w:spacing w:val="-5"/>
                <w:lang w:val="en-GB"/>
              </w:rPr>
              <w:t xml:space="preserve"> The total size of the SB current expenditures thus increased by </w:t>
            </w:r>
            <w:r w:rsidR="004B18DF" w:rsidRPr="00A00994">
              <w:rPr>
                <w:color w:val="0D0D0D" w:themeColor="text1" w:themeTint="F2"/>
                <w:spacing w:val="-5"/>
                <w:lang w:val="en-GB"/>
              </w:rPr>
              <w:t xml:space="preserve">5.4% year-on-year in Q2 2022 itself, while it plummeted by </w:t>
            </w:r>
            <w:r w:rsidR="008F2E83" w:rsidRPr="00A00994">
              <w:rPr>
                <w:color w:val="0D0D0D" w:themeColor="text1" w:themeTint="F2"/>
                <w:spacing w:val="-5"/>
                <w:lang w:val="en-GB"/>
              </w:rPr>
              <w:t>9</w:t>
            </w:r>
            <w:r w:rsidR="004B18DF" w:rsidRPr="00A00994">
              <w:rPr>
                <w:color w:val="0D0D0D" w:themeColor="text1" w:themeTint="F2"/>
                <w:spacing w:val="-5"/>
                <w:lang w:val="en-GB"/>
              </w:rPr>
              <w:t>.</w:t>
            </w:r>
            <w:r w:rsidR="008F2E83" w:rsidRPr="00A00994">
              <w:rPr>
                <w:color w:val="0D0D0D" w:themeColor="text1" w:themeTint="F2"/>
                <w:spacing w:val="-5"/>
                <w:lang w:val="en-GB"/>
              </w:rPr>
              <w:t>5%</w:t>
            </w:r>
            <w:r w:rsidR="004B18DF" w:rsidRPr="00A00994">
              <w:rPr>
                <w:color w:val="0D0D0D" w:themeColor="text1" w:themeTint="F2"/>
                <w:spacing w:val="-5"/>
                <w:lang w:val="en-GB"/>
              </w:rPr>
              <w:t xml:space="preserve"> in the previous quarter</w:t>
            </w:r>
            <w:r w:rsidR="008F2E83" w:rsidRPr="00A00994">
              <w:rPr>
                <w:color w:val="0D0D0D" w:themeColor="text1" w:themeTint="F2"/>
                <w:spacing w:val="-5"/>
                <w:lang w:val="en-GB"/>
              </w:rPr>
              <w:t>.</w:t>
            </w:r>
          </w:p>
        </w:tc>
      </w:tr>
      <w:tr w:rsidR="008F2E83" w:rsidRPr="00A00994" w14:paraId="26FF80E2" w14:textId="77777777" w:rsidTr="00EE762D">
        <w:trPr>
          <w:trHeight w:val="145"/>
        </w:trPr>
        <w:tc>
          <w:tcPr>
            <w:tcW w:w="1805" w:type="dxa"/>
            <w:shd w:val="clear" w:color="auto" w:fill="auto"/>
            <w:tcMar>
              <w:left w:w="0" w:type="dxa"/>
            </w:tcMar>
          </w:tcPr>
          <w:p w14:paraId="07C8005B" w14:textId="5C9302F5" w:rsidR="008F2E83" w:rsidRPr="00A00994" w:rsidRDefault="00076CCB" w:rsidP="000C7A79">
            <w:pPr>
              <w:pStyle w:val="Marginlie"/>
              <w:rPr>
                <w:lang w:val="en-GB"/>
              </w:rPr>
            </w:pPr>
            <w:r w:rsidRPr="00A00994">
              <w:rPr>
                <w:lang w:val="en-GB"/>
              </w:rPr>
              <w:t>Volume of current transfe</w:t>
            </w:r>
            <w:r w:rsidR="00AA0A80">
              <w:rPr>
                <w:lang w:val="en-GB"/>
              </w:rPr>
              <w:t xml:space="preserve">rs to business entities </w:t>
            </w:r>
            <w:r w:rsidRPr="00A00994">
              <w:rPr>
                <w:lang w:val="en-GB"/>
              </w:rPr>
              <w:t xml:space="preserve">returned to the level from year </w:t>
            </w:r>
            <w:r w:rsidR="008F2E83" w:rsidRPr="00A00994">
              <w:rPr>
                <w:lang w:val="en-GB"/>
              </w:rPr>
              <w:t>2019.</w:t>
            </w:r>
          </w:p>
          <w:p w14:paraId="1EC25E8E" w14:textId="77777777" w:rsidR="008F2E83" w:rsidRPr="00A00994" w:rsidRDefault="008F2E83" w:rsidP="000C7A79">
            <w:pPr>
              <w:pStyle w:val="Marginlie"/>
              <w:rPr>
                <w:lang w:val="en-GB"/>
              </w:rPr>
            </w:pPr>
          </w:p>
          <w:p w14:paraId="21B2299B" w14:textId="77777777" w:rsidR="008F2E83" w:rsidRPr="00A00994" w:rsidRDefault="008F2E83" w:rsidP="000C7A79">
            <w:pPr>
              <w:pStyle w:val="Marginlie"/>
              <w:rPr>
                <w:lang w:val="en-GB"/>
              </w:rPr>
            </w:pPr>
          </w:p>
          <w:p w14:paraId="4AF2E5BE" w14:textId="77777777" w:rsidR="008F2E83" w:rsidRPr="00A00994" w:rsidRDefault="008F2E83" w:rsidP="000C7A79">
            <w:pPr>
              <w:pStyle w:val="Marginlie"/>
              <w:rPr>
                <w:lang w:val="en-GB"/>
              </w:rPr>
            </w:pPr>
          </w:p>
          <w:p w14:paraId="636479F8" w14:textId="77777777" w:rsidR="008F2E83" w:rsidRPr="00A00994" w:rsidRDefault="008F2E83" w:rsidP="000C7A79">
            <w:pPr>
              <w:pStyle w:val="Marginlie"/>
              <w:rPr>
                <w:lang w:val="en-GB"/>
              </w:rPr>
            </w:pPr>
          </w:p>
          <w:p w14:paraId="20A81808" w14:textId="77777777" w:rsidR="008F2E83" w:rsidRPr="00A00994" w:rsidRDefault="008F2E83" w:rsidP="000C7A79">
            <w:pPr>
              <w:pStyle w:val="Marginlie"/>
              <w:rPr>
                <w:lang w:val="en-GB"/>
              </w:rPr>
            </w:pPr>
          </w:p>
          <w:p w14:paraId="6BAEA4D3" w14:textId="77777777" w:rsidR="008F2E83" w:rsidRPr="00A00994" w:rsidRDefault="008F2E83" w:rsidP="000C7A79">
            <w:pPr>
              <w:pStyle w:val="Marginlie"/>
              <w:rPr>
                <w:lang w:val="en-GB"/>
              </w:rPr>
            </w:pPr>
          </w:p>
          <w:p w14:paraId="25F61C27" w14:textId="77777777" w:rsidR="008F2E83" w:rsidRPr="00A00994" w:rsidRDefault="008F2E83" w:rsidP="000C7A79">
            <w:pPr>
              <w:pStyle w:val="Marginlie"/>
              <w:rPr>
                <w:lang w:val="en-GB"/>
              </w:rPr>
            </w:pPr>
          </w:p>
          <w:p w14:paraId="6DA2D46A" w14:textId="287FAF95" w:rsidR="008F2E83" w:rsidRPr="00A00994" w:rsidRDefault="0097737B" w:rsidP="000C7A79">
            <w:pPr>
              <w:pStyle w:val="Marginlie"/>
              <w:rPr>
                <w:lang w:val="en-GB"/>
              </w:rPr>
            </w:pPr>
            <w:r w:rsidRPr="00A00994">
              <w:rPr>
                <w:lang w:val="en-GB"/>
              </w:rPr>
              <w:t>More expenditures were directed to the non-investment purchases, t</w:t>
            </w:r>
            <w:r w:rsidR="004B18DF" w:rsidRPr="00A00994">
              <w:rPr>
                <w:lang w:val="en-GB"/>
              </w:rPr>
              <w:t>he cost of servicing the growing state debt</w:t>
            </w:r>
            <w:r w:rsidRPr="00A00994">
              <w:rPr>
                <w:lang w:val="en-GB"/>
              </w:rPr>
              <w:t xml:space="preserve"> was however also rising. </w:t>
            </w:r>
          </w:p>
          <w:p w14:paraId="1ABBD4F4" w14:textId="77777777" w:rsidR="008F2E83" w:rsidRPr="00A00994" w:rsidRDefault="008F2E83" w:rsidP="000C7A79">
            <w:pPr>
              <w:pStyle w:val="Marginlie"/>
              <w:rPr>
                <w:lang w:val="en-GB"/>
              </w:rPr>
            </w:pPr>
          </w:p>
        </w:tc>
        <w:tc>
          <w:tcPr>
            <w:tcW w:w="217" w:type="dxa"/>
            <w:shd w:val="clear" w:color="auto" w:fill="auto"/>
            <w:tcMar>
              <w:left w:w="0" w:type="dxa"/>
            </w:tcMar>
          </w:tcPr>
          <w:p w14:paraId="32E56497"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2550C76E" w14:textId="332DEF4D" w:rsidR="008F2E83" w:rsidRPr="00A00994" w:rsidRDefault="0077190D" w:rsidP="003C7D39">
            <w:pPr>
              <w:spacing w:after="210"/>
              <w:rPr>
                <w:color w:val="0D0D0D" w:themeColor="text1" w:themeTint="F2"/>
                <w:spacing w:val="-5"/>
                <w:lang w:val="en-GB"/>
              </w:rPr>
            </w:pPr>
            <w:r w:rsidRPr="00A00994">
              <w:rPr>
                <w:color w:val="0D0D0D" w:themeColor="text1" w:themeTint="F2"/>
                <w:spacing w:val="-5"/>
                <w:lang w:val="en-GB"/>
              </w:rPr>
              <w:t xml:space="preserve">The development of non-investment transfers to business entities, </w:t>
            </w:r>
            <w:r w:rsidR="0097737B" w:rsidRPr="00A00994">
              <w:rPr>
                <w:color w:val="0D0D0D" w:themeColor="text1" w:themeTint="F2"/>
                <w:spacing w:val="-5"/>
                <w:lang w:val="en-GB"/>
              </w:rPr>
              <w:t xml:space="preserve">which attained only </w:t>
            </w:r>
            <w:r w:rsidR="008F2E83" w:rsidRPr="00A00994">
              <w:rPr>
                <w:color w:val="0D0D0D" w:themeColor="text1" w:themeTint="F2"/>
                <w:spacing w:val="-5"/>
                <w:lang w:val="en-GB"/>
              </w:rPr>
              <w:t>40%</w:t>
            </w:r>
            <w:r w:rsidR="0097737B" w:rsidRPr="00A00994">
              <w:rPr>
                <w:color w:val="0D0D0D" w:themeColor="text1" w:themeTint="F2"/>
                <w:spacing w:val="-5"/>
                <w:lang w:val="en-GB"/>
              </w:rPr>
              <w:t xml:space="preserve"> of last year’s level and plunged by </w:t>
            </w:r>
            <w:r w:rsidR="00AA0A80">
              <w:rPr>
                <w:color w:val="0D0D0D" w:themeColor="text1" w:themeTint="F2"/>
                <w:spacing w:val="-5"/>
                <w:lang w:val="en-GB"/>
              </w:rPr>
              <w:t>5</w:t>
            </w:r>
            <w:r w:rsidR="0097737B" w:rsidRPr="00A00994">
              <w:rPr>
                <w:color w:val="0D0D0D" w:themeColor="text1" w:themeTint="F2"/>
                <w:spacing w:val="-5"/>
                <w:lang w:val="en-GB"/>
              </w:rPr>
              <w:t>1 CZK bn</w:t>
            </w:r>
            <w:r w:rsidRPr="00A00994">
              <w:rPr>
                <w:color w:val="0D0D0D" w:themeColor="text1" w:themeTint="F2"/>
                <w:spacing w:val="-5"/>
                <w:lang w:val="en-GB"/>
              </w:rPr>
              <w:t>, was decisive for the year-on-year fall of the current expenditures</w:t>
            </w:r>
            <w:r w:rsidR="008F2E83" w:rsidRPr="00A00994">
              <w:rPr>
                <w:color w:val="0D0D0D" w:themeColor="text1" w:themeTint="F2"/>
                <w:spacing w:val="-5"/>
                <w:lang w:val="en-GB"/>
              </w:rPr>
              <w:t>.</w:t>
            </w:r>
            <w:r w:rsidRPr="00A00994">
              <w:rPr>
                <w:color w:val="0D0D0D" w:themeColor="text1" w:themeTint="F2"/>
                <w:spacing w:val="-5"/>
                <w:lang w:val="en-GB"/>
              </w:rPr>
              <w:t xml:space="preserve"> It primarily reflected the decline of the </w:t>
            </w:r>
            <w:r w:rsidR="001006AB" w:rsidRPr="00A00994">
              <w:rPr>
                <w:color w:val="0D0D0D" w:themeColor="text1" w:themeTint="F2"/>
                <w:spacing w:val="-5"/>
                <w:lang w:val="en-GB"/>
              </w:rPr>
              <w:t>emergency programmes for the affected businesses as well as whole branches</w:t>
            </w:r>
            <w:r w:rsidR="008F2E83" w:rsidRPr="00A00994">
              <w:rPr>
                <w:color w:val="0D0D0D" w:themeColor="text1" w:themeTint="F2"/>
                <w:spacing w:val="-5"/>
                <w:lang w:val="en-GB"/>
              </w:rPr>
              <w:t xml:space="preserve">, </w:t>
            </w:r>
            <w:r w:rsidR="0097737B" w:rsidRPr="00A00994">
              <w:rPr>
                <w:color w:val="0D0D0D" w:themeColor="text1" w:themeTint="F2"/>
                <w:spacing w:val="-5"/>
                <w:lang w:val="en-GB"/>
              </w:rPr>
              <w:t xml:space="preserve">partially also the reduction of advance subsidies on renewable resources of energy </w:t>
            </w:r>
            <w:r w:rsidR="008F2E83" w:rsidRPr="00A00994">
              <w:rPr>
                <w:color w:val="0D0D0D" w:themeColor="text1" w:themeTint="F2"/>
                <w:spacing w:val="-5"/>
                <w:lang w:val="en-GB"/>
              </w:rPr>
              <w:t>(−3</w:t>
            </w:r>
            <w:r w:rsidR="0097737B" w:rsidRPr="00A00994">
              <w:rPr>
                <w:color w:val="0D0D0D" w:themeColor="text1" w:themeTint="F2"/>
                <w:spacing w:val="-5"/>
                <w:lang w:val="en-GB"/>
              </w:rPr>
              <w:t>.</w:t>
            </w:r>
            <w:r w:rsidR="008F2E83" w:rsidRPr="00A00994">
              <w:rPr>
                <w:color w:val="0D0D0D" w:themeColor="text1" w:themeTint="F2"/>
                <w:spacing w:val="-5"/>
                <w:lang w:val="en-GB"/>
              </w:rPr>
              <w:t>8</w:t>
            </w:r>
            <w:r w:rsidR="0097737B" w:rsidRPr="00A00994">
              <w:rPr>
                <w:color w:val="0D0D0D" w:themeColor="text1" w:themeTint="F2"/>
                <w:spacing w:val="-5"/>
                <w:lang w:val="en-GB"/>
              </w:rPr>
              <w:t xml:space="preserve"> CZK bn</w:t>
            </w:r>
            <w:r w:rsidR="008F2E83" w:rsidRPr="00A00994">
              <w:rPr>
                <w:color w:val="0D0D0D" w:themeColor="text1" w:themeTint="F2"/>
                <w:spacing w:val="-5"/>
                <w:lang w:val="en-GB"/>
              </w:rPr>
              <w:t xml:space="preserve">). </w:t>
            </w:r>
            <w:r w:rsidR="004C6438" w:rsidRPr="00A00994">
              <w:rPr>
                <w:color w:val="0D0D0D" w:themeColor="text1" w:themeTint="F2"/>
                <w:spacing w:val="-5"/>
                <w:lang w:val="en-GB"/>
              </w:rPr>
              <w:t>Lower transfers to contributory as well as non-profit organisations were also connected to the decrease of the counter-pandemic help, their impact on current expenditures was however of smaller magnitude</w:t>
            </w:r>
            <w:r w:rsidR="008F2E83" w:rsidRPr="00A00994">
              <w:rPr>
                <w:color w:val="0D0D0D" w:themeColor="text1" w:themeTint="F2"/>
                <w:spacing w:val="-5"/>
                <w:lang w:val="en-GB"/>
              </w:rPr>
              <w:t xml:space="preserve">. </w:t>
            </w:r>
            <w:r w:rsidRPr="00A00994">
              <w:rPr>
                <w:color w:val="0D0D0D" w:themeColor="text1" w:themeTint="F2"/>
                <w:spacing w:val="-5"/>
                <w:lang w:val="en-GB"/>
              </w:rPr>
              <w:t>Significant by volume current transfers towards regions and municipalities stagnated, because the mild growth of wage tariffs of teachers</w:t>
            </w:r>
            <w:r w:rsidR="004C6438" w:rsidRPr="00A00994">
              <w:rPr>
                <w:color w:val="0D0D0D" w:themeColor="text1" w:themeTint="F2"/>
                <w:spacing w:val="-5"/>
                <w:lang w:val="en-GB"/>
              </w:rPr>
              <w:t xml:space="preserve"> of primary and secondary schools </w:t>
            </w:r>
            <w:r w:rsidR="008F2E83" w:rsidRPr="00A00994">
              <w:rPr>
                <w:color w:val="0D0D0D" w:themeColor="text1" w:themeTint="F2"/>
                <w:spacing w:val="-5"/>
                <w:lang w:val="en-GB"/>
              </w:rPr>
              <w:t>(+2%)</w:t>
            </w:r>
            <w:r w:rsidR="004C6438" w:rsidRPr="00A00994">
              <w:rPr>
                <w:color w:val="0D0D0D" w:themeColor="text1" w:themeTint="F2"/>
                <w:spacing w:val="-5"/>
                <w:lang w:val="en-GB"/>
              </w:rPr>
              <w:t xml:space="preserve"> was compensated by reduction of funds in the area of social services or inpatient care </w:t>
            </w:r>
            <w:r w:rsidR="008F2E83" w:rsidRPr="00A00994">
              <w:rPr>
                <w:color w:val="0D0D0D" w:themeColor="text1" w:themeTint="F2"/>
                <w:spacing w:val="-5"/>
                <w:lang w:val="en-GB"/>
              </w:rPr>
              <w:t>(</w:t>
            </w:r>
            <w:r w:rsidR="004C6438" w:rsidRPr="00A00994">
              <w:rPr>
                <w:color w:val="0D0D0D" w:themeColor="text1" w:themeTint="F2"/>
                <w:spacing w:val="-5"/>
                <w:lang w:val="en-GB"/>
              </w:rPr>
              <w:t>associated with the last year’s extraordinary bonuses</w:t>
            </w:r>
            <w:r w:rsidR="008F2E83" w:rsidRPr="00A00994">
              <w:rPr>
                <w:color w:val="0D0D0D" w:themeColor="text1" w:themeTint="F2"/>
                <w:spacing w:val="-5"/>
                <w:lang w:val="en-GB"/>
              </w:rPr>
              <w:t xml:space="preserve">). </w:t>
            </w:r>
            <w:r w:rsidR="00A237C6" w:rsidRPr="00A00994">
              <w:rPr>
                <w:color w:val="0D0D0D" w:themeColor="text1" w:themeTint="F2"/>
                <w:spacing w:val="-5"/>
                <w:lang w:val="en-GB"/>
              </w:rPr>
              <w:t xml:space="preserve">Expenditures on wages in the organisational units of the state practically stagnated for the third year in a row. More funds were in contrast expended on the non-investment purchases year-on-year </w:t>
            </w:r>
            <w:r w:rsidR="008F2E83" w:rsidRPr="00A00994">
              <w:rPr>
                <w:color w:val="0D0D0D" w:themeColor="text1" w:themeTint="F2"/>
                <w:spacing w:val="-5"/>
                <w:lang w:val="en-GB"/>
              </w:rPr>
              <w:t>(+22</w:t>
            </w:r>
            <w:r w:rsidR="00A237C6" w:rsidRPr="00A00994">
              <w:rPr>
                <w:color w:val="0D0D0D" w:themeColor="text1" w:themeTint="F2"/>
                <w:spacing w:val="-5"/>
                <w:lang w:val="en-GB"/>
              </w:rPr>
              <w:t>.</w:t>
            </w:r>
            <w:r w:rsidR="008F2E83" w:rsidRPr="00A00994">
              <w:rPr>
                <w:color w:val="0D0D0D" w:themeColor="text1" w:themeTint="F2"/>
                <w:spacing w:val="-5"/>
                <w:lang w:val="en-GB"/>
              </w:rPr>
              <w:t xml:space="preserve">6%, </w:t>
            </w:r>
            <w:r w:rsidR="003C7D39">
              <w:rPr>
                <w:color w:val="0D0D0D" w:themeColor="text1" w:themeTint="F2"/>
                <w:spacing w:val="-5"/>
                <w:lang w:val="en-GB"/>
              </w:rPr>
              <w:t>i.e.</w:t>
            </w:r>
            <w:r w:rsidR="008F2E83" w:rsidRPr="00A00994">
              <w:rPr>
                <w:color w:val="0D0D0D" w:themeColor="text1" w:themeTint="F2"/>
                <w:spacing w:val="-5"/>
                <w:lang w:val="en-GB"/>
              </w:rPr>
              <w:t xml:space="preserve"> 7</w:t>
            </w:r>
            <w:r w:rsidR="00A237C6" w:rsidRPr="00A00994">
              <w:rPr>
                <w:color w:val="0D0D0D" w:themeColor="text1" w:themeTint="F2"/>
                <w:spacing w:val="-5"/>
                <w:lang w:val="en-GB"/>
              </w:rPr>
              <w:t>.</w:t>
            </w:r>
            <w:r w:rsidR="008F2E83" w:rsidRPr="00A00994">
              <w:rPr>
                <w:color w:val="0D0D0D" w:themeColor="text1" w:themeTint="F2"/>
                <w:spacing w:val="-5"/>
                <w:lang w:val="en-GB"/>
              </w:rPr>
              <w:t>3</w:t>
            </w:r>
            <w:r w:rsidR="00A237C6" w:rsidRPr="00A00994">
              <w:rPr>
                <w:color w:val="0D0D0D" w:themeColor="text1" w:themeTint="F2"/>
                <w:spacing w:val="-5"/>
                <w:lang w:val="en-GB"/>
              </w:rPr>
              <w:t xml:space="preserve"> CZK bn</w:t>
            </w:r>
            <w:r w:rsidR="008F2E83" w:rsidRPr="00A00994">
              <w:rPr>
                <w:color w:val="0D0D0D" w:themeColor="text1" w:themeTint="F2"/>
                <w:spacing w:val="-5"/>
                <w:lang w:val="en-GB"/>
              </w:rPr>
              <w:t>),</w:t>
            </w:r>
            <w:r w:rsidR="00A237C6" w:rsidRPr="00A00994">
              <w:rPr>
                <w:color w:val="0D0D0D" w:themeColor="text1" w:themeTint="F2"/>
                <w:spacing w:val="-5"/>
                <w:lang w:val="en-GB"/>
              </w:rPr>
              <w:t xml:space="preserve"> </w:t>
            </w:r>
            <w:r w:rsidR="009C243F" w:rsidRPr="00A00994">
              <w:rPr>
                <w:color w:val="0D0D0D" w:themeColor="text1" w:themeTint="F2"/>
                <w:spacing w:val="-5"/>
                <w:lang w:val="en-GB"/>
              </w:rPr>
              <w:t xml:space="preserve">where the higher expenditures to bolsters up the </w:t>
            </w:r>
            <w:r w:rsidR="00E010D9" w:rsidRPr="00A00994">
              <w:rPr>
                <w:color w:val="0D0D0D" w:themeColor="text1" w:themeTint="F2"/>
                <w:spacing w:val="-5"/>
                <w:lang w:val="en-GB"/>
              </w:rPr>
              <w:t>state material reserves</w:t>
            </w:r>
            <w:r w:rsidR="009C243F" w:rsidRPr="00A00994">
              <w:rPr>
                <w:color w:val="0D0D0D" w:themeColor="text1" w:themeTint="F2"/>
                <w:spacing w:val="-5"/>
                <w:lang w:val="en-GB"/>
              </w:rPr>
              <w:t xml:space="preserve">, growing prices consumed energies or higher need to purchase medicine and medical material </w:t>
            </w:r>
            <w:r w:rsidR="009C243F" w:rsidRPr="00A00994">
              <w:rPr>
                <w:spacing w:val="-5"/>
                <w:lang w:val="en-GB"/>
              </w:rPr>
              <w:t>were evident</w:t>
            </w:r>
            <w:r w:rsidR="008F2E83" w:rsidRPr="00A00994">
              <w:rPr>
                <w:spacing w:val="-5"/>
                <w:lang w:val="en-GB"/>
              </w:rPr>
              <w:t xml:space="preserve">. </w:t>
            </w:r>
            <w:r w:rsidR="004B6005" w:rsidRPr="00A00994">
              <w:rPr>
                <w:spacing w:val="-5"/>
                <w:lang w:val="en-GB"/>
              </w:rPr>
              <w:t xml:space="preserve">The </w:t>
            </w:r>
            <w:r w:rsidR="00C1234A" w:rsidRPr="00A00994">
              <w:rPr>
                <w:spacing w:val="-5"/>
                <w:lang w:val="en-GB"/>
              </w:rPr>
              <w:t xml:space="preserve">temporarily augmented payments for the </w:t>
            </w:r>
            <w:r w:rsidR="00BC7BCB">
              <w:rPr>
                <w:spacing w:val="-5"/>
                <w:lang w:val="en-GB"/>
              </w:rPr>
              <w:t>so called state insured persons</w:t>
            </w:r>
            <w:r w:rsidR="004B6005" w:rsidRPr="00A00994">
              <w:rPr>
                <w:spacing w:val="-5"/>
                <w:lang w:val="en-GB"/>
              </w:rPr>
              <w:t xml:space="preserve"> </w:t>
            </w:r>
            <w:r w:rsidR="008F2E83" w:rsidRPr="00A00994">
              <w:rPr>
                <w:spacing w:val="-5"/>
                <w:lang w:val="en-GB"/>
              </w:rPr>
              <w:t>(+8</w:t>
            </w:r>
            <w:r w:rsidR="00C1234A" w:rsidRPr="00A00994">
              <w:rPr>
                <w:spacing w:val="-5"/>
                <w:lang w:val="en-GB"/>
              </w:rPr>
              <w:t>.</w:t>
            </w:r>
            <w:r w:rsidR="008F2E83" w:rsidRPr="00A00994">
              <w:rPr>
                <w:spacing w:val="-5"/>
                <w:lang w:val="en-GB"/>
              </w:rPr>
              <w:t>2</w:t>
            </w:r>
            <w:r w:rsidR="00C1234A" w:rsidRPr="00A00994">
              <w:rPr>
                <w:spacing w:val="-5"/>
                <w:lang w:val="en-GB"/>
              </w:rPr>
              <w:t xml:space="preserve"> CZK bn</w:t>
            </w:r>
            <w:r w:rsidR="008F2E83" w:rsidRPr="00A00994">
              <w:rPr>
                <w:spacing w:val="-5"/>
                <w:lang w:val="en-GB"/>
              </w:rPr>
              <w:t>)</w:t>
            </w:r>
            <w:r w:rsidR="008F2E83" w:rsidRPr="00A00994">
              <w:rPr>
                <w:rStyle w:val="Znakapoznpodarou"/>
                <w:spacing w:val="-5"/>
                <w:lang w:val="en-GB"/>
              </w:rPr>
              <w:footnoteReference w:id="84"/>
            </w:r>
            <w:r w:rsidR="00C1234A" w:rsidRPr="00A00994">
              <w:rPr>
                <w:spacing w:val="-5"/>
                <w:lang w:val="en-GB"/>
              </w:rPr>
              <w:t xml:space="preserve"> also burdened the SB more this year</w:t>
            </w:r>
            <w:r w:rsidR="008F2E83" w:rsidRPr="00A00994">
              <w:rPr>
                <w:spacing w:val="-5"/>
                <w:lang w:val="en-GB"/>
              </w:rPr>
              <w:t xml:space="preserve">. </w:t>
            </w:r>
            <w:r w:rsidR="00C1234A" w:rsidRPr="00A00994">
              <w:rPr>
                <w:spacing w:val="-5"/>
                <w:lang w:val="en-GB"/>
              </w:rPr>
              <w:t xml:space="preserve">Expenditures on servicing the state debt also enlarged </w:t>
            </w:r>
            <w:r w:rsidR="008F2E83" w:rsidRPr="00A00994">
              <w:rPr>
                <w:spacing w:val="-5"/>
                <w:lang w:val="en-GB"/>
              </w:rPr>
              <w:t>(</w:t>
            </w:r>
            <w:r w:rsidR="00C1234A" w:rsidRPr="00A00994">
              <w:rPr>
                <w:spacing w:val="-5"/>
                <w:lang w:val="en-GB"/>
              </w:rPr>
              <w:t xml:space="preserve">to </w:t>
            </w:r>
            <w:r w:rsidR="008F2E83" w:rsidRPr="00A00994">
              <w:rPr>
                <w:spacing w:val="-5"/>
                <w:lang w:val="en-GB"/>
              </w:rPr>
              <w:t>23</w:t>
            </w:r>
            <w:r w:rsidR="00C1234A" w:rsidRPr="00A00994">
              <w:rPr>
                <w:spacing w:val="-5"/>
                <w:lang w:val="en-GB"/>
              </w:rPr>
              <w:t xml:space="preserve"> CZK bn</w:t>
            </w:r>
            <w:r w:rsidR="008F2E83" w:rsidRPr="00A00994">
              <w:rPr>
                <w:rStyle w:val="Znakapoznpodarou"/>
                <w:spacing w:val="-5"/>
                <w:lang w:val="en-GB"/>
              </w:rPr>
              <w:footnoteReference w:id="85"/>
            </w:r>
            <w:r w:rsidR="008F2E83" w:rsidRPr="00A00994">
              <w:rPr>
                <w:spacing w:val="-5"/>
                <w:lang w:val="en-GB"/>
              </w:rPr>
              <w:t xml:space="preserve">, </w:t>
            </w:r>
            <w:r w:rsidR="00C1234A" w:rsidRPr="00A00994">
              <w:rPr>
                <w:spacing w:val="-5"/>
                <w:lang w:val="en-GB"/>
              </w:rPr>
              <w:t>nearly twofold in the last two years</w:t>
            </w:r>
            <w:r w:rsidR="008F2E83" w:rsidRPr="00A00994">
              <w:rPr>
                <w:spacing w:val="-5"/>
                <w:lang w:val="en-GB"/>
              </w:rPr>
              <w:t xml:space="preserve">). </w:t>
            </w:r>
            <w:r w:rsidR="00ED74BD" w:rsidRPr="00A00994">
              <w:rPr>
                <w:spacing w:val="-5"/>
                <w:lang w:val="en-GB"/>
              </w:rPr>
              <w:t xml:space="preserve">The marked growth of interest rates on the bond marked as well as continuing strong growth of the size of the debt </w:t>
            </w:r>
            <w:r w:rsidR="00ED74BD" w:rsidRPr="00A00994">
              <w:rPr>
                <w:spacing w:val="-4"/>
                <w:lang w:val="en-GB"/>
              </w:rPr>
              <w:t>stood behind it</w:t>
            </w:r>
            <w:r w:rsidR="008F2E83" w:rsidRPr="00A00994">
              <w:rPr>
                <w:spacing w:val="-4"/>
                <w:lang w:val="en-GB"/>
              </w:rPr>
              <w:t xml:space="preserve">. </w:t>
            </w:r>
            <w:r w:rsidR="00AE7739" w:rsidRPr="00A00994">
              <w:rPr>
                <w:spacing w:val="-4"/>
                <w:lang w:val="en-GB"/>
              </w:rPr>
              <w:t>State</w:t>
            </w:r>
            <w:r w:rsidRPr="00A00994">
              <w:rPr>
                <w:spacing w:val="-4"/>
                <w:lang w:val="en-GB"/>
              </w:rPr>
              <w:t xml:space="preserve"> debt totalled </w:t>
            </w:r>
            <w:r w:rsidR="008F2E83" w:rsidRPr="00A00994">
              <w:rPr>
                <w:spacing w:val="-4"/>
                <w:lang w:val="en-GB"/>
              </w:rPr>
              <w:t>2</w:t>
            </w:r>
            <w:r w:rsidRPr="00A00994">
              <w:rPr>
                <w:spacing w:val="-4"/>
                <w:lang w:val="en-GB"/>
              </w:rPr>
              <w:t> </w:t>
            </w:r>
            <w:r w:rsidR="008F2E83" w:rsidRPr="00A00994">
              <w:rPr>
                <w:spacing w:val="-4"/>
                <w:lang w:val="en-GB"/>
              </w:rPr>
              <w:t>708</w:t>
            </w:r>
            <w:r w:rsidRPr="00A00994">
              <w:rPr>
                <w:spacing w:val="-4"/>
                <w:lang w:val="en-GB"/>
              </w:rPr>
              <w:t xml:space="preserve"> CZK bn at the end of June this year by </w:t>
            </w:r>
            <w:r w:rsidR="008F2E83" w:rsidRPr="00A00994">
              <w:rPr>
                <w:spacing w:val="-4"/>
                <w:lang w:val="en-GB"/>
              </w:rPr>
              <w:t>12</w:t>
            </w:r>
            <w:r w:rsidRPr="00A00994">
              <w:rPr>
                <w:spacing w:val="-4"/>
                <w:lang w:val="en-GB"/>
              </w:rPr>
              <w:t>.</w:t>
            </w:r>
            <w:r w:rsidR="008F2E83" w:rsidRPr="00A00994">
              <w:rPr>
                <w:spacing w:val="-4"/>
                <w:lang w:val="en-GB"/>
              </w:rPr>
              <w:t>1%</w:t>
            </w:r>
            <w:r w:rsidRPr="00A00994">
              <w:rPr>
                <w:spacing w:val="-4"/>
                <w:lang w:val="en-GB"/>
              </w:rPr>
              <w:t xml:space="preserve"> more year-on-year</w:t>
            </w:r>
            <w:r w:rsidR="008F2E83" w:rsidRPr="00A00994">
              <w:rPr>
                <w:spacing w:val="-4"/>
                <w:lang w:val="en-GB"/>
              </w:rPr>
              <w:t xml:space="preserve">. </w:t>
            </w:r>
            <w:r w:rsidR="00AE7739" w:rsidRPr="00A00994">
              <w:rPr>
                <w:spacing w:val="-4"/>
                <w:lang w:val="en-GB"/>
              </w:rPr>
              <w:t xml:space="preserve">The debt climbed up </w:t>
            </w:r>
            <w:r w:rsidRPr="00A00994">
              <w:rPr>
                <w:spacing w:val="-4"/>
                <w:lang w:val="en-GB"/>
              </w:rPr>
              <w:t>by</w:t>
            </w:r>
            <w:r w:rsidR="00AE7739" w:rsidRPr="00A00994">
              <w:rPr>
                <w:spacing w:val="-4"/>
                <w:lang w:val="en-GB"/>
              </w:rPr>
              <w:t xml:space="preserve"> </w:t>
            </w:r>
            <w:r w:rsidR="008F2E83" w:rsidRPr="00A00994">
              <w:rPr>
                <w:spacing w:val="-4"/>
                <w:lang w:val="en-GB"/>
              </w:rPr>
              <w:t>242</w:t>
            </w:r>
            <w:r w:rsidR="00AE7739" w:rsidRPr="00A00994">
              <w:rPr>
                <w:spacing w:val="-4"/>
                <w:lang w:val="en-GB"/>
              </w:rPr>
              <w:t xml:space="preserve"> bn since the beginning of this year, which was nevertheless less than in the preceding two years. </w:t>
            </w:r>
          </w:p>
        </w:tc>
      </w:tr>
      <w:tr w:rsidR="008F2E83" w:rsidRPr="00A00994" w14:paraId="0132ADE0" w14:textId="77777777" w:rsidTr="00EE762D">
        <w:trPr>
          <w:trHeight w:val="145"/>
        </w:trPr>
        <w:tc>
          <w:tcPr>
            <w:tcW w:w="1805" w:type="dxa"/>
            <w:shd w:val="clear" w:color="auto" w:fill="auto"/>
            <w:tcMar>
              <w:left w:w="0" w:type="dxa"/>
            </w:tcMar>
          </w:tcPr>
          <w:p w14:paraId="3300213D" w14:textId="13759BAD" w:rsidR="008F2E83" w:rsidRPr="00A00994" w:rsidRDefault="00404398" w:rsidP="000C7A79">
            <w:pPr>
              <w:pStyle w:val="Marginlie"/>
              <w:rPr>
                <w:lang w:val="en-GB"/>
              </w:rPr>
            </w:pPr>
            <w:r w:rsidRPr="00A00994">
              <w:rPr>
                <w:lang w:val="en-GB"/>
              </w:rPr>
              <w:t>Growth of SB current expenditures was driven mostly by the paid out pensions, whose level was raised two times in H</w:t>
            </w:r>
            <w:r w:rsidR="008F2E83" w:rsidRPr="00A00994">
              <w:rPr>
                <w:lang w:val="en-GB"/>
              </w:rPr>
              <w:t>1.</w:t>
            </w:r>
            <w:r w:rsidRPr="00A00994">
              <w:rPr>
                <w:lang w:val="en-GB"/>
              </w:rPr>
              <w:t xml:space="preserve"> Pension account deficit deepened. </w:t>
            </w:r>
          </w:p>
        </w:tc>
        <w:tc>
          <w:tcPr>
            <w:tcW w:w="217" w:type="dxa"/>
            <w:shd w:val="clear" w:color="auto" w:fill="auto"/>
            <w:tcMar>
              <w:left w:w="0" w:type="dxa"/>
            </w:tcMar>
          </w:tcPr>
          <w:p w14:paraId="2707F169"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76C51139" w14:textId="75468ABF" w:rsidR="008F2E83" w:rsidRPr="00AA0A80" w:rsidRDefault="00BA4287" w:rsidP="000C7A79">
            <w:pPr>
              <w:spacing w:after="210"/>
              <w:rPr>
                <w:spacing w:val="-5"/>
                <w:lang w:val="en-GB"/>
              </w:rPr>
            </w:pPr>
            <w:r w:rsidRPr="00AA0A80">
              <w:rPr>
                <w:color w:val="0D0D0D" w:themeColor="text1" w:themeTint="F2"/>
                <w:spacing w:val="-5"/>
                <w:lang w:val="en-GB"/>
              </w:rPr>
              <w:t xml:space="preserve">Expenditures on social benefits traditionally form part of the SB current </w:t>
            </w:r>
            <w:r w:rsidR="00A237C6" w:rsidRPr="00AA0A80">
              <w:rPr>
                <w:color w:val="0D0D0D" w:themeColor="text1" w:themeTint="F2"/>
                <w:spacing w:val="-5"/>
                <w:lang w:val="en-GB"/>
              </w:rPr>
              <w:t>expenditures</w:t>
            </w:r>
            <w:r w:rsidRPr="00AA0A80">
              <w:rPr>
                <w:color w:val="0D0D0D" w:themeColor="text1" w:themeTint="F2"/>
                <w:spacing w:val="-5"/>
                <w:lang w:val="en-GB"/>
              </w:rPr>
              <w:t xml:space="preserve"> </w:t>
            </w:r>
            <w:r w:rsidR="008F2E83" w:rsidRPr="00AA0A80">
              <w:rPr>
                <w:color w:val="0D0D0D" w:themeColor="text1" w:themeTint="F2"/>
                <w:spacing w:val="-5"/>
                <w:lang w:val="en-GB"/>
              </w:rPr>
              <w:t xml:space="preserve">– </w:t>
            </w:r>
            <w:r w:rsidRPr="00AA0A80">
              <w:rPr>
                <w:color w:val="0D0D0D" w:themeColor="text1" w:themeTint="F2"/>
                <w:spacing w:val="-5"/>
                <w:lang w:val="en-GB"/>
              </w:rPr>
              <w:t xml:space="preserve">it presented </w:t>
            </w:r>
            <w:r w:rsidR="008F2E83" w:rsidRPr="00AA0A80">
              <w:rPr>
                <w:color w:val="0D0D0D" w:themeColor="text1" w:themeTint="F2"/>
                <w:spacing w:val="-5"/>
                <w:lang w:val="en-GB"/>
              </w:rPr>
              <w:t>41</w:t>
            </w:r>
            <w:r w:rsidRPr="00AA0A80">
              <w:rPr>
                <w:color w:val="0D0D0D" w:themeColor="text1" w:themeTint="F2"/>
                <w:spacing w:val="-5"/>
                <w:lang w:val="en-GB"/>
              </w:rPr>
              <w:t>.</w:t>
            </w:r>
            <w:r w:rsidR="008F2E83" w:rsidRPr="00AA0A80">
              <w:rPr>
                <w:color w:val="0D0D0D" w:themeColor="text1" w:themeTint="F2"/>
                <w:spacing w:val="-5"/>
                <w:lang w:val="en-GB"/>
              </w:rPr>
              <w:t>4%</w:t>
            </w:r>
            <w:r w:rsidRPr="00AA0A80">
              <w:rPr>
                <w:color w:val="0D0D0D" w:themeColor="text1" w:themeTint="F2"/>
                <w:spacing w:val="-5"/>
                <w:lang w:val="en-GB"/>
              </w:rPr>
              <w:t xml:space="preserve"> in H1 2022</w:t>
            </w:r>
            <w:r w:rsidR="008F2E83" w:rsidRPr="00AA0A80">
              <w:rPr>
                <w:color w:val="0D0D0D" w:themeColor="text1" w:themeTint="F2"/>
                <w:spacing w:val="-5"/>
                <w:lang w:val="en-GB"/>
              </w:rPr>
              <w:t xml:space="preserve">. </w:t>
            </w:r>
            <w:r w:rsidRPr="00AA0A80">
              <w:rPr>
                <w:color w:val="0D0D0D" w:themeColor="text1" w:themeTint="F2"/>
                <w:spacing w:val="-5"/>
                <w:lang w:val="en-GB"/>
              </w:rPr>
              <w:t xml:space="preserve">Their weight </w:t>
            </w:r>
            <w:r w:rsidR="00A237C6" w:rsidRPr="00AA0A80">
              <w:rPr>
                <w:color w:val="0D0D0D" w:themeColor="text1" w:themeTint="F2"/>
                <w:spacing w:val="-5"/>
                <w:lang w:val="en-GB"/>
              </w:rPr>
              <w:t>strengthened year-on-year</w:t>
            </w:r>
            <w:r w:rsidRPr="00AA0A80">
              <w:rPr>
                <w:color w:val="0D0D0D" w:themeColor="text1" w:themeTint="F2"/>
                <w:spacing w:val="-5"/>
                <w:lang w:val="en-GB"/>
              </w:rPr>
              <w:t xml:space="preserve"> for the first time in the comparable period </w:t>
            </w:r>
            <w:r w:rsidR="00A237C6" w:rsidRPr="00AA0A80">
              <w:rPr>
                <w:color w:val="0D0D0D" w:themeColor="text1" w:themeTint="F2"/>
                <w:spacing w:val="-5"/>
                <w:lang w:val="en-GB"/>
              </w:rPr>
              <w:t>in</w:t>
            </w:r>
            <w:r w:rsidRPr="00AA0A80">
              <w:rPr>
                <w:color w:val="0D0D0D" w:themeColor="text1" w:themeTint="F2"/>
                <w:spacing w:val="-5"/>
                <w:lang w:val="en-GB"/>
              </w:rPr>
              <w:t xml:space="preserve"> the last six years </w:t>
            </w:r>
            <w:r w:rsidR="008F2E83" w:rsidRPr="00AA0A80">
              <w:rPr>
                <w:color w:val="0D0D0D" w:themeColor="text1" w:themeTint="F2"/>
                <w:spacing w:val="-5"/>
                <w:lang w:val="en-GB"/>
              </w:rPr>
              <w:t>(+3 p.</w:t>
            </w:r>
            <w:r w:rsidR="00A237C6" w:rsidRPr="00AA0A80">
              <w:rPr>
                <w:color w:val="0D0D0D" w:themeColor="text1" w:themeTint="F2"/>
                <w:spacing w:val="-5"/>
                <w:lang w:val="en-GB"/>
              </w:rPr>
              <w:t>p.</w:t>
            </w:r>
            <w:r w:rsidR="008F2E83" w:rsidRPr="00AA0A80">
              <w:rPr>
                <w:color w:val="0D0D0D" w:themeColor="text1" w:themeTint="F2"/>
                <w:spacing w:val="-5"/>
                <w:lang w:val="en-GB"/>
              </w:rPr>
              <w:t>) a</w:t>
            </w:r>
            <w:r w:rsidR="00A237C6" w:rsidRPr="00AA0A80">
              <w:rPr>
                <w:color w:val="0D0D0D" w:themeColor="text1" w:themeTint="F2"/>
                <w:spacing w:val="-5"/>
                <w:lang w:val="en-GB"/>
              </w:rPr>
              <w:t xml:space="preserve">nd these benefits at the same time had the most pro-growth effect on the development of all current expenditures </w:t>
            </w:r>
            <w:r w:rsidR="008F2E83" w:rsidRPr="00AA0A80">
              <w:rPr>
                <w:color w:val="0D0D0D" w:themeColor="text1" w:themeTint="F2"/>
                <w:spacing w:val="-5"/>
                <w:lang w:val="en-GB"/>
              </w:rPr>
              <w:t>(+21</w:t>
            </w:r>
            <w:r w:rsidR="00A237C6" w:rsidRPr="00AA0A80">
              <w:rPr>
                <w:color w:val="0D0D0D" w:themeColor="text1" w:themeTint="F2"/>
                <w:spacing w:val="-5"/>
                <w:lang w:val="en-GB"/>
              </w:rPr>
              <w:t>.</w:t>
            </w:r>
            <w:r w:rsidR="008F2E83" w:rsidRPr="00AA0A80">
              <w:rPr>
                <w:color w:val="0D0D0D" w:themeColor="text1" w:themeTint="F2"/>
                <w:spacing w:val="-5"/>
                <w:lang w:val="en-GB"/>
              </w:rPr>
              <w:t>3</w:t>
            </w:r>
            <w:r w:rsidR="00A237C6" w:rsidRPr="00AA0A80">
              <w:rPr>
                <w:color w:val="0D0D0D" w:themeColor="text1" w:themeTint="F2"/>
                <w:spacing w:val="-5"/>
                <w:lang w:val="en-GB"/>
              </w:rPr>
              <w:t xml:space="preserve"> CZK bn</w:t>
            </w:r>
            <w:r w:rsidR="008F2E83" w:rsidRPr="00AA0A80">
              <w:rPr>
                <w:color w:val="0D0D0D" w:themeColor="text1" w:themeTint="F2"/>
                <w:spacing w:val="-5"/>
                <w:lang w:val="en-GB"/>
              </w:rPr>
              <w:t>)</w:t>
            </w:r>
            <w:r w:rsidR="00A237C6" w:rsidRPr="00AA0A80">
              <w:rPr>
                <w:color w:val="0D0D0D" w:themeColor="text1" w:themeTint="F2"/>
                <w:spacing w:val="-5"/>
                <w:lang w:val="en-GB"/>
              </w:rPr>
              <w:t xml:space="preserve"> so far this year</w:t>
            </w:r>
            <w:r w:rsidR="008F2E83" w:rsidRPr="00AA0A80">
              <w:rPr>
                <w:color w:val="0D0D0D" w:themeColor="text1" w:themeTint="F2"/>
                <w:spacing w:val="-5"/>
                <w:lang w:val="en-GB"/>
              </w:rPr>
              <w:t xml:space="preserve">. </w:t>
            </w:r>
            <w:r w:rsidR="00336F1E" w:rsidRPr="00AA0A80">
              <w:rPr>
                <w:color w:val="0D0D0D" w:themeColor="text1" w:themeTint="F2"/>
                <w:spacing w:val="-5"/>
                <w:lang w:val="en-GB"/>
              </w:rPr>
              <w:t xml:space="preserve">This year’s expanded volume of social benefits was from more than </w:t>
            </w:r>
            <w:r w:rsidR="008F2E83" w:rsidRPr="00AA0A80">
              <w:rPr>
                <w:spacing w:val="-5"/>
                <w:lang w:val="en-GB"/>
              </w:rPr>
              <w:t xml:space="preserve">85% </w:t>
            </w:r>
            <w:r w:rsidR="00336F1E" w:rsidRPr="00AA0A80">
              <w:rPr>
                <w:spacing w:val="-5"/>
                <w:lang w:val="en-GB"/>
              </w:rPr>
              <w:t>driven by higher expenditures on pensions</w:t>
            </w:r>
            <w:r w:rsidR="008F2E83" w:rsidRPr="00AA0A80">
              <w:rPr>
                <w:spacing w:val="-5"/>
                <w:lang w:val="en-GB"/>
              </w:rPr>
              <w:t xml:space="preserve"> –</w:t>
            </w:r>
            <w:r w:rsidR="00336F1E" w:rsidRPr="00AA0A80">
              <w:rPr>
                <w:spacing w:val="-5"/>
                <w:lang w:val="en-GB"/>
              </w:rPr>
              <w:t xml:space="preserve"> these strengthened by </w:t>
            </w:r>
            <w:r w:rsidR="008F2E83" w:rsidRPr="00AA0A80">
              <w:rPr>
                <w:spacing w:val="-5"/>
                <w:lang w:val="en-GB"/>
              </w:rPr>
              <w:t>6</w:t>
            </w:r>
            <w:r w:rsidR="00336F1E" w:rsidRPr="00AA0A80">
              <w:rPr>
                <w:spacing w:val="-5"/>
                <w:lang w:val="en-GB"/>
              </w:rPr>
              <w:t>.</w:t>
            </w:r>
            <w:r w:rsidR="008F2E83" w:rsidRPr="00AA0A80">
              <w:rPr>
                <w:spacing w:val="-5"/>
                <w:lang w:val="en-GB"/>
              </w:rPr>
              <w:t>8%</w:t>
            </w:r>
            <w:r w:rsidR="00336F1E" w:rsidRPr="00AA0A80">
              <w:rPr>
                <w:spacing w:val="-5"/>
                <w:lang w:val="en-GB"/>
              </w:rPr>
              <w:t xml:space="preserve"> year-on-year</w:t>
            </w:r>
            <w:r w:rsidR="008F2E83" w:rsidRPr="00AA0A80">
              <w:rPr>
                <w:spacing w:val="-5"/>
                <w:lang w:val="en-GB"/>
              </w:rPr>
              <w:t xml:space="preserve"> </w:t>
            </w:r>
            <w:r w:rsidR="00336F1E" w:rsidRPr="00AA0A80">
              <w:rPr>
                <w:spacing w:val="-5"/>
                <w:lang w:val="en-GB"/>
              </w:rPr>
              <w:t xml:space="preserve">thanks to January adjustment as well as the exceptional June one. </w:t>
            </w:r>
            <w:r w:rsidR="00E11C7E" w:rsidRPr="00AA0A80">
              <w:rPr>
                <w:spacing w:val="-5"/>
                <w:lang w:val="en-GB"/>
              </w:rPr>
              <w:t xml:space="preserve">The number of pension recipients worked in the opposite direction, significantly affected by higher mortality. It shrank by 1.7% compared to June </w:t>
            </w:r>
            <w:r w:rsidR="008F2E83" w:rsidRPr="00AA0A80">
              <w:rPr>
                <w:spacing w:val="-5"/>
                <w:lang w:val="en-GB"/>
              </w:rPr>
              <w:t xml:space="preserve">2020. </w:t>
            </w:r>
            <w:r w:rsidR="004D07B9" w:rsidRPr="00AA0A80">
              <w:rPr>
                <w:spacing w:val="-5"/>
                <w:lang w:val="en-GB"/>
              </w:rPr>
              <w:t xml:space="preserve">Good condition of the labour market was reflected in the ongoing </w:t>
            </w:r>
            <w:r w:rsidR="004D07B9" w:rsidRPr="00AA0A80">
              <w:rPr>
                <w:spacing w:val="-5"/>
                <w:lang w:val="en-GB"/>
              </w:rPr>
              <w:lastRenderedPageBreak/>
              <w:t xml:space="preserve">growth of pension insurance revenues </w:t>
            </w:r>
            <w:r w:rsidR="008F2E83" w:rsidRPr="00AA0A80">
              <w:rPr>
                <w:rFonts w:cs="Arial"/>
                <w:color w:val="0D0D0D" w:themeColor="text1" w:themeTint="F2"/>
                <w:spacing w:val="-5"/>
                <w:lang w:val="en-GB"/>
              </w:rPr>
              <w:t>(+5</w:t>
            </w:r>
            <w:r w:rsidR="004D07B9" w:rsidRPr="00AA0A80">
              <w:rPr>
                <w:rFonts w:cs="Arial"/>
                <w:color w:val="0D0D0D" w:themeColor="text1" w:themeTint="F2"/>
                <w:spacing w:val="-5"/>
                <w:lang w:val="en-GB"/>
              </w:rPr>
              <w:t>.</w:t>
            </w:r>
            <w:r w:rsidR="008F2E83" w:rsidRPr="00AA0A80">
              <w:rPr>
                <w:rFonts w:cs="Arial"/>
                <w:color w:val="0D0D0D" w:themeColor="text1" w:themeTint="F2"/>
                <w:spacing w:val="-5"/>
                <w:lang w:val="en-GB"/>
              </w:rPr>
              <w:t xml:space="preserve">9%). </w:t>
            </w:r>
            <w:r w:rsidR="004D07B9" w:rsidRPr="00AA0A80">
              <w:rPr>
                <w:rFonts w:cs="Arial"/>
                <w:color w:val="0D0D0D" w:themeColor="text1" w:themeTint="F2"/>
                <w:spacing w:val="-5"/>
                <w:lang w:val="en-GB"/>
              </w:rPr>
              <w:t>Pension account deficit</w:t>
            </w:r>
            <w:r w:rsidR="008F2E83" w:rsidRPr="00AA0A80">
              <w:rPr>
                <w:rStyle w:val="Znakapoznpodarou"/>
                <w:color w:val="0D0D0D" w:themeColor="text1" w:themeTint="F2"/>
                <w:spacing w:val="-5"/>
                <w:lang w:val="en-GB"/>
              </w:rPr>
              <w:footnoteReference w:id="86"/>
            </w:r>
            <w:r w:rsidR="004D07B9" w:rsidRPr="00AA0A80">
              <w:rPr>
                <w:rFonts w:cs="Arial"/>
                <w:color w:val="0D0D0D" w:themeColor="text1" w:themeTint="F2"/>
                <w:spacing w:val="-5"/>
                <w:lang w:val="en-GB"/>
              </w:rPr>
              <w:t xml:space="preserve"> however still deepened to </w:t>
            </w:r>
            <w:r w:rsidR="008F2E83" w:rsidRPr="00AA0A80">
              <w:rPr>
                <w:rFonts w:cs="Arial"/>
                <w:color w:val="0D0D0D" w:themeColor="text1" w:themeTint="F2"/>
                <w:spacing w:val="-5"/>
                <w:lang w:val="en-GB"/>
              </w:rPr>
              <w:t>8</w:t>
            </w:r>
            <w:r w:rsidR="004D07B9" w:rsidRPr="00AA0A80">
              <w:rPr>
                <w:rFonts w:cs="Arial"/>
                <w:color w:val="0D0D0D" w:themeColor="text1" w:themeTint="F2"/>
                <w:spacing w:val="-5"/>
                <w:lang w:val="en-GB"/>
              </w:rPr>
              <w:t>.</w:t>
            </w:r>
            <w:r w:rsidR="008F2E83" w:rsidRPr="00AA0A80">
              <w:rPr>
                <w:rFonts w:cs="Arial"/>
                <w:color w:val="0D0D0D" w:themeColor="text1" w:themeTint="F2"/>
                <w:spacing w:val="-5"/>
                <w:lang w:val="en-GB"/>
              </w:rPr>
              <w:t>6</w:t>
            </w:r>
            <w:r w:rsidR="004D07B9" w:rsidRPr="00AA0A80">
              <w:rPr>
                <w:rFonts w:cs="Arial"/>
                <w:color w:val="0D0D0D" w:themeColor="text1" w:themeTint="F2"/>
                <w:spacing w:val="-5"/>
                <w:lang w:val="en-GB"/>
              </w:rPr>
              <w:t xml:space="preserve"> CZK bn year-on-year and recorded a deficit for a third year in a row. </w:t>
            </w:r>
          </w:p>
        </w:tc>
      </w:tr>
      <w:tr w:rsidR="008F2E83" w:rsidRPr="00A00994" w14:paraId="593003DD" w14:textId="77777777" w:rsidTr="00EE762D">
        <w:trPr>
          <w:trHeight w:val="145"/>
        </w:trPr>
        <w:tc>
          <w:tcPr>
            <w:tcW w:w="1805" w:type="dxa"/>
            <w:shd w:val="clear" w:color="auto" w:fill="auto"/>
            <w:tcMar>
              <w:left w:w="0" w:type="dxa"/>
            </w:tcMar>
          </w:tcPr>
          <w:p w14:paraId="104508B9" w14:textId="66EB5E53" w:rsidR="008F2E83" w:rsidRPr="00A00994" w:rsidRDefault="009A2DBB" w:rsidP="000C7A79">
            <w:pPr>
              <w:pStyle w:val="Marginlie"/>
              <w:rPr>
                <w:lang w:val="en-GB"/>
              </w:rPr>
            </w:pPr>
            <w:r w:rsidRPr="00A00994">
              <w:rPr>
                <w:lang w:val="en-GB"/>
              </w:rPr>
              <w:lastRenderedPageBreak/>
              <w:t xml:space="preserve">Volume of majority of non-pension social benefits fell due to the retreat of pandemics as well as good condition of the labour market. The payment of the humanitarian benefit however was significant, expenditures on care also strengthened. </w:t>
            </w:r>
          </w:p>
        </w:tc>
        <w:tc>
          <w:tcPr>
            <w:tcW w:w="217" w:type="dxa"/>
            <w:shd w:val="clear" w:color="auto" w:fill="auto"/>
            <w:tcMar>
              <w:left w:w="0" w:type="dxa"/>
            </w:tcMar>
          </w:tcPr>
          <w:p w14:paraId="436C6A57"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31385560" w14:textId="44400166" w:rsidR="008F2E83" w:rsidRPr="00A00994" w:rsidRDefault="00390CE5" w:rsidP="00040A64">
            <w:pPr>
              <w:spacing w:after="210"/>
              <w:rPr>
                <w:color w:val="0D0D0D" w:themeColor="text1" w:themeTint="F2"/>
                <w:spacing w:val="-4"/>
                <w:lang w:val="en-GB"/>
              </w:rPr>
            </w:pPr>
            <w:r>
              <w:rPr>
                <w:color w:val="0D0D0D" w:themeColor="text1" w:themeTint="F2"/>
                <w:spacing w:val="-4"/>
                <w:lang w:val="en-GB"/>
              </w:rPr>
              <w:t>“</w:t>
            </w:r>
            <w:r w:rsidR="008F2E83" w:rsidRPr="00A00994">
              <w:rPr>
                <w:spacing w:val="-4"/>
                <w:lang w:val="en-GB"/>
              </w:rPr>
              <w:t>N</w:t>
            </w:r>
            <w:r w:rsidR="00191298" w:rsidRPr="00A00994">
              <w:rPr>
                <w:spacing w:val="-4"/>
                <w:lang w:val="en-GB"/>
              </w:rPr>
              <w:t>on-pension</w:t>
            </w:r>
            <w:r>
              <w:rPr>
                <w:spacing w:val="-4"/>
                <w:lang w:val="en-GB"/>
              </w:rPr>
              <w:t>”</w:t>
            </w:r>
            <w:r w:rsidR="008F2E83" w:rsidRPr="00A00994">
              <w:rPr>
                <w:spacing w:val="-4"/>
                <w:lang w:val="en-GB"/>
              </w:rPr>
              <w:t xml:space="preserve"> soci</w:t>
            </w:r>
            <w:r w:rsidR="00191298" w:rsidRPr="00A00994">
              <w:rPr>
                <w:spacing w:val="-4"/>
                <w:lang w:val="en-GB"/>
              </w:rPr>
              <w:t xml:space="preserve">al benefits, considerably </w:t>
            </w:r>
            <w:r w:rsidR="00967675" w:rsidRPr="00A00994">
              <w:rPr>
                <w:spacing w:val="-4"/>
                <w:lang w:val="en-GB"/>
              </w:rPr>
              <w:t xml:space="preserve">expanded </w:t>
            </w:r>
            <w:r w:rsidR="00191298" w:rsidRPr="00A00994">
              <w:rPr>
                <w:spacing w:val="-4"/>
                <w:lang w:val="en-GB"/>
              </w:rPr>
              <w:t xml:space="preserve">during the pandemics, </w:t>
            </w:r>
            <w:r w:rsidR="009A2DBB" w:rsidRPr="00A00994">
              <w:rPr>
                <w:spacing w:val="-4"/>
                <w:lang w:val="en-GB"/>
              </w:rPr>
              <w:t>grew slower in H</w:t>
            </w:r>
            <w:r w:rsidR="008F2E83" w:rsidRPr="00A00994">
              <w:rPr>
                <w:spacing w:val="-4"/>
                <w:lang w:val="en-GB"/>
              </w:rPr>
              <w:t>1</w:t>
            </w:r>
            <w:r w:rsidR="009A2DBB" w:rsidRPr="00A00994">
              <w:rPr>
                <w:spacing w:val="-4"/>
                <w:lang w:val="en-GB"/>
              </w:rPr>
              <w:t xml:space="preserve"> </w:t>
            </w:r>
            <w:r w:rsidR="008F2E83" w:rsidRPr="00A00994">
              <w:rPr>
                <w:spacing w:val="-4"/>
                <w:lang w:val="en-GB"/>
              </w:rPr>
              <w:t>(</w:t>
            </w:r>
            <w:r w:rsidR="009A2DBB" w:rsidRPr="00A00994">
              <w:rPr>
                <w:spacing w:val="-4"/>
                <w:lang w:val="en-GB"/>
              </w:rPr>
              <w:t xml:space="preserve">by </w:t>
            </w:r>
            <w:r w:rsidR="008F2E83" w:rsidRPr="00A00994">
              <w:rPr>
                <w:spacing w:val="-4"/>
                <w:lang w:val="en-GB"/>
              </w:rPr>
              <w:t>3</w:t>
            </w:r>
            <w:r w:rsidR="009A2DBB" w:rsidRPr="00A00994">
              <w:rPr>
                <w:spacing w:val="-4"/>
                <w:lang w:val="en-GB"/>
              </w:rPr>
              <w:t>.</w:t>
            </w:r>
            <w:r w:rsidR="008F2E83" w:rsidRPr="00A00994">
              <w:rPr>
                <w:spacing w:val="-4"/>
                <w:lang w:val="en-GB"/>
              </w:rPr>
              <w:t>6%</w:t>
            </w:r>
            <w:r w:rsidR="009A2DBB" w:rsidRPr="00A00994">
              <w:rPr>
                <w:spacing w:val="-4"/>
                <w:lang w:val="en-GB"/>
              </w:rPr>
              <w:t xml:space="preserve"> year-on-year</w:t>
            </w:r>
            <w:r w:rsidR="008F2E83" w:rsidRPr="00A00994">
              <w:rPr>
                <w:spacing w:val="-4"/>
                <w:lang w:val="en-GB"/>
              </w:rPr>
              <w:t xml:space="preserve">). </w:t>
            </w:r>
            <w:r w:rsidR="00967675" w:rsidRPr="00A00994">
              <w:rPr>
                <w:spacing w:val="-4"/>
                <w:lang w:val="en-GB"/>
              </w:rPr>
              <w:t xml:space="preserve">Had there not been the exceptional immediate aid </w:t>
            </w:r>
            <w:r w:rsidR="008F2E83" w:rsidRPr="00A00994">
              <w:rPr>
                <w:spacing w:val="-4"/>
                <w:lang w:val="en-GB"/>
              </w:rPr>
              <w:t>(</w:t>
            </w:r>
            <w:r w:rsidR="00967675" w:rsidRPr="00A00994">
              <w:rPr>
                <w:spacing w:val="-4"/>
                <w:lang w:val="en-GB"/>
              </w:rPr>
              <w:t xml:space="preserve">consisting mainly of the humanitarian assistance to refugees from Ukraine in the amount of </w:t>
            </w:r>
            <w:r w:rsidR="008F2E83" w:rsidRPr="00A00994">
              <w:rPr>
                <w:spacing w:val="-4"/>
                <w:lang w:val="en-GB"/>
              </w:rPr>
              <w:t>4</w:t>
            </w:r>
            <w:r w:rsidR="00967675" w:rsidRPr="00A00994">
              <w:rPr>
                <w:spacing w:val="-4"/>
                <w:lang w:val="en-GB"/>
              </w:rPr>
              <w:t>.</w:t>
            </w:r>
            <w:r w:rsidR="008F2E83" w:rsidRPr="00A00994">
              <w:rPr>
                <w:spacing w:val="-4"/>
                <w:lang w:val="en-GB"/>
              </w:rPr>
              <w:t>3</w:t>
            </w:r>
            <w:r w:rsidR="00967675" w:rsidRPr="00A00994">
              <w:rPr>
                <w:spacing w:val="-4"/>
                <w:lang w:val="en-GB"/>
              </w:rPr>
              <w:t xml:space="preserve"> CZK bn</w:t>
            </w:r>
            <w:r w:rsidR="008F2E83" w:rsidRPr="00A00994">
              <w:rPr>
                <w:spacing w:val="-4"/>
                <w:lang w:val="en-GB"/>
              </w:rPr>
              <w:t>),</w:t>
            </w:r>
            <w:r w:rsidR="00014CE1" w:rsidRPr="00A00994">
              <w:rPr>
                <w:spacing w:val="-4"/>
                <w:lang w:val="en-GB"/>
              </w:rPr>
              <w:t xml:space="preserve"> the total volume of non-pension benefits would decrease</w:t>
            </w:r>
            <w:r w:rsidR="008F2E83" w:rsidRPr="00A00994">
              <w:rPr>
                <w:spacing w:val="-4"/>
                <w:lang w:val="en-GB"/>
              </w:rPr>
              <w:t>.</w:t>
            </w:r>
            <w:r w:rsidR="00014CE1" w:rsidRPr="00A00994">
              <w:rPr>
                <w:spacing w:val="-4"/>
                <w:lang w:val="en-GB"/>
              </w:rPr>
              <w:t xml:space="preserve"> </w:t>
            </w:r>
            <w:r w:rsidR="00967675" w:rsidRPr="00A00994">
              <w:rPr>
                <w:spacing w:val="-4"/>
                <w:lang w:val="en-GB"/>
              </w:rPr>
              <w:t>Since d</w:t>
            </w:r>
            <w:r w:rsidR="00014CE1" w:rsidRPr="00A00994">
              <w:rPr>
                <w:spacing w:val="-4"/>
                <w:lang w:val="en-GB"/>
              </w:rPr>
              <w:t>ue to the major improvement of the epidemic situation</w:t>
            </w:r>
            <w:r w:rsidR="00F867A2" w:rsidRPr="00A00994">
              <w:rPr>
                <w:spacing w:val="-4"/>
                <w:lang w:val="en-GB"/>
              </w:rPr>
              <w:t xml:space="preserve">, significant savings manifested in the pay out of care benefits in comparison to the last year’s H1 </w:t>
            </w:r>
            <w:r w:rsidR="008F2E83" w:rsidRPr="00A00994">
              <w:rPr>
                <w:spacing w:val="-4"/>
                <w:lang w:val="en-GB"/>
              </w:rPr>
              <w:t>(</w:t>
            </w:r>
            <w:r w:rsidR="00F867A2" w:rsidRPr="00A00994">
              <w:rPr>
                <w:spacing w:val="-4"/>
                <w:lang w:val="en-GB"/>
              </w:rPr>
              <w:t xml:space="preserve">by </w:t>
            </w:r>
            <w:r w:rsidR="008F2E83" w:rsidRPr="00A00994">
              <w:rPr>
                <w:spacing w:val="-4"/>
                <w:lang w:val="en-GB"/>
              </w:rPr>
              <w:t xml:space="preserve">40%, </w:t>
            </w:r>
            <w:r w:rsidR="00040A64">
              <w:rPr>
                <w:spacing w:val="-4"/>
                <w:lang w:val="en-GB"/>
              </w:rPr>
              <w:t>i</w:t>
            </w:r>
            <w:r w:rsidR="008F2E83" w:rsidRPr="00A00994">
              <w:rPr>
                <w:spacing w:val="-4"/>
                <w:lang w:val="en-GB"/>
              </w:rPr>
              <w:t>.</w:t>
            </w:r>
            <w:r w:rsidR="00040A64">
              <w:rPr>
                <w:spacing w:val="-4"/>
                <w:lang w:val="en-GB"/>
              </w:rPr>
              <w:t>e.</w:t>
            </w:r>
            <w:r w:rsidR="008F2E83" w:rsidRPr="00A00994">
              <w:rPr>
                <w:spacing w:val="-4"/>
                <w:lang w:val="en-GB"/>
              </w:rPr>
              <w:t xml:space="preserve"> 2</w:t>
            </w:r>
            <w:r w:rsidR="00F867A2" w:rsidRPr="00A00994">
              <w:rPr>
                <w:spacing w:val="-4"/>
                <w:lang w:val="en-GB"/>
              </w:rPr>
              <w:t>.</w:t>
            </w:r>
            <w:r w:rsidR="008F2E83" w:rsidRPr="00A00994">
              <w:rPr>
                <w:spacing w:val="-4"/>
                <w:lang w:val="en-GB"/>
              </w:rPr>
              <w:t>7</w:t>
            </w:r>
            <w:r w:rsidR="00F867A2" w:rsidRPr="00A00994">
              <w:rPr>
                <w:spacing w:val="-4"/>
                <w:lang w:val="en-GB"/>
              </w:rPr>
              <w:t xml:space="preserve"> CZK bn</w:t>
            </w:r>
            <w:r w:rsidR="008F2E83" w:rsidRPr="00A00994">
              <w:rPr>
                <w:spacing w:val="-4"/>
                <w:lang w:val="en-GB"/>
              </w:rPr>
              <w:t xml:space="preserve">), </w:t>
            </w:r>
            <w:r w:rsidR="00014CE1" w:rsidRPr="00A00994">
              <w:rPr>
                <w:spacing w:val="-4"/>
                <w:lang w:val="en-GB"/>
              </w:rPr>
              <w:t xml:space="preserve">the volume of sickness benefits also reduced </w:t>
            </w:r>
            <w:r w:rsidR="00F867A2" w:rsidRPr="00A00994">
              <w:rPr>
                <w:spacing w:val="-4"/>
                <w:lang w:val="en-GB"/>
              </w:rPr>
              <w:t xml:space="preserve">for the first time after year </w:t>
            </w:r>
            <w:r w:rsidR="008F2E83" w:rsidRPr="00A00994">
              <w:rPr>
                <w:spacing w:val="-4"/>
                <w:lang w:val="en-GB"/>
              </w:rPr>
              <w:t>2012</w:t>
            </w:r>
            <w:r w:rsidR="00F867A2" w:rsidRPr="00A00994">
              <w:rPr>
                <w:spacing w:val="-4"/>
                <w:lang w:val="en-GB"/>
              </w:rPr>
              <w:t xml:space="preserve"> </w:t>
            </w:r>
            <w:r w:rsidR="008F2E83" w:rsidRPr="00A00994">
              <w:rPr>
                <w:spacing w:val="-2"/>
                <w:lang w:val="en-GB"/>
              </w:rPr>
              <w:t>(</w:t>
            </w:r>
            <w:r w:rsidR="00F867A2" w:rsidRPr="00A00994">
              <w:rPr>
                <w:spacing w:val="-2"/>
                <w:lang w:val="en-GB"/>
              </w:rPr>
              <w:t xml:space="preserve">by </w:t>
            </w:r>
            <w:r w:rsidR="008F2E83" w:rsidRPr="00A00994">
              <w:rPr>
                <w:spacing w:val="-2"/>
                <w:lang w:val="en-GB"/>
              </w:rPr>
              <w:t>4%, 0</w:t>
            </w:r>
            <w:r w:rsidR="00F867A2" w:rsidRPr="00A00994">
              <w:rPr>
                <w:spacing w:val="-2"/>
                <w:lang w:val="en-GB"/>
              </w:rPr>
              <w:t>.</w:t>
            </w:r>
            <w:r w:rsidR="008F2E83" w:rsidRPr="00A00994">
              <w:rPr>
                <w:spacing w:val="-2"/>
                <w:lang w:val="en-GB"/>
              </w:rPr>
              <w:t>7</w:t>
            </w:r>
            <w:r w:rsidR="00F867A2" w:rsidRPr="00A00994">
              <w:rPr>
                <w:spacing w:val="-2"/>
                <w:lang w:val="en-GB"/>
              </w:rPr>
              <w:t xml:space="preserve"> bn</w:t>
            </w:r>
            <w:r w:rsidR="008F2E83" w:rsidRPr="00A00994">
              <w:rPr>
                <w:spacing w:val="-2"/>
                <w:lang w:val="en-GB"/>
              </w:rPr>
              <w:t>).</w:t>
            </w:r>
            <w:r w:rsidR="00F52BFA" w:rsidRPr="00A00994">
              <w:rPr>
                <w:spacing w:val="-2"/>
                <w:lang w:val="en-GB"/>
              </w:rPr>
              <w:t xml:space="preserve"> Lowering of the disbursed unemployment support </w:t>
            </w:r>
            <w:r w:rsidR="008F2E83" w:rsidRPr="00A00994">
              <w:rPr>
                <w:spacing w:val="-2"/>
                <w:lang w:val="en-GB"/>
              </w:rPr>
              <w:t>(−7</w:t>
            </w:r>
            <w:r w:rsidR="00F52BFA" w:rsidRPr="00A00994">
              <w:rPr>
                <w:spacing w:val="-2"/>
                <w:lang w:val="en-GB"/>
              </w:rPr>
              <w:t>.</w:t>
            </w:r>
            <w:r w:rsidR="008F2E83" w:rsidRPr="00A00994">
              <w:rPr>
                <w:spacing w:val="-2"/>
                <w:lang w:val="en-GB"/>
              </w:rPr>
              <w:t>6%)</w:t>
            </w:r>
            <w:r w:rsidR="00F52BFA" w:rsidRPr="00A00994">
              <w:rPr>
                <w:spacing w:val="-4"/>
                <w:lang w:val="en-GB"/>
              </w:rPr>
              <w:t xml:space="preserve"> or state social support benefits including foster care </w:t>
            </w:r>
            <w:r w:rsidR="008F2E83" w:rsidRPr="00A00994">
              <w:rPr>
                <w:spacing w:val="-4"/>
                <w:lang w:val="en-GB"/>
              </w:rPr>
              <w:t>(−1</w:t>
            </w:r>
            <w:r w:rsidR="00F52BFA" w:rsidRPr="00A00994">
              <w:rPr>
                <w:spacing w:val="-4"/>
                <w:lang w:val="en-GB"/>
              </w:rPr>
              <w:t>.</w:t>
            </w:r>
            <w:r w:rsidR="008F2E83" w:rsidRPr="00A00994">
              <w:rPr>
                <w:spacing w:val="-4"/>
                <w:lang w:val="en-GB"/>
              </w:rPr>
              <w:t>5%)</w:t>
            </w:r>
            <w:r w:rsidR="008F2E83" w:rsidRPr="00A00994">
              <w:rPr>
                <w:rStyle w:val="Znakapoznpodarou"/>
                <w:spacing w:val="-4"/>
                <w:lang w:val="en-GB"/>
              </w:rPr>
              <w:footnoteReference w:id="87"/>
            </w:r>
            <w:r w:rsidR="00F52BFA" w:rsidRPr="00A00994">
              <w:rPr>
                <w:spacing w:val="-4"/>
                <w:lang w:val="en-GB"/>
              </w:rPr>
              <w:t xml:space="preserve"> had a smaller impact. On the contrary, the SB expended by one tenth more </w:t>
            </w:r>
            <w:r w:rsidR="008F2E83" w:rsidRPr="00A00994">
              <w:rPr>
                <w:spacing w:val="-4"/>
                <w:lang w:val="en-GB"/>
              </w:rPr>
              <w:t>(+1</w:t>
            </w:r>
            <w:r w:rsidR="00F52BFA" w:rsidRPr="00A00994">
              <w:rPr>
                <w:spacing w:val="-4"/>
                <w:lang w:val="en-GB"/>
              </w:rPr>
              <w:t>.</w:t>
            </w:r>
            <w:r w:rsidR="008F2E83" w:rsidRPr="00A00994">
              <w:rPr>
                <w:spacing w:val="-4"/>
                <w:lang w:val="en-GB"/>
              </w:rPr>
              <w:t>7</w:t>
            </w:r>
            <w:r w:rsidR="00F52BFA" w:rsidRPr="00A00994">
              <w:rPr>
                <w:spacing w:val="-4"/>
                <w:lang w:val="en-GB"/>
              </w:rPr>
              <w:t xml:space="preserve"> CZK bn</w:t>
            </w:r>
            <w:r w:rsidR="008F2E83" w:rsidRPr="00A00994">
              <w:rPr>
                <w:spacing w:val="-4"/>
                <w:lang w:val="en-GB"/>
              </w:rPr>
              <w:t>)</w:t>
            </w:r>
            <w:r w:rsidR="00F52BFA" w:rsidRPr="00A00994">
              <w:rPr>
                <w:spacing w:val="-4"/>
                <w:lang w:val="en-GB"/>
              </w:rPr>
              <w:t xml:space="preserve"> on care benefits </w:t>
            </w:r>
            <w:r w:rsidR="008F2E83" w:rsidRPr="00A00994">
              <w:rPr>
                <w:spacing w:val="-4"/>
                <w:lang w:val="en-GB"/>
              </w:rPr>
              <w:t>(</w:t>
            </w:r>
            <w:r w:rsidR="00014CE1" w:rsidRPr="00A00994">
              <w:rPr>
                <w:spacing w:val="-4"/>
                <w:lang w:val="en-GB"/>
              </w:rPr>
              <w:t>long-term sickness benefit</w:t>
            </w:r>
            <w:r w:rsidR="008F2E83" w:rsidRPr="00A00994">
              <w:rPr>
                <w:spacing w:val="-4"/>
                <w:lang w:val="en-GB"/>
              </w:rPr>
              <w:t>).</w:t>
            </w:r>
          </w:p>
        </w:tc>
      </w:tr>
      <w:tr w:rsidR="008F2E83" w:rsidRPr="00A00994" w14:paraId="182EF3CD" w14:textId="77777777" w:rsidTr="00EE762D">
        <w:trPr>
          <w:trHeight w:val="145"/>
        </w:trPr>
        <w:tc>
          <w:tcPr>
            <w:tcW w:w="1805" w:type="dxa"/>
            <w:shd w:val="clear" w:color="auto" w:fill="auto"/>
            <w:tcMar>
              <w:left w:w="0" w:type="dxa"/>
            </w:tcMar>
          </w:tcPr>
          <w:p w14:paraId="221113C6" w14:textId="2780BA56" w:rsidR="008F2E83" w:rsidRPr="00A00994" w:rsidRDefault="00014CE1" w:rsidP="00775E00">
            <w:pPr>
              <w:pStyle w:val="Marginlie"/>
              <w:rPr>
                <w:lang w:val="en-GB"/>
              </w:rPr>
            </w:pPr>
            <w:r w:rsidRPr="00A00994">
              <w:rPr>
                <w:lang w:val="en-GB"/>
              </w:rPr>
              <w:t>Half-yearly volume of investment</w:t>
            </w:r>
            <w:r w:rsidR="00967675" w:rsidRPr="00A00994">
              <w:rPr>
                <w:lang w:val="en-GB"/>
              </w:rPr>
              <w:t xml:space="preserve"> hiked up to record level thanks to the </w:t>
            </w:r>
            <w:r w:rsidR="00DC1A3D">
              <w:rPr>
                <w:lang w:val="en-GB"/>
              </w:rPr>
              <w:t>s</w:t>
            </w:r>
            <w:r w:rsidR="00E846B0" w:rsidRPr="00A00994">
              <w:rPr>
                <w:lang w:val="en-GB"/>
              </w:rPr>
              <w:t>pring</w:t>
            </w:r>
            <w:r w:rsidR="00967675" w:rsidRPr="00A00994">
              <w:rPr>
                <w:lang w:val="en-GB"/>
              </w:rPr>
              <w:t xml:space="preserve"> acceleration in</w:t>
            </w:r>
            <w:r w:rsidR="00CC6E69" w:rsidRPr="00A00994">
              <w:rPr>
                <w:lang w:val="en-GB"/>
              </w:rPr>
              <w:t xml:space="preserve"> spending</w:t>
            </w:r>
            <w:r w:rsidR="00775E00" w:rsidRPr="00A00994">
              <w:rPr>
                <w:lang w:val="en-GB"/>
              </w:rPr>
              <w:t>.</w:t>
            </w:r>
            <w:r w:rsidR="008F2E83" w:rsidRPr="00A00994">
              <w:rPr>
                <w:lang w:val="en-GB"/>
              </w:rPr>
              <w:t xml:space="preserve">  </w:t>
            </w:r>
          </w:p>
        </w:tc>
        <w:tc>
          <w:tcPr>
            <w:tcW w:w="217" w:type="dxa"/>
            <w:shd w:val="clear" w:color="auto" w:fill="auto"/>
            <w:tcMar>
              <w:left w:w="0" w:type="dxa"/>
            </w:tcMar>
          </w:tcPr>
          <w:p w14:paraId="04304848"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4B51B238" w14:textId="474A3774" w:rsidR="008F2E83" w:rsidRPr="00A00994" w:rsidRDefault="001F1CAE" w:rsidP="000C7A79">
            <w:pPr>
              <w:spacing w:after="210"/>
              <w:rPr>
                <w:color w:val="0D0D0D" w:themeColor="text1" w:themeTint="F2"/>
                <w:spacing w:val="-4"/>
                <w:lang w:val="en-GB"/>
              </w:rPr>
            </w:pPr>
            <w:r w:rsidRPr="00A00994">
              <w:rPr>
                <w:color w:val="0D0D0D" w:themeColor="text1" w:themeTint="F2"/>
                <w:spacing w:val="-4"/>
                <w:lang w:val="en-GB"/>
              </w:rPr>
              <w:t>Even though this year’s drawing of capital outlays notably accelerated following the ending of the interim budget in Q</w:t>
            </w:r>
            <w:r w:rsidR="008F2E83" w:rsidRPr="00A00994">
              <w:rPr>
                <w:color w:val="0D0D0D" w:themeColor="text1" w:themeTint="F2"/>
                <w:spacing w:val="-4"/>
                <w:lang w:val="en-GB"/>
              </w:rPr>
              <w:t>2</w:t>
            </w:r>
            <w:r w:rsidRPr="00A00994">
              <w:rPr>
                <w:color w:val="0D0D0D" w:themeColor="text1" w:themeTint="F2"/>
                <w:spacing w:val="-4"/>
                <w:lang w:val="en-GB"/>
              </w:rPr>
              <w:t>, SB spent only one third of the annual anticipated volume for the whole half year</w:t>
            </w:r>
            <w:r w:rsidR="008F2E83" w:rsidRPr="00A00994">
              <w:rPr>
                <w:rStyle w:val="Znakapoznpodarou"/>
                <w:color w:val="0D0D0D" w:themeColor="text1" w:themeTint="F2"/>
                <w:spacing w:val="-4"/>
                <w:lang w:val="en-GB"/>
              </w:rPr>
              <w:footnoteReference w:id="88"/>
            </w:r>
            <w:r w:rsidR="008F2E83" w:rsidRPr="00A00994">
              <w:rPr>
                <w:color w:val="0D0D0D" w:themeColor="text1" w:themeTint="F2"/>
                <w:spacing w:val="-4"/>
                <w:lang w:val="en-GB"/>
              </w:rPr>
              <w:t xml:space="preserve">. </w:t>
            </w:r>
            <w:r w:rsidR="00CC6E69" w:rsidRPr="00A00994">
              <w:rPr>
                <w:color w:val="0D0D0D" w:themeColor="text1" w:themeTint="F2"/>
                <w:spacing w:val="-4"/>
                <w:lang w:val="en-GB"/>
              </w:rPr>
              <w:t xml:space="preserve">The investment amount still expanded by considerable </w:t>
            </w:r>
            <w:r w:rsidR="008F2E83" w:rsidRPr="00A00994">
              <w:rPr>
                <w:color w:val="0D0D0D" w:themeColor="text1" w:themeTint="F2"/>
                <w:spacing w:val="-4"/>
                <w:lang w:val="en-GB"/>
              </w:rPr>
              <w:t>13</w:t>
            </w:r>
            <w:r w:rsidR="00CC6E69" w:rsidRPr="00A00994">
              <w:rPr>
                <w:color w:val="0D0D0D" w:themeColor="text1" w:themeTint="F2"/>
                <w:spacing w:val="-4"/>
                <w:lang w:val="en-GB"/>
              </w:rPr>
              <w:t>.</w:t>
            </w:r>
            <w:r w:rsidR="008F2E83" w:rsidRPr="00A00994">
              <w:rPr>
                <w:color w:val="0D0D0D" w:themeColor="text1" w:themeTint="F2"/>
                <w:spacing w:val="-4"/>
                <w:lang w:val="en-GB"/>
              </w:rPr>
              <w:t>9%</w:t>
            </w:r>
            <w:r w:rsidR="00CC6E69" w:rsidRPr="00A00994">
              <w:rPr>
                <w:color w:val="0D0D0D" w:themeColor="text1" w:themeTint="F2"/>
                <w:spacing w:val="-4"/>
                <w:lang w:val="en-GB"/>
              </w:rPr>
              <w:t xml:space="preserve"> year-on-year</w:t>
            </w:r>
            <w:r w:rsidR="008F2E83" w:rsidRPr="00A00994">
              <w:rPr>
                <w:color w:val="0D0D0D" w:themeColor="text1" w:themeTint="F2"/>
                <w:spacing w:val="-4"/>
                <w:lang w:val="en-GB"/>
              </w:rPr>
              <w:t xml:space="preserve"> (</w:t>
            </w:r>
            <w:r w:rsidR="00CC6E69" w:rsidRPr="00A00994">
              <w:rPr>
                <w:color w:val="0D0D0D" w:themeColor="text1" w:themeTint="F2"/>
                <w:spacing w:val="-4"/>
                <w:lang w:val="en-GB"/>
              </w:rPr>
              <w:t xml:space="preserve">to record </w:t>
            </w:r>
            <w:r w:rsidR="00775E00" w:rsidRPr="00A00994">
              <w:rPr>
                <w:color w:val="0D0D0D" w:themeColor="text1" w:themeTint="F2"/>
                <w:spacing w:val="-4"/>
                <w:lang w:val="en-GB"/>
              </w:rPr>
              <w:t>68</w:t>
            </w:r>
            <w:r w:rsidR="00CC6E69" w:rsidRPr="00A00994">
              <w:rPr>
                <w:color w:val="0D0D0D" w:themeColor="text1" w:themeTint="F2"/>
                <w:spacing w:val="-4"/>
                <w:lang w:val="en-GB"/>
              </w:rPr>
              <w:t xml:space="preserve"> CZK bn</w:t>
            </w:r>
            <w:r w:rsidR="00775E00" w:rsidRPr="00A00994">
              <w:rPr>
                <w:color w:val="0D0D0D" w:themeColor="text1" w:themeTint="F2"/>
                <w:spacing w:val="-4"/>
                <w:lang w:val="en-GB"/>
              </w:rPr>
              <w:t xml:space="preserve">), </w:t>
            </w:r>
            <w:r w:rsidR="00CC6E69" w:rsidRPr="00A00994">
              <w:rPr>
                <w:color w:val="0D0D0D" w:themeColor="text1" w:themeTint="F2"/>
                <w:spacing w:val="-4"/>
                <w:lang w:val="en-GB"/>
              </w:rPr>
              <w:t xml:space="preserve">from the major part due to the strengthening of flows into the state funds </w:t>
            </w:r>
            <w:r w:rsidR="008F2E83" w:rsidRPr="00A00994">
              <w:rPr>
                <w:color w:val="0D0D0D" w:themeColor="text1" w:themeTint="F2"/>
                <w:spacing w:val="-4"/>
                <w:lang w:val="en-GB"/>
              </w:rPr>
              <w:t>(</w:t>
            </w:r>
            <w:r w:rsidR="00CC6E69" w:rsidRPr="00A00994">
              <w:rPr>
                <w:color w:val="0D0D0D" w:themeColor="text1" w:themeTint="F2"/>
                <w:spacing w:val="-4"/>
                <w:lang w:val="en-GB"/>
              </w:rPr>
              <w:t>on transport infrastructure as well as the environment</w:t>
            </w:r>
            <w:r w:rsidR="008F2E83" w:rsidRPr="00A00994">
              <w:rPr>
                <w:color w:val="0D0D0D" w:themeColor="text1" w:themeTint="F2"/>
                <w:spacing w:val="-4"/>
                <w:lang w:val="en-GB"/>
              </w:rPr>
              <w:t xml:space="preserve">). </w:t>
            </w:r>
            <w:r w:rsidR="00CC6E69" w:rsidRPr="00A00994">
              <w:rPr>
                <w:color w:val="0D0D0D" w:themeColor="text1" w:themeTint="F2"/>
                <w:spacing w:val="-4"/>
                <w:lang w:val="en-GB"/>
              </w:rPr>
              <w:t xml:space="preserve">Total investment formed even </w:t>
            </w:r>
            <w:r w:rsidR="008F2E83" w:rsidRPr="00A00994">
              <w:rPr>
                <w:color w:val="0D0D0D" w:themeColor="text1" w:themeTint="F2"/>
                <w:spacing w:val="-5"/>
                <w:lang w:val="en-GB"/>
              </w:rPr>
              <w:t xml:space="preserve">7% </w:t>
            </w:r>
            <w:r w:rsidR="00CC6E69" w:rsidRPr="00A00994">
              <w:rPr>
                <w:color w:val="0D0D0D" w:themeColor="text1" w:themeTint="F2"/>
                <w:spacing w:val="-5"/>
                <w:lang w:val="en-GB"/>
              </w:rPr>
              <w:t xml:space="preserve">of all budget expenditures, which corresponded to the long-term average. </w:t>
            </w:r>
          </w:p>
        </w:tc>
      </w:tr>
      <w:tr w:rsidR="008F2E83" w:rsidRPr="00A00994" w14:paraId="610894A5" w14:textId="77777777" w:rsidTr="00EE762D">
        <w:trPr>
          <w:trHeight w:val="170"/>
        </w:trPr>
        <w:tc>
          <w:tcPr>
            <w:tcW w:w="1805" w:type="dxa"/>
            <w:vMerge w:val="restart"/>
            <w:shd w:val="clear" w:color="auto" w:fill="auto"/>
            <w:tcMar>
              <w:left w:w="0" w:type="dxa"/>
            </w:tcMar>
          </w:tcPr>
          <w:p w14:paraId="4827EF04" w14:textId="77777777" w:rsidR="008F2E83" w:rsidRPr="00A00994" w:rsidRDefault="008F2E83" w:rsidP="000C7A79">
            <w:pPr>
              <w:pStyle w:val="Marginlie"/>
              <w:rPr>
                <w:lang w:val="en-GB"/>
              </w:rPr>
            </w:pPr>
          </w:p>
        </w:tc>
        <w:tc>
          <w:tcPr>
            <w:tcW w:w="217" w:type="dxa"/>
            <w:vMerge w:val="restart"/>
            <w:shd w:val="clear" w:color="auto" w:fill="auto"/>
            <w:tcMar>
              <w:left w:w="0" w:type="dxa"/>
            </w:tcMar>
          </w:tcPr>
          <w:p w14:paraId="3F093CC7"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606D6D57" w14:textId="3472D97D" w:rsidR="008F2E83" w:rsidRPr="00A00994" w:rsidRDefault="00E30601" w:rsidP="0052792D">
            <w:pPr>
              <w:spacing w:after="20" w:line="240" w:lineRule="auto"/>
              <w:jc w:val="left"/>
              <w:rPr>
                <w:rFonts w:cs="Arial"/>
                <w:bCs/>
                <w:lang w:val="en-GB"/>
              </w:rPr>
            </w:pPr>
            <w:r w:rsidRPr="00A00994">
              <w:rPr>
                <w:b/>
                <w:lang w:val="en-GB"/>
              </w:rPr>
              <w:t xml:space="preserve">Chart </w:t>
            </w:r>
            <w:r w:rsidR="008F2E83" w:rsidRPr="00A00994">
              <w:rPr>
                <w:b/>
                <w:lang w:val="en-GB"/>
              </w:rPr>
              <w:t>1</w:t>
            </w:r>
            <w:r w:rsidR="0052792D" w:rsidRPr="00A00994">
              <w:rPr>
                <w:b/>
                <w:lang w:val="en-GB"/>
              </w:rPr>
              <w:t>8</w:t>
            </w:r>
            <w:r w:rsidR="008F2E83" w:rsidRPr="00A00994">
              <w:rPr>
                <w:b/>
                <w:lang w:val="en-GB"/>
              </w:rPr>
              <w:t xml:space="preserve"> </w:t>
            </w:r>
            <w:r w:rsidR="00D35123" w:rsidRPr="00A00994">
              <w:rPr>
                <w:rFonts w:cs="Arial"/>
                <w:b/>
                <w:bCs/>
                <w:spacing w:val="-6"/>
                <w:lang w:val="en-GB"/>
              </w:rPr>
              <w:t xml:space="preserve">Selected expenditures of the state budget within H1 </w:t>
            </w:r>
            <w:r w:rsidR="00D35123" w:rsidRPr="00A00994">
              <w:rPr>
                <w:rFonts w:cs="Arial"/>
                <w:bCs/>
                <w:spacing w:val="-6"/>
                <w:lang w:val="en-GB"/>
              </w:rPr>
              <w:t xml:space="preserve">(in CZK bn) </w:t>
            </w:r>
          </w:p>
        </w:tc>
      </w:tr>
      <w:tr w:rsidR="008F2E83" w:rsidRPr="00A00994" w14:paraId="16838208" w14:textId="77777777" w:rsidTr="00B32F31">
        <w:tblPrEx>
          <w:tblCellMar>
            <w:left w:w="70" w:type="dxa"/>
            <w:right w:w="70" w:type="dxa"/>
          </w:tblCellMar>
        </w:tblPrEx>
        <w:trPr>
          <w:trHeight w:val="170"/>
        </w:trPr>
        <w:tc>
          <w:tcPr>
            <w:tcW w:w="1805" w:type="dxa"/>
            <w:vMerge/>
            <w:shd w:val="clear" w:color="auto" w:fill="auto"/>
          </w:tcPr>
          <w:p w14:paraId="213B6951" w14:textId="77777777" w:rsidR="008F2E83" w:rsidRPr="00A00994" w:rsidRDefault="008F2E83" w:rsidP="000C7A79">
            <w:pPr>
              <w:pStyle w:val="Marginlie"/>
              <w:rPr>
                <w:lang w:val="en-GB"/>
              </w:rPr>
            </w:pPr>
          </w:p>
        </w:tc>
        <w:tc>
          <w:tcPr>
            <w:tcW w:w="217" w:type="dxa"/>
            <w:vMerge/>
            <w:shd w:val="clear" w:color="auto" w:fill="auto"/>
          </w:tcPr>
          <w:p w14:paraId="7F440710" w14:textId="77777777" w:rsidR="008F2E83" w:rsidRPr="00A00994" w:rsidRDefault="008F2E83" w:rsidP="000C7A79">
            <w:pPr>
              <w:pStyle w:val="Textpoznpodarou"/>
              <w:jc w:val="both"/>
              <w:rPr>
                <w:spacing w:val="-4"/>
                <w:lang w:val="en-GB"/>
              </w:rPr>
            </w:pPr>
          </w:p>
        </w:tc>
        <w:tc>
          <w:tcPr>
            <w:tcW w:w="7647" w:type="dxa"/>
            <w:shd w:val="clear" w:color="auto" w:fill="auto"/>
          </w:tcPr>
          <w:p w14:paraId="6FCFEB51" w14:textId="1963AA4A" w:rsidR="008F2E83" w:rsidRPr="00A00994" w:rsidRDefault="00B32F31" w:rsidP="000C7A79">
            <w:pPr>
              <w:spacing w:after="0"/>
              <w:rPr>
                <w:spacing w:val="-6"/>
                <w:lang w:val="en-GB"/>
              </w:rPr>
            </w:pPr>
            <w:r>
              <w:rPr>
                <w:noProof/>
              </w:rPr>
              <w:drawing>
                <wp:inline distT="0" distB="0" distL="0" distR="0" wp14:anchorId="1F88A4DD" wp14:editId="1A4B6F1B">
                  <wp:extent cx="4759876" cy="3401149"/>
                  <wp:effectExtent l="0" t="0" r="3175" b="889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8F2E83" w:rsidRPr="00A00994" w14:paraId="2D5A877D" w14:textId="77777777" w:rsidTr="00EE762D">
        <w:trPr>
          <w:trHeight w:val="170"/>
        </w:trPr>
        <w:tc>
          <w:tcPr>
            <w:tcW w:w="1805" w:type="dxa"/>
            <w:vMerge/>
            <w:shd w:val="clear" w:color="auto" w:fill="auto"/>
            <w:tcMar>
              <w:left w:w="0" w:type="dxa"/>
            </w:tcMar>
          </w:tcPr>
          <w:p w14:paraId="4E202D45" w14:textId="77777777" w:rsidR="008F2E83" w:rsidRPr="00A00994" w:rsidRDefault="008F2E83" w:rsidP="000C7A79">
            <w:pPr>
              <w:pStyle w:val="Marginlie"/>
              <w:rPr>
                <w:lang w:val="en-GB"/>
              </w:rPr>
            </w:pPr>
          </w:p>
        </w:tc>
        <w:tc>
          <w:tcPr>
            <w:tcW w:w="217" w:type="dxa"/>
            <w:vMerge/>
            <w:shd w:val="clear" w:color="auto" w:fill="auto"/>
            <w:tcMar>
              <w:left w:w="0" w:type="dxa"/>
            </w:tcMar>
          </w:tcPr>
          <w:p w14:paraId="43758B08"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75158193" w14:textId="49D5FEC6" w:rsidR="00D35123" w:rsidRPr="00A00994" w:rsidRDefault="008F2E83" w:rsidP="00D35123">
            <w:pPr>
              <w:pStyle w:val="Textpoznpodarou"/>
              <w:rPr>
                <w:spacing w:val="-4"/>
                <w:sz w:val="14"/>
                <w:szCs w:val="14"/>
                <w:lang w:val="en-GB"/>
              </w:rPr>
            </w:pPr>
            <w:r w:rsidRPr="00A00994">
              <w:rPr>
                <w:spacing w:val="-4"/>
                <w:sz w:val="14"/>
                <w:szCs w:val="14"/>
                <w:lang w:val="en-GB"/>
              </w:rPr>
              <w:t>*</w:t>
            </w:r>
            <w:r w:rsidR="00D35123" w:rsidRPr="00A00994">
              <w:rPr>
                <w:spacing w:val="-6"/>
                <w:sz w:val="14"/>
                <w:szCs w:val="14"/>
                <w:lang w:val="en-GB"/>
              </w:rPr>
              <w:t xml:space="preserve"> Covers expenditures on salaries in central government institutions. Does not include e.g. wage costs of regional education.</w:t>
            </w:r>
          </w:p>
          <w:p w14:paraId="5518C848" w14:textId="730FCE34" w:rsidR="00D35123" w:rsidRPr="00A00994" w:rsidRDefault="00D35123" w:rsidP="00D35123">
            <w:pPr>
              <w:pStyle w:val="Textpoznpodarou"/>
              <w:rPr>
                <w:spacing w:val="-6"/>
                <w:sz w:val="14"/>
                <w:szCs w:val="14"/>
                <w:lang w:val="en-GB"/>
              </w:rPr>
            </w:pPr>
            <w:r w:rsidRPr="00A00994">
              <w:rPr>
                <w:spacing w:val="-6"/>
                <w:sz w:val="14"/>
                <w:szCs w:val="14"/>
                <w:lang w:val="en-GB"/>
              </w:rPr>
              <w:t>**Also includes the foster care benefits.     ***Includes Material deprivation assistance benefits, Benefits for people with disabilities, Care benefits based on Act on State Social Support.</w:t>
            </w:r>
            <w:r w:rsidR="00246649" w:rsidRPr="00A00994">
              <w:rPr>
                <w:spacing w:val="-6"/>
                <w:sz w:val="14"/>
                <w:szCs w:val="14"/>
                <w:lang w:val="en-GB"/>
              </w:rPr>
              <w:t xml:space="preserve"> Humanitarian aid provided for citizens of Ukraine are also included here.</w:t>
            </w:r>
          </w:p>
          <w:p w14:paraId="76265063" w14:textId="512B802B" w:rsidR="008F2E83" w:rsidRPr="00A00994" w:rsidRDefault="00D35123" w:rsidP="00246649">
            <w:pPr>
              <w:pStyle w:val="Textpoznpodarou"/>
              <w:rPr>
                <w:spacing w:val="-4"/>
                <w:sz w:val="14"/>
                <w:szCs w:val="14"/>
                <w:lang w:val="en-GB"/>
              </w:rPr>
            </w:pPr>
            <w:r w:rsidRPr="00A00994">
              <w:rPr>
                <w:spacing w:val="-6"/>
                <w:sz w:val="14"/>
                <w:szCs w:val="14"/>
                <w:lang w:val="en-GB"/>
              </w:rPr>
              <w:t xml:space="preserve">****Contains mainly expenditures on purchase of services, materials, energies or other services (e.g. expenditures on repairs and maintenance).    *****Corresponds to the balance of the budget chapter State debt.                                             </w:t>
            </w:r>
            <w:r w:rsidR="008F2E83" w:rsidRPr="00A00994">
              <w:rPr>
                <w:spacing w:val="-4"/>
                <w:sz w:val="14"/>
                <w:szCs w:val="14"/>
                <w:lang w:val="en-GB"/>
              </w:rPr>
              <w:t>.</w:t>
            </w:r>
          </w:p>
          <w:p w14:paraId="6C5FAC1B" w14:textId="136C5D1E" w:rsidR="002857D3" w:rsidRPr="00B44097" w:rsidRDefault="00E30601" w:rsidP="00B44097">
            <w:pPr>
              <w:pStyle w:val="Textpoznpodarou"/>
              <w:spacing w:after="200"/>
              <w:rPr>
                <w:spacing w:val="-4"/>
                <w:sz w:val="14"/>
                <w:szCs w:val="14"/>
                <w:lang w:val="en-GB"/>
              </w:rPr>
            </w:pPr>
            <w:r w:rsidRPr="00A00994">
              <w:rPr>
                <w:spacing w:val="-4"/>
                <w:sz w:val="14"/>
                <w:szCs w:val="14"/>
                <w:lang w:val="en-GB"/>
              </w:rPr>
              <w:t>Source</w:t>
            </w:r>
            <w:r w:rsidR="008F2E83" w:rsidRPr="00A00994">
              <w:rPr>
                <w:spacing w:val="-4"/>
                <w:sz w:val="14"/>
                <w:szCs w:val="14"/>
                <w:lang w:val="en-GB"/>
              </w:rPr>
              <w:t>: MF </w:t>
            </w:r>
            <w:r w:rsidRPr="00A00994">
              <w:rPr>
                <w:spacing w:val="-4"/>
                <w:sz w:val="14"/>
                <w:szCs w:val="14"/>
                <w:lang w:val="en-GB"/>
              </w:rPr>
              <w:t>C</w:t>
            </w:r>
            <w:r w:rsidR="008F2E83" w:rsidRPr="00A00994">
              <w:rPr>
                <w:spacing w:val="-4"/>
                <w:sz w:val="14"/>
                <w:szCs w:val="14"/>
                <w:lang w:val="en-GB"/>
              </w:rPr>
              <w:t>R, M</w:t>
            </w:r>
            <w:r w:rsidRPr="00A00994">
              <w:rPr>
                <w:spacing w:val="-4"/>
                <w:sz w:val="14"/>
                <w:szCs w:val="14"/>
                <w:lang w:val="en-GB"/>
              </w:rPr>
              <w:t>LSA</w:t>
            </w:r>
          </w:p>
        </w:tc>
      </w:tr>
      <w:tr w:rsidR="00AA0A80" w:rsidRPr="00A00994" w14:paraId="205BCD79" w14:textId="77777777" w:rsidTr="00EE762D">
        <w:trPr>
          <w:trHeight w:val="170"/>
        </w:trPr>
        <w:tc>
          <w:tcPr>
            <w:tcW w:w="1805" w:type="dxa"/>
            <w:shd w:val="clear" w:color="auto" w:fill="auto"/>
            <w:tcMar>
              <w:left w:w="0" w:type="dxa"/>
            </w:tcMar>
          </w:tcPr>
          <w:p w14:paraId="55014FB0" w14:textId="77F8BA43" w:rsidR="00AA0A80" w:rsidRPr="00A00994" w:rsidRDefault="00AA0A80" w:rsidP="00AA0A80">
            <w:pPr>
              <w:pStyle w:val="Marginlie"/>
              <w:rPr>
                <w:lang w:val="en-GB"/>
              </w:rPr>
            </w:pPr>
            <w:r w:rsidRPr="00A00994">
              <w:rPr>
                <w:lang w:val="en-GB"/>
              </w:rPr>
              <w:lastRenderedPageBreak/>
              <w:t xml:space="preserve">Half-yearly positive SB balance towards the EU budget was under the effect of weaker revenues the lowest in the last four years. </w:t>
            </w:r>
          </w:p>
        </w:tc>
        <w:tc>
          <w:tcPr>
            <w:tcW w:w="217" w:type="dxa"/>
            <w:shd w:val="clear" w:color="auto" w:fill="auto"/>
            <w:tcMar>
              <w:left w:w="0" w:type="dxa"/>
            </w:tcMar>
          </w:tcPr>
          <w:p w14:paraId="2E5AF6D1" w14:textId="77777777" w:rsidR="00AA0A80" w:rsidRPr="00A00994" w:rsidRDefault="00AA0A80" w:rsidP="00AA0A80">
            <w:pPr>
              <w:pStyle w:val="Textpoznpodarou"/>
              <w:jc w:val="both"/>
              <w:rPr>
                <w:spacing w:val="-4"/>
                <w:lang w:val="en-GB"/>
              </w:rPr>
            </w:pPr>
          </w:p>
        </w:tc>
        <w:tc>
          <w:tcPr>
            <w:tcW w:w="7647" w:type="dxa"/>
            <w:shd w:val="clear" w:color="auto" w:fill="auto"/>
            <w:tcMar>
              <w:left w:w="0" w:type="dxa"/>
            </w:tcMar>
          </w:tcPr>
          <w:p w14:paraId="72BB8EA2" w14:textId="1C0E8DDC" w:rsidR="00AA0A80" w:rsidRPr="00A00994" w:rsidRDefault="00AA0A80" w:rsidP="00AA0A80">
            <w:pPr>
              <w:rPr>
                <w:rFonts w:cs="Arial"/>
                <w:color w:val="0D0D0D" w:themeColor="text1" w:themeTint="F2"/>
                <w:spacing w:val="-6"/>
                <w:lang w:val="en-GB"/>
              </w:rPr>
            </w:pPr>
            <w:r w:rsidRPr="00A00994">
              <w:rPr>
                <w:color w:val="0D0D0D" w:themeColor="text1" w:themeTint="F2"/>
                <w:spacing w:val="-2"/>
                <w:lang w:val="en-GB"/>
              </w:rPr>
              <w:t>Despite stronger year-on-year decrease of the majority of revenue types the CR remained towards the EU budget the net recipient in H1 2022. The structural funds preserved the position of the most significant revenue channel (17.7 CZK bn), even though these flows into the CR reduced by more than one half against H1 2020 (the similar was also valid for the cohesion funds). The volume of otherwise fairly stable in the long-term direct payments in agriculture decreased substantially slower (to 17.1 bn). 6.1 CZK bn was allocated to the rural development (incl. the area of fishing). It represented the only revenue title, where the CR gained more year-on-year. Half-yearly total domestic payments into the Union budget practically stagnated similarly to the previous two years (32.5 CZK bn). The CR thus acquired from the EU budget net 15.9 CZK bn so far this year (the least since H1 2018). If revenue from the EU tool Recovery and Resilience Facility</w:t>
            </w:r>
            <w:r w:rsidRPr="00A00994">
              <w:rPr>
                <w:color w:val="0D0D0D" w:themeColor="text1" w:themeTint="F2"/>
                <w:spacing w:val="-2"/>
                <w:vertAlign w:val="superscript"/>
                <w:lang w:val="en-GB"/>
              </w:rPr>
              <w:footnoteReference w:id="89"/>
            </w:r>
            <w:r w:rsidRPr="00A00994">
              <w:rPr>
                <w:color w:val="0D0D0D" w:themeColor="text1" w:themeTint="F2"/>
                <w:spacing w:val="-2"/>
                <w:lang w:val="en-GB"/>
              </w:rPr>
              <w:t xml:space="preserve"> were also included, the positive balance would be 23.5 bn.</w:t>
            </w:r>
          </w:p>
        </w:tc>
      </w:tr>
      <w:tr w:rsidR="00AA0A80" w:rsidRPr="00A00994" w14:paraId="5609F5EB" w14:textId="77777777" w:rsidTr="00EE762D">
        <w:trPr>
          <w:trHeight w:val="170"/>
        </w:trPr>
        <w:tc>
          <w:tcPr>
            <w:tcW w:w="1805" w:type="dxa"/>
            <w:shd w:val="clear" w:color="auto" w:fill="auto"/>
            <w:tcMar>
              <w:left w:w="0" w:type="dxa"/>
            </w:tcMar>
          </w:tcPr>
          <w:p w14:paraId="050C8DAC" w14:textId="011E207F" w:rsidR="00AA0A80" w:rsidRPr="00A00994" w:rsidRDefault="00AA0A80" w:rsidP="00AA0A80">
            <w:pPr>
              <w:pStyle w:val="Marginlie"/>
              <w:rPr>
                <w:lang w:val="en-GB"/>
              </w:rPr>
            </w:pPr>
            <w:r w:rsidRPr="00A00994">
              <w:rPr>
                <w:lang w:val="en-GB"/>
              </w:rPr>
              <w:t xml:space="preserve">Budget deficit of the government institutions sector shrank nearly by one half in the CR year-on-year, still it remained deep. </w:t>
            </w:r>
          </w:p>
          <w:p w14:paraId="4DA3A8FF" w14:textId="77777777" w:rsidR="00AA0A80" w:rsidRPr="00A00994" w:rsidRDefault="00AA0A80" w:rsidP="00AA0A80">
            <w:pPr>
              <w:pStyle w:val="Marginlie"/>
              <w:rPr>
                <w:lang w:val="en-GB"/>
              </w:rPr>
            </w:pPr>
          </w:p>
          <w:p w14:paraId="1A970A3E" w14:textId="77777777" w:rsidR="00AA0A80" w:rsidRPr="00A00994" w:rsidRDefault="00AA0A80" w:rsidP="00AA0A80">
            <w:pPr>
              <w:pStyle w:val="Marginlie"/>
              <w:rPr>
                <w:lang w:val="en-GB"/>
              </w:rPr>
            </w:pPr>
          </w:p>
          <w:p w14:paraId="2F70AA91" w14:textId="77777777" w:rsidR="00AA0A80" w:rsidRPr="00A00994" w:rsidRDefault="00AA0A80" w:rsidP="00AA0A80">
            <w:pPr>
              <w:pStyle w:val="Marginlie"/>
              <w:rPr>
                <w:lang w:val="en-GB"/>
              </w:rPr>
            </w:pPr>
          </w:p>
          <w:p w14:paraId="104C3F71" w14:textId="77777777" w:rsidR="00AA0A80" w:rsidRPr="00A00994" w:rsidRDefault="00AA0A80" w:rsidP="00AA0A80">
            <w:pPr>
              <w:pStyle w:val="Marginlie"/>
              <w:rPr>
                <w:lang w:val="en-GB"/>
              </w:rPr>
            </w:pPr>
          </w:p>
          <w:p w14:paraId="582A7F75" w14:textId="77777777" w:rsidR="00AA0A80" w:rsidRPr="00A00994" w:rsidRDefault="00AA0A80" w:rsidP="00AA0A80">
            <w:pPr>
              <w:pStyle w:val="Marginlie"/>
              <w:rPr>
                <w:lang w:val="en-GB"/>
              </w:rPr>
            </w:pPr>
          </w:p>
          <w:p w14:paraId="71688830" w14:textId="77777777" w:rsidR="00AA0A80" w:rsidRPr="00A00994" w:rsidRDefault="00AA0A80" w:rsidP="00AA0A80">
            <w:pPr>
              <w:pStyle w:val="Marginlie"/>
              <w:rPr>
                <w:lang w:val="en-GB"/>
              </w:rPr>
            </w:pPr>
          </w:p>
          <w:p w14:paraId="523D8DBA" w14:textId="77777777" w:rsidR="00AA0A80" w:rsidRPr="00A00994" w:rsidRDefault="00AA0A80" w:rsidP="00AA0A80">
            <w:pPr>
              <w:pStyle w:val="Marginlie"/>
              <w:rPr>
                <w:lang w:val="en-GB"/>
              </w:rPr>
            </w:pPr>
          </w:p>
          <w:p w14:paraId="1E72EED1" w14:textId="0ADD2F6F" w:rsidR="00AA0A80" w:rsidRPr="00A00994" w:rsidRDefault="00AA0A80" w:rsidP="00AA0A80">
            <w:pPr>
              <w:pStyle w:val="Marginlie"/>
              <w:rPr>
                <w:lang w:val="en-GB"/>
              </w:rPr>
            </w:pPr>
            <w:r w:rsidRPr="00A00994">
              <w:rPr>
                <w:lang w:val="en-GB"/>
              </w:rPr>
              <w:t xml:space="preserve">Growth of the consolidated government institution debt slowed down in the CR.  </w:t>
            </w:r>
          </w:p>
        </w:tc>
        <w:tc>
          <w:tcPr>
            <w:tcW w:w="217" w:type="dxa"/>
            <w:shd w:val="clear" w:color="auto" w:fill="auto"/>
            <w:tcMar>
              <w:left w:w="0" w:type="dxa"/>
            </w:tcMar>
          </w:tcPr>
          <w:p w14:paraId="3A407E06" w14:textId="77777777" w:rsidR="00AA0A80" w:rsidRPr="00A00994" w:rsidRDefault="00AA0A80" w:rsidP="00AA0A80">
            <w:pPr>
              <w:pStyle w:val="Textpoznpodarou"/>
              <w:jc w:val="both"/>
              <w:rPr>
                <w:spacing w:val="-4"/>
                <w:lang w:val="en-GB"/>
              </w:rPr>
            </w:pPr>
          </w:p>
        </w:tc>
        <w:tc>
          <w:tcPr>
            <w:tcW w:w="7647" w:type="dxa"/>
            <w:shd w:val="clear" w:color="auto" w:fill="auto"/>
            <w:tcMar>
              <w:left w:w="0" w:type="dxa"/>
            </w:tcMar>
          </w:tcPr>
          <w:p w14:paraId="572F8B90" w14:textId="2828C2CF" w:rsidR="00AA0A80" w:rsidRPr="00A00994" w:rsidRDefault="00AA0A80" w:rsidP="00AA0A80">
            <w:pPr>
              <w:rPr>
                <w:rFonts w:cs="Arial"/>
                <w:color w:val="0D0D0D" w:themeColor="text1" w:themeTint="F2"/>
                <w:spacing w:val="-6"/>
                <w:lang w:val="en-GB"/>
              </w:rPr>
            </w:pPr>
            <w:r w:rsidRPr="00A00994">
              <w:rPr>
                <w:rFonts w:cs="Arial"/>
                <w:color w:val="0D0D0D" w:themeColor="text1" w:themeTint="F2"/>
                <w:spacing w:val="-6"/>
                <w:lang w:val="en-GB"/>
              </w:rPr>
              <w:t>Government institution sector (VI) budget in the CR ended in deficit of 75.3 CZK bn in Q1 2022</w:t>
            </w:r>
            <w:r w:rsidRPr="00A00994">
              <w:rPr>
                <w:rStyle w:val="Znakapoznpodarou"/>
                <w:color w:val="0D0D0D" w:themeColor="text1" w:themeTint="F2"/>
                <w:spacing w:val="-6"/>
                <w:lang w:val="en-GB"/>
              </w:rPr>
              <w:footnoteReference w:id="90"/>
            </w:r>
            <w:r w:rsidRPr="00A00994">
              <w:rPr>
                <w:rFonts w:cs="Arial"/>
                <w:color w:val="0D0D0D" w:themeColor="text1" w:themeTint="F2"/>
                <w:spacing w:val="-6"/>
                <w:lang w:val="en-GB"/>
              </w:rPr>
              <w:t>. Even though it represented a deficit by nearly one half lower year-on-year, it was simultaneously the second worse result achieved within Q1 in the history of the independent CR. Substantial slowdown of growth of total expenditures VI (to 1.2% year-on-year), which was mainly associated with the termination of majority of support programmes for the entities impacted by the plunge of demand during the pandemics, contributed to the deficit moderation in Q1. Parallelly</w:t>
            </w:r>
            <w:r>
              <w:rPr>
                <w:rFonts w:cs="Arial"/>
                <w:color w:val="0D0D0D" w:themeColor="text1" w:themeTint="F2"/>
                <w:spacing w:val="-6"/>
                <w:lang w:val="en-GB"/>
              </w:rPr>
              <w:t>,</w:t>
            </w:r>
            <w:r w:rsidRPr="00A00994">
              <w:rPr>
                <w:rFonts w:cs="Arial"/>
                <w:color w:val="0D0D0D" w:themeColor="text1" w:themeTint="F2"/>
                <w:spacing w:val="-6"/>
                <w:lang w:val="en-GB"/>
              </w:rPr>
              <w:t xml:space="preserve"> the acceleration of the revenue growth occurred (to 13.6%) – both under the influence of the total revival of the economy and impact of the high price growth. Revenue VI from the product taxes (+27 CZK bn, </w:t>
            </w:r>
            <w:r>
              <w:rPr>
                <w:rFonts w:cs="Arial"/>
                <w:color w:val="0D0D0D" w:themeColor="text1" w:themeTint="F2"/>
                <w:spacing w:val="-6"/>
                <w:lang w:val="en-GB"/>
              </w:rPr>
              <w:t>i.e.</w:t>
            </w:r>
            <w:r w:rsidRPr="00A00994">
              <w:rPr>
                <w:rFonts w:cs="Arial"/>
                <w:color w:val="0D0D0D" w:themeColor="text1" w:themeTint="F2"/>
                <w:spacing w:val="-6"/>
                <w:lang w:val="en-GB"/>
              </w:rPr>
              <w:t xml:space="preserve"> +20%) as well as from net social contributions of both employers and workers themselves (+21 bn, +9%) thus grew swiftly. In both cases it concerned revenues substantially exceeding their pre-crisis maximum. Budget deficit fell solely to the central VI, since regional VI as well as health insurance companies recorded mild budget surplus (similarly to the beginning of last year). Gross consolidated debt of the sector </w:t>
            </w:r>
            <w:r w:rsidRPr="00A00994">
              <w:rPr>
                <w:lang w:val="en-GB"/>
              </w:rPr>
              <w:t xml:space="preserve">VI rose to 2 683 CZK bn, year-on-year by 6.8% this year in March. The size of the debt grew continuously since half of year 2019, this year’s increase was however the lowest since the beginning of pandemics so far.  </w:t>
            </w:r>
          </w:p>
        </w:tc>
      </w:tr>
      <w:tr w:rsidR="00AA0A80" w:rsidRPr="00A00994" w14:paraId="44BC0AB6" w14:textId="77777777" w:rsidTr="00EE762D">
        <w:trPr>
          <w:trHeight w:val="170"/>
        </w:trPr>
        <w:tc>
          <w:tcPr>
            <w:tcW w:w="1805" w:type="dxa"/>
            <w:shd w:val="clear" w:color="auto" w:fill="auto"/>
            <w:tcMar>
              <w:left w:w="0" w:type="dxa"/>
            </w:tcMar>
          </w:tcPr>
          <w:p w14:paraId="572C13B5" w14:textId="3BCCD72B" w:rsidR="00AA0A80" w:rsidRPr="00A00994" w:rsidRDefault="00AA0A80" w:rsidP="00AA0A80">
            <w:pPr>
              <w:pStyle w:val="Marginlie"/>
              <w:rPr>
                <w:lang w:val="en-GB"/>
              </w:rPr>
            </w:pPr>
            <w:r w:rsidRPr="00A00994">
              <w:rPr>
                <w:lang w:val="en-GB"/>
              </w:rPr>
              <w:t xml:space="preserve">Budget deficit of the government institution sector in the EU dropped for the fifth quarter in a row, specifically to the lowest value since the onset of pandemics. </w:t>
            </w:r>
          </w:p>
        </w:tc>
        <w:tc>
          <w:tcPr>
            <w:tcW w:w="217" w:type="dxa"/>
            <w:shd w:val="clear" w:color="auto" w:fill="auto"/>
            <w:tcMar>
              <w:left w:w="0" w:type="dxa"/>
            </w:tcMar>
          </w:tcPr>
          <w:p w14:paraId="50FCF0B4" w14:textId="77777777" w:rsidR="00AA0A80" w:rsidRPr="00A00994" w:rsidRDefault="00AA0A80" w:rsidP="00AA0A80">
            <w:pPr>
              <w:pStyle w:val="Textpoznpodarou"/>
              <w:jc w:val="both"/>
              <w:rPr>
                <w:spacing w:val="-4"/>
                <w:lang w:val="en-GB"/>
              </w:rPr>
            </w:pPr>
          </w:p>
        </w:tc>
        <w:tc>
          <w:tcPr>
            <w:tcW w:w="7647" w:type="dxa"/>
            <w:shd w:val="clear" w:color="auto" w:fill="auto"/>
            <w:tcMar>
              <w:left w:w="0" w:type="dxa"/>
            </w:tcMar>
          </w:tcPr>
          <w:p w14:paraId="12AAFD17" w14:textId="2F66E45A" w:rsidR="00AA0A80" w:rsidRPr="00A00994" w:rsidRDefault="00AA0A80" w:rsidP="00AA0A80">
            <w:pPr>
              <w:rPr>
                <w:rFonts w:cs="Arial"/>
                <w:color w:val="0D0D0D" w:themeColor="text1" w:themeTint="F2"/>
                <w:spacing w:val="-6"/>
                <w:lang w:val="en-GB"/>
              </w:rPr>
            </w:pPr>
            <w:r w:rsidRPr="00A00994">
              <w:rPr>
                <w:rFonts w:cs="Arial"/>
                <w:color w:val="0D0D0D" w:themeColor="text1" w:themeTint="F2"/>
                <w:spacing w:val="-6"/>
                <w:lang w:val="en-GB"/>
              </w:rPr>
              <w:t>Post crisis revival of the economy together with strong reduction of the extraordinary public expenditures tied to the pandemics are gradually reflected in the improved budget of the government institutions sector in the EU countries. Sector VI budget deficit</w:t>
            </w:r>
            <w:r w:rsidRPr="00A00994">
              <w:rPr>
                <w:rStyle w:val="Znakapoznpodarou"/>
                <w:color w:val="0D0D0D" w:themeColor="text1" w:themeTint="F2"/>
                <w:spacing w:val="-6"/>
                <w:lang w:val="en-GB"/>
              </w:rPr>
              <w:footnoteReference w:id="91"/>
            </w:r>
            <w:r w:rsidRPr="00A00994">
              <w:rPr>
                <w:rFonts w:cs="Arial"/>
                <w:color w:val="0D0D0D" w:themeColor="text1" w:themeTint="F2"/>
                <w:spacing w:val="-6"/>
                <w:lang w:val="en-GB"/>
              </w:rPr>
              <w:t xml:space="preserve"> decreased for the fifth time in a row in the Union quarter-on-quarter and it amounted to 2.2% of GDP at the beginning of this year (the least since the end of year 2019). The relative deficit was thus lower than in the CR (−3.5% of GDP) or Spain (−4.4%) and France (−3.8%), the deepest deficits troubled Italy and Malta. Hungary (−6.9% of GDP) and Slovakia (−3.7%) were hit the most within the Central Europe (similarly to the whole last year), in contrast Poland (−1.2%) and Germany (−0.4%) headed towards the balanced budget this year so far. In comparison to Q1 2021, when a number of states proceeded with counter pandemic restriction, the balance of sector VI budget improved in the vast majority of Union members this year. Only Bulgaria and also Denmark (whose budget still ended in mild surplus) experienced an apparent deterioration.</w:t>
            </w:r>
          </w:p>
        </w:tc>
      </w:tr>
      <w:tr w:rsidR="00AA0A80" w:rsidRPr="00A00994" w14:paraId="12B49020" w14:textId="77777777" w:rsidTr="00EE762D">
        <w:trPr>
          <w:trHeight w:val="170"/>
        </w:trPr>
        <w:tc>
          <w:tcPr>
            <w:tcW w:w="1805" w:type="dxa"/>
            <w:shd w:val="clear" w:color="auto" w:fill="auto"/>
            <w:tcMar>
              <w:left w:w="0" w:type="dxa"/>
            </w:tcMar>
          </w:tcPr>
          <w:p w14:paraId="7CF3BA29" w14:textId="08447B53" w:rsidR="00AA0A80" w:rsidRPr="00A00994" w:rsidRDefault="00AA0A80" w:rsidP="00AA0A80">
            <w:pPr>
              <w:pStyle w:val="Marginlie"/>
              <w:rPr>
                <w:lang w:val="en-GB"/>
              </w:rPr>
            </w:pPr>
            <w:r w:rsidRPr="00A00994">
              <w:rPr>
                <w:lang w:val="en-GB"/>
              </w:rPr>
              <w:t xml:space="preserve">The indebtedness rate in the EU started mildly decreasing following the last year’s absolute peak. </w:t>
            </w:r>
            <w:r w:rsidRPr="00A00994">
              <w:rPr>
                <w:lang w:val="en-GB"/>
              </w:rPr>
              <w:lastRenderedPageBreak/>
              <w:t xml:space="preserve">Nearly all member states recorded a positive shift. </w:t>
            </w:r>
          </w:p>
          <w:p w14:paraId="2D39B321" w14:textId="77777777" w:rsidR="00AA0A80" w:rsidRPr="00A00994" w:rsidRDefault="00AA0A80" w:rsidP="00AA0A80">
            <w:pPr>
              <w:pStyle w:val="Marginlie"/>
              <w:rPr>
                <w:lang w:val="en-GB"/>
              </w:rPr>
            </w:pPr>
          </w:p>
        </w:tc>
        <w:tc>
          <w:tcPr>
            <w:tcW w:w="217" w:type="dxa"/>
            <w:shd w:val="clear" w:color="auto" w:fill="auto"/>
            <w:tcMar>
              <w:left w:w="0" w:type="dxa"/>
            </w:tcMar>
          </w:tcPr>
          <w:p w14:paraId="1999B2C3" w14:textId="77777777" w:rsidR="00AA0A80" w:rsidRPr="00A00994" w:rsidRDefault="00AA0A80" w:rsidP="00AA0A80">
            <w:pPr>
              <w:pStyle w:val="Textpoznpodarou"/>
              <w:jc w:val="both"/>
              <w:rPr>
                <w:spacing w:val="-4"/>
                <w:lang w:val="en-GB"/>
              </w:rPr>
            </w:pPr>
          </w:p>
        </w:tc>
        <w:tc>
          <w:tcPr>
            <w:tcW w:w="7647" w:type="dxa"/>
            <w:shd w:val="clear" w:color="auto" w:fill="auto"/>
            <w:tcMar>
              <w:left w:w="0" w:type="dxa"/>
            </w:tcMar>
          </w:tcPr>
          <w:p w14:paraId="386B980A" w14:textId="2501919B" w:rsidR="00AA0A80" w:rsidRPr="00A00994" w:rsidRDefault="00AA0A80" w:rsidP="00AA0A80">
            <w:pPr>
              <w:rPr>
                <w:rFonts w:cs="Arial"/>
                <w:color w:val="0D0D0D" w:themeColor="text1" w:themeTint="F2"/>
                <w:spacing w:val="-6"/>
                <w:lang w:val="en-GB"/>
              </w:rPr>
            </w:pPr>
            <w:r w:rsidRPr="00A00994">
              <w:rPr>
                <w:rFonts w:cs="Arial"/>
                <w:color w:val="0D0D0D" w:themeColor="text1" w:themeTint="F2"/>
                <w:spacing w:val="-3"/>
                <w:lang w:val="en-GB"/>
              </w:rPr>
              <w:t>The indebtedness of sector VI, which ascended to the historically highest level at the beginning of the last year, arrived at 87.8% of GDP (res. 95.6% in the euro area</w:t>
            </w:r>
            <w:r w:rsidRPr="00A00994">
              <w:rPr>
                <w:rFonts w:cs="Arial"/>
                <w:color w:val="0D0D0D" w:themeColor="text1" w:themeTint="F2"/>
                <w:spacing w:val="-4"/>
                <w:lang w:val="en-GB"/>
              </w:rPr>
              <w:t xml:space="preserve">) in the EU at the end of Q1 2022. All member states reported a year-on-year reduction of the indebtedness </w:t>
            </w:r>
            <w:r w:rsidRPr="00A00994">
              <w:rPr>
                <w:rFonts w:cs="Arial"/>
                <w:color w:val="0D0D0D" w:themeColor="text1" w:themeTint="F2"/>
                <w:lang w:val="en-GB"/>
              </w:rPr>
              <w:t>(whole EU by 4.5 p.p., the CR by 1.1</w:t>
            </w:r>
            <w:r w:rsidRPr="00A00994">
              <w:rPr>
                <w:rFonts w:cs="Arial"/>
                <w:color w:val="0D0D0D" w:themeColor="text1" w:themeTint="F2"/>
                <w:spacing w:val="-3"/>
                <w:lang w:val="en-GB"/>
              </w:rPr>
              <w:t xml:space="preserve"> p.p.), apart from Romania, Slovakia </w:t>
            </w:r>
            <w:r w:rsidRPr="00A00994">
              <w:rPr>
                <w:rFonts w:cs="Arial"/>
                <w:color w:val="0D0D0D" w:themeColor="text1" w:themeTint="F2"/>
                <w:spacing w:val="-3"/>
                <w:lang w:val="en-GB"/>
              </w:rPr>
              <w:lastRenderedPageBreak/>
              <w:t>and Malta (where a mild increase manifested). The debt in the Union was nevertheless higher by 10 p.p. compared to the lowest indebtedness level from the year of the pre-pandemic boom (period 2014 till 2019), by nearly 20 p. p. (+13 p.p. in the CR) in the most affected states (Greece, Italy, Spain, France). On the contrary only Ireland fared considerably better than before the pandemics (−4 p.p.). This year’s indebtedness corresponded</w:t>
            </w:r>
            <w:r w:rsidR="001F406B">
              <w:rPr>
                <w:rFonts w:cs="Arial"/>
                <w:color w:val="0D0D0D" w:themeColor="text1" w:themeTint="F2"/>
                <w:spacing w:val="-3"/>
                <w:lang w:val="en-GB"/>
              </w:rPr>
              <w:t xml:space="preserve"> to the level</w:t>
            </w:r>
            <w:r w:rsidRPr="00A00994">
              <w:rPr>
                <w:rFonts w:cs="Arial"/>
                <w:color w:val="0D0D0D" w:themeColor="text1" w:themeTint="F2"/>
                <w:spacing w:val="-3"/>
                <w:lang w:val="en-GB"/>
              </w:rPr>
              <w:t xml:space="preserve"> from the end of year 2019 in Denmark and Sweden and both countries thus solidified their position among the least indebted economies. The indebtedness rate arrived at 42.8% of GDP in the CR, which marked the eighth lowest value in the Union and at the same time still sovereign </w:t>
            </w:r>
            <w:r w:rsidR="001F406B">
              <w:rPr>
                <w:rFonts w:cs="Arial"/>
                <w:color w:val="0D0D0D" w:themeColor="text1" w:themeTint="F2"/>
                <w:spacing w:val="-3"/>
                <w:lang w:val="en-GB"/>
              </w:rPr>
              <w:t xml:space="preserve">best </w:t>
            </w:r>
            <w:r w:rsidRPr="00A00994">
              <w:rPr>
                <w:rFonts w:cs="Arial"/>
                <w:color w:val="0D0D0D" w:themeColor="text1" w:themeTint="F2"/>
                <w:spacing w:val="-3"/>
                <w:lang w:val="en-GB"/>
              </w:rPr>
              <w:t xml:space="preserve">position among the Central European states. </w:t>
            </w:r>
          </w:p>
        </w:tc>
      </w:tr>
    </w:tbl>
    <w:p w14:paraId="3409E2F5" w14:textId="77777777" w:rsidR="008F2E83" w:rsidRPr="00A00994" w:rsidRDefault="008F2E83" w:rsidP="008F2E83">
      <w:pPr>
        <w:pStyle w:val="Nadpis11"/>
        <w:spacing w:after="0"/>
        <w:rPr>
          <w:b w:val="0"/>
          <w:sz w:val="2"/>
          <w:szCs w:val="2"/>
          <w:lang w:val="en-GB"/>
        </w:rPr>
      </w:pPr>
    </w:p>
    <w:p w14:paraId="5BAB8EA3" w14:textId="23A06DC9" w:rsidR="000663F0" w:rsidRPr="00A00994" w:rsidRDefault="000663F0" w:rsidP="00A315D0">
      <w:pPr>
        <w:pStyle w:val="Nadpis11"/>
        <w:rPr>
          <w:b w:val="0"/>
          <w:sz w:val="2"/>
          <w:szCs w:val="2"/>
          <w:lang w:val="en-GB"/>
        </w:rPr>
      </w:pPr>
    </w:p>
    <w:sectPr w:rsidR="000663F0" w:rsidRPr="00A00994" w:rsidSect="00A03B10">
      <w:headerReference w:type="even" r:id="rId28"/>
      <w:headerReference w:type="default" r:id="rId29"/>
      <w:footerReference w:type="even" r:id="rId30"/>
      <w:footerReference w:type="default" r:id="rId31"/>
      <w:pgSz w:w="11906" w:h="16838" w:code="9"/>
      <w:pgMar w:top="1134" w:right="1134" w:bottom="1418" w:left="1134" w:header="680"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77CA" w16cid:durableId="26F13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57EA3" w14:textId="77777777" w:rsidR="001002DE" w:rsidRDefault="001002DE" w:rsidP="00E71A58">
      <w:r>
        <w:separator/>
      </w:r>
    </w:p>
  </w:endnote>
  <w:endnote w:type="continuationSeparator" w:id="0">
    <w:p w14:paraId="4C14771A" w14:textId="77777777" w:rsidR="001002DE" w:rsidRDefault="001002D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5DF2FB3A" w:rsidR="00073B58" w:rsidRPr="00932443" w:rsidRDefault="00073B58"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9072C6">
      <w:rPr>
        <w:szCs w:val="16"/>
      </w:rPr>
      <w:t>4</w:t>
    </w:r>
    <w:r w:rsidRPr="00932443">
      <w:rPr>
        <w:szCs w:val="16"/>
      </w:rPr>
      <w:fldChar w:fldCharType="end"/>
    </w:r>
    <w:r w:rsidRPr="00932443">
      <w:rPr>
        <w:szCs w:val="16"/>
      </w:rPr>
      <w:tab/>
    </w:r>
    <w:r w:rsidRPr="00D060D1">
      <w:rPr>
        <w:szCs w:val="16"/>
        <w:lang w:val="en-GB"/>
      </w:rPr>
      <w:t>First half of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42B1E6A6" w:rsidR="00073B58" w:rsidRPr="00932443" w:rsidRDefault="00073B58" w:rsidP="00FA6CB6">
    <w:pPr>
      <w:pStyle w:val="Zpat"/>
      <w:rPr>
        <w:szCs w:val="16"/>
      </w:rPr>
    </w:pPr>
    <w:r w:rsidRPr="00FA6CB6">
      <w:rPr>
        <w:szCs w:val="16"/>
      </w:rPr>
      <w:tab/>
    </w:r>
    <w:r w:rsidRPr="00D060D1">
      <w:rPr>
        <w:szCs w:val="16"/>
        <w:lang w:val="en-GB"/>
      </w:rPr>
      <w:t xml:space="preserve">First </w:t>
    </w:r>
    <w:r>
      <w:rPr>
        <w:szCs w:val="16"/>
        <w:lang w:val="en-GB"/>
      </w:rPr>
      <w:t>h</w:t>
    </w:r>
    <w:r w:rsidRPr="00D060D1">
      <w:rPr>
        <w:szCs w:val="16"/>
        <w:lang w:val="en-GB"/>
      </w:rPr>
      <w:t>alf of 202</w:t>
    </w:r>
    <w:r>
      <w:rPr>
        <w:lang w:eastAsia="cs-CZ"/>
      </w:rPr>
      <w:drawing>
        <wp:anchor distT="0" distB="0" distL="114300" distR="114300" simplePos="0" relativeHeight="251670016" behindDoc="0" locked="0" layoutInCell="1" allowOverlap="1" wp14:anchorId="3E4346EB" wp14:editId="36046FDA">
          <wp:simplePos x="0" y="0"/>
          <wp:positionH relativeFrom="margin">
            <wp:posOffset>0</wp:posOffset>
          </wp:positionH>
          <wp:positionV relativeFrom="paragraph">
            <wp:posOffset>0</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9072C6">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18CF6" w14:textId="77777777" w:rsidR="001002DE" w:rsidRDefault="001002DE" w:rsidP="00A21B4D">
      <w:pPr>
        <w:spacing w:after="0"/>
      </w:pPr>
      <w:r>
        <w:separator/>
      </w:r>
    </w:p>
  </w:footnote>
  <w:footnote w:type="continuationSeparator" w:id="0">
    <w:p w14:paraId="6D706D87" w14:textId="77777777" w:rsidR="001002DE" w:rsidRDefault="001002DE" w:rsidP="00E71A58">
      <w:r>
        <w:continuationSeparator/>
      </w:r>
    </w:p>
  </w:footnote>
  <w:footnote w:id="1">
    <w:p w14:paraId="0C163CC1" w14:textId="77777777" w:rsidR="00073B58" w:rsidRPr="00D060D1" w:rsidRDefault="00073B58" w:rsidP="00073B58">
      <w:pPr>
        <w:pStyle w:val="Textpoznpodarou"/>
        <w:jc w:val="both"/>
        <w:rPr>
          <w:spacing w:val="-2"/>
          <w:sz w:val="16"/>
          <w:szCs w:val="16"/>
          <w:lang w:val="en-GB"/>
        </w:rPr>
      </w:pPr>
      <w:r w:rsidRPr="00957140">
        <w:rPr>
          <w:rStyle w:val="Znakapoznpodarou"/>
          <w:spacing w:val="-2"/>
          <w:sz w:val="16"/>
          <w:szCs w:val="16"/>
        </w:rPr>
        <w:footnoteRef/>
      </w:r>
      <w:r w:rsidRPr="00957140">
        <w:rPr>
          <w:spacing w:val="-2"/>
          <w:sz w:val="16"/>
          <w:szCs w:val="16"/>
        </w:rPr>
        <w:t xml:space="preserve"> </w:t>
      </w:r>
      <w:r w:rsidRPr="00D060D1">
        <w:rPr>
          <w:spacing w:val="-2"/>
          <w:sz w:val="16"/>
          <w:szCs w:val="16"/>
          <w:lang w:val="en-GB"/>
        </w:rPr>
        <w:t>Data regarding the GDP, gross value added and their components are expressed in constant prices and adjusted for seasonal and calendar effects.</w:t>
      </w:r>
    </w:p>
  </w:footnote>
  <w:footnote w:id="2">
    <w:p w14:paraId="4C2581EB" w14:textId="77777777" w:rsidR="00073B58" w:rsidRPr="00D060D1" w:rsidRDefault="00073B58" w:rsidP="00073B58">
      <w:pPr>
        <w:pStyle w:val="Textpoznpodarou"/>
        <w:jc w:val="both"/>
        <w:rPr>
          <w:sz w:val="16"/>
          <w:szCs w:val="16"/>
          <w:lang w:val="en-GB"/>
        </w:rPr>
      </w:pPr>
      <w:r w:rsidRPr="00D060D1">
        <w:rPr>
          <w:rStyle w:val="Znakapoznpodarou"/>
          <w:sz w:val="16"/>
          <w:szCs w:val="16"/>
          <w:lang w:val="en-GB"/>
        </w:rPr>
        <w:footnoteRef/>
      </w:r>
      <w:r w:rsidRPr="00D060D1">
        <w:rPr>
          <w:sz w:val="16"/>
          <w:szCs w:val="16"/>
          <w:lang w:val="en-GB"/>
        </w:rPr>
        <w:t xml:space="preserve"> </w:t>
      </w:r>
      <w:r w:rsidRPr="009011BB">
        <w:rPr>
          <w:sz w:val="16"/>
          <w:szCs w:val="16"/>
          <w:lang w:val="en-GB"/>
        </w:rPr>
        <w:t xml:space="preserve">According to the methodology of quarterly national accounts (export and import in FOB/FOB prices). </w:t>
      </w:r>
    </w:p>
  </w:footnote>
  <w:footnote w:id="3">
    <w:p w14:paraId="55F5EAFD" w14:textId="77777777" w:rsidR="00073B58" w:rsidRPr="00D060D1" w:rsidRDefault="00073B58" w:rsidP="00073B58">
      <w:pPr>
        <w:pStyle w:val="Textpoznpodarou"/>
        <w:jc w:val="both"/>
        <w:rPr>
          <w:sz w:val="16"/>
          <w:szCs w:val="16"/>
          <w:lang w:val="en-GB"/>
        </w:rPr>
      </w:pPr>
      <w:r w:rsidRPr="00D060D1">
        <w:rPr>
          <w:rStyle w:val="Znakapoznpodarou"/>
          <w:spacing w:val="-2"/>
          <w:sz w:val="16"/>
          <w:szCs w:val="16"/>
          <w:lang w:val="en-GB"/>
        </w:rPr>
        <w:footnoteRef/>
      </w:r>
      <w:r w:rsidRPr="00D060D1">
        <w:rPr>
          <w:spacing w:val="-2"/>
          <w:sz w:val="16"/>
          <w:szCs w:val="16"/>
          <w:lang w:val="en-GB"/>
        </w:rPr>
        <w:t xml:space="preserve"> </w:t>
      </w:r>
      <w:r>
        <w:rPr>
          <w:sz w:val="16"/>
          <w:szCs w:val="16"/>
          <w:lang w:val="en-GB"/>
        </w:rPr>
        <w:t xml:space="preserve">Employment data are in the national accounts conception and adjusted for seasonal effects. </w:t>
      </w:r>
    </w:p>
  </w:footnote>
  <w:footnote w:id="4">
    <w:p w14:paraId="5644C4D9" w14:textId="77777777" w:rsidR="00073B58" w:rsidRPr="009D3F73" w:rsidRDefault="00073B58" w:rsidP="00073B58">
      <w:pPr>
        <w:pStyle w:val="Textpoznpodarou"/>
        <w:jc w:val="both"/>
        <w:rPr>
          <w:sz w:val="16"/>
          <w:szCs w:val="16"/>
          <w:lang w:val="en-GB"/>
        </w:rPr>
      </w:pPr>
      <w:r w:rsidRPr="000348AF">
        <w:rPr>
          <w:rStyle w:val="Znakapoznpodarou"/>
          <w:sz w:val="16"/>
          <w:szCs w:val="16"/>
        </w:rPr>
        <w:footnoteRef/>
      </w:r>
      <w:r w:rsidRPr="000348AF">
        <w:rPr>
          <w:sz w:val="16"/>
          <w:szCs w:val="16"/>
        </w:rPr>
        <w:t xml:space="preserve"> </w:t>
      </w:r>
      <w:r w:rsidRPr="00CE719A">
        <w:rPr>
          <w:sz w:val="16"/>
          <w:szCs w:val="16"/>
          <w:lang w:val="en-GB"/>
        </w:rPr>
        <w:t xml:space="preserve">The development of the GDP, gross value added and their components is expressed with the help of the volume indices (i.e. adjusted for changes in prices) and adjusted for seasonal and calendar effects. Data are valid as of </w:t>
      </w:r>
      <w:r>
        <w:rPr>
          <w:sz w:val="16"/>
          <w:szCs w:val="16"/>
          <w:lang w:val="en-GB"/>
        </w:rPr>
        <w:t>30th</w:t>
      </w:r>
      <w:r w:rsidRPr="00CE719A">
        <w:rPr>
          <w:sz w:val="16"/>
          <w:szCs w:val="16"/>
          <w:lang w:val="en-GB"/>
        </w:rPr>
        <w:t xml:space="preserve"> </w:t>
      </w:r>
      <w:r>
        <w:rPr>
          <w:sz w:val="16"/>
          <w:szCs w:val="16"/>
          <w:lang w:val="en-GB"/>
        </w:rPr>
        <w:t xml:space="preserve">August </w:t>
      </w:r>
      <w:r w:rsidRPr="00CE719A">
        <w:rPr>
          <w:sz w:val="16"/>
          <w:szCs w:val="16"/>
          <w:lang w:val="en-GB"/>
        </w:rPr>
        <w:t>202</w:t>
      </w:r>
      <w:r>
        <w:rPr>
          <w:sz w:val="16"/>
          <w:szCs w:val="16"/>
          <w:lang w:val="en-GB"/>
        </w:rPr>
        <w:t>2</w:t>
      </w:r>
      <w:r w:rsidRPr="00CE719A">
        <w:rPr>
          <w:sz w:val="16"/>
          <w:szCs w:val="16"/>
          <w:lang w:val="en-GB"/>
        </w:rPr>
        <w:t>.</w:t>
      </w:r>
    </w:p>
  </w:footnote>
  <w:footnote w:id="5">
    <w:p w14:paraId="2740A9FA" w14:textId="77777777" w:rsidR="00073B58" w:rsidRPr="009D3F73" w:rsidRDefault="00073B58" w:rsidP="00073B58">
      <w:pPr>
        <w:pStyle w:val="Textpoznpodarou"/>
        <w:jc w:val="both"/>
        <w:rPr>
          <w:sz w:val="16"/>
          <w:szCs w:val="16"/>
          <w:lang w:val="en-GB"/>
        </w:rPr>
      </w:pPr>
      <w:r w:rsidRPr="009D3F73">
        <w:rPr>
          <w:rStyle w:val="Znakapoznpodarou"/>
          <w:sz w:val="16"/>
          <w:szCs w:val="16"/>
          <w:lang w:val="en-GB"/>
        </w:rPr>
        <w:footnoteRef/>
      </w:r>
      <w:r w:rsidRPr="009D3F73">
        <w:rPr>
          <w:sz w:val="16"/>
          <w:szCs w:val="16"/>
          <w:lang w:val="en-GB"/>
        </w:rPr>
        <w:t xml:space="preserve"> Data </w:t>
      </w:r>
      <w:r>
        <w:rPr>
          <w:sz w:val="16"/>
          <w:szCs w:val="16"/>
          <w:lang w:val="en-GB"/>
        </w:rPr>
        <w:t xml:space="preserve">for Luxembourg were not available. </w:t>
      </w:r>
    </w:p>
  </w:footnote>
  <w:footnote w:id="6">
    <w:p w14:paraId="76C599EF" w14:textId="77777777" w:rsidR="00073B58" w:rsidRPr="00EB2693" w:rsidRDefault="00073B58" w:rsidP="00073B58">
      <w:pPr>
        <w:pStyle w:val="Textpoznpodarou"/>
        <w:jc w:val="both"/>
        <w:rPr>
          <w:lang w:val="en-GB"/>
        </w:rPr>
      </w:pPr>
      <w:r w:rsidRPr="009C6EA8">
        <w:rPr>
          <w:rStyle w:val="Znakapoznpodarou"/>
          <w:sz w:val="16"/>
          <w:szCs w:val="16"/>
        </w:rPr>
        <w:footnoteRef/>
      </w:r>
      <w:r w:rsidRPr="009C6EA8">
        <w:rPr>
          <w:sz w:val="16"/>
          <w:szCs w:val="16"/>
        </w:rPr>
        <w:t xml:space="preserve"> </w:t>
      </w:r>
      <w:r w:rsidRPr="00EB2693">
        <w:rPr>
          <w:sz w:val="16"/>
          <w:szCs w:val="16"/>
          <w:lang w:val="en-GB"/>
        </w:rPr>
        <w:t xml:space="preserve">Employment data are in the national accounts conception (persons), figure seasonally adjusted.  </w:t>
      </w:r>
    </w:p>
  </w:footnote>
  <w:footnote w:id="7">
    <w:p w14:paraId="15AF55EB" w14:textId="77777777" w:rsidR="00073B58" w:rsidRPr="00EB2693" w:rsidRDefault="00073B58" w:rsidP="00073B58">
      <w:pPr>
        <w:pStyle w:val="Textpoznpodarou"/>
        <w:jc w:val="both"/>
        <w:rPr>
          <w:sz w:val="16"/>
          <w:szCs w:val="16"/>
          <w:lang w:val="en-GB"/>
        </w:rPr>
      </w:pPr>
      <w:r w:rsidRPr="00EB2693">
        <w:rPr>
          <w:rStyle w:val="Znakapoznpodarou"/>
          <w:sz w:val="16"/>
          <w:szCs w:val="16"/>
          <w:lang w:val="en-GB"/>
        </w:rPr>
        <w:footnoteRef/>
      </w:r>
      <w:r w:rsidRPr="00EB2693">
        <w:rPr>
          <w:sz w:val="16"/>
          <w:szCs w:val="16"/>
          <w:lang w:val="en-GB"/>
        </w:rPr>
        <w:t xml:space="preserve"> </w:t>
      </w:r>
      <w:r w:rsidRPr="00D559D2">
        <w:rPr>
          <w:sz w:val="16"/>
          <w:szCs w:val="16"/>
          <w:lang w:val="en-GB"/>
        </w:rPr>
        <w:t xml:space="preserve">Converted into the real expression using the deflator of final consumption expenditure of households. </w:t>
      </w:r>
    </w:p>
  </w:footnote>
  <w:footnote w:id="8">
    <w:p w14:paraId="027FE806" w14:textId="77777777" w:rsidR="00073B58" w:rsidRPr="00EB2693" w:rsidRDefault="00073B58" w:rsidP="00073B58">
      <w:pPr>
        <w:pStyle w:val="Textpoznpodarou"/>
        <w:jc w:val="both"/>
        <w:rPr>
          <w:sz w:val="16"/>
          <w:szCs w:val="16"/>
          <w:lang w:val="en-GB"/>
        </w:rPr>
      </w:pPr>
      <w:r w:rsidRPr="00EB2693">
        <w:rPr>
          <w:rStyle w:val="Znakapoznpodarou"/>
          <w:sz w:val="16"/>
          <w:szCs w:val="16"/>
          <w:lang w:val="en-GB"/>
        </w:rPr>
        <w:footnoteRef/>
      </w:r>
      <w:r w:rsidRPr="00EB2693">
        <w:rPr>
          <w:sz w:val="16"/>
          <w:szCs w:val="16"/>
          <w:lang w:val="en-GB"/>
        </w:rPr>
        <w:t xml:space="preserve"> </w:t>
      </w:r>
      <w:r>
        <w:rPr>
          <w:sz w:val="16"/>
          <w:szCs w:val="16"/>
          <w:lang w:val="en-GB"/>
        </w:rPr>
        <w:t xml:space="preserve">Public administration, education, health and social work. </w:t>
      </w:r>
    </w:p>
  </w:footnote>
  <w:footnote w:id="9">
    <w:p w14:paraId="7FF4E4E0" w14:textId="77777777" w:rsidR="00073B58" w:rsidRPr="00EB2693" w:rsidRDefault="00073B58" w:rsidP="00073B58">
      <w:pPr>
        <w:pStyle w:val="Textpoznpodarou"/>
        <w:jc w:val="both"/>
        <w:rPr>
          <w:sz w:val="16"/>
          <w:szCs w:val="16"/>
          <w:lang w:val="en-GB"/>
        </w:rPr>
      </w:pPr>
      <w:r w:rsidRPr="00EB2693">
        <w:rPr>
          <w:rStyle w:val="Znakapoznpodarou"/>
          <w:sz w:val="16"/>
          <w:szCs w:val="16"/>
          <w:lang w:val="en-GB"/>
        </w:rPr>
        <w:footnoteRef/>
      </w:r>
      <w:r w:rsidRPr="00EB2693">
        <w:rPr>
          <w:sz w:val="16"/>
          <w:szCs w:val="16"/>
          <w:lang w:val="en-GB"/>
        </w:rPr>
        <w:t xml:space="preserve"> </w:t>
      </w:r>
      <w:r>
        <w:rPr>
          <w:sz w:val="16"/>
          <w:szCs w:val="16"/>
          <w:lang w:val="en-GB"/>
        </w:rPr>
        <w:t xml:space="preserve">Payment of covid bonuses to medical professionals. </w:t>
      </w:r>
    </w:p>
  </w:footnote>
  <w:footnote w:id="10">
    <w:p w14:paraId="70FD5624" w14:textId="77777777" w:rsidR="00073B58" w:rsidRPr="00C87817" w:rsidRDefault="00073B58" w:rsidP="00073B58">
      <w:pPr>
        <w:pStyle w:val="Textpoznpodarou"/>
        <w:jc w:val="both"/>
        <w:rPr>
          <w:sz w:val="16"/>
          <w:szCs w:val="16"/>
          <w:lang w:val="en-GB"/>
        </w:rPr>
      </w:pPr>
      <w:r w:rsidRPr="009C6EA8">
        <w:rPr>
          <w:rStyle w:val="Znakapoznpodarou"/>
          <w:sz w:val="16"/>
          <w:szCs w:val="16"/>
        </w:rPr>
        <w:footnoteRef/>
      </w:r>
      <w:r w:rsidRPr="009C6EA8">
        <w:rPr>
          <w:sz w:val="16"/>
          <w:szCs w:val="16"/>
        </w:rPr>
        <w:t xml:space="preserve"> </w:t>
      </w:r>
      <w:r w:rsidRPr="001C0409">
        <w:rPr>
          <w:sz w:val="16"/>
          <w:szCs w:val="16"/>
          <w:lang w:val="en-GB"/>
        </w:rPr>
        <w:t>Additions to the GDP change after exclusion of imports for final use.</w:t>
      </w:r>
    </w:p>
  </w:footnote>
  <w:footnote w:id="11">
    <w:p w14:paraId="41DEA215" w14:textId="77777777" w:rsidR="00073B58" w:rsidRPr="00C87817" w:rsidRDefault="00073B58" w:rsidP="00073B58">
      <w:pPr>
        <w:pStyle w:val="Textpoznpodarou"/>
        <w:jc w:val="both"/>
        <w:rPr>
          <w:sz w:val="16"/>
          <w:szCs w:val="16"/>
          <w:lang w:val="en-GB"/>
        </w:rPr>
      </w:pPr>
      <w:r w:rsidRPr="00C87817">
        <w:rPr>
          <w:rStyle w:val="Znakapoznpodarou"/>
          <w:sz w:val="16"/>
          <w:szCs w:val="16"/>
          <w:lang w:val="en-GB"/>
        </w:rPr>
        <w:footnoteRef/>
      </w:r>
      <w:r w:rsidRPr="00C87817">
        <w:rPr>
          <w:sz w:val="16"/>
          <w:szCs w:val="16"/>
          <w:lang w:val="en-GB"/>
        </w:rPr>
        <w:t xml:space="preserve"> </w:t>
      </w:r>
      <w:r w:rsidRPr="001C0409">
        <w:rPr>
          <w:sz w:val="16"/>
          <w:szCs w:val="16"/>
          <w:lang w:val="en-GB"/>
        </w:rPr>
        <w:t xml:space="preserve">Data regarding consumption based on durability are in domestic conception. </w:t>
      </w:r>
    </w:p>
  </w:footnote>
  <w:footnote w:id="12">
    <w:p w14:paraId="14FCD4FA" w14:textId="77777777" w:rsidR="00073B58" w:rsidRPr="00F72C79" w:rsidRDefault="00073B58" w:rsidP="00073B58">
      <w:pPr>
        <w:pStyle w:val="Textpoznpodarou"/>
        <w:jc w:val="both"/>
        <w:rPr>
          <w:sz w:val="16"/>
          <w:szCs w:val="16"/>
          <w:lang w:val="en-GB"/>
        </w:rPr>
      </w:pPr>
      <w:r w:rsidRPr="004831F6">
        <w:rPr>
          <w:rStyle w:val="Znakapoznpodarou"/>
          <w:sz w:val="16"/>
          <w:szCs w:val="16"/>
        </w:rPr>
        <w:footnoteRef/>
      </w:r>
      <w:r w:rsidRPr="004831F6">
        <w:rPr>
          <w:sz w:val="16"/>
          <w:szCs w:val="16"/>
        </w:rPr>
        <w:t xml:space="preserve"> </w:t>
      </w:r>
      <w:r w:rsidRPr="00A95AB2">
        <w:rPr>
          <w:sz w:val="16"/>
          <w:szCs w:val="16"/>
          <w:lang w:val="en-GB"/>
        </w:rPr>
        <w:t xml:space="preserve">Change of inventories (in current prices and seasonally adjusted) attained </w:t>
      </w:r>
      <w:r>
        <w:rPr>
          <w:sz w:val="16"/>
          <w:szCs w:val="16"/>
          <w:lang w:val="en-GB"/>
        </w:rPr>
        <w:t>92</w:t>
      </w:r>
      <w:r w:rsidRPr="00A95AB2">
        <w:rPr>
          <w:sz w:val="16"/>
          <w:szCs w:val="16"/>
          <w:lang w:val="en-GB"/>
        </w:rPr>
        <w:t>.</w:t>
      </w:r>
      <w:r>
        <w:rPr>
          <w:sz w:val="16"/>
          <w:szCs w:val="16"/>
          <w:lang w:val="en-GB"/>
        </w:rPr>
        <w:t>8</w:t>
      </w:r>
      <w:r w:rsidRPr="00A95AB2">
        <w:rPr>
          <w:sz w:val="16"/>
          <w:szCs w:val="16"/>
          <w:lang w:val="en-GB"/>
        </w:rPr>
        <w:t xml:space="preserve"> CZK bn in Q2.</w:t>
      </w:r>
      <w:r>
        <w:rPr>
          <w:sz w:val="16"/>
          <w:szCs w:val="16"/>
          <w:lang w:val="en-GB"/>
        </w:rPr>
        <w:t xml:space="preserve"> </w:t>
      </w:r>
    </w:p>
  </w:footnote>
  <w:footnote w:id="13">
    <w:p w14:paraId="42832A06" w14:textId="77777777" w:rsidR="00073B58" w:rsidRPr="00F72C79" w:rsidRDefault="00073B58" w:rsidP="00073B58">
      <w:pPr>
        <w:pStyle w:val="Textpoznpodarou"/>
        <w:jc w:val="both"/>
        <w:rPr>
          <w:sz w:val="16"/>
          <w:szCs w:val="16"/>
          <w:lang w:val="en-GB"/>
        </w:rPr>
      </w:pPr>
      <w:r w:rsidRPr="00F72C79">
        <w:rPr>
          <w:rStyle w:val="Znakapoznpodarou"/>
          <w:sz w:val="16"/>
          <w:szCs w:val="16"/>
          <w:lang w:val="en-GB"/>
        </w:rPr>
        <w:footnoteRef/>
      </w:r>
      <w:r w:rsidRPr="00F72C79">
        <w:rPr>
          <w:sz w:val="16"/>
          <w:szCs w:val="16"/>
          <w:lang w:val="en-GB"/>
        </w:rPr>
        <w:t xml:space="preserve"> </w:t>
      </w:r>
      <w:r w:rsidRPr="00A00EFF">
        <w:rPr>
          <w:sz w:val="16"/>
          <w:szCs w:val="16"/>
          <w:lang w:val="en-GB"/>
        </w:rPr>
        <w:t>According to the methodology of quarterly national accounts (</w:t>
      </w:r>
      <w:r>
        <w:rPr>
          <w:sz w:val="16"/>
          <w:szCs w:val="16"/>
          <w:lang w:val="en-GB"/>
        </w:rPr>
        <w:t xml:space="preserve">export and import </w:t>
      </w:r>
      <w:r w:rsidRPr="00A00EFF">
        <w:rPr>
          <w:sz w:val="16"/>
          <w:szCs w:val="16"/>
          <w:lang w:val="en-GB"/>
        </w:rPr>
        <w:t>in FOB/FOB prices).</w:t>
      </w:r>
      <w:r>
        <w:rPr>
          <w:sz w:val="16"/>
          <w:szCs w:val="16"/>
          <w:lang w:val="en-GB"/>
        </w:rPr>
        <w:t xml:space="preserve"> Foreign trade balance in current prices and after seasonal adjustment. </w:t>
      </w:r>
    </w:p>
  </w:footnote>
  <w:footnote w:id="14">
    <w:p w14:paraId="7F527E0F" w14:textId="684247C1" w:rsidR="00073B58" w:rsidRPr="00613BAF" w:rsidRDefault="00073B58" w:rsidP="004052EF">
      <w:pPr>
        <w:pStyle w:val="Textpoznpodarou"/>
        <w:jc w:val="both"/>
        <w:rPr>
          <w:rFonts w:cs="Arial"/>
          <w:color w:val="0D0D0D" w:themeColor="text1" w:themeTint="F2"/>
          <w:spacing w:val="-6"/>
          <w:sz w:val="16"/>
          <w:szCs w:val="16"/>
          <w:lang w:val="en-GB"/>
        </w:rPr>
      </w:pPr>
      <w:r w:rsidRPr="00CF35A7">
        <w:rPr>
          <w:rStyle w:val="Znakapoznpodarou"/>
          <w:spacing w:val="-6"/>
          <w:sz w:val="16"/>
          <w:szCs w:val="16"/>
        </w:rPr>
        <w:footnoteRef/>
      </w:r>
      <w:r w:rsidRPr="00CF35A7">
        <w:rPr>
          <w:spacing w:val="-6"/>
          <w:sz w:val="16"/>
          <w:szCs w:val="16"/>
        </w:rPr>
        <w:t xml:space="preserve"> </w:t>
      </w:r>
      <w:r w:rsidRPr="00E55F64">
        <w:rPr>
          <w:rFonts w:cs="Arial"/>
          <w:color w:val="0D0D0D" w:themeColor="text1" w:themeTint="F2"/>
          <w:spacing w:val="-2"/>
          <w:sz w:val="16"/>
          <w:szCs w:val="16"/>
          <w:lang w:val="en-GB"/>
        </w:rPr>
        <w:t>Includes branches of mining and quarrying, manufacturing and also energetics (here as activities of production and distribution of electricity, gas, heat and air conditioning supply). All year-on-year rates of growth of output (at the level of branch sections as well as divisions) are adjusted for calendar effects, quarter-on-quarter</w:t>
      </w:r>
      <w:r>
        <w:rPr>
          <w:rFonts w:cs="Arial"/>
          <w:color w:val="0D0D0D" w:themeColor="text1" w:themeTint="F2"/>
          <w:spacing w:val="-2"/>
          <w:sz w:val="16"/>
          <w:szCs w:val="16"/>
          <w:lang w:val="en-GB"/>
        </w:rPr>
        <w:t xml:space="preserve"> r</w:t>
      </w:r>
      <w:r w:rsidRPr="00E55F64">
        <w:rPr>
          <w:rFonts w:cs="Arial"/>
          <w:color w:val="0D0D0D" w:themeColor="text1" w:themeTint="F2"/>
          <w:spacing w:val="-2"/>
          <w:sz w:val="16"/>
          <w:szCs w:val="16"/>
          <w:lang w:val="en-GB"/>
        </w:rPr>
        <w:t>ates then also for seasonal effects.</w:t>
      </w:r>
    </w:p>
  </w:footnote>
  <w:footnote w:id="15">
    <w:p w14:paraId="1ABAFF83" w14:textId="1646571B" w:rsidR="00073B58" w:rsidRPr="00613BAF" w:rsidRDefault="00073B58" w:rsidP="00613BAF">
      <w:pPr>
        <w:spacing w:after="0" w:line="240" w:lineRule="auto"/>
        <w:rPr>
          <w:spacing w:val="-6"/>
          <w:sz w:val="16"/>
          <w:szCs w:val="16"/>
          <w:lang w:val="en-GB"/>
        </w:rPr>
      </w:pPr>
      <w:r w:rsidRPr="00613BAF">
        <w:rPr>
          <w:rStyle w:val="Znakapoznpodarou"/>
          <w:spacing w:val="-6"/>
          <w:sz w:val="16"/>
          <w:szCs w:val="16"/>
          <w:lang w:val="en-GB"/>
        </w:rPr>
        <w:footnoteRef/>
      </w:r>
      <w:r w:rsidRPr="00613BAF">
        <w:rPr>
          <w:spacing w:val="-6"/>
          <w:sz w:val="16"/>
          <w:szCs w:val="16"/>
          <w:lang w:val="en-GB"/>
        </w:rPr>
        <w:t xml:space="preserve"> </w:t>
      </w:r>
      <w:r>
        <w:rPr>
          <w:spacing w:val="-6"/>
          <w:sz w:val="16"/>
          <w:szCs w:val="16"/>
          <w:lang w:val="en-GB"/>
        </w:rPr>
        <w:t xml:space="preserve">Industrial output was by </w:t>
      </w:r>
      <w:r w:rsidRPr="00613BAF">
        <w:rPr>
          <w:spacing w:val="-6"/>
          <w:sz w:val="16"/>
          <w:szCs w:val="16"/>
          <w:lang w:val="en-GB"/>
        </w:rPr>
        <w:t>1</w:t>
      </w:r>
      <w:r>
        <w:rPr>
          <w:spacing w:val="-6"/>
          <w:sz w:val="16"/>
          <w:szCs w:val="16"/>
          <w:lang w:val="en-GB"/>
        </w:rPr>
        <w:t>.</w:t>
      </w:r>
      <w:r w:rsidRPr="00613BAF">
        <w:rPr>
          <w:spacing w:val="-6"/>
          <w:sz w:val="16"/>
          <w:szCs w:val="16"/>
          <w:lang w:val="en-GB"/>
        </w:rPr>
        <w:t>5%</w:t>
      </w:r>
      <w:r>
        <w:rPr>
          <w:spacing w:val="-6"/>
          <w:sz w:val="16"/>
          <w:szCs w:val="16"/>
          <w:lang w:val="en-GB"/>
        </w:rPr>
        <w:t xml:space="preserve"> below the level of so far record period </w:t>
      </w:r>
      <w:r w:rsidRPr="00613BAF">
        <w:rPr>
          <w:spacing w:val="-6"/>
          <w:sz w:val="16"/>
          <w:szCs w:val="16"/>
          <w:lang w:val="en-GB"/>
        </w:rPr>
        <w:t>(</w:t>
      </w:r>
      <w:r>
        <w:rPr>
          <w:spacing w:val="-6"/>
          <w:sz w:val="16"/>
          <w:szCs w:val="16"/>
          <w:lang w:val="en-GB"/>
        </w:rPr>
        <w:t>Q</w:t>
      </w:r>
      <w:r w:rsidRPr="00613BAF">
        <w:rPr>
          <w:spacing w:val="-6"/>
          <w:sz w:val="16"/>
          <w:szCs w:val="16"/>
          <w:lang w:val="en-GB"/>
        </w:rPr>
        <w:t>2</w:t>
      </w:r>
      <w:r>
        <w:rPr>
          <w:spacing w:val="-6"/>
          <w:sz w:val="16"/>
          <w:szCs w:val="16"/>
          <w:lang w:val="en-GB"/>
        </w:rPr>
        <w:t xml:space="preserve"> </w:t>
      </w:r>
      <w:r w:rsidRPr="00613BAF">
        <w:rPr>
          <w:spacing w:val="-6"/>
          <w:sz w:val="16"/>
          <w:szCs w:val="16"/>
          <w:lang w:val="en-GB"/>
        </w:rPr>
        <w:t xml:space="preserve">2019). </w:t>
      </w:r>
      <w:r>
        <w:rPr>
          <w:spacing w:val="-6"/>
          <w:sz w:val="16"/>
          <w:szCs w:val="16"/>
          <w:lang w:val="en-GB"/>
        </w:rPr>
        <w:t xml:space="preserve">Full two thirds of all </w:t>
      </w:r>
      <w:r w:rsidRPr="00613BAF">
        <w:rPr>
          <w:spacing w:val="-6"/>
          <w:sz w:val="16"/>
          <w:szCs w:val="16"/>
          <w:lang w:val="en-GB"/>
        </w:rPr>
        <w:t>(</w:t>
      </w:r>
      <w:r>
        <w:rPr>
          <w:spacing w:val="-6"/>
          <w:sz w:val="16"/>
          <w:szCs w:val="16"/>
          <w:lang w:val="en-GB"/>
        </w:rPr>
        <w:t>nearly thirty</w:t>
      </w:r>
      <w:r w:rsidRPr="00613BAF">
        <w:rPr>
          <w:spacing w:val="-6"/>
          <w:sz w:val="16"/>
          <w:szCs w:val="16"/>
          <w:lang w:val="en-GB"/>
        </w:rPr>
        <w:t xml:space="preserve">) </w:t>
      </w:r>
      <w:r>
        <w:rPr>
          <w:spacing w:val="-6"/>
          <w:sz w:val="16"/>
          <w:szCs w:val="16"/>
          <w:lang w:val="en-GB"/>
        </w:rPr>
        <w:t>key industrial branches stayed behind their peak from the pre-pandemic boom era so far (years 2014 till 2019)</w:t>
      </w:r>
      <w:r w:rsidRPr="00613BAF">
        <w:rPr>
          <w:spacing w:val="-6"/>
          <w:sz w:val="16"/>
          <w:szCs w:val="16"/>
          <w:lang w:val="en-GB"/>
        </w:rPr>
        <w:t xml:space="preserve">. </w:t>
      </w:r>
      <w:r>
        <w:rPr>
          <w:spacing w:val="-6"/>
          <w:sz w:val="16"/>
          <w:szCs w:val="16"/>
          <w:lang w:val="en-GB"/>
        </w:rPr>
        <w:t xml:space="preserve">It was mainly mining and processing of coal </w:t>
      </w:r>
      <w:r w:rsidRPr="00613BAF">
        <w:rPr>
          <w:spacing w:val="-6"/>
          <w:sz w:val="16"/>
          <w:szCs w:val="16"/>
          <w:lang w:val="en-GB"/>
        </w:rPr>
        <w:t>(</w:t>
      </w:r>
      <w:r>
        <w:rPr>
          <w:spacing w:val="-6"/>
          <w:sz w:val="16"/>
          <w:szCs w:val="16"/>
          <w:lang w:val="en-GB"/>
        </w:rPr>
        <w:t xml:space="preserve">by </w:t>
      </w:r>
      <w:r w:rsidRPr="00613BAF">
        <w:rPr>
          <w:spacing w:val="-6"/>
          <w:sz w:val="16"/>
          <w:szCs w:val="16"/>
          <w:lang w:val="en-GB"/>
        </w:rPr>
        <w:t xml:space="preserve">37%), </w:t>
      </w:r>
      <w:r>
        <w:rPr>
          <w:spacing w:val="-6"/>
          <w:sz w:val="16"/>
          <w:szCs w:val="16"/>
          <w:lang w:val="en-GB"/>
        </w:rPr>
        <w:t xml:space="preserve">leatherworking industry </w:t>
      </w:r>
      <w:r w:rsidRPr="00613BAF">
        <w:rPr>
          <w:spacing w:val="-6"/>
          <w:sz w:val="16"/>
          <w:szCs w:val="16"/>
          <w:lang w:val="en-GB"/>
        </w:rPr>
        <w:t>(27%),</w:t>
      </w:r>
      <w:r>
        <w:rPr>
          <w:spacing w:val="-6"/>
          <w:sz w:val="16"/>
          <w:szCs w:val="16"/>
          <w:lang w:val="en-GB"/>
        </w:rPr>
        <w:t xml:space="preserve"> manufacturing of computers, electronic and optical appliances </w:t>
      </w:r>
      <w:r w:rsidRPr="00613BAF">
        <w:rPr>
          <w:spacing w:val="-6"/>
          <w:sz w:val="16"/>
          <w:szCs w:val="16"/>
          <w:lang w:val="en-GB"/>
        </w:rPr>
        <w:t>(14%)</w:t>
      </w:r>
      <w:r>
        <w:rPr>
          <w:spacing w:val="-6"/>
          <w:sz w:val="16"/>
          <w:szCs w:val="16"/>
          <w:lang w:val="en-GB"/>
        </w:rPr>
        <w:t xml:space="preserve"> and energetics</w:t>
      </w:r>
      <w:r w:rsidRPr="00613BAF">
        <w:rPr>
          <w:spacing w:val="-6"/>
          <w:sz w:val="16"/>
          <w:szCs w:val="16"/>
          <w:lang w:val="en-GB"/>
        </w:rPr>
        <w:t xml:space="preserve"> (11%). </w:t>
      </w:r>
      <w:r>
        <w:rPr>
          <w:spacing w:val="-6"/>
          <w:sz w:val="16"/>
          <w:szCs w:val="16"/>
          <w:lang w:val="en-GB"/>
        </w:rPr>
        <w:t xml:space="preserve">On the contrary, manufacturers of electrical equipment </w:t>
      </w:r>
      <w:r w:rsidRPr="00613BAF">
        <w:rPr>
          <w:spacing w:val="-6"/>
          <w:sz w:val="16"/>
          <w:szCs w:val="16"/>
          <w:lang w:val="en-GB"/>
        </w:rPr>
        <w:t>(</w:t>
      </w:r>
      <w:r>
        <w:rPr>
          <w:spacing w:val="-6"/>
          <w:sz w:val="16"/>
          <w:szCs w:val="16"/>
          <w:lang w:val="en-GB"/>
        </w:rPr>
        <w:t xml:space="preserve">by </w:t>
      </w:r>
      <w:r w:rsidRPr="00613BAF">
        <w:rPr>
          <w:spacing w:val="-6"/>
          <w:sz w:val="16"/>
          <w:szCs w:val="16"/>
          <w:lang w:val="en-GB"/>
        </w:rPr>
        <w:t>5%)</w:t>
      </w:r>
      <w:r>
        <w:rPr>
          <w:spacing w:val="-6"/>
          <w:sz w:val="16"/>
          <w:szCs w:val="16"/>
          <w:lang w:val="en-GB"/>
        </w:rPr>
        <w:t xml:space="preserve"> or building materials </w:t>
      </w:r>
      <w:r w:rsidRPr="00613BAF">
        <w:rPr>
          <w:spacing w:val="-6"/>
          <w:sz w:val="16"/>
          <w:szCs w:val="16"/>
          <w:lang w:val="en-GB"/>
        </w:rPr>
        <w:t>(4%)</w:t>
      </w:r>
      <w:r>
        <w:rPr>
          <w:spacing w:val="-6"/>
          <w:sz w:val="16"/>
          <w:szCs w:val="16"/>
          <w:lang w:val="en-GB"/>
        </w:rPr>
        <w:t xml:space="preserve"> and food </w:t>
      </w:r>
      <w:r w:rsidRPr="00613BAF">
        <w:rPr>
          <w:spacing w:val="-6"/>
          <w:sz w:val="16"/>
          <w:szCs w:val="16"/>
          <w:lang w:val="en-GB"/>
        </w:rPr>
        <w:t>(3%)</w:t>
      </w:r>
      <w:r>
        <w:rPr>
          <w:spacing w:val="-6"/>
          <w:sz w:val="16"/>
          <w:szCs w:val="16"/>
          <w:lang w:val="en-GB"/>
        </w:rPr>
        <w:t xml:space="preserve"> already overtook the pre-crisis level</w:t>
      </w:r>
      <w:r w:rsidRPr="00613BAF">
        <w:rPr>
          <w:spacing w:val="-6"/>
          <w:sz w:val="16"/>
          <w:szCs w:val="16"/>
          <w:lang w:val="en-GB"/>
        </w:rPr>
        <w:t xml:space="preserve">. </w:t>
      </w:r>
      <w:r>
        <w:rPr>
          <w:spacing w:val="-6"/>
          <w:sz w:val="16"/>
          <w:szCs w:val="16"/>
          <w:lang w:val="en-GB"/>
        </w:rPr>
        <w:t xml:space="preserve">From the smaller activities mainly paper industry </w:t>
      </w:r>
      <w:r w:rsidRPr="00613BAF">
        <w:rPr>
          <w:spacing w:val="-6"/>
          <w:sz w:val="16"/>
          <w:szCs w:val="16"/>
          <w:lang w:val="en-GB"/>
        </w:rPr>
        <w:t>(15%),</w:t>
      </w:r>
      <w:r>
        <w:rPr>
          <w:spacing w:val="-6"/>
          <w:sz w:val="16"/>
          <w:szCs w:val="16"/>
          <w:lang w:val="en-GB"/>
        </w:rPr>
        <w:t xml:space="preserve"> pharmaceutical industry (</w:t>
      </w:r>
      <w:r w:rsidRPr="00613BAF">
        <w:rPr>
          <w:spacing w:val="-6"/>
          <w:sz w:val="16"/>
          <w:szCs w:val="16"/>
          <w:lang w:val="en-GB"/>
        </w:rPr>
        <w:t>11%),</w:t>
      </w:r>
      <w:r>
        <w:rPr>
          <w:spacing w:val="-6"/>
          <w:sz w:val="16"/>
          <w:szCs w:val="16"/>
          <w:lang w:val="en-GB"/>
        </w:rPr>
        <w:t xml:space="preserve"> manufacturing of furniture </w:t>
      </w:r>
      <w:r w:rsidRPr="00613BAF">
        <w:rPr>
          <w:spacing w:val="-6"/>
          <w:sz w:val="16"/>
          <w:szCs w:val="16"/>
          <w:lang w:val="en-GB"/>
        </w:rPr>
        <w:t>(9%)</w:t>
      </w:r>
      <w:r>
        <w:rPr>
          <w:spacing w:val="-6"/>
          <w:sz w:val="16"/>
          <w:szCs w:val="16"/>
          <w:lang w:val="en-GB"/>
        </w:rPr>
        <w:t xml:space="preserve"> and other manufacturing industry </w:t>
      </w:r>
      <w:r w:rsidRPr="00613BAF">
        <w:rPr>
          <w:spacing w:val="-6"/>
          <w:sz w:val="16"/>
          <w:szCs w:val="16"/>
          <w:lang w:val="en-GB"/>
        </w:rPr>
        <w:t xml:space="preserve">(14%), </w:t>
      </w:r>
      <w:r>
        <w:rPr>
          <w:spacing w:val="-6"/>
          <w:sz w:val="16"/>
          <w:szCs w:val="16"/>
          <w:lang w:val="en-GB"/>
        </w:rPr>
        <w:t>including for instance manufacturing of medical instruments, sport equipment, games and toys belonged into this category.</w:t>
      </w:r>
    </w:p>
  </w:footnote>
  <w:footnote w:id="16">
    <w:p w14:paraId="12E8F406" w14:textId="3734582A" w:rsidR="00073B58" w:rsidRPr="00613BAF" w:rsidRDefault="00073B58" w:rsidP="006359F7">
      <w:pPr>
        <w:pStyle w:val="Textpoznpodarou"/>
        <w:jc w:val="both"/>
        <w:rPr>
          <w:spacing w:val="-6"/>
          <w:sz w:val="16"/>
          <w:szCs w:val="16"/>
          <w:lang w:val="en-GB"/>
        </w:rPr>
      </w:pPr>
      <w:r w:rsidRPr="00613BAF">
        <w:rPr>
          <w:rStyle w:val="Znakapoznpodarou"/>
          <w:spacing w:val="-6"/>
          <w:sz w:val="16"/>
          <w:szCs w:val="16"/>
          <w:lang w:val="en-GB"/>
        </w:rPr>
        <w:footnoteRef/>
      </w:r>
      <w:r w:rsidRPr="00613BAF">
        <w:rPr>
          <w:spacing w:val="-6"/>
          <w:sz w:val="16"/>
          <w:szCs w:val="16"/>
          <w:lang w:val="en-GB"/>
        </w:rPr>
        <w:t xml:space="preserve"> </w:t>
      </w:r>
      <w:r>
        <w:rPr>
          <w:spacing w:val="-6"/>
          <w:sz w:val="16"/>
          <w:szCs w:val="16"/>
          <w:lang w:val="en-GB"/>
        </w:rPr>
        <w:t>Data of the Automotive Industry Association also depict this. There were over 120 thousand personal vehicles manufactured in the CR both in May and June this year, which made these months approach the level from the same period of years 2017 till 2019</w:t>
      </w:r>
      <w:r w:rsidRPr="00613BAF">
        <w:rPr>
          <w:spacing w:val="-6"/>
          <w:sz w:val="16"/>
          <w:szCs w:val="16"/>
          <w:lang w:val="en-GB"/>
        </w:rPr>
        <w:t xml:space="preserve">, </w:t>
      </w:r>
      <w:r>
        <w:rPr>
          <w:spacing w:val="-6"/>
          <w:sz w:val="16"/>
          <w:szCs w:val="16"/>
          <w:lang w:val="en-GB"/>
        </w:rPr>
        <w:t>when the manufacturing of motor vehicles peaked locally</w:t>
      </w:r>
      <w:r w:rsidRPr="00613BAF">
        <w:rPr>
          <w:spacing w:val="-6"/>
          <w:sz w:val="16"/>
          <w:szCs w:val="16"/>
          <w:lang w:val="en-GB"/>
        </w:rPr>
        <w:t xml:space="preserve">. </w:t>
      </w:r>
      <w:r>
        <w:rPr>
          <w:spacing w:val="-6"/>
          <w:sz w:val="16"/>
          <w:szCs w:val="16"/>
          <w:lang w:val="en-GB"/>
        </w:rPr>
        <w:t>The manufacturing of personal vehicles reached 607 thousand in total for H</w:t>
      </w:r>
      <w:r w:rsidRPr="00613BAF">
        <w:rPr>
          <w:spacing w:val="-6"/>
          <w:sz w:val="16"/>
          <w:szCs w:val="16"/>
          <w:lang w:val="en-GB"/>
        </w:rPr>
        <w:t>1</w:t>
      </w:r>
      <w:r>
        <w:rPr>
          <w:spacing w:val="-6"/>
          <w:sz w:val="16"/>
          <w:szCs w:val="16"/>
          <w:lang w:val="en-GB"/>
        </w:rPr>
        <w:t xml:space="preserve"> </w:t>
      </w:r>
      <w:r w:rsidRPr="00613BAF">
        <w:rPr>
          <w:spacing w:val="-6"/>
          <w:sz w:val="16"/>
          <w:szCs w:val="16"/>
          <w:lang w:val="en-GB"/>
        </w:rPr>
        <w:t>2022</w:t>
      </w:r>
      <w:r>
        <w:rPr>
          <w:spacing w:val="-6"/>
          <w:sz w:val="16"/>
          <w:szCs w:val="16"/>
          <w:lang w:val="en-GB"/>
        </w:rPr>
        <w:t xml:space="preserve"> </w:t>
      </w:r>
      <w:r w:rsidRPr="00613BAF">
        <w:rPr>
          <w:spacing w:val="-6"/>
          <w:sz w:val="16"/>
          <w:szCs w:val="16"/>
          <w:lang w:val="en-GB"/>
        </w:rPr>
        <w:t>(</w:t>
      </w:r>
      <w:r>
        <w:rPr>
          <w:spacing w:val="-6"/>
          <w:sz w:val="16"/>
          <w:szCs w:val="16"/>
          <w:lang w:val="en-GB"/>
        </w:rPr>
        <w:t>by 8% less year-on-year</w:t>
      </w:r>
      <w:r w:rsidRPr="00613BAF">
        <w:rPr>
          <w:spacing w:val="-6"/>
          <w:sz w:val="16"/>
          <w:szCs w:val="16"/>
          <w:lang w:val="en-GB"/>
        </w:rPr>
        <w:t>,</w:t>
      </w:r>
      <w:r>
        <w:rPr>
          <w:spacing w:val="-6"/>
          <w:sz w:val="16"/>
          <w:szCs w:val="16"/>
          <w:lang w:val="en-GB"/>
        </w:rPr>
        <w:t xml:space="preserve"> at the same time it was the third lowest value after year </w:t>
      </w:r>
      <w:r w:rsidRPr="00613BAF">
        <w:rPr>
          <w:spacing w:val="-6"/>
          <w:sz w:val="16"/>
          <w:szCs w:val="16"/>
          <w:lang w:val="en-GB"/>
        </w:rPr>
        <w:t>2010).</w:t>
      </w:r>
    </w:p>
  </w:footnote>
  <w:footnote w:id="17">
    <w:p w14:paraId="0DE63CD6" w14:textId="59166641" w:rsidR="00073B58" w:rsidRPr="00D94929" w:rsidRDefault="00073B58" w:rsidP="001A1DBF">
      <w:pPr>
        <w:pStyle w:val="Textpoznpodarou"/>
        <w:jc w:val="both"/>
        <w:rPr>
          <w:spacing w:val="-6"/>
          <w:sz w:val="16"/>
          <w:szCs w:val="16"/>
          <w:lang w:val="en-GB"/>
        </w:rPr>
      </w:pPr>
      <w:r w:rsidRPr="00CF35A7">
        <w:rPr>
          <w:rStyle w:val="Znakapoznpodarou"/>
          <w:spacing w:val="-6"/>
          <w:sz w:val="16"/>
          <w:szCs w:val="16"/>
        </w:rPr>
        <w:footnoteRef/>
      </w:r>
      <w:r w:rsidRPr="00CF35A7">
        <w:rPr>
          <w:spacing w:val="-6"/>
          <w:sz w:val="16"/>
          <w:szCs w:val="16"/>
        </w:rPr>
        <w:t xml:space="preserve"> </w:t>
      </w:r>
      <w:r w:rsidRPr="00D94929">
        <w:rPr>
          <w:spacing w:val="-6"/>
          <w:sz w:val="16"/>
          <w:szCs w:val="16"/>
          <w:lang w:val="en-GB"/>
        </w:rPr>
        <w:t xml:space="preserve">It was slightly below 80% at the beginning of both Q2 and Q3 2022. It however slightly exceeded 90% in the last boom period. </w:t>
      </w:r>
    </w:p>
  </w:footnote>
  <w:footnote w:id="18">
    <w:p w14:paraId="54B88920" w14:textId="3C2F625F" w:rsidR="00073B58" w:rsidRPr="00D94929" w:rsidRDefault="00073B58" w:rsidP="001A1DBF">
      <w:pPr>
        <w:pStyle w:val="Textpoznpodarou"/>
        <w:jc w:val="both"/>
        <w:rPr>
          <w:spacing w:val="-6"/>
          <w:sz w:val="16"/>
          <w:szCs w:val="16"/>
          <w:lang w:val="en-GB"/>
        </w:rPr>
      </w:pPr>
      <w:r w:rsidRPr="00D94929">
        <w:rPr>
          <w:rStyle w:val="Znakapoznpodarou"/>
          <w:spacing w:val="-6"/>
          <w:sz w:val="16"/>
          <w:szCs w:val="16"/>
          <w:lang w:val="en-GB"/>
        </w:rPr>
        <w:footnoteRef/>
      </w:r>
      <w:r w:rsidRPr="00D94929">
        <w:rPr>
          <w:spacing w:val="-6"/>
          <w:sz w:val="16"/>
          <w:szCs w:val="16"/>
          <w:lang w:val="en-GB"/>
        </w:rPr>
        <w:t xml:space="preserve"> Businesses could have indicated more barriers simultaneously. </w:t>
      </w:r>
    </w:p>
  </w:footnote>
  <w:footnote w:id="19">
    <w:p w14:paraId="467170FC" w14:textId="0122E1AD" w:rsidR="00073B58" w:rsidRPr="00D94929" w:rsidRDefault="00073B58" w:rsidP="001A1DBF">
      <w:pPr>
        <w:pStyle w:val="Textpoznpodarou"/>
        <w:jc w:val="both"/>
        <w:rPr>
          <w:spacing w:val="-6"/>
          <w:sz w:val="16"/>
          <w:szCs w:val="16"/>
          <w:lang w:val="en-GB"/>
        </w:rPr>
      </w:pPr>
      <w:r w:rsidRPr="00D94929">
        <w:rPr>
          <w:rStyle w:val="Znakapoznpodarou"/>
          <w:spacing w:val="-6"/>
          <w:sz w:val="16"/>
          <w:szCs w:val="16"/>
          <w:lang w:val="en-GB"/>
        </w:rPr>
        <w:footnoteRef/>
      </w:r>
      <w:r w:rsidRPr="00D94929">
        <w:rPr>
          <w:spacing w:val="-6"/>
          <w:sz w:val="16"/>
          <w:szCs w:val="16"/>
          <w:lang w:val="en-GB"/>
        </w:rPr>
        <w:t xml:space="preserve"> </w:t>
      </w:r>
      <w:r>
        <w:rPr>
          <w:spacing w:val="-6"/>
          <w:sz w:val="16"/>
          <w:szCs w:val="16"/>
          <w:lang w:val="en-GB"/>
        </w:rPr>
        <w:t>Consumption of gas reduced by 19.7% in the CR in H</w:t>
      </w:r>
      <w:r w:rsidRPr="00D94929">
        <w:rPr>
          <w:spacing w:val="-6"/>
          <w:sz w:val="16"/>
          <w:szCs w:val="16"/>
          <w:lang w:val="en-GB"/>
        </w:rPr>
        <w:t>1</w:t>
      </w:r>
      <w:r>
        <w:rPr>
          <w:spacing w:val="-6"/>
          <w:sz w:val="16"/>
          <w:szCs w:val="16"/>
          <w:lang w:val="en-GB"/>
        </w:rPr>
        <w:t xml:space="preserve"> year-on-year </w:t>
      </w:r>
      <w:r w:rsidRPr="00D94929">
        <w:rPr>
          <w:spacing w:val="-6"/>
          <w:sz w:val="16"/>
          <w:szCs w:val="16"/>
          <w:lang w:val="en-GB"/>
        </w:rPr>
        <w:t>(</w:t>
      </w:r>
      <w:r>
        <w:rPr>
          <w:spacing w:val="-6"/>
          <w:sz w:val="16"/>
          <w:szCs w:val="16"/>
          <w:lang w:val="en-GB"/>
        </w:rPr>
        <w:t xml:space="preserve">after adjustment for warmer winter by </w:t>
      </w:r>
      <w:r w:rsidRPr="00D94929">
        <w:rPr>
          <w:spacing w:val="-6"/>
          <w:sz w:val="16"/>
          <w:szCs w:val="16"/>
          <w:lang w:val="en-GB"/>
        </w:rPr>
        <w:t>14</w:t>
      </w:r>
      <w:r>
        <w:rPr>
          <w:spacing w:val="-6"/>
          <w:sz w:val="16"/>
          <w:szCs w:val="16"/>
          <w:lang w:val="en-GB"/>
        </w:rPr>
        <w:t>.</w:t>
      </w:r>
      <w:r w:rsidRPr="00D94929">
        <w:rPr>
          <w:spacing w:val="-6"/>
          <w:sz w:val="16"/>
          <w:szCs w:val="16"/>
          <w:lang w:val="en-GB"/>
        </w:rPr>
        <w:t xml:space="preserve">7%). </w:t>
      </w:r>
      <w:r>
        <w:rPr>
          <w:spacing w:val="-6"/>
          <w:sz w:val="16"/>
          <w:szCs w:val="16"/>
          <w:lang w:val="en-GB"/>
        </w:rPr>
        <w:t xml:space="preserve">Wholesale customers had the largest share on this result, nevertheless households also reduced their consumption considerably </w:t>
      </w:r>
      <w:r w:rsidRPr="00D94929">
        <w:rPr>
          <w:spacing w:val="-6"/>
          <w:sz w:val="16"/>
          <w:szCs w:val="16"/>
          <w:lang w:val="en-GB"/>
        </w:rPr>
        <w:t>(</w:t>
      </w:r>
      <w:r>
        <w:rPr>
          <w:spacing w:val="-6"/>
          <w:sz w:val="16"/>
          <w:szCs w:val="16"/>
          <w:lang w:val="en-GB"/>
        </w:rPr>
        <w:t xml:space="preserve">by </w:t>
      </w:r>
      <w:r w:rsidRPr="00D94929">
        <w:rPr>
          <w:spacing w:val="-6"/>
          <w:sz w:val="16"/>
          <w:szCs w:val="16"/>
          <w:lang w:val="en-GB"/>
        </w:rPr>
        <w:t xml:space="preserve">19%). </w:t>
      </w:r>
      <w:r>
        <w:rPr>
          <w:spacing w:val="-6"/>
          <w:sz w:val="16"/>
          <w:szCs w:val="16"/>
          <w:lang w:val="en-GB"/>
        </w:rPr>
        <w:t xml:space="preserve">Based on the fresh data, the total gross manufacturing of heat fell by </w:t>
      </w:r>
      <w:r w:rsidRPr="00D94929">
        <w:rPr>
          <w:spacing w:val="-6"/>
          <w:sz w:val="16"/>
          <w:szCs w:val="16"/>
          <w:lang w:val="en-GB"/>
        </w:rPr>
        <w:t>7</w:t>
      </w:r>
      <w:r>
        <w:rPr>
          <w:spacing w:val="-6"/>
          <w:sz w:val="16"/>
          <w:szCs w:val="16"/>
          <w:lang w:val="en-GB"/>
        </w:rPr>
        <w:t>.</w:t>
      </w:r>
      <w:r w:rsidRPr="00D94929">
        <w:rPr>
          <w:spacing w:val="-6"/>
          <w:sz w:val="16"/>
          <w:szCs w:val="16"/>
          <w:lang w:val="en-GB"/>
        </w:rPr>
        <w:t>7%</w:t>
      </w:r>
      <w:r>
        <w:rPr>
          <w:spacing w:val="-6"/>
          <w:sz w:val="16"/>
          <w:szCs w:val="16"/>
          <w:lang w:val="en-GB"/>
        </w:rPr>
        <w:t xml:space="preserve"> in Q1 this year</w:t>
      </w:r>
      <w:r w:rsidRPr="00D94929">
        <w:rPr>
          <w:spacing w:val="-6"/>
          <w:sz w:val="16"/>
          <w:szCs w:val="16"/>
          <w:lang w:val="en-GB"/>
        </w:rPr>
        <w:t xml:space="preserve">, </w:t>
      </w:r>
      <w:r>
        <w:rPr>
          <w:spacing w:val="-6"/>
          <w:sz w:val="16"/>
          <w:szCs w:val="16"/>
          <w:lang w:val="en-GB"/>
        </w:rPr>
        <w:t>mainly thanks to the lower utilisation of the natural gas</w:t>
      </w:r>
      <w:r w:rsidRPr="00D94929">
        <w:rPr>
          <w:spacing w:val="-6"/>
          <w:sz w:val="16"/>
          <w:szCs w:val="16"/>
          <w:lang w:val="en-GB"/>
        </w:rPr>
        <w:t xml:space="preserve">. </w:t>
      </w:r>
      <w:r>
        <w:rPr>
          <w:spacing w:val="-6"/>
          <w:sz w:val="16"/>
          <w:szCs w:val="16"/>
          <w:lang w:val="en-GB"/>
        </w:rPr>
        <w:t xml:space="preserve">Similarly the quantity of consumed heat also decreased, compared with the beginning of year </w:t>
      </w:r>
      <w:r w:rsidRPr="00D94929">
        <w:rPr>
          <w:spacing w:val="-6"/>
          <w:sz w:val="16"/>
          <w:szCs w:val="16"/>
          <w:lang w:val="en-GB"/>
        </w:rPr>
        <w:t>2020 (</w:t>
      </w:r>
      <w:r>
        <w:rPr>
          <w:spacing w:val="-6"/>
          <w:sz w:val="16"/>
          <w:szCs w:val="16"/>
          <w:lang w:val="en-GB"/>
        </w:rPr>
        <w:t>when similar temperature conditions arose as this year</w:t>
      </w:r>
      <w:r w:rsidRPr="00D94929">
        <w:rPr>
          <w:spacing w:val="-6"/>
          <w:sz w:val="16"/>
          <w:szCs w:val="16"/>
          <w:lang w:val="en-GB"/>
        </w:rPr>
        <w:t xml:space="preserve">) </w:t>
      </w:r>
      <w:r>
        <w:rPr>
          <w:spacing w:val="-6"/>
          <w:sz w:val="16"/>
          <w:szCs w:val="16"/>
          <w:lang w:val="en-GB"/>
        </w:rPr>
        <w:t xml:space="preserve">the decrease was </w:t>
      </w:r>
      <w:r w:rsidRPr="00D94929">
        <w:rPr>
          <w:spacing w:val="-6"/>
          <w:sz w:val="16"/>
          <w:szCs w:val="16"/>
          <w:lang w:val="en-GB"/>
        </w:rPr>
        <w:t>3% (</w:t>
      </w:r>
      <w:r>
        <w:rPr>
          <w:spacing w:val="-6"/>
          <w:sz w:val="16"/>
          <w:szCs w:val="16"/>
          <w:lang w:val="en-GB"/>
        </w:rPr>
        <w:t xml:space="preserve">in that </w:t>
      </w:r>
      <w:r w:rsidRPr="00D94929">
        <w:rPr>
          <w:spacing w:val="-6"/>
          <w:sz w:val="16"/>
          <w:szCs w:val="16"/>
          <w:lang w:val="en-GB"/>
        </w:rPr>
        <w:t>4%</w:t>
      </w:r>
      <w:r>
        <w:rPr>
          <w:spacing w:val="-6"/>
          <w:sz w:val="16"/>
          <w:szCs w:val="16"/>
          <w:lang w:val="en-GB"/>
        </w:rPr>
        <w:t xml:space="preserve"> in households</w:t>
      </w:r>
      <w:r w:rsidRPr="00D94929">
        <w:rPr>
          <w:spacing w:val="-6"/>
          <w:sz w:val="16"/>
          <w:szCs w:val="16"/>
          <w:lang w:val="en-GB"/>
        </w:rPr>
        <w:t xml:space="preserve">). </w:t>
      </w:r>
    </w:p>
  </w:footnote>
  <w:footnote w:id="20">
    <w:p w14:paraId="09083DA8" w14:textId="1BDC6E83" w:rsidR="00073B58" w:rsidRPr="00D94929" w:rsidRDefault="00073B58" w:rsidP="001A1DBF">
      <w:pPr>
        <w:pStyle w:val="Textpoznpodarou"/>
        <w:jc w:val="both"/>
        <w:rPr>
          <w:spacing w:val="-6"/>
          <w:lang w:val="en-GB"/>
        </w:rPr>
      </w:pPr>
      <w:r w:rsidRPr="00D94929">
        <w:rPr>
          <w:rStyle w:val="Znakapoznpodarou"/>
          <w:spacing w:val="-6"/>
          <w:sz w:val="16"/>
          <w:szCs w:val="16"/>
          <w:lang w:val="en-GB"/>
        </w:rPr>
        <w:footnoteRef/>
      </w:r>
      <w:r w:rsidRPr="00D94929">
        <w:rPr>
          <w:spacing w:val="-6"/>
          <w:sz w:val="16"/>
          <w:szCs w:val="16"/>
          <w:lang w:val="en-GB"/>
        </w:rPr>
        <w:t xml:space="preserve"> </w:t>
      </w:r>
      <w:r>
        <w:rPr>
          <w:spacing w:val="-6"/>
          <w:sz w:val="16"/>
          <w:szCs w:val="16"/>
          <w:lang w:val="en-GB"/>
        </w:rPr>
        <w:t xml:space="preserve">The gross domestic generated electricity totalled </w:t>
      </w:r>
      <w:r w:rsidRPr="00D94929">
        <w:rPr>
          <w:spacing w:val="-6"/>
          <w:sz w:val="16"/>
          <w:szCs w:val="16"/>
          <w:lang w:val="en-GB"/>
        </w:rPr>
        <w:t>42</w:t>
      </w:r>
      <w:r>
        <w:rPr>
          <w:spacing w:val="-6"/>
          <w:sz w:val="16"/>
          <w:szCs w:val="16"/>
          <w:lang w:val="en-GB"/>
        </w:rPr>
        <w:t>.</w:t>
      </w:r>
      <w:r w:rsidRPr="00D94929">
        <w:rPr>
          <w:spacing w:val="-6"/>
          <w:sz w:val="16"/>
          <w:szCs w:val="16"/>
          <w:lang w:val="en-GB"/>
        </w:rPr>
        <w:t xml:space="preserve">2 TWh </w:t>
      </w:r>
      <w:r>
        <w:rPr>
          <w:spacing w:val="-6"/>
          <w:sz w:val="16"/>
          <w:szCs w:val="16"/>
          <w:lang w:val="en-GB"/>
        </w:rPr>
        <w:t xml:space="preserve">in H1 2022 </w:t>
      </w:r>
      <w:r w:rsidRPr="00D94929">
        <w:rPr>
          <w:spacing w:val="-6"/>
          <w:sz w:val="16"/>
          <w:szCs w:val="16"/>
          <w:lang w:val="en-GB"/>
        </w:rPr>
        <w:t>(</w:t>
      </w:r>
      <w:r>
        <w:rPr>
          <w:spacing w:val="-6"/>
          <w:sz w:val="16"/>
          <w:szCs w:val="16"/>
          <w:lang w:val="en-GB"/>
        </w:rPr>
        <w:t xml:space="preserve">by </w:t>
      </w:r>
      <w:r w:rsidRPr="00D94929">
        <w:rPr>
          <w:spacing w:val="-6"/>
          <w:sz w:val="16"/>
          <w:szCs w:val="16"/>
          <w:lang w:val="en-GB"/>
        </w:rPr>
        <w:t>2</w:t>
      </w:r>
      <w:r>
        <w:rPr>
          <w:spacing w:val="-6"/>
          <w:sz w:val="16"/>
          <w:szCs w:val="16"/>
          <w:lang w:val="en-GB"/>
        </w:rPr>
        <w:t>.</w:t>
      </w:r>
      <w:r w:rsidRPr="00D94929">
        <w:rPr>
          <w:spacing w:val="-6"/>
          <w:sz w:val="16"/>
          <w:szCs w:val="16"/>
          <w:lang w:val="en-GB"/>
        </w:rPr>
        <w:t>2%</w:t>
      </w:r>
      <w:r>
        <w:rPr>
          <w:spacing w:val="-6"/>
          <w:sz w:val="16"/>
          <w:szCs w:val="16"/>
          <w:lang w:val="en-GB"/>
        </w:rPr>
        <w:t xml:space="preserve"> more year-on-year</w:t>
      </w:r>
      <w:r w:rsidRPr="00D94929">
        <w:rPr>
          <w:spacing w:val="-6"/>
          <w:sz w:val="16"/>
          <w:szCs w:val="16"/>
          <w:lang w:val="en-GB"/>
        </w:rPr>
        <w:t xml:space="preserve">, </w:t>
      </w:r>
      <w:r>
        <w:rPr>
          <w:spacing w:val="-6"/>
          <w:sz w:val="16"/>
          <w:szCs w:val="16"/>
          <w:lang w:val="en-GB"/>
        </w:rPr>
        <w:t xml:space="preserve">but by </w:t>
      </w:r>
      <w:r w:rsidRPr="00D94929">
        <w:rPr>
          <w:spacing w:val="-6"/>
          <w:sz w:val="16"/>
          <w:szCs w:val="16"/>
          <w:lang w:val="en-GB"/>
        </w:rPr>
        <w:t>4</w:t>
      </w:r>
      <w:r>
        <w:rPr>
          <w:spacing w:val="-6"/>
          <w:sz w:val="16"/>
          <w:szCs w:val="16"/>
          <w:lang w:val="en-GB"/>
        </w:rPr>
        <w:t>.</w:t>
      </w:r>
      <w:r w:rsidRPr="00D94929">
        <w:rPr>
          <w:spacing w:val="-6"/>
          <w:sz w:val="16"/>
          <w:szCs w:val="16"/>
          <w:lang w:val="en-GB"/>
        </w:rPr>
        <w:t>2%</w:t>
      </w:r>
      <w:r>
        <w:rPr>
          <w:spacing w:val="-6"/>
          <w:sz w:val="16"/>
          <w:szCs w:val="16"/>
          <w:lang w:val="en-GB"/>
        </w:rPr>
        <w:t xml:space="preserve"> less compared to year 2019</w:t>
      </w:r>
      <w:r w:rsidRPr="00D94929">
        <w:rPr>
          <w:spacing w:val="-6"/>
          <w:sz w:val="16"/>
          <w:szCs w:val="16"/>
          <w:lang w:val="en-GB"/>
        </w:rPr>
        <w:t xml:space="preserve">). </w:t>
      </w:r>
      <w:r>
        <w:rPr>
          <w:spacing w:val="-6"/>
          <w:sz w:val="16"/>
          <w:szCs w:val="16"/>
          <w:lang w:val="en-GB"/>
        </w:rPr>
        <w:t xml:space="preserve">The steam power plants contributed the most to the year-on-year growth of production even despite the decrease of their installed performance, specifically mainly thanks to higher utilisation of coal. The generation of electricity in nuclear power plants also mildly strengthened. In contrast the output plunged by </w:t>
      </w:r>
      <w:r w:rsidRPr="00D94929">
        <w:rPr>
          <w:spacing w:val="-6"/>
          <w:sz w:val="16"/>
          <w:szCs w:val="16"/>
          <w:lang w:val="en-GB"/>
        </w:rPr>
        <w:t xml:space="preserve">60% </w:t>
      </w:r>
      <w:r>
        <w:rPr>
          <w:spacing w:val="-6"/>
          <w:sz w:val="16"/>
          <w:szCs w:val="16"/>
          <w:lang w:val="en-GB"/>
        </w:rPr>
        <w:t xml:space="preserve">in combined gas/steam plants and by nearly one fifth also in water and pumping stations. Total gross domestic consumption of electricity mildly fell </w:t>
      </w:r>
      <w:r w:rsidRPr="00D94929">
        <w:rPr>
          <w:spacing w:val="-6"/>
          <w:sz w:val="16"/>
          <w:szCs w:val="16"/>
          <w:lang w:val="en-GB"/>
        </w:rPr>
        <w:t>(</w:t>
      </w:r>
      <w:r>
        <w:rPr>
          <w:spacing w:val="-6"/>
          <w:sz w:val="16"/>
          <w:szCs w:val="16"/>
          <w:lang w:val="en-GB"/>
        </w:rPr>
        <w:t xml:space="preserve">by </w:t>
      </w:r>
      <w:r w:rsidRPr="00D94929">
        <w:rPr>
          <w:spacing w:val="-6"/>
          <w:sz w:val="16"/>
          <w:szCs w:val="16"/>
          <w:lang w:val="en-GB"/>
        </w:rPr>
        <w:t>1</w:t>
      </w:r>
      <w:r>
        <w:rPr>
          <w:spacing w:val="-6"/>
          <w:sz w:val="16"/>
          <w:szCs w:val="16"/>
          <w:lang w:val="en-GB"/>
        </w:rPr>
        <w:t>.</w:t>
      </w:r>
      <w:r w:rsidRPr="00D94929">
        <w:rPr>
          <w:spacing w:val="-6"/>
          <w:sz w:val="16"/>
          <w:szCs w:val="16"/>
          <w:lang w:val="en-GB"/>
        </w:rPr>
        <w:t>5%,</w:t>
      </w:r>
      <w:r>
        <w:rPr>
          <w:spacing w:val="-6"/>
          <w:sz w:val="16"/>
          <w:szCs w:val="16"/>
          <w:lang w:val="en-GB"/>
        </w:rPr>
        <w:t xml:space="preserve"> nearly solely thanks to households</w:t>
      </w:r>
      <w:r w:rsidRPr="00D94929">
        <w:rPr>
          <w:spacing w:val="-6"/>
          <w:sz w:val="16"/>
          <w:szCs w:val="16"/>
          <w:lang w:val="en-GB"/>
        </w:rPr>
        <w:t xml:space="preserve">) </w:t>
      </w:r>
      <w:r>
        <w:rPr>
          <w:spacing w:val="-6"/>
          <w:sz w:val="16"/>
          <w:szCs w:val="16"/>
          <w:lang w:val="en-GB"/>
        </w:rPr>
        <w:t xml:space="preserve">to </w:t>
      </w:r>
      <w:r w:rsidRPr="00D94929">
        <w:rPr>
          <w:spacing w:val="-6"/>
          <w:sz w:val="16"/>
          <w:szCs w:val="16"/>
          <w:lang w:val="en-GB"/>
        </w:rPr>
        <w:t>36</w:t>
      </w:r>
      <w:r>
        <w:rPr>
          <w:spacing w:val="-6"/>
          <w:sz w:val="16"/>
          <w:szCs w:val="16"/>
          <w:lang w:val="en-GB"/>
        </w:rPr>
        <w:t>.</w:t>
      </w:r>
      <w:r w:rsidRPr="00D94929">
        <w:rPr>
          <w:spacing w:val="-6"/>
          <w:sz w:val="16"/>
          <w:szCs w:val="16"/>
          <w:lang w:val="en-GB"/>
        </w:rPr>
        <w:t xml:space="preserve">8 TWh – </w:t>
      </w:r>
      <w:r>
        <w:rPr>
          <w:spacing w:val="-6"/>
          <w:sz w:val="16"/>
          <w:szCs w:val="16"/>
          <w:lang w:val="en-GB"/>
        </w:rPr>
        <w:t xml:space="preserve">i.e. to the lowest value in the last six years. </w:t>
      </w:r>
    </w:p>
  </w:footnote>
  <w:footnote w:id="21">
    <w:p w14:paraId="5432B89B" w14:textId="77777777" w:rsidR="00073B58" w:rsidRPr="00C7109C" w:rsidRDefault="00073B58" w:rsidP="00C7109C">
      <w:pPr>
        <w:pStyle w:val="Textpoznpodarou"/>
        <w:jc w:val="both"/>
        <w:rPr>
          <w:spacing w:val="-6"/>
          <w:sz w:val="16"/>
          <w:szCs w:val="16"/>
          <w:lang w:val="en-GB"/>
        </w:rPr>
      </w:pPr>
      <w:r w:rsidRPr="00CF35A7">
        <w:rPr>
          <w:rStyle w:val="Znakapoznpodarou"/>
          <w:spacing w:val="-6"/>
          <w:sz w:val="16"/>
          <w:szCs w:val="16"/>
        </w:rPr>
        <w:footnoteRef/>
      </w:r>
      <w:r w:rsidRPr="00CF35A7">
        <w:rPr>
          <w:spacing w:val="-6"/>
          <w:sz w:val="16"/>
          <w:szCs w:val="16"/>
        </w:rPr>
        <w:t xml:space="preserve"> </w:t>
      </w:r>
      <w:r w:rsidRPr="00C7109C">
        <w:rPr>
          <w:spacing w:val="-6"/>
          <w:sz w:val="16"/>
          <w:szCs w:val="16"/>
          <w:lang w:val="en-GB"/>
        </w:rPr>
        <w:t xml:space="preserve">Year-on-year rates of sales are adjusted for calendar effects. </w:t>
      </w:r>
    </w:p>
  </w:footnote>
  <w:footnote w:id="22">
    <w:p w14:paraId="38E102C7" w14:textId="77777777" w:rsidR="00073B58" w:rsidRPr="00C7109C" w:rsidRDefault="00073B58" w:rsidP="00C7109C">
      <w:pPr>
        <w:pStyle w:val="Textpoznpodarou"/>
        <w:jc w:val="both"/>
        <w:rPr>
          <w:spacing w:val="-6"/>
          <w:sz w:val="16"/>
          <w:szCs w:val="16"/>
          <w:lang w:val="en-GB"/>
        </w:rPr>
      </w:pPr>
      <w:r w:rsidRPr="00C7109C">
        <w:rPr>
          <w:rStyle w:val="Znakapoznpodarou"/>
          <w:spacing w:val="-6"/>
          <w:sz w:val="16"/>
          <w:szCs w:val="16"/>
          <w:lang w:val="en-GB"/>
        </w:rPr>
        <w:footnoteRef/>
      </w:r>
      <w:r w:rsidRPr="00C7109C">
        <w:rPr>
          <w:spacing w:val="-6"/>
          <w:sz w:val="16"/>
          <w:szCs w:val="16"/>
          <w:lang w:val="en-GB"/>
        </w:rPr>
        <w:t xml:space="preserve"> </w:t>
      </w:r>
      <w:r>
        <w:rPr>
          <w:spacing w:val="-6"/>
          <w:sz w:val="16"/>
          <w:szCs w:val="16"/>
          <w:lang w:val="en-GB"/>
        </w:rPr>
        <w:t>While the sales from industrial activity in current prices exceeded the highest level from the pre-pandemic period already in Q</w:t>
      </w:r>
      <w:r w:rsidRPr="00C7109C">
        <w:rPr>
          <w:spacing w:val="-6"/>
          <w:sz w:val="16"/>
          <w:szCs w:val="16"/>
          <w:lang w:val="en-GB"/>
        </w:rPr>
        <w:t>4</w:t>
      </w:r>
      <w:r>
        <w:rPr>
          <w:spacing w:val="-6"/>
          <w:sz w:val="16"/>
          <w:szCs w:val="16"/>
          <w:lang w:val="en-GB"/>
        </w:rPr>
        <w:t xml:space="preserve"> </w:t>
      </w:r>
      <w:r w:rsidRPr="00C7109C">
        <w:rPr>
          <w:spacing w:val="-6"/>
          <w:sz w:val="16"/>
          <w:szCs w:val="16"/>
          <w:lang w:val="en-GB"/>
        </w:rPr>
        <w:t xml:space="preserve">2020, </w:t>
      </w:r>
      <w:r>
        <w:rPr>
          <w:spacing w:val="-6"/>
          <w:sz w:val="16"/>
          <w:szCs w:val="16"/>
          <w:lang w:val="en-GB"/>
        </w:rPr>
        <w:t xml:space="preserve">it has not manifested in case of industrial production (which is standardly adjusted for price effects) so far. </w:t>
      </w:r>
    </w:p>
  </w:footnote>
  <w:footnote w:id="23">
    <w:p w14:paraId="2B34586C" w14:textId="77777777" w:rsidR="00073B58" w:rsidRPr="00C7109C" w:rsidRDefault="00073B58" w:rsidP="00C7109C">
      <w:pPr>
        <w:pStyle w:val="Textpoznpodarou"/>
        <w:jc w:val="both"/>
        <w:rPr>
          <w:spacing w:val="-6"/>
          <w:sz w:val="16"/>
          <w:szCs w:val="16"/>
          <w:lang w:val="en-GB"/>
        </w:rPr>
      </w:pPr>
      <w:r w:rsidRPr="00C7109C">
        <w:rPr>
          <w:rStyle w:val="Znakapoznpodarou"/>
          <w:spacing w:val="-6"/>
          <w:sz w:val="16"/>
          <w:szCs w:val="16"/>
          <w:lang w:val="en-GB"/>
        </w:rPr>
        <w:footnoteRef/>
      </w:r>
      <w:r w:rsidRPr="00C7109C">
        <w:rPr>
          <w:spacing w:val="-6"/>
          <w:sz w:val="16"/>
          <w:szCs w:val="16"/>
          <w:lang w:val="en-GB"/>
        </w:rPr>
        <w:t xml:space="preserve"> </w:t>
      </w:r>
      <w:r>
        <w:rPr>
          <w:spacing w:val="-6"/>
          <w:sz w:val="16"/>
          <w:szCs w:val="16"/>
          <w:lang w:val="en-GB"/>
        </w:rPr>
        <w:t xml:space="preserve">It concerns export via businesses classified in other branches than industry. </w:t>
      </w:r>
    </w:p>
  </w:footnote>
  <w:footnote w:id="24">
    <w:p w14:paraId="11BD4D22" w14:textId="77777777" w:rsidR="00073B58" w:rsidRPr="00C7109C" w:rsidRDefault="00073B58" w:rsidP="00C7109C">
      <w:pPr>
        <w:pStyle w:val="Textpoznpodarou"/>
        <w:jc w:val="both"/>
        <w:rPr>
          <w:rFonts w:cs="Arial"/>
          <w:color w:val="0D0D0D" w:themeColor="text1" w:themeTint="F2"/>
          <w:spacing w:val="-2"/>
          <w:sz w:val="16"/>
          <w:szCs w:val="16"/>
          <w:lang w:val="en-GB"/>
        </w:rPr>
      </w:pPr>
      <w:r w:rsidRPr="00C7109C">
        <w:rPr>
          <w:rStyle w:val="Znakapoznpodarou"/>
          <w:rFonts w:cs="Arial"/>
          <w:color w:val="0D0D0D" w:themeColor="text1" w:themeTint="F2"/>
          <w:spacing w:val="-2"/>
          <w:sz w:val="16"/>
          <w:szCs w:val="16"/>
          <w:lang w:val="en-GB"/>
        </w:rPr>
        <w:footnoteRef/>
      </w:r>
      <w:r w:rsidRPr="00C7109C">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Survey or orders is ongoing only in twelve manufacturing branches producing </w:t>
      </w:r>
      <w:r>
        <w:rPr>
          <w:rFonts w:cs="Arial"/>
          <w:color w:val="0D0D0D" w:themeColor="text1" w:themeTint="F2"/>
          <w:sz w:val="16"/>
          <w:szCs w:val="16"/>
          <w:lang w:val="en-GB"/>
        </w:rPr>
        <w:t xml:space="preserve">mostly custom-made products, with longer </w:t>
      </w:r>
      <w:r w:rsidRPr="00B755F7">
        <w:rPr>
          <w:rFonts w:cs="Arial"/>
          <w:color w:val="0D0D0D" w:themeColor="text1" w:themeTint="F2"/>
          <w:sz w:val="16"/>
          <w:szCs w:val="16"/>
          <w:lang w:val="en-GB"/>
        </w:rPr>
        <w:t>production cycle and larger stocks of orders.</w:t>
      </w:r>
      <w:r>
        <w:rPr>
          <w:rFonts w:cs="Arial"/>
          <w:color w:val="0D0D0D" w:themeColor="text1" w:themeTint="F2"/>
          <w:sz w:val="16"/>
          <w:szCs w:val="16"/>
          <w:lang w:val="en-GB"/>
        </w:rPr>
        <w:t xml:space="preserve"> Year-on-year growth rates of orders are adjusted for calendar effects. </w:t>
      </w:r>
    </w:p>
  </w:footnote>
  <w:footnote w:id="25">
    <w:p w14:paraId="2D213183" w14:textId="77777777" w:rsidR="00073B58" w:rsidRPr="00054C5F" w:rsidRDefault="00073B58" w:rsidP="008F00AE">
      <w:pPr>
        <w:pStyle w:val="Textpoznpodarou"/>
        <w:jc w:val="both"/>
        <w:rPr>
          <w:spacing w:val="-6"/>
          <w:sz w:val="16"/>
          <w:szCs w:val="16"/>
          <w:lang w:val="en-GB"/>
        </w:rPr>
      </w:pPr>
      <w:r w:rsidRPr="00054C5F">
        <w:rPr>
          <w:rStyle w:val="Znakapoznpodarou"/>
          <w:spacing w:val="-6"/>
          <w:sz w:val="16"/>
          <w:szCs w:val="16"/>
          <w:lang w:val="en-GB"/>
        </w:rPr>
        <w:footnoteRef/>
      </w:r>
      <w:r w:rsidRPr="00054C5F">
        <w:rPr>
          <w:spacing w:val="-6"/>
          <w:sz w:val="16"/>
          <w:szCs w:val="16"/>
          <w:lang w:val="en-GB"/>
        </w:rPr>
        <w:t xml:space="preserve"> The average registered number of employees in industry stagnated year-on-year this year in H1 (as well as </w:t>
      </w:r>
      <w:r>
        <w:rPr>
          <w:spacing w:val="-6"/>
          <w:sz w:val="16"/>
          <w:szCs w:val="16"/>
          <w:lang w:val="en-GB"/>
        </w:rPr>
        <w:t xml:space="preserve">in </w:t>
      </w:r>
      <w:r w:rsidRPr="00054C5F">
        <w:rPr>
          <w:spacing w:val="-6"/>
          <w:sz w:val="16"/>
          <w:szCs w:val="16"/>
          <w:lang w:val="en-GB"/>
        </w:rPr>
        <w:t xml:space="preserve">June itself). </w:t>
      </w:r>
    </w:p>
  </w:footnote>
  <w:footnote w:id="26">
    <w:p w14:paraId="6D753D7D" w14:textId="77777777" w:rsidR="00073B58" w:rsidRPr="00054C5F" w:rsidRDefault="00073B58" w:rsidP="008F00AE">
      <w:pPr>
        <w:pStyle w:val="Textpoznpodarou"/>
        <w:jc w:val="both"/>
        <w:rPr>
          <w:spacing w:val="-6"/>
          <w:sz w:val="16"/>
          <w:szCs w:val="16"/>
          <w:lang w:val="en-GB"/>
        </w:rPr>
      </w:pPr>
      <w:r w:rsidRPr="00054C5F">
        <w:rPr>
          <w:rStyle w:val="Znakapoznpodarou"/>
          <w:spacing w:val="-6"/>
          <w:sz w:val="16"/>
          <w:szCs w:val="16"/>
          <w:lang w:val="en-GB"/>
        </w:rPr>
        <w:footnoteRef/>
      </w:r>
      <w:r w:rsidRPr="00054C5F">
        <w:rPr>
          <w:spacing w:val="-6"/>
          <w:sz w:val="16"/>
          <w:szCs w:val="16"/>
          <w:lang w:val="en-GB"/>
        </w:rPr>
        <w:t xml:space="preserve"> </w:t>
      </w:r>
      <w:r>
        <w:rPr>
          <w:spacing w:val="-6"/>
          <w:sz w:val="16"/>
          <w:szCs w:val="16"/>
          <w:lang w:val="en-GB"/>
        </w:rPr>
        <w:t xml:space="preserve">According to the July survey, the current stock of orders provided companies with work in average on further </w:t>
      </w:r>
      <w:r w:rsidRPr="00054C5F">
        <w:rPr>
          <w:spacing w:val="-6"/>
          <w:sz w:val="16"/>
          <w:szCs w:val="16"/>
          <w:lang w:val="en-GB"/>
        </w:rPr>
        <w:t>8</w:t>
      </w:r>
      <w:r>
        <w:rPr>
          <w:spacing w:val="-6"/>
          <w:sz w:val="16"/>
          <w:szCs w:val="16"/>
          <w:lang w:val="en-GB"/>
        </w:rPr>
        <w:t>.</w:t>
      </w:r>
      <w:r w:rsidRPr="00054C5F">
        <w:rPr>
          <w:spacing w:val="-6"/>
          <w:sz w:val="16"/>
          <w:szCs w:val="16"/>
          <w:lang w:val="en-GB"/>
        </w:rPr>
        <w:t>4 m</w:t>
      </w:r>
      <w:r>
        <w:rPr>
          <w:spacing w:val="-6"/>
          <w:sz w:val="16"/>
          <w:szCs w:val="16"/>
          <w:lang w:val="en-GB"/>
        </w:rPr>
        <w:t>onths</w:t>
      </w:r>
      <w:r w:rsidRPr="00054C5F">
        <w:rPr>
          <w:spacing w:val="-6"/>
          <w:sz w:val="16"/>
          <w:szCs w:val="16"/>
          <w:lang w:val="en-GB"/>
        </w:rPr>
        <w:t xml:space="preserve">. </w:t>
      </w:r>
      <w:r>
        <w:rPr>
          <w:spacing w:val="-6"/>
          <w:sz w:val="16"/>
          <w:szCs w:val="16"/>
          <w:lang w:val="en-GB"/>
        </w:rPr>
        <w:t>It was the least since the end of year 2</w:t>
      </w:r>
      <w:r w:rsidRPr="00054C5F">
        <w:rPr>
          <w:spacing w:val="-6"/>
          <w:sz w:val="16"/>
          <w:szCs w:val="16"/>
          <w:lang w:val="en-GB"/>
        </w:rPr>
        <w:t xml:space="preserve">017. </w:t>
      </w:r>
      <w:r>
        <w:rPr>
          <w:spacing w:val="-6"/>
          <w:sz w:val="16"/>
          <w:szCs w:val="16"/>
          <w:lang w:val="en-GB"/>
        </w:rPr>
        <w:t xml:space="preserve">Still the domestic industrial businesses had at their disposal the largest stock of work among all EU states. </w:t>
      </w:r>
    </w:p>
  </w:footnote>
  <w:footnote w:id="27">
    <w:p w14:paraId="45C4C884" w14:textId="77777777" w:rsidR="00073B58" w:rsidRPr="00054C5F" w:rsidRDefault="00073B58" w:rsidP="008F00AE">
      <w:pPr>
        <w:pStyle w:val="Textpoznpodarou"/>
        <w:jc w:val="both"/>
        <w:rPr>
          <w:spacing w:val="-6"/>
          <w:sz w:val="16"/>
          <w:szCs w:val="16"/>
          <w:lang w:val="en-GB"/>
        </w:rPr>
      </w:pPr>
      <w:r w:rsidRPr="00054C5F">
        <w:rPr>
          <w:rStyle w:val="Znakapoznpodarou"/>
          <w:spacing w:val="-6"/>
          <w:sz w:val="16"/>
          <w:szCs w:val="16"/>
          <w:lang w:val="en-GB"/>
        </w:rPr>
        <w:footnoteRef/>
      </w:r>
      <w:r w:rsidRPr="00054C5F">
        <w:rPr>
          <w:spacing w:val="-6"/>
          <w:sz w:val="16"/>
          <w:szCs w:val="16"/>
          <w:lang w:val="en-GB"/>
        </w:rPr>
        <w:t xml:space="preserve"> </w:t>
      </w:r>
      <w:r>
        <w:rPr>
          <w:spacing w:val="-6"/>
          <w:sz w:val="16"/>
          <w:szCs w:val="16"/>
          <w:lang w:val="en-GB"/>
        </w:rPr>
        <w:t xml:space="preserve">Next to the manufacturing of motor vehicles (together with the main tied sub-branches) it was mainly manufacturing of computers, electronic and optical appliances </w:t>
      </w:r>
      <w:r w:rsidRPr="00054C5F">
        <w:rPr>
          <w:spacing w:val="-6"/>
          <w:sz w:val="16"/>
          <w:szCs w:val="16"/>
          <w:lang w:val="en-GB"/>
        </w:rPr>
        <w:t>(92%</w:t>
      </w:r>
      <w:r>
        <w:rPr>
          <w:spacing w:val="-6"/>
          <w:sz w:val="16"/>
          <w:szCs w:val="16"/>
          <w:lang w:val="en-GB"/>
        </w:rPr>
        <w:t xml:space="preserve"> of businesses indicated it as one of the barriers</w:t>
      </w:r>
      <w:r w:rsidRPr="00054C5F">
        <w:rPr>
          <w:spacing w:val="-6"/>
          <w:sz w:val="16"/>
          <w:szCs w:val="16"/>
          <w:lang w:val="en-GB"/>
        </w:rPr>
        <w:t>), chemic</w:t>
      </w:r>
      <w:r>
        <w:rPr>
          <w:spacing w:val="-6"/>
          <w:sz w:val="16"/>
          <w:szCs w:val="16"/>
          <w:lang w:val="en-GB"/>
        </w:rPr>
        <w:t xml:space="preserve">al industry </w:t>
      </w:r>
      <w:r w:rsidRPr="00054C5F">
        <w:rPr>
          <w:spacing w:val="-6"/>
          <w:sz w:val="16"/>
          <w:szCs w:val="16"/>
          <w:lang w:val="en-GB"/>
        </w:rPr>
        <w:t>(71%) a</w:t>
      </w:r>
      <w:r>
        <w:rPr>
          <w:spacing w:val="-6"/>
          <w:sz w:val="16"/>
          <w:szCs w:val="16"/>
          <w:lang w:val="en-GB"/>
        </w:rPr>
        <w:t xml:space="preserve">nd machinery </w:t>
      </w:r>
      <w:r w:rsidRPr="00054C5F">
        <w:rPr>
          <w:spacing w:val="-6"/>
          <w:sz w:val="16"/>
          <w:szCs w:val="16"/>
          <w:lang w:val="en-GB"/>
        </w:rPr>
        <w:t>(55%)</w:t>
      </w:r>
      <w:r>
        <w:rPr>
          <w:spacing w:val="-6"/>
          <w:sz w:val="16"/>
          <w:szCs w:val="16"/>
          <w:lang w:val="en-GB"/>
        </w:rPr>
        <w:t xml:space="preserve"> this year in July</w:t>
      </w:r>
      <w:r w:rsidRPr="00054C5F">
        <w:rPr>
          <w:spacing w:val="-6"/>
          <w:sz w:val="16"/>
          <w:szCs w:val="16"/>
          <w:lang w:val="en-GB"/>
        </w:rPr>
        <w:t>.</w:t>
      </w:r>
    </w:p>
  </w:footnote>
  <w:footnote w:id="28">
    <w:p w14:paraId="294D3D35" w14:textId="77777777" w:rsidR="00073B58" w:rsidRPr="00054C5F" w:rsidRDefault="00073B58" w:rsidP="008F00AE">
      <w:pPr>
        <w:pStyle w:val="Textpoznpodarou"/>
        <w:jc w:val="both"/>
        <w:rPr>
          <w:spacing w:val="-6"/>
          <w:sz w:val="16"/>
          <w:szCs w:val="16"/>
          <w:lang w:val="en-GB"/>
        </w:rPr>
      </w:pPr>
      <w:r w:rsidRPr="00054C5F">
        <w:rPr>
          <w:rStyle w:val="Znakapoznpodarou"/>
          <w:spacing w:val="-6"/>
          <w:sz w:val="16"/>
          <w:szCs w:val="16"/>
          <w:lang w:val="en-GB"/>
        </w:rPr>
        <w:footnoteRef/>
      </w:r>
      <w:r w:rsidRPr="00054C5F">
        <w:rPr>
          <w:spacing w:val="-6"/>
          <w:sz w:val="16"/>
          <w:szCs w:val="16"/>
          <w:lang w:val="en-GB"/>
        </w:rPr>
        <w:t xml:space="preserve"> </w:t>
      </w:r>
      <w:r>
        <w:rPr>
          <w:spacing w:val="-6"/>
          <w:sz w:val="16"/>
          <w:szCs w:val="16"/>
          <w:lang w:val="en-GB"/>
        </w:rPr>
        <w:t xml:space="preserve">It represented the key growth barrier in manufacturing of beverages </w:t>
      </w:r>
      <w:r w:rsidRPr="00054C5F">
        <w:rPr>
          <w:spacing w:val="-6"/>
          <w:sz w:val="16"/>
          <w:szCs w:val="16"/>
          <w:lang w:val="en-GB"/>
        </w:rPr>
        <w:t>(49%),</w:t>
      </w:r>
      <w:r>
        <w:rPr>
          <w:spacing w:val="-6"/>
          <w:sz w:val="16"/>
          <w:szCs w:val="16"/>
          <w:lang w:val="en-GB"/>
        </w:rPr>
        <w:t xml:space="preserve"> leatherworking industry </w:t>
      </w:r>
      <w:r w:rsidRPr="00054C5F">
        <w:rPr>
          <w:spacing w:val="-6"/>
          <w:sz w:val="16"/>
          <w:szCs w:val="16"/>
          <w:lang w:val="en-GB"/>
        </w:rPr>
        <w:t>(65%) a</w:t>
      </w:r>
      <w:r>
        <w:rPr>
          <w:spacing w:val="-6"/>
          <w:sz w:val="16"/>
          <w:szCs w:val="16"/>
          <w:lang w:val="en-GB"/>
        </w:rPr>
        <w:t xml:space="preserve">nd metalworking industry </w:t>
      </w:r>
      <w:r w:rsidRPr="00054C5F">
        <w:rPr>
          <w:spacing w:val="-6"/>
          <w:sz w:val="16"/>
          <w:szCs w:val="16"/>
          <w:lang w:val="en-GB"/>
        </w:rPr>
        <w:t>(43%),</w:t>
      </w:r>
      <w:r>
        <w:rPr>
          <w:spacing w:val="-6"/>
          <w:sz w:val="16"/>
          <w:szCs w:val="16"/>
          <w:lang w:val="en-GB"/>
        </w:rPr>
        <w:t xml:space="preserve"> manufacturing of other (especially rail) transport equipment </w:t>
      </w:r>
      <w:r w:rsidRPr="00054C5F">
        <w:rPr>
          <w:spacing w:val="-6"/>
          <w:sz w:val="16"/>
          <w:szCs w:val="16"/>
          <w:lang w:val="en-GB"/>
        </w:rPr>
        <w:t>(73%) a</w:t>
      </w:r>
      <w:r>
        <w:rPr>
          <w:spacing w:val="-6"/>
          <w:sz w:val="16"/>
          <w:szCs w:val="16"/>
          <w:lang w:val="en-GB"/>
        </w:rPr>
        <w:t xml:space="preserve">nd repairs of machinery of equipment </w:t>
      </w:r>
      <w:r w:rsidRPr="00054C5F">
        <w:rPr>
          <w:spacing w:val="-6"/>
          <w:sz w:val="16"/>
          <w:szCs w:val="16"/>
          <w:lang w:val="en-GB"/>
        </w:rPr>
        <w:t xml:space="preserve">(41%). </w:t>
      </w:r>
      <w:r>
        <w:rPr>
          <w:spacing w:val="-6"/>
          <w:sz w:val="16"/>
          <w:szCs w:val="16"/>
          <w:lang w:val="en-GB"/>
        </w:rPr>
        <w:t xml:space="preserve">The branch manufacturing of rubber and plastic products </w:t>
      </w:r>
      <w:r w:rsidRPr="00054C5F">
        <w:rPr>
          <w:spacing w:val="-6"/>
          <w:sz w:val="16"/>
          <w:szCs w:val="16"/>
          <w:lang w:val="en-GB"/>
        </w:rPr>
        <w:t>(69%) a</w:t>
      </w:r>
      <w:r>
        <w:rPr>
          <w:spacing w:val="-6"/>
          <w:sz w:val="16"/>
          <w:szCs w:val="16"/>
          <w:lang w:val="en-GB"/>
        </w:rPr>
        <w:t xml:space="preserve">nd machinery </w:t>
      </w:r>
      <w:r w:rsidRPr="00054C5F">
        <w:rPr>
          <w:spacing w:val="-6"/>
          <w:sz w:val="16"/>
          <w:szCs w:val="16"/>
          <w:lang w:val="en-GB"/>
        </w:rPr>
        <w:t>(41%)</w:t>
      </w:r>
      <w:r>
        <w:rPr>
          <w:spacing w:val="-6"/>
          <w:sz w:val="16"/>
          <w:szCs w:val="16"/>
          <w:lang w:val="en-GB"/>
        </w:rPr>
        <w:t xml:space="preserve"> than held an important role</w:t>
      </w:r>
      <w:r w:rsidRPr="00054C5F">
        <w:rPr>
          <w:spacing w:val="-6"/>
          <w:sz w:val="16"/>
          <w:szCs w:val="16"/>
          <w:lang w:val="en-GB"/>
        </w:rPr>
        <w:t xml:space="preserve">. </w:t>
      </w:r>
    </w:p>
  </w:footnote>
  <w:footnote w:id="29">
    <w:p w14:paraId="1331D826" w14:textId="77777777" w:rsidR="00073B58" w:rsidRPr="00FE5BF1" w:rsidRDefault="00073B58" w:rsidP="000230CC">
      <w:pPr>
        <w:pStyle w:val="Textpoznpodarou"/>
        <w:jc w:val="both"/>
        <w:rPr>
          <w:spacing w:val="-6"/>
          <w:lang w:val="en-GB"/>
        </w:rPr>
      </w:pPr>
      <w:r w:rsidRPr="00CF35A7">
        <w:rPr>
          <w:rStyle w:val="Znakapoznpodarou"/>
          <w:spacing w:val="-6"/>
          <w:sz w:val="16"/>
          <w:szCs w:val="16"/>
        </w:rPr>
        <w:footnoteRef/>
      </w:r>
      <w:r w:rsidRPr="00CF35A7">
        <w:rPr>
          <w:spacing w:val="-6"/>
          <w:sz w:val="16"/>
          <w:szCs w:val="16"/>
        </w:rPr>
        <w:t xml:space="preserve"> </w:t>
      </w:r>
      <w:r w:rsidRPr="00FE5BF1">
        <w:rPr>
          <w:spacing w:val="-6"/>
          <w:sz w:val="16"/>
          <w:szCs w:val="16"/>
          <w:lang w:val="en-GB"/>
        </w:rPr>
        <w:t>It formed the key barrier growth in food industry (35%), textile industry (52%), manufacturing of wearing apparel (75%), wood industry (63%) and printing industry (27%), pharmaceutical</w:t>
      </w:r>
      <w:r>
        <w:rPr>
          <w:spacing w:val="-6"/>
          <w:sz w:val="16"/>
          <w:szCs w:val="16"/>
          <w:lang w:val="en-GB"/>
        </w:rPr>
        <w:t xml:space="preserve"> industry</w:t>
      </w:r>
      <w:r w:rsidRPr="00FE5BF1">
        <w:rPr>
          <w:spacing w:val="-6"/>
          <w:sz w:val="16"/>
          <w:szCs w:val="16"/>
          <w:lang w:val="en-GB"/>
        </w:rPr>
        <w:t xml:space="preserve"> (74%), manufacturing of building materials (28%) and metallurgy and foundry industry (44%).</w:t>
      </w:r>
    </w:p>
  </w:footnote>
  <w:footnote w:id="30">
    <w:p w14:paraId="7A3DDEA0" w14:textId="77777777" w:rsidR="00073B58" w:rsidRPr="00FE5BF1" w:rsidRDefault="00073B58" w:rsidP="000230CC">
      <w:pPr>
        <w:pStyle w:val="Textpoznpodarou"/>
        <w:jc w:val="both"/>
        <w:rPr>
          <w:spacing w:val="-6"/>
          <w:sz w:val="16"/>
          <w:szCs w:val="16"/>
          <w:lang w:val="en-GB"/>
        </w:rPr>
      </w:pPr>
      <w:r w:rsidRPr="00FE5BF1">
        <w:rPr>
          <w:rStyle w:val="Znakapoznpodarou"/>
          <w:spacing w:val="-6"/>
          <w:sz w:val="16"/>
          <w:szCs w:val="16"/>
          <w:lang w:val="en-GB"/>
        </w:rPr>
        <w:footnoteRef/>
      </w:r>
      <w:r w:rsidRPr="00FE5BF1">
        <w:rPr>
          <w:spacing w:val="-6"/>
          <w:sz w:val="16"/>
          <w:szCs w:val="16"/>
          <w:lang w:val="en-GB"/>
        </w:rPr>
        <w:t xml:space="preserve"> </w:t>
      </w:r>
      <w:r>
        <w:rPr>
          <w:spacing w:val="-6"/>
          <w:sz w:val="16"/>
          <w:szCs w:val="16"/>
          <w:lang w:val="en-GB"/>
        </w:rPr>
        <w:t xml:space="preserve">Compared to the record size from April </w:t>
      </w:r>
      <w:r w:rsidRPr="00FE5BF1">
        <w:rPr>
          <w:spacing w:val="-6"/>
          <w:sz w:val="16"/>
          <w:szCs w:val="16"/>
          <w:lang w:val="en-GB"/>
        </w:rPr>
        <w:t>2022</w:t>
      </w:r>
      <w:r>
        <w:rPr>
          <w:spacing w:val="-6"/>
          <w:sz w:val="16"/>
          <w:szCs w:val="16"/>
          <w:lang w:val="en-GB"/>
        </w:rPr>
        <w:t xml:space="preserve"> it decreased only negligibly</w:t>
      </w:r>
      <w:r w:rsidRPr="00FE5BF1">
        <w:rPr>
          <w:spacing w:val="-6"/>
          <w:sz w:val="16"/>
          <w:szCs w:val="16"/>
          <w:lang w:val="en-GB"/>
        </w:rPr>
        <w:t>. 53%</w:t>
      </w:r>
      <w:r>
        <w:rPr>
          <w:spacing w:val="-6"/>
          <w:sz w:val="16"/>
          <w:szCs w:val="16"/>
          <w:lang w:val="en-GB"/>
        </w:rPr>
        <w:t xml:space="preserve"> of industrial businesses planned to raise their own sale prices in the next three months in July</w:t>
      </w:r>
      <w:r w:rsidRPr="00FE5BF1">
        <w:rPr>
          <w:spacing w:val="-6"/>
          <w:sz w:val="16"/>
          <w:szCs w:val="16"/>
          <w:lang w:val="en-GB"/>
        </w:rPr>
        <w:t xml:space="preserve">. </w:t>
      </w:r>
    </w:p>
  </w:footnote>
  <w:footnote w:id="31">
    <w:p w14:paraId="5E37D711" w14:textId="77777777" w:rsidR="00073B58" w:rsidRPr="00FE5BF1" w:rsidRDefault="00073B58" w:rsidP="000230CC">
      <w:pPr>
        <w:pStyle w:val="Textpoznpodarou"/>
        <w:jc w:val="both"/>
        <w:rPr>
          <w:spacing w:val="-6"/>
          <w:sz w:val="16"/>
          <w:szCs w:val="16"/>
          <w:lang w:val="en-GB"/>
        </w:rPr>
      </w:pPr>
      <w:r w:rsidRPr="00FE5BF1">
        <w:rPr>
          <w:rStyle w:val="Znakapoznpodarou"/>
          <w:rFonts w:cs="Arial"/>
          <w:color w:val="0D0D0D" w:themeColor="text1" w:themeTint="F2"/>
          <w:spacing w:val="-6"/>
          <w:sz w:val="16"/>
          <w:szCs w:val="16"/>
          <w:lang w:val="en-GB"/>
        </w:rPr>
        <w:footnoteRef/>
      </w:r>
      <w:r w:rsidRPr="00FE5BF1">
        <w:rPr>
          <w:rFonts w:cs="Arial"/>
          <w:color w:val="0D0D0D" w:themeColor="text1" w:themeTint="F2"/>
          <w:spacing w:val="-6"/>
          <w:sz w:val="16"/>
          <w:szCs w:val="16"/>
          <w:lang w:val="en-GB"/>
        </w:rPr>
        <w:t xml:space="preserve"> </w:t>
      </w:r>
      <w:r>
        <w:rPr>
          <w:rFonts w:cs="Arial"/>
          <w:color w:val="0D0D0D" w:themeColor="text1" w:themeTint="F2"/>
          <w:spacing w:val="-6"/>
          <w:sz w:val="16"/>
          <w:szCs w:val="16"/>
          <w:lang w:val="en-GB"/>
        </w:rPr>
        <w:t xml:space="preserve">Data related to the construction output are in constant prices, year-on-year rates are adjusted for calendar effects, quarter-on-quarter also for the seasonal effects. </w:t>
      </w:r>
    </w:p>
  </w:footnote>
  <w:footnote w:id="32">
    <w:p w14:paraId="1F428177" w14:textId="77777777" w:rsidR="00073B58" w:rsidRPr="00FE5BF1" w:rsidRDefault="00073B58" w:rsidP="000230CC">
      <w:pPr>
        <w:pStyle w:val="Textpoznpodarou"/>
        <w:jc w:val="both"/>
        <w:rPr>
          <w:spacing w:val="-6"/>
          <w:sz w:val="16"/>
          <w:szCs w:val="16"/>
          <w:lang w:val="en-GB"/>
        </w:rPr>
      </w:pPr>
      <w:r w:rsidRPr="00FE5BF1">
        <w:rPr>
          <w:rStyle w:val="Znakapoznpodarou"/>
          <w:spacing w:val="-6"/>
          <w:sz w:val="16"/>
          <w:szCs w:val="16"/>
          <w:lang w:val="en-GB"/>
        </w:rPr>
        <w:footnoteRef/>
      </w:r>
      <w:r w:rsidRPr="00FE5BF1">
        <w:rPr>
          <w:spacing w:val="-6"/>
          <w:sz w:val="16"/>
          <w:szCs w:val="16"/>
          <w:lang w:val="en-GB"/>
        </w:rPr>
        <w:t xml:space="preserve"> </w:t>
      </w:r>
      <w:r>
        <w:rPr>
          <w:spacing w:val="-6"/>
          <w:sz w:val="16"/>
          <w:szCs w:val="16"/>
          <w:lang w:val="en-GB"/>
        </w:rPr>
        <w:t>Based on data of the Czech H</w:t>
      </w:r>
      <w:r w:rsidRPr="00FE5BF1">
        <w:rPr>
          <w:spacing w:val="-6"/>
          <w:sz w:val="16"/>
          <w:szCs w:val="16"/>
          <w:lang w:val="en-GB"/>
        </w:rPr>
        <w:t>y</w:t>
      </w:r>
      <w:r w:rsidRPr="00D406C8">
        <w:rPr>
          <w:spacing w:val="-6"/>
          <w:sz w:val="16"/>
          <w:szCs w:val="16"/>
          <w:lang w:val="en-GB"/>
        </w:rPr>
        <w:t>drometeorological</w:t>
      </w:r>
      <w:r>
        <w:rPr>
          <w:spacing w:val="-6"/>
          <w:sz w:val="16"/>
          <w:szCs w:val="16"/>
          <w:lang w:val="en-GB"/>
        </w:rPr>
        <w:t xml:space="preserve"> Institute, the average air temperature was gauged at </w:t>
      </w:r>
      <w:r w:rsidRPr="00FE5BF1">
        <w:rPr>
          <w:spacing w:val="-6"/>
          <w:sz w:val="16"/>
          <w:szCs w:val="16"/>
          <w:lang w:val="en-GB"/>
        </w:rPr>
        <w:t>+2</w:t>
      </w:r>
      <w:r>
        <w:rPr>
          <w:spacing w:val="-6"/>
          <w:sz w:val="16"/>
          <w:szCs w:val="16"/>
          <w:lang w:val="en-GB"/>
        </w:rPr>
        <w:t>.</w:t>
      </w:r>
      <w:r w:rsidRPr="00FE5BF1">
        <w:rPr>
          <w:spacing w:val="-6"/>
          <w:sz w:val="16"/>
          <w:szCs w:val="16"/>
          <w:lang w:val="en-GB"/>
        </w:rPr>
        <w:t>2</w:t>
      </w:r>
      <w:r>
        <w:rPr>
          <w:spacing w:val="-6"/>
          <w:sz w:val="16"/>
          <w:szCs w:val="16"/>
          <w:lang w:val="en-GB"/>
        </w:rPr>
        <w:t xml:space="preserve"> degree this year in Q1</w:t>
      </w:r>
      <w:r w:rsidRPr="00FE5BF1">
        <w:rPr>
          <w:spacing w:val="-6"/>
          <w:sz w:val="16"/>
          <w:szCs w:val="16"/>
          <w:lang w:val="en-GB"/>
        </w:rPr>
        <w:t>,</w:t>
      </w:r>
      <w:r>
        <w:rPr>
          <w:spacing w:val="-6"/>
          <w:sz w:val="16"/>
          <w:szCs w:val="16"/>
          <w:lang w:val="en-GB"/>
        </w:rPr>
        <w:t xml:space="preserve"> i.e. by </w:t>
      </w:r>
      <w:r w:rsidRPr="00FE5BF1">
        <w:rPr>
          <w:spacing w:val="-6"/>
          <w:sz w:val="16"/>
          <w:szCs w:val="16"/>
          <w:lang w:val="en-GB"/>
        </w:rPr>
        <w:t>1</w:t>
      </w:r>
      <w:r>
        <w:rPr>
          <w:spacing w:val="-6"/>
          <w:sz w:val="16"/>
          <w:szCs w:val="16"/>
          <w:lang w:val="en-GB"/>
        </w:rPr>
        <w:t>.</w:t>
      </w:r>
      <w:r w:rsidRPr="00FE5BF1">
        <w:rPr>
          <w:spacing w:val="-6"/>
          <w:sz w:val="16"/>
          <w:szCs w:val="16"/>
          <w:lang w:val="en-GB"/>
        </w:rPr>
        <w:t>7</w:t>
      </w:r>
      <w:r>
        <w:rPr>
          <w:spacing w:val="-6"/>
          <w:sz w:val="16"/>
          <w:szCs w:val="16"/>
          <w:lang w:val="en-GB"/>
        </w:rPr>
        <w:t xml:space="preserve"> degree more than the average from period of years </w:t>
      </w:r>
      <w:r w:rsidRPr="00FE5BF1">
        <w:rPr>
          <w:spacing w:val="-6"/>
          <w:sz w:val="16"/>
          <w:szCs w:val="16"/>
          <w:lang w:val="en-GB"/>
        </w:rPr>
        <w:t>1991</w:t>
      </w:r>
      <w:r>
        <w:rPr>
          <w:spacing w:val="-6"/>
          <w:sz w:val="16"/>
          <w:szCs w:val="16"/>
          <w:lang w:val="en-GB"/>
        </w:rPr>
        <w:t xml:space="preserve"> till </w:t>
      </w:r>
      <w:r w:rsidRPr="00FE5BF1">
        <w:rPr>
          <w:spacing w:val="-6"/>
          <w:sz w:val="16"/>
          <w:szCs w:val="16"/>
          <w:lang w:val="en-GB"/>
        </w:rPr>
        <w:t xml:space="preserve">2020. </w:t>
      </w:r>
      <w:r>
        <w:rPr>
          <w:spacing w:val="-6"/>
          <w:sz w:val="16"/>
          <w:szCs w:val="16"/>
          <w:lang w:val="en-GB"/>
        </w:rPr>
        <w:t xml:space="preserve">The temperature was slightly below the long-term norm </w:t>
      </w:r>
      <w:r w:rsidRPr="00FE5BF1">
        <w:rPr>
          <w:spacing w:val="-6"/>
          <w:sz w:val="16"/>
          <w:szCs w:val="16"/>
          <w:lang w:val="en-GB"/>
        </w:rPr>
        <w:t>(</w:t>
      </w:r>
      <w:r>
        <w:rPr>
          <w:spacing w:val="-6"/>
          <w:sz w:val="16"/>
          <w:szCs w:val="16"/>
          <w:lang w:val="en-GB"/>
        </w:rPr>
        <w:t xml:space="preserve">by </w:t>
      </w:r>
      <w:r w:rsidRPr="00FE5BF1">
        <w:rPr>
          <w:spacing w:val="-6"/>
          <w:sz w:val="16"/>
          <w:szCs w:val="16"/>
          <w:lang w:val="en-GB"/>
        </w:rPr>
        <w:t>0</w:t>
      </w:r>
      <w:r>
        <w:rPr>
          <w:spacing w:val="-6"/>
          <w:sz w:val="16"/>
          <w:szCs w:val="16"/>
          <w:lang w:val="en-GB"/>
        </w:rPr>
        <w:t>.</w:t>
      </w:r>
      <w:r w:rsidRPr="00FE5BF1">
        <w:rPr>
          <w:spacing w:val="-6"/>
          <w:sz w:val="16"/>
          <w:szCs w:val="16"/>
          <w:lang w:val="en-GB"/>
        </w:rPr>
        <w:t>2°C)</w:t>
      </w:r>
      <w:r>
        <w:rPr>
          <w:spacing w:val="-6"/>
          <w:sz w:val="16"/>
          <w:szCs w:val="16"/>
          <w:lang w:val="en-GB"/>
        </w:rPr>
        <w:t xml:space="preserve"> in the same period last year</w:t>
      </w:r>
      <w:r w:rsidRPr="00FE5BF1">
        <w:rPr>
          <w:spacing w:val="-6"/>
          <w:sz w:val="16"/>
          <w:szCs w:val="16"/>
          <w:lang w:val="en-GB"/>
        </w:rPr>
        <w:t>.</w:t>
      </w:r>
    </w:p>
  </w:footnote>
  <w:footnote w:id="33">
    <w:p w14:paraId="556D8759" w14:textId="77777777" w:rsidR="00073B58" w:rsidRPr="00FE5BF1" w:rsidRDefault="00073B58" w:rsidP="000230CC">
      <w:pPr>
        <w:pStyle w:val="Textpoznpodarou"/>
        <w:jc w:val="both"/>
        <w:rPr>
          <w:spacing w:val="-6"/>
          <w:sz w:val="16"/>
          <w:szCs w:val="16"/>
          <w:lang w:val="en-GB"/>
        </w:rPr>
      </w:pPr>
      <w:r w:rsidRPr="00FE5BF1">
        <w:rPr>
          <w:rStyle w:val="Znakapoznpodarou"/>
          <w:spacing w:val="-6"/>
          <w:sz w:val="16"/>
          <w:szCs w:val="16"/>
          <w:lang w:val="en-GB"/>
        </w:rPr>
        <w:footnoteRef/>
      </w:r>
      <w:r w:rsidRPr="00FE5BF1">
        <w:rPr>
          <w:spacing w:val="-6"/>
          <w:sz w:val="16"/>
          <w:szCs w:val="16"/>
          <w:lang w:val="en-GB"/>
        </w:rPr>
        <w:t xml:space="preserve"> </w:t>
      </w:r>
      <w:r>
        <w:rPr>
          <w:spacing w:val="-6"/>
          <w:sz w:val="16"/>
          <w:szCs w:val="16"/>
          <w:lang w:val="en-GB"/>
        </w:rPr>
        <w:t>Construction was partially in downturn still in Q1 2021</w:t>
      </w:r>
      <w:r w:rsidRPr="00FE5BF1">
        <w:rPr>
          <w:spacing w:val="-6"/>
          <w:sz w:val="16"/>
          <w:szCs w:val="16"/>
          <w:lang w:val="en-GB"/>
        </w:rPr>
        <w:t xml:space="preserve">, </w:t>
      </w:r>
      <w:r>
        <w:rPr>
          <w:spacing w:val="-6"/>
          <w:sz w:val="16"/>
          <w:szCs w:val="16"/>
          <w:lang w:val="en-GB"/>
        </w:rPr>
        <w:t>since the pandemics culminated at that time</w:t>
      </w:r>
      <w:r w:rsidRPr="00FE5BF1">
        <w:rPr>
          <w:color w:val="0D0D0D" w:themeColor="text1" w:themeTint="F2"/>
          <w:spacing w:val="-6"/>
          <w:sz w:val="16"/>
          <w:szCs w:val="16"/>
          <w:lang w:val="en-GB"/>
        </w:rPr>
        <w:t xml:space="preserve">. </w:t>
      </w:r>
      <w:r>
        <w:rPr>
          <w:color w:val="0D0D0D" w:themeColor="text1" w:themeTint="F2"/>
          <w:spacing w:val="-6"/>
          <w:sz w:val="16"/>
          <w:szCs w:val="16"/>
          <w:lang w:val="en-GB"/>
        </w:rPr>
        <w:t>Heightened sickness, difficult movement of workers across the borders, domestic restriction on the total mobility of population as well as restrained performance of the construction offices substantially limited the production possibilities of construction</w:t>
      </w:r>
      <w:r w:rsidRPr="00FE5BF1">
        <w:rPr>
          <w:color w:val="0D0D0D" w:themeColor="text1" w:themeTint="F2"/>
          <w:spacing w:val="-6"/>
          <w:sz w:val="16"/>
          <w:szCs w:val="16"/>
          <w:lang w:val="en-GB"/>
        </w:rPr>
        <w:t xml:space="preserve">. </w:t>
      </w:r>
      <w:r>
        <w:rPr>
          <w:color w:val="0D0D0D" w:themeColor="text1" w:themeTint="F2"/>
          <w:spacing w:val="-6"/>
          <w:sz w:val="16"/>
          <w:szCs w:val="16"/>
          <w:lang w:val="en-GB"/>
        </w:rPr>
        <w:t>The economy swiftly commenced to return to normal during spring</w:t>
      </w:r>
      <w:r w:rsidRPr="00FE5BF1">
        <w:rPr>
          <w:color w:val="0D0D0D" w:themeColor="text1" w:themeTint="F2"/>
          <w:spacing w:val="-6"/>
          <w:sz w:val="16"/>
          <w:szCs w:val="16"/>
          <w:lang w:val="en-GB"/>
        </w:rPr>
        <w:t>,</w:t>
      </w:r>
      <w:r>
        <w:rPr>
          <w:color w:val="0D0D0D" w:themeColor="text1" w:themeTint="F2"/>
          <w:spacing w:val="-6"/>
          <w:sz w:val="16"/>
          <w:szCs w:val="16"/>
          <w:lang w:val="en-GB"/>
        </w:rPr>
        <w:t xml:space="preserve"> which was also reflected in the more perceptible revival of construction</w:t>
      </w:r>
      <w:r w:rsidRPr="00FE5BF1">
        <w:rPr>
          <w:color w:val="0D0D0D" w:themeColor="text1" w:themeTint="F2"/>
          <w:spacing w:val="-6"/>
          <w:sz w:val="16"/>
          <w:szCs w:val="16"/>
          <w:lang w:val="en-GB"/>
        </w:rPr>
        <w:t>.</w:t>
      </w:r>
    </w:p>
  </w:footnote>
  <w:footnote w:id="34">
    <w:p w14:paraId="1E9DCDDF" w14:textId="77777777" w:rsidR="00073B58" w:rsidRPr="00F458BE" w:rsidRDefault="00073B58" w:rsidP="00F458BE">
      <w:pPr>
        <w:pStyle w:val="Textpoznpodarou"/>
        <w:jc w:val="both"/>
        <w:rPr>
          <w:spacing w:val="-2"/>
          <w:sz w:val="16"/>
          <w:szCs w:val="16"/>
          <w:lang w:val="en-GB"/>
        </w:rPr>
      </w:pPr>
      <w:r w:rsidRPr="00F458BE">
        <w:rPr>
          <w:rStyle w:val="Znakapoznpodarou"/>
          <w:spacing w:val="-2"/>
          <w:sz w:val="16"/>
          <w:szCs w:val="16"/>
          <w:lang w:val="en-GB"/>
        </w:rPr>
        <w:footnoteRef/>
      </w:r>
      <w:r w:rsidRPr="00F458BE">
        <w:rPr>
          <w:spacing w:val="-2"/>
          <w:sz w:val="16"/>
          <w:szCs w:val="16"/>
          <w:lang w:val="en-GB"/>
        </w:rPr>
        <w:t xml:space="preserve"> </w:t>
      </w:r>
      <w:r>
        <w:rPr>
          <w:spacing w:val="-2"/>
          <w:sz w:val="16"/>
          <w:szCs w:val="16"/>
          <w:lang w:val="en-GB"/>
        </w:rPr>
        <w:t xml:space="preserve">It cannot be ruled out, that in the environment of strengthening cost prices </w:t>
      </w:r>
      <w:r w:rsidRPr="00F458BE">
        <w:rPr>
          <w:rFonts w:cs="Arial"/>
          <w:color w:val="0D0D0D" w:themeColor="text1" w:themeTint="F2"/>
          <w:spacing w:val="-2"/>
          <w:sz w:val="16"/>
          <w:szCs w:val="16"/>
          <w:lang w:val="en-GB"/>
        </w:rPr>
        <w:t>(</w:t>
      </w:r>
      <w:r>
        <w:rPr>
          <w:rFonts w:cs="Arial"/>
          <w:color w:val="0D0D0D" w:themeColor="text1" w:themeTint="F2"/>
          <w:spacing w:val="-2"/>
          <w:sz w:val="16"/>
          <w:szCs w:val="16"/>
          <w:lang w:val="en-GB"/>
        </w:rPr>
        <w:t>material, energy, wage</w:t>
      </w:r>
      <w:r w:rsidRPr="00F458B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the invoice prices after the structure completion can significantly diverge from the prices anticipated at permitting the constructions. It can happen, that businesses or capital weaker public investors terminate the construction work contract in the end </w:t>
      </w:r>
      <w:r w:rsidRPr="00F458BE">
        <w:rPr>
          <w:rFonts w:cs="Arial"/>
          <w:color w:val="0D0D0D" w:themeColor="text1" w:themeTint="F2"/>
          <w:spacing w:val="-2"/>
          <w:sz w:val="16"/>
          <w:szCs w:val="16"/>
          <w:lang w:val="en-GB"/>
        </w:rPr>
        <w:t>a</w:t>
      </w:r>
      <w:r>
        <w:rPr>
          <w:rFonts w:cs="Arial"/>
          <w:color w:val="0D0D0D" w:themeColor="text1" w:themeTint="F2"/>
          <w:spacing w:val="-2"/>
          <w:sz w:val="16"/>
          <w:szCs w:val="16"/>
          <w:lang w:val="en-GB"/>
        </w:rPr>
        <w:t>nd postpone the realisation of the order to times, when the price development is more stable and predictable.</w:t>
      </w:r>
      <w:r w:rsidRPr="00F458BE">
        <w:rPr>
          <w:rFonts w:cs="Arial"/>
          <w:color w:val="0D0D0D" w:themeColor="text1" w:themeTint="F2"/>
          <w:spacing w:val="-2"/>
          <w:sz w:val="16"/>
          <w:szCs w:val="16"/>
          <w:lang w:val="en-GB"/>
        </w:rPr>
        <w:t xml:space="preserve"> </w:t>
      </w:r>
    </w:p>
  </w:footnote>
  <w:footnote w:id="35">
    <w:p w14:paraId="29CB9EB6" w14:textId="77777777" w:rsidR="00073B58" w:rsidRPr="00C63D91" w:rsidRDefault="00073B58" w:rsidP="00C63D91">
      <w:pPr>
        <w:pStyle w:val="Textpoznpodarou"/>
        <w:jc w:val="both"/>
        <w:rPr>
          <w:spacing w:val="-2"/>
          <w:sz w:val="16"/>
          <w:szCs w:val="16"/>
          <w:lang w:val="en-GB"/>
        </w:rPr>
      </w:pPr>
      <w:r w:rsidRPr="009B56B9">
        <w:rPr>
          <w:rStyle w:val="Znakapoznpodarou"/>
          <w:spacing w:val="-2"/>
          <w:sz w:val="16"/>
          <w:szCs w:val="16"/>
        </w:rPr>
        <w:footnoteRef/>
      </w:r>
      <w:r w:rsidRPr="009B56B9">
        <w:rPr>
          <w:spacing w:val="-2"/>
          <w:sz w:val="16"/>
          <w:szCs w:val="16"/>
        </w:rPr>
        <w:t xml:space="preserve"> </w:t>
      </w:r>
      <w:r w:rsidRPr="00C63D91">
        <w:rPr>
          <w:spacing w:val="-2"/>
          <w:sz w:val="16"/>
          <w:szCs w:val="16"/>
          <w:lang w:val="en-GB"/>
        </w:rPr>
        <w:t>56%</w:t>
      </w:r>
      <w:r>
        <w:rPr>
          <w:spacing w:val="-2"/>
          <w:sz w:val="16"/>
          <w:szCs w:val="16"/>
          <w:lang w:val="en-GB"/>
        </w:rPr>
        <w:t xml:space="preserve"> of construction firms planned to raise their sale prices in July </w:t>
      </w:r>
      <w:r w:rsidRPr="00C63D91">
        <w:rPr>
          <w:spacing w:val="-2"/>
          <w:sz w:val="16"/>
          <w:szCs w:val="16"/>
          <w:lang w:val="en-GB"/>
        </w:rPr>
        <w:t>(</w:t>
      </w:r>
      <w:r>
        <w:rPr>
          <w:spacing w:val="-2"/>
          <w:sz w:val="16"/>
          <w:szCs w:val="16"/>
          <w:lang w:val="en-GB"/>
        </w:rPr>
        <w:t>higher share was in the long-term time series dating back to 2003 observed only in the previous this year</w:t>
      </w:r>
      <w:r>
        <w:rPr>
          <w:spacing w:val="-2"/>
          <w:sz w:val="16"/>
          <w:szCs w:val="16"/>
          <w:lang w:val="en-US"/>
        </w:rPr>
        <w:t>’s months</w:t>
      </w:r>
      <w:r w:rsidRPr="00C63D91">
        <w:rPr>
          <w:spacing w:val="-2"/>
          <w:sz w:val="16"/>
          <w:szCs w:val="16"/>
          <w:lang w:val="en-GB"/>
        </w:rPr>
        <w:t>).</w:t>
      </w:r>
    </w:p>
  </w:footnote>
  <w:footnote w:id="36">
    <w:p w14:paraId="30EDCFFD" w14:textId="77777777" w:rsidR="00073B58" w:rsidRPr="00C63D91" w:rsidRDefault="00073B58" w:rsidP="00C63D91">
      <w:pPr>
        <w:spacing w:after="0" w:line="240" w:lineRule="auto"/>
        <w:rPr>
          <w:spacing w:val="-6"/>
          <w:lang w:val="en-GB"/>
        </w:rPr>
      </w:pPr>
      <w:r w:rsidRPr="00C63D91">
        <w:rPr>
          <w:rStyle w:val="Znakapoznpodarou"/>
          <w:color w:val="0D0D0D" w:themeColor="text1" w:themeTint="F2"/>
          <w:spacing w:val="-6"/>
          <w:sz w:val="16"/>
          <w:szCs w:val="16"/>
          <w:lang w:val="en-GB"/>
        </w:rPr>
        <w:footnoteRef/>
      </w:r>
      <w:r w:rsidRPr="00C63D91">
        <w:rPr>
          <w:color w:val="0D0D0D" w:themeColor="text1" w:themeTint="F2"/>
          <w:spacing w:val="-6"/>
          <w:sz w:val="16"/>
          <w:szCs w:val="16"/>
          <w:lang w:val="en-GB"/>
        </w:rPr>
        <w:t xml:space="preserve"> </w:t>
      </w:r>
      <w:r>
        <w:rPr>
          <w:color w:val="0D0D0D" w:themeColor="text1" w:themeTint="F2"/>
          <w:spacing w:val="-6"/>
          <w:sz w:val="16"/>
          <w:szCs w:val="16"/>
          <w:lang w:val="en-GB"/>
        </w:rPr>
        <w:t xml:space="preserve">Without trade, financial and insurance activities, science, research and public services. All data for services are in constant prices, year-on-year data are adjusted for calendar effects, quarter-on-quarter data are adjusted for seasonal effects (including the effect of the number of working days). </w:t>
      </w:r>
    </w:p>
  </w:footnote>
  <w:footnote w:id="37">
    <w:p w14:paraId="2E50D8A1" w14:textId="77777777" w:rsidR="00073B58" w:rsidRPr="00C63D91" w:rsidRDefault="00073B58" w:rsidP="00C63D91">
      <w:pPr>
        <w:pStyle w:val="Textpoznpodarou"/>
        <w:jc w:val="both"/>
        <w:rPr>
          <w:spacing w:val="-6"/>
          <w:sz w:val="16"/>
          <w:szCs w:val="16"/>
          <w:lang w:val="en-GB"/>
        </w:rPr>
      </w:pPr>
      <w:r w:rsidRPr="00C63D91">
        <w:rPr>
          <w:rStyle w:val="Znakapoznpodarou"/>
          <w:spacing w:val="-6"/>
          <w:sz w:val="16"/>
          <w:szCs w:val="16"/>
          <w:lang w:val="en-GB"/>
        </w:rPr>
        <w:footnoteRef/>
      </w:r>
      <w:r w:rsidRPr="00C63D91">
        <w:rPr>
          <w:spacing w:val="-6"/>
          <w:sz w:val="16"/>
          <w:szCs w:val="16"/>
          <w:lang w:val="en-GB"/>
        </w:rPr>
        <w:t xml:space="preserve"> </w:t>
      </w:r>
      <w:r>
        <w:rPr>
          <w:spacing w:val="-6"/>
          <w:sz w:val="16"/>
          <w:szCs w:val="16"/>
          <w:lang w:val="en-GB"/>
        </w:rPr>
        <w:t>E.g. restrictions on the number of visitors per cinema show ended as of 1</w:t>
      </w:r>
      <w:r w:rsidRPr="000D246F">
        <w:rPr>
          <w:spacing w:val="-6"/>
          <w:sz w:val="16"/>
          <w:szCs w:val="16"/>
          <w:vertAlign w:val="superscript"/>
          <w:lang w:val="en-GB"/>
        </w:rPr>
        <w:t>st</w:t>
      </w:r>
      <w:r>
        <w:rPr>
          <w:spacing w:val="-6"/>
          <w:sz w:val="16"/>
          <w:szCs w:val="16"/>
          <w:lang w:val="en-GB"/>
        </w:rPr>
        <w:t xml:space="preserve"> March </w:t>
      </w:r>
      <w:r w:rsidRPr="00C63D91">
        <w:rPr>
          <w:spacing w:val="-6"/>
          <w:sz w:val="16"/>
          <w:szCs w:val="16"/>
          <w:lang w:val="en-GB"/>
        </w:rPr>
        <w:t xml:space="preserve">2022, </w:t>
      </w:r>
      <w:r>
        <w:rPr>
          <w:spacing w:val="-6"/>
          <w:sz w:val="16"/>
          <w:szCs w:val="16"/>
          <w:lang w:val="en-GB"/>
        </w:rPr>
        <w:t>duty to wear respirator during shows as of 14</w:t>
      </w:r>
      <w:r w:rsidRPr="000D246F">
        <w:rPr>
          <w:spacing w:val="-6"/>
          <w:sz w:val="16"/>
          <w:szCs w:val="16"/>
          <w:vertAlign w:val="superscript"/>
          <w:lang w:val="en-GB"/>
        </w:rPr>
        <w:t>th</w:t>
      </w:r>
      <w:r>
        <w:rPr>
          <w:spacing w:val="-6"/>
          <w:sz w:val="16"/>
          <w:szCs w:val="16"/>
          <w:lang w:val="en-GB"/>
        </w:rPr>
        <w:t xml:space="preserve"> March. </w:t>
      </w:r>
    </w:p>
  </w:footnote>
  <w:footnote w:id="38">
    <w:p w14:paraId="347EA81E" w14:textId="77777777" w:rsidR="00073B58" w:rsidRPr="00C63D91" w:rsidRDefault="00073B58" w:rsidP="00C63D91">
      <w:pPr>
        <w:pStyle w:val="Textpoznpodarou"/>
        <w:jc w:val="both"/>
        <w:rPr>
          <w:spacing w:val="-6"/>
          <w:sz w:val="16"/>
          <w:szCs w:val="16"/>
          <w:lang w:val="en-GB"/>
        </w:rPr>
      </w:pPr>
      <w:r w:rsidRPr="00C63D91">
        <w:rPr>
          <w:rStyle w:val="Znakapoznpodarou"/>
          <w:spacing w:val="-6"/>
          <w:sz w:val="16"/>
          <w:szCs w:val="16"/>
          <w:lang w:val="en-GB"/>
        </w:rPr>
        <w:footnoteRef/>
      </w:r>
      <w:r w:rsidRPr="00C63D91">
        <w:rPr>
          <w:spacing w:val="-6"/>
          <w:sz w:val="16"/>
          <w:szCs w:val="16"/>
          <w:lang w:val="en-GB"/>
        </w:rPr>
        <w:t xml:space="preserve"> </w:t>
      </w:r>
      <w:r>
        <w:rPr>
          <w:spacing w:val="-6"/>
          <w:sz w:val="16"/>
          <w:szCs w:val="16"/>
          <w:lang w:val="en-GB"/>
        </w:rPr>
        <w:t xml:space="preserve">Rail transportation, where the transport of persons plays a large part, thrived more than the road transport </w:t>
      </w:r>
      <w:r w:rsidRPr="00C63D91">
        <w:rPr>
          <w:spacing w:val="-6"/>
          <w:sz w:val="16"/>
          <w:szCs w:val="16"/>
          <w:lang w:val="en-GB"/>
        </w:rPr>
        <w:t>(</w:t>
      </w:r>
      <w:r>
        <w:rPr>
          <w:spacing w:val="-6"/>
          <w:sz w:val="16"/>
          <w:szCs w:val="16"/>
          <w:lang w:val="en-GB"/>
        </w:rPr>
        <w:t>the development of the domestic tourism had also likely a favourable effect here</w:t>
      </w:r>
      <w:r w:rsidRPr="00C63D91">
        <w:rPr>
          <w:spacing w:val="-6"/>
          <w:sz w:val="16"/>
          <w:szCs w:val="16"/>
          <w:lang w:val="en-GB"/>
        </w:rPr>
        <w:t>).</w:t>
      </w:r>
    </w:p>
  </w:footnote>
  <w:footnote w:id="39">
    <w:p w14:paraId="7A04514D" w14:textId="77777777" w:rsidR="00073B58" w:rsidRPr="00504BA2" w:rsidRDefault="00073B58" w:rsidP="00C63D91">
      <w:pPr>
        <w:pStyle w:val="Textpoznpodarou"/>
        <w:jc w:val="both"/>
        <w:rPr>
          <w:spacing w:val="-6"/>
          <w:sz w:val="16"/>
          <w:szCs w:val="16"/>
          <w:lang w:val="en-GB"/>
        </w:rPr>
      </w:pPr>
      <w:r w:rsidRPr="00C63D91">
        <w:rPr>
          <w:rStyle w:val="Znakapoznpodarou"/>
          <w:spacing w:val="-6"/>
          <w:sz w:val="16"/>
          <w:szCs w:val="16"/>
          <w:lang w:val="en-GB"/>
        </w:rPr>
        <w:footnoteRef/>
      </w:r>
      <w:r w:rsidRPr="00C63D91">
        <w:rPr>
          <w:spacing w:val="-6"/>
          <w:sz w:val="16"/>
          <w:szCs w:val="16"/>
          <w:lang w:val="en-GB"/>
        </w:rPr>
        <w:t xml:space="preserve"> </w:t>
      </w:r>
      <w:r>
        <w:rPr>
          <w:spacing w:val="-6"/>
          <w:sz w:val="16"/>
          <w:szCs w:val="16"/>
          <w:lang w:val="en-GB"/>
        </w:rPr>
        <w:t xml:space="preserve">Even though the most essential restrictive measures were not in place in Europe last year in spring any more, the across border tourism was still </w:t>
      </w:r>
      <w:r w:rsidRPr="00504BA2">
        <w:rPr>
          <w:spacing w:val="-6"/>
          <w:sz w:val="16"/>
          <w:szCs w:val="16"/>
          <w:lang w:val="en-GB"/>
        </w:rPr>
        <w:t xml:space="preserve">complicated by the inadequate vaccination coverage of population in the number of countries </w:t>
      </w:r>
      <w:r w:rsidRPr="00504BA2">
        <w:rPr>
          <w:rFonts w:cs="Arial"/>
          <w:color w:val="0D0D0D" w:themeColor="text1" w:themeTint="F2"/>
          <w:spacing w:val="-6"/>
          <w:sz w:val="16"/>
          <w:szCs w:val="16"/>
          <w:lang w:val="en-GB"/>
        </w:rPr>
        <w:t>(together with other administrative procedures). This year’s revival of tourism in the CR did not manage to offset the losses f</w:t>
      </w:r>
      <w:r>
        <w:rPr>
          <w:rFonts w:cs="Arial"/>
          <w:color w:val="0D0D0D" w:themeColor="text1" w:themeTint="F2"/>
          <w:spacing w:val="-6"/>
          <w:sz w:val="16"/>
          <w:szCs w:val="16"/>
          <w:lang w:val="en-GB"/>
        </w:rPr>
        <w:t>ro</w:t>
      </w:r>
      <w:r w:rsidRPr="00504BA2">
        <w:rPr>
          <w:rFonts w:cs="Arial"/>
          <w:color w:val="0D0D0D" w:themeColor="text1" w:themeTint="F2"/>
          <w:spacing w:val="-6"/>
          <w:sz w:val="16"/>
          <w:szCs w:val="16"/>
          <w:lang w:val="en-GB"/>
        </w:rPr>
        <w:t xml:space="preserve">m the previous years so far. </w:t>
      </w:r>
      <w:r>
        <w:rPr>
          <w:rFonts w:cs="Arial"/>
          <w:color w:val="0D0D0D" w:themeColor="text1" w:themeTint="F2"/>
          <w:spacing w:val="-6"/>
          <w:sz w:val="16"/>
          <w:szCs w:val="16"/>
          <w:lang w:val="en-GB"/>
        </w:rPr>
        <w:t>Accommodation providers earned by 31% less compared to Q</w:t>
      </w:r>
      <w:r w:rsidRPr="00504BA2">
        <w:rPr>
          <w:rFonts w:cs="Arial"/>
          <w:color w:val="0D0D0D" w:themeColor="text1" w:themeTint="F2"/>
          <w:spacing w:val="-6"/>
          <w:sz w:val="16"/>
          <w:szCs w:val="16"/>
          <w:lang w:val="en-GB"/>
        </w:rPr>
        <w:t>2</w:t>
      </w:r>
      <w:r>
        <w:rPr>
          <w:rFonts w:cs="Arial"/>
          <w:color w:val="0D0D0D" w:themeColor="text1" w:themeTint="F2"/>
          <w:spacing w:val="-6"/>
          <w:sz w:val="16"/>
          <w:szCs w:val="16"/>
          <w:lang w:val="en-GB"/>
        </w:rPr>
        <w:t xml:space="preserve"> </w:t>
      </w:r>
      <w:r w:rsidRPr="00504BA2">
        <w:rPr>
          <w:rFonts w:cs="Arial"/>
          <w:color w:val="0D0D0D" w:themeColor="text1" w:themeTint="F2"/>
          <w:spacing w:val="-6"/>
          <w:sz w:val="16"/>
          <w:szCs w:val="16"/>
          <w:lang w:val="en-GB"/>
        </w:rPr>
        <w:t>2019</w:t>
      </w:r>
      <w:r>
        <w:rPr>
          <w:rFonts w:cs="Arial"/>
          <w:color w:val="0D0D0D" w:themeColor="text1" w:themeTint="F2"/>
          <w:spacing w:val="-6"/>
          <w:sz w:val="16"/>
          <w:szCs w:val="16"/>
          <w:lang w:val="en-GB"/>
        </w:rPr>
        <w:t xml:space="preserve">, restaurant and food service operators by </w:t>
      </w:r>
      <w:r w:rsidRPr="00504BA2">
        <w:rPr>
          <w:rFonts w:cs="Arial"/>
          <w:color w:val="0D0D0D" w:themeColor="text1" w:themeTint="F2"/>
          <w:spacing w:val="-6"/>
          <w:sz w:val="16"/>
          <w:szCs w:val="16"/>
          <w:lang w:val="en-GB"/>
        </w:rPr>
        <w:t>9%.</w:t>
      </w:r>
    </w:p>
  </w:footnote>
  <w:footnote w:id="40">
    <w:p w14:paraId="12AFDEFA" w14:textId="77777777" w:rsidR="00073B58" w:rsidRPr="00056628" w:rsidRDefault="00073B58" w:rsidP="00B44566">
      <w:pPr>
        <w:pStyle w:val="Textpoznpodarou"/>
        <w:jc w:val="both"/>
        <w:rPr>
          <w:spacing w:val="-6"/>
          <w:sz w:val="16"/>
          <w:szCs w:val="16"/>
          <w:lang w:val="en-GB"/>
        </w:rPr>
      </w:pPr>
      <w:r w:rsidRPr="00056628">
        <w:rPr>
          <w:rStyle w:val="Znakapoznpodarou"/>
          <w:spacing w:val="-6"/>
          <w:sz w:val="16"/>
          <w:szCs w:val="16"/>
          <w:lang w:val="en-GB"/>
        </w:rPr>
        <w:footnoteRef/>
      </w:r>
      <w:r w:rsidRPr="00056628">
        <w:rPr>
          <w:spacing w:val="-6"/>
          <w:sz w:val="16"/>
          <w:szCs w:val="16"/>
          <w:lang w:val="en-GB"/>
        </w:rPr>
        <w:t xml:space="preserve"> Total demand in mass accommodation facilities already in ten regions nearly restored or even mildly surpassed the level from Q2 2019. </w:t>
      </w:r>
      <w:r>
        <w:rPr>
          <w:spacing w:val="-6"/>
          <w:sz w:val="16"/>
          <w:szCs w:val="16"/>
          <w:lang w:val="en-GB"/>
        </w:rPr>
        <w:t xml:space="preserve">Number of overnight stays fell behind more only in Prague </w:t>
      </w:r>
      <w:r w:rsidRPr="00056628">
        <w:rPr>
          <w:spacing w:val="-6"/>
          <w:sz w:val="16"/>
          <w:szCs w:val="16"/>
          <w:lang w:val="en-GB"/>
        </w:rPr>
        <w:t>(</w:t>
      </w:r>
      <w:r>
        <w:rPr>
          <w:spacing w:val="-6"/>
          <w:sz w:val="16"/>
          <w:szCs w:val="16"/>
          <w:lang w:val="en-GB"/>
        </w:rPr>
        <w:t xml:space="preserve">by </w:t>
      </w:r>
      <w:r w:rsidRPr="00056628">
        <w:rPr>
          <w:spacing w:val="-6"/>
          <w:sz w:val="16"/>
          <w:szCs w:val="16"/>
          <w:lang w:val="en-GB"/>
        </w:rPr>
        <w:t>29%), Karlov</w:t>
      </w:r>
      <w:r>
        <w:rPr>
          <w:spacing w:val="-6"/>
          <w:sz w:val="16"/>
          <w:szCs w:val="16"/>
          <w:lang w:val="en-GB"/>
        </w:rPr>
        <w:t xml:space="preserve">y Vary region </w:t>
      </w:r>
      <w:r w:rsidRPr="00056628">
        <w:rPr>
          <w:spacing w:val="-6"/>
          <w:sz w:val="16"/>
          <w:szCs w:val="16"/>
          <w:lang w:val="en-GB"/>
        </w:rPr>
        <w:t xml:space="preserve">(24%), </w:t>
      </w:r>
      <w:r>
        <w:rPr>
          <w:spacing w:val="-6"/>
          <w:sz w:val="16"/>
          <w:szCs w:val="16"/>
          <w:lang w:val="en-GB"/>
        </w:rPr>
        <w:t xml:space="preserve">South Bohemia region </w:t>
      </w:r>
      <w:r w:rsidRPr="00056628">
        <w:rPr>
          <w:spacing w:val="-6"/>
          <w:sz w:val="16"/>
          <w:szCs w:val="16"/>
          <w:lang w:val="en-GB"/>
        </w:rPr>
        <w:t>(15%) a</w:t>
      </w:r>
      <w:r>
        <w:rPr>
          <w:spacing w:val="-6"/>
          <w:sz w:val="16"/>
          <w:szCs w:val="16"/>
          <w:lang w:val="en-GB"/>
        </w:rPr>
        <w:t xml:space="preserve">nd Ústí nad Labem region </w:t>
      </w:r>
      <w:r w:rsidRPr="00056628">
        <w:rPr>
          <w:spacing w:val="-6"/>
          <w:sz w:val="16"/>
          <w:szCs w:val="16"/>
          <w:lang w:val="en-GB"/>
        </w:rPr>
        <w:t>(14%).</w:t>
      </w:r>
    </w:p>
  </w:footnote>
  <w:footnote w:id="41">
    <w:p w14:paraId="769CEF34" w14:textId="77777777" w:rsidR="00073B58" w:rsidRPr="00056628" w:rsidRDefault="00073B58" w:rsidP="00B44566">
      <w:pPr>
        <w:pStyle w:val="Textpoznpodarou"/>
        <w:jc w:val="both"/>
        <w:rPr>
          <w:spacing w:val="-6"/>
          <w:sz w:val="16"/>
          <w:szCs w:val="16"/>
          <w:lang w:val="en-GB"/>
        </w:rPr>
      </w:pPr>
      <w:r w:rsidRPr="00056628">
        <w:rPr>
          <w:rStyle w:val="Znakapoznpodarou"/>
          <w:spacing w:val="-6"/>
          <w:sz w:val="16"/>
          <w:szCs w:val="16"/>
          <w:lang w:val="en-GB"/>
        </w:rPr>
        <w:footnoteRef/>
      </w:r>
      <w:r w:rsidRPr="00056628">
        <w:rPr>
          <w:spacing w:val="-6"/>
          <w:sz w:val="16"/>
          <w:szCs w:val="16"/>
          <w:lang w:val="en-GB"/>
        </w:rPr>
        <w:t xml:space="preserve"> T</w:t>
      </w:r>
      <w:r>
        <w:rPr>
          <w:spacing w:val="-6"/>
          <w:sz w:val="16"/>
          <w:szCs w:val="16"/>
          <w:lang w:val="en-GB"/>
        </w:rPr>
        <w:t>hese consist of activities linked to the data processing and hosting</w:t>
      </w:r>
      <w:r w:rsidRPr="00056628">
        <w:rPr>
          <w:spacing w:val="-6"/>
          <w:sz w:val="16"/>
          <w:szCs w:val="16"/>
          <w:lang w:val="en-GB"/>
        </w:rPr>
        <w:t xml:space="preserve">, </w:t>
      </w:r>
      <w:r>
        <w:rPr>
          <w:spacing w:val="-6"/>
          <w:sz w:val="16"/>
          <w:szCs w:val="16"/>
          <w:lang w:val="en-GB"/>
        </w:rPr>
        <w:t>area of web portals and news press offices as well as agencies.</w:t>
      </w:r>
    </w:p>
  </w:footnote>
  <w:footnote w:id="42">
    <w:p w14:paraId="7D918BCF" w14:textId="77777777" w:rsidR="00073B58" w:rsidRPr="00056628" w:rsidRDefault="00073B58" w:rsidP="00B44566">
      <w:pPr>
        <w:pStyle w:val="Textpoznpodarou"/>
        <w:jc w:val="both"/>
        <w:rPr>
          <w:spacing w:val="-6"/>
          <w:sz w:val="16"/>
          <w:szCs w:val="16"/>
          <w:lang w:val="en-GB"/>
        </w:rPr>
      </w:pPr>
      <w:r w:rsidRPr="00056628">
        <w:rPr>
          <w:rStyle w:val="Znakapoznpodarou"/>
          <w:spacing w:val="-6"/>
          <w:sz w:val="16"/>
          <w:szCs w:val="16"/>
          <w:lang w:val="en-GB"/>
        </w:rPr>
        <w:footnoteRef/>
      </w:r>
      <w:r w:rsidRPr="00056628">
        <w:rPr>
          <w:spacing w:val="-6"/>
          <w:sz w:val="16"/>
          <w:szCs w:val="16"/>
          <w:lang w:val="en-GB"/>
        </w:rPr>
        <w:t xml:space="preserve"> </w:t>
      </w:r>
      <w:r>
        <w:rPr>
          <w:spacing w:val="-6"/>
          <w:sz w:val="16"/>
          <w:szCs w:val="16"/>
          <w:lang w:val="en-GB"/>
        </w:rPr>
        <w:t xml:space="preserve">Segment of motion picture distribution prospered more since no restrictive measures for the cinema visitors were in place this year in spring </w:t>
      </w:r>
      <w:r>
        <w:rPr>
          <w:rFonts w:cs="Arial"/>
          <w:color w:val="0D0D0D" w:themeColor="text1" w:themeTint="F2"/>
          <w:spacing w:val="-6"/>
          <w:sz w:val="16"/>
          <w:szCs w:val="16"/>
          <w:lang w:val="en-GB"/>
        </w:rPr>
        <w:t>for the first time since the commencement of pandemics</w:t>
      </w:r>
      <w:r w:rsidRPr="00056628">
        <w:rPr>
          <w:rFonts w:cs="Arial"/>
          <w:color w:val="0D0D0D" w:themeColor="text1" w:themeTint="F2"/>
          <w:spacing w:val="-6"/>
          <w:sz w:val="16"/>
          <w:szCs w:val="16"/>
          <w:lang w:val="en-GB"/>
        </w:rPr>
        <w:t>.</w:t>
      </w:r>
      <w:r>
        <w:rPr>
          <w:rFonts w:cs="Arial"/>
          <w:color w:val="0D0D0D" w:themeColor="text1" w:themeTint="F2"/>
          <w:spacing w:val="-6"/>
          <w:sz w:val="16"/>
          <w:szCs w:val="16"/>
          <w:lang w:val="en-GB"/>
        </w:rPr>
        <w:t xml:space="preserve"> Based on data form the Union of Motion Picture Distributors, this was reflected in the April attendance </w:t>
      </w:r>
      <w:r w:rsidRPr="00056628">
        <w:rPr>
          <w:spacing w:val="-6"/>
          <w:sz w:val="16"/>
          <w:szCs w:val="16"/>
          <w:lang w:val="en-GB"/>
        </w:rPr>
        <w:t>(1</w:t>
      </w:r>
      <w:r>
        <w:rPr>
          <w:spacing w:val="-6"/>
          <w:sz w:val="16"/>
          <w:szCs w:val="16"/>
          <w:lang w:val="en-GB"/>
        </w:rPr>
        <w:t>.</w:t>
      </w:r>
      <w:r w:rsidRPr="00056628">
        <w:rPr>
          <w:spacing w:val="-6"/>
          <w:sz w:val="16"/>
          <w:szCs w:val="16"/>
          <w:lang w:val="en-GB"/>
        </w:rPr>
        <w:t>67</w:t>
      </w:r>
      <w:r>
        <w:rPr>
          <w:spacing w:val="-6"/>
          <w:sz w:val="16"/>
          <w:szCs w:val="16"/>
          <w:lang w:val="en-GB"/>
        </w:rPr>
        <w:t xml:space="preserve"> mil persons, record number in this month in the comparable time series since year </w:t>
      </w:r>
      <w:r w:rsidRPr="00056628">
        <w:rPr>
          <w:spacing w:val="-6"/>
          <w:sz w:val="16"/>
          <w:szCs w:val="16"/>
          <w:lang w:val="en-GB"/>
        </w:rPr>
        <w:t>2000). 6</w:t>
      </w:r>
      <w:r>
        <w:rPr>
          <w:spacing w:val="-6"/>
          <w:sz w:val="16"/>
          <w:szCs w:val="16"/>
          <w:lang w:val="en-GB"/>
        </w:rPr>
        <w:t>.</w:t>
      </w:r>
      <w:r w:rsidRPr="00056628">
        <w:rPr>
          <w:spacing w:val="-6"/>
          <w:sz w:val="16"/>
          <w:szCs w:val="16"/>
          <w:lang w:val="en-GB"/>
        </w:rPr>
        <w:t xml:space="preserve">4 mil </w:t>
      </w:r>
      <w:r>
        <w:rPr>
          <w:spacing w:val="-6"/>
          <w:sz w:val="16"/>
          <w:szCs w:val="16"/>
          <w:lang w:val="en-GB"/>
        </w:rPr>
        <w:t>persons found way to the domestic cinemas for the entire H1</w:t>
      </w:r>
      <w:r w:rsidRPr="00056628">
        <w:rPr>
          <w:spacing w:val="-6"/>
          <w:sz w:val="16"/>
          <w:szCs w:val="16"/>
          <w:lang w:val="en-GB"/>
        </w:rPr>
        <w:t>.</w:t>
      </w:r>
      <w:r>
        <w:rPr>
          <w:spacing w:val="-6"/>
          <w:sz w:val="16"/>
          <w:szCs w:val="16"/>
          <w:lang w:val="en-GB"/>
        </w:rPr>
        <w:t xml:space="preserve"> It represented 27% decrease compared to the record number from year </w:t>
      </w:r>
      <w:r w:rsidRPr="00056628">
        <w:rPr>
          <w:spacing w:val="-6"/>
          <w:sz w:val="16"/>
          <w:szCs w:val="16"/>
          <w:lang w:val="en-GB"/>
        </w:rPr>
        <w:t>2019</w:t>
      </w:r>
      <w:r>
        <w:rPr>
          <w:spacing w:val="-6"/>
          <w:sz w:val="16"/>
          <w:szCs w:val="16"/>
          <w:lang w:val="en-GB"/>
        </w:rPr>
        <w:t xml:space="preserve"> </w:t>
      </w:r>
      <w:r w:rsidRPr="00056628">
        <w:rPr>
          <w:spacing w:val="-6"/>
          <w:sz w:val="16"/>
          <w:szCs w:val="16"/>
          <w:lang w:val="en-GB"/>
        </w:rPr>
        <w:t>(</w:t>
      </w:r>
      <w:r>
        <w:rPr>
          <w:spacing w:val="-6"/>
          <w:sz w:val="16"/>
          <w:szCs w:val="16"/>
          <w:lang w:val="en-GB"/>
        </w:rPr>
        <w:t xml:space="preserve">analogically, the number of shows dropped only by </w:t>
      </w:r>
      <w:r w:rsidRPr="00056628">
        <w:rPr>
          <w:spacing w:val="-6"/>
          <w:sz w:val="16"/>
          <w:szCs w:val="16"/>
          <w:lang w:val="en-GB"/>
        </w:rPr>
        <w:t xml:space="preserve">5%). </w:t>
      </w:r>
      <w:r>
        <w:rPr>
          <w:spacing w:val="-6"/>
          <w:sz w:val="16"/>
          <w:szCs w:val="16"/>
          <w:lang w:val="en-GB"/>
        </w:rPr>
        <w:t xml:space="preserve">Higher half-yearly attendance compared to this year was observed besides other things also in years </w:t>
      </w:r>
      <w:r w:rsidRPr="00056628">
        <w:rPr>
          <w:spacing w:val="-6"/>
          <w:sz w:val="16"/>
          <w:szCs w:val="16"/>
          <w:lang w:val="en-GB"/>
        </w:rPr>
        <w:t>2007 a</w:t>
      </w:r>
      <w:r>
        <w:rPr>
          <w:spacing w:val="-6"/>
          <w:sz w:val="16"/>
          <w:szCs w:val="16"/>
          <w:lang w:val="en-GB"/>
        </w:rPr>
        <w:t>nd</w:t>
      </w:r>
      <w:r w:rsidRPr="00056628">
        <w:rPr>
          <w:spacing w:val="-6"/>
          <w:sz w:val="16"/>
          <w:szCs w:val="16"/>
          <w:lang w:val="en-GB"/>
        </w:rPr>
        <w:t xml:space="preserve"> 2010.</w:t>
      </w:r>
    </w:p>
  </w:footnote>
  <w:footnote w:id="43">
    <w:p w14:paraId="3BC473F0" w14:textId="77777777" w:rsidR="00073B58" w:rsidRPr="00D511D8" w:rsidRDefault="00073B58" w:rsidP="00D65F61">
      <w:pPr>
        <w:spacing w:after="0" w:line="240" w:lineRule="auto"/>
        <w:rPr>
          <w:spacing w:val="-6"/>
          <w:lang w:val="en-GB"/>
        </w:rPr>
      </w:pPr>
      <w:r w:rsidRPr="00101B15">
        <w:rPr>
          <w:rStyle w:val="Znakapoznpodarou"/>
          <w:color w:val="0D0D0D" w:themeColor="text1" w:themeTint="F2"/>
          <w:spacing w:val="-6"/>
          <w:sz w:val="16"/>
          <w:szCs w:val="16"/>
        </w:rPr>
        <w:footnoteRef/>
      </w:r>
      <w:r w:rsidRPr="00101B15">
        <w:rPr>
          <w:color w:val="0D0D0D" w:themeColor="text1" w:themeTint="F2"/>
          <w:spacing w:val="-6"/>
          <w:sz w:val="16"/>
          <w:szCs w:val="16"/>
        </w:rPr>
        <w:t xml:space="preserve"> </w:t>
      </w:r>
      <w:r w:rsidRPr="00E22F57">
        <w:rPr>
          <w:color w:val="0D0D0D" w:themeColor="text1" w:themeTint="F2"/>
          <w:sz w:val="16"/>
          <w:szCs w:val="16"/>
          <w:lang w:val="en-GB"/>
        </w:rPr>
        <w:t>All year-on-year rates of growth of retail sales are stated in constant prices and adjusted for calendar effects</w:t>
      </w:r>
      <w:r>
        <w:rPr>
          <w:color w:val="0D0D0D" w:themeColor="text1" w:themeTint="F2"/>
          <w:sz w:val="16"/>
          <w:szCs w:val="16"/>
          <w:lang w:val="en-GB"/>
        </w:rPr>
        <w:t>, quarter-on-quarter as well as month-on-month rates are adjusted for seasonal effects</w:t>
      </w:r>
      <w:r w:rsidRPr="00E22F57">
        <w:rPr>
          <w:color w:val="0D0D0D" w:themeColor="text1" w:themeTint="F2"/>
          <w:sz w:val="16"/>
          <w:szCs w:val="16"/>
          <w:lang w:val="en-GB"/>
        </w:rPr>
        <w:t xml:space="preserve"> (including the number of working days). Retail includes branch CZ</w:t>
      </w:r>
      <w:r w:rsidRPr="00E22F57">
        <w:rPr>
          <w:color w:val="0D0D0D" w:themeColor="text1" w:themeTint="F2"/>
          <w:sz w:val="16"/>
          <w:szCs w:val="16"/>
          <w:lang w:val="en-GB"/>
        </w:rPr>
        <w:noBreakHyphen/>
        <w:t>NACE 47.</w:t>
      </w:r>
    </w:p>
  </w:footnote>
  <w:footnote w:id="44">
    <w:p w14:paraId="7AA08C42" w14:textId="77777777" w:rsidR="00073B58" w:rsidRPr="00D511D8" w:rsidRDefault="00073B58" w:rsidP="00D511D8">
      <w:pPr>
        <w:spacing w:after="0" w:line="240" w:lineRule="auto"/>
        <w:rPr>
          <w:rFonts w:cs="Arial"/>
          <w:bCs/>
          <w:spacing w:val="-6"/>
          <w:sz w:val="16"/>
          <w:szCs w:val="16"/>
          <w:lang w:val="en-GB"/>
        </w:rPr>
      </w:pPr>
      <w:r w:rsidRPr="00D511D8">
        <w:rPr>
          <w:rStyle w:val="Znakapoznpodarou"/>
          <w:spacing w:val="-6"/>
          <w:sz w:val="16"/>
          <w:szCs w:val="16"/>
          <w:lang w:val="en-GB"/>
        </w:rPr>
        <w:footnoteRef/>
      </w:r>
      <w:r w:rsidRPr="00D511D8">
        <w:rPr>
          <w:spacing w:val="-6"/>
          <w:sz w:val="16"/>
          <w:szCs w:val="16"/>
          <w:lang w:val="en-GB"/>
        </w:rPr>
        <w:t xml:space="preserve"> </w:t>
      </w:r>
      <w:r>
        <w:rPr>
          <w:spacing w:val="-6"/>
          <w:sz w:val="16"/>
          <w:szCs w:val="16"/>
          <w:lang w:val="en-GB"/>
        </w:rPr>
        <w:t xml:space="preserve">On </w:t>
      </w:r>
      <w:r w:rsidRPr="00D511D8">
        <w:rPr>
          <w:spacing w:val="-6"/>
          <w:sz w:val="16"/>
          <w:szCs w:val="16"/>
          <w:lang w:val="en-GB"/>
        </w:rPr>
        <w:t>11</w:t>
      </w:r>
      <w:r w:rsidRPr="006948DE">
        <w:rPr>
          <w:spacing w:val="-6"/>
          <w:sz w:val="16"/>
          <w:szCs w:val="16"/>
          <w:vertAlign w:val="superscript"/>
          <w:lang w:val="en-GB"/>
        </w:rPr>
        <w:t>th</w:t>
      </w:r>
      <w:r>
        <w:rPr>
          <w:spacing w:val="-6"/>
          <w:sz w:val="16"/>
          <w:szCs w:val="16"/>
          <w:lang w:val="en-GB"/>
        </w:rPr>
        <w:t xml:space="preserve"> May </w:t>
      </w:r>
      <w:r w:rsidRPr="00D511D8">
        <w:rPr>
          <w:spacing w:val="-6"/>
          <w:sz w:val="16"/>
          <w:szCs w:val="16"/>
          <w:lang w:val="en-GB"/>
        </w:rPr>
        <w:t>2021</w:t>
      </w:r>
      <w:r>
        <w:rPr>
          <w:spacing w:val="-6"/>
          <w:sz w:val="16"/>
          <w:szCs w:val="16"/>
          <w:lang w:val="en-GB"/>
        </w:rPr>
        <w:t xml:space="preserve">, larger shop operations were reopened (outside of shopping centres) as well as all shops in the shopping centres (except for food services) and the last more essential regulative measure terminated in retail. Further only partial restrictions were used as needed </w:t>
      </w:r>
      <w:r w:rsidRPr="00D511D8">
        <w:rPr>
          <w:rFonts w:cs="Arial"/>
          <w:bCs/>
          <w:spacing w:val="-6"/>
          <w:sz w:val="16"/>
          <w:szCs w:val="16"/>
          <w:lang w:val="en-GB"/>
        </w:rPr>
        <w:t>(</w:t>
      </w:r>
      <w:r>
        <w:rPr>
          <w:rFonts w:cs="Arial"/>
          <w:bCs/>
          <w:spacing w:val="-6"/>
          <w:sz w:val="16"/>
          <w:szCs w:val="16"/>
          <w:lang w:val="en-GB"/>
        </w:rPr>
        <w:t>number of customers per shopping area, cancelling of Christmas markets</w:t>
      </w:r>
      <w:r w:rsidRPr="00D511D8">
        <w:rPr>
          <w:rFonts w:cs="Arial"/>
          <w:bCs/>
          <w:spacing w:val="-6"/>
          <w:sz w:val="16"/>
          <w:szCs w:val="16"/>
          <w:lang w:val="en-GB"/>
        </w:rPr>
        <w:t xml:space="preserve">), </w:t>
      </w:r>
      <w:r>
        <w:rPr>
          <w:rFonts w:cs="Arial"/>
          <w:bCs/>
          <w:spacing w:val="-6"/>
          <w:sz w:val="16"/>
          <w:szCs w:val="16"/>
          <w:lang w:val="en-GB"/>
        </w:rPr>
        <w:t xml:space="preserve">which did not have a significant effect on the performance of the whole retail. </w:t>
      </w:r>
    </w:p>
  </w:footnote>
  <w:footnote w:id="45">
    <w:p w14:paraId="7C31CA84" w14:textId="77777777" w:rsidR="00073B58" w:rsidRPr="00A62CB0" w:rsidRDefault="00073B58" w:rsidP="00A62CB0">
      <w:pPr>
        <w:pStyle w:val="Textpoznpodarou"/>
        <w:jc w:val="both"/>
        <w:rPr>
          <w:spacing w:val="-2"/>
          <w:sz w:val="16"/>
          <w:szCs w:val="16"/>
          <w:lang w:val="en-GB"/>
        </w:rPr>
      </w:pPr>
      <w:r w:rsidRPr="00A62CB0">
        <w:rPr>
          <w:rStyle w:val="Znakapoznpodarou"/>
          <w:spacing w:val="-2"/>
          <w:sz w:val="16"/>
          <w:szCs w:val="16"/>
          <w:lang w:val="en-GB"/>
        </w:rPr>
        <w:footnoteRef/>
      </w:r>
      <w:r w:rsidRPr="00A62CB0">
        <w:rPr>
          <w:spacing w:val="-2"/>
          <w:sz w:val="16"/>
          <w:szCs w:val="16"/>
          <w:lang w:val="en-GB"/>
        </w:rPr>
        <w:t xml:space="preserve"> </w:t>
      </w:r>
      <w:r>
        <w:rPr>
          <w:spacing w:val="-2"/>
          <w:sz w:val="16"/>
          <w:szCs w:val="16"/>
          <w:lang w:val="en-GB"/>
        </w:rPr>
        <w:t xml:space="preserve">Business confidence balance in the trade branch was comparable to the level from time period just before the onset of pandemics this year in July. Despite mild deterioration since the beginning of the year, businesses perceived their current economic situation still positively </w:t>
      </w:r>
      <w:r w:rsidRPr="00A62CB0">
        <w:rPr>
          <w:spacing w:val="-2"/>
          <w:sz w:val="16"/>
          <w:szCs w:val="16"/>
          <w:lang w:val="en-GB"/>
        </w:rPr>
        <w:t>a</w:t>
      </w:r>
      <w:r>
        <w:rPr>
          <w:spacing w:val="-2"/>
          <w:sz w:val="16"/>
          <w:szCs w:val="16"/>
          <w:lang w:val="en-GB"/>
        </w:rPr>
        <w:t xml:space="preserve">nd the outlooks to the nearest half-year were also favourable </w:t>
      </w:r>
      <w:r w:rsidRPr="00A62CB0">
        <w:rPr>
          <w:spacing w:val="-2"/>
          <w:sz w:val="16"/>
          <w:szCs w:val="16"/>
          <w:lang w:val="en-GB"/>
        </w:rPr>
        <w:t>(35%</w:t>
      </w:r>
      <w:r>
        <w:rPr>
          <w:spacing w:val="-2"/>
          <w:sz w:val="16"/>
          <w:szCs w:val="16"/>
          <w:lang w:val="en-GB"/>
        </w:rPr>
        <w:t xml:space="preserve"> of businesses expected improvement</w:t>
      </w:r>
      <w:r w:rsidRPr="00A62CB0">
        <w:rPr>
          <w:spacing w:val="-2"/>
          <w:sz w:val="16"/>
          <w:szCs w:val="16"/>
          <w:lang w:val="en-GB"/>
        </w:rPr>
        <w:t>, 13%</w:t>
      </w:r>
      <w:r>
        <w:rPr>
          <w:spacing w:val="-2"/>
          <w:sz w:val="16"/>
          <w:szCs w:val="16"/>
          <w:lang w:val="en-GB"/>
        </w:rPr>
        <w:t xml:space="preserve"> worsening</w:t>
      </w:r>
      <w:r w:rsidRPr="00A62CB0">
        <w:rPr>
          <w:spacing w:val="-2"/>
          <w:sz w:val="16"/>
          <w:szCs w:val="16"/>
          <w:lang w:val="en-GB"/>
        </w:rPr>
        <w:t xml:space="preserve">). </w:t>
      </w:r>
      <w:r>
        <w:rPr>
          <w:spacing w:val="-2"/>
          <w:sz w:val="16"/>
          <w:szCs w:val="16"/>
          <w:lang w:val="en-GB"/>
        </w:rPr>
        <w:t>It is also substantiated by the fact, that traders also planned the recruitment of new employees</w:t>
      </w:r>
      <w:r w:rsidRPr="00A62CB0">
        <w:rPr>
          <w:spacing w:val="-2"/>
          <w:sz w:val="16"/>
          <w:szCs w:val="16"/>
          <w:lang w:val="en-GB"/>
        </w:rPr>
        <w:t>.</w:t>
      </w:r>
    </w:p>
  </w:footnote>
  <w:footnote w:id="46">
    <w:p w14:paraId="13471D5F" w14:textId="77777777" w:rsidR="00073B58" w:rsidRPr="00A62CB0" w:rsidRDefault="00073B58" w:rsidP="00A62CB0">
      <w:pPr>
        <w:pStyle w:val="Textpoznpodarou"/>
        <w:jc w:val="both"/>
        <w:rPr>
          <w:sz w:val="16"/>
          <w:szCs w:val="16"/>
          <w:lang w:val="en-GB"/>
        </w:rPr>
      </w:pPr>
      <w:r w:rsidRPr="00A62CB0">
        <w:rPr>
          <w:rStyle w:val="Znakapoznpodarou"/>
          <w:sz w:val="16"/>
          <w:szCs w:val="16"/>
          <w:lang w:val="en-GB"/>
        </w:rPr>
        <w:footnoteRef/>
      </w:r>
      <w:r w:rsidRPr="00A62CB0">
        <w:rPr>
          <w:sz w:val="16"/>
          <w:szCs w:val="16"/>
          <w:lang w:val="en-GB"/>
        </w:rPr>
        <w:t xml:space="preserve"> </w:t>
      </w:r>
      <w:r>
        <w:rPr>
          <w:sz w:val="16"/>
          <w:szCs w:val="16"/>
          <w:lang w:val="en-GB"/>
        </w:rPr>
        <w:t xml:space="preserve">Retail faced weaker consumer demand also in the EU this year. Retail sales rose by </w:t>
      </w:r>
      <w:r w:rsidRPr="00A62CB0">
        <w:rPr>
          <w:sz w:val="16"/>
          <w:szCs w:val="16"/>
          <w:lang w:val="en-GB"/>
        </w:rPr>
        <w:t>1</w:t>
      </w:r>
      <w:r>
        <w:rPr>
          <w:sz w:val="16"/>
          <w:szCs w:val="16"/>
          <w:lang w:val="en-GB"/>
        </w:rPr>
        <w:t>.</w:t>
      </w:r>
      <w:r w:rsidRPr="00A62CB0">
        <w:rPr>
          <w:sz w:val="16"/>
          <w:szCs w:val="16"/>
          <w:lang w:val="en-GB"/>
        </w:rPr>
        <w:t>3%</w:t>
      </w:r>
      <w:r>
        <w:rPr>
          <w:sz w:val="16"/>
          <w:szCs w:val="16"/>
          <w:lang w:val="en-GB"/>
        </w:rPr>
        <w:t xml:space="preserve"> in Q2 year-on-year</w:t>
      </w:r>
      <w:r w:rsidRPr="00A62CB0">
        <w:rPr>
          <w:sz w:val="16"/>
          <w:szCs w:val="16"/>
          <w:lang w:val="en-GB"/>
        </w:rPr>
        <w:t>,</w:t>
      </w:r>
      <w:r>
        <w:rPr>
          <w:sz w:val="16"/>
          <w:szCs w:val="16"/>
          <w:lang w:val="en-GB"/>
        </w:rPr>
        <w:t xml:space="preserve"> the least since half of year </w:t>
      </w:r>
      <w:r w:rsidRPr="00A62CB0">
        <w:rPr>
          <w:sz w:val="16"/>
          <w:szCs w:val="16"/>
          <w:lang w:val="en-GB"/>
        </w:rPr>
        <w:t xml:space="preserve">2020. </w:t>
      </w:r>
      <w:r>
        <w:rPr>
          <w:sz w:val="16"/>
          <w:szCs w:val="16"/>
          <w:lang w:val="en-GB"/>
        </w:rPr>
        <w:t>Euro area lone was in a worse position</w:t>
      </w:r>
      <w:r w:rsidRPr="00A62CB0">
        <w:rPr>
          <w:sz w:val="16"/>
          <w:szCs w:val="16"/>
          <w:lang w:val="en-GB"/>
        </w:rPr>
        <w:t xml:space="preserve">, </w:t>
      </w:r>
      <w:r>
        <w:rPr>
          <w:sz w:val="16"/>
          <w:szCs w:val="16"/>
          <w:lang w:val="en-GB"/>
        </w:rPr>
        <w:t xml:space="preserve">where mostly the newer members from Central and Eastern Europe contributed to the mild growth </w:t>
      </w:r>
      <w:r w:rsidRPr="00A62CB0">
        <w:rPr>
          <w:sz w:val="16"/>
          <w:szCs w:val="16"/>
          <w:lang w:val="en-GB"/>
        </w:rPr>
        <w:t>(0</w:t>
      </w:r>
      <w:r>
        <w:rPr>
          <w:sz w:val="16"/>
          <w:szCs w:val="16"/>
          <w:lang w:val="en-GB"/>
        </w:rPr>
        <w:t>.</w:t>
      </w:r>
      <w:r w:rsidRPr="00A62CB0">
        <w:rPr>
          <w:sz w:val="16"/>
          <w:szCs w:val="16"/>
          <w:lang w:val="en-GB"/>
        </w:rPr>
        <w:t xml:space="preserve">5%). </w:t>
      </w:r>
      <w:r>
        <w:rPr>
          <w:sz w:val="16"/>
          <w:szCs w:val="16"/>
          <w:lang w:val="en-GB"/>
        </w:rPr>
        <w:t xml:space="preserve">The decrease of sales afflicted </w:t>
      </w:r>
      <w:r w:rsidRPr="00A62CB0">
        <w:rPr>
          <w:sz w:val="16"/>
          <w:szCs w:val="16"/>
          <w:lang w:val="en-GB"/>
        </w:rPr>
        <w:t>11</w:t>
      </w:r>
      <w:r>
        <w:rPr>
          <w:sz w:val="16"/>
          <w:szCs w:val="16"/>
          <w:lang w:val="en-GB"/>
        </w:rPr>
        <w:t xml:space="preserve"> states of the EU</w:t>
      </w:r>
      <w:r w:rsidRPr="00A62CB0">
        <w:rPr>
          <w:sz w:val="16"/>
          <w:szCs w:val="16"/>
          <w:lang w:val="en-GB"/>
        </w:rPr>
        <w:t xml:space="preserve"> – </w:t>
      </w:r>
      <w:r>
        <w:rPr>
          <w:sz w:val="16"/>
          <w:szCs w:val="16"/>
          <w:lang w:val="en-GB"/>
        </w:rPr>
        <w:t xml:space="preserve">the most Denmark </w:t>
      </w:r>
      <w:r w:rsidRPr="00A62CB0">
        <w:rPr>
          <w:sz w:val="16"/>
          <w:szCs w:val="16"/>
          <w:lang w:val="en-GB"/>
        </w:rPr>
        <w:t>(–5</w:t>
      </w:r>
      <w:r>
        <w:rPr>
          <w:sz w:val="16"/>
          <w:szCs w:val="16"/>
          <w:lang w:val="en-GB"/>
        </w:rPr>
        <w:t>.</w:t>
      </w:r>
      <w:r w:rsidRPr="00A62CB0">
        <w:rPr>
          <w:sz w:val="16"/>
          <w:szCs w:val="16"/>
          <w:lang w:val="en-GB"/>
        </w:rPr>
        <w:t>0%) a</w:t>
      </w:r>
      <w:r>
        <w:rPr>
          <w:sz w:val="16"/>
          <w:szCs w:val="16"/>
          <w:lang w:val="en-GB"/>
        </w:rPr>
        <w:t xml:space="preserve">nd Finland </w:t>
      </w:r>
      <w:r w:rsidRPr="00A62CB0">
        <w:rPr>
          <w:sz w:val="16"/>
          <w:szCs w:val="16"/>
          <w:lang w:val="en-GB"/>
        </w:rPr>
        <w:t>(–4</w:t>
      </w:r>
      <w:r>
        <w:rPr>
          <w:sz w:val="16"/>
          <w:szCs w:val="16"/>
          <w:lang w:val="en-GB"/>
        </w:rPr>
        <w:t>.</w:t>
      </w:r>
      <w:r w:rsidRPr="00A62CB0">
        <w:rPr>
          <w:sz w:val="16"/>
          <w:szCs w:val="16"/>
          <w:lang w:val="en-GB"/>
        </w:rPr>
        <w:t xml:space="preserve">0%), </w:t>
      </w:r>
      <w:r>
        <w:rPr>
          <w:sz w:val="16"/>
          <w:szCs w:val="16"/>
          <w:lang w:val="en-GB"/>
        </w:rPr>
        <w:t xml:space="preserve">where a mild quarter-on-quarter downturn occurred already since half of the last year. Within the Central Europe, the lower output of retail in Germany </w:t>
      </w:r>
      <w:r w:rsidRPr="00A62CB0">
        <w:rPr>
          <w:sz w:val="16"/>
          <w:szCs w:val="16"/>
          <w:lang w:val="en-GB"/>
        </w:rPr>
        <w:t>(–3</w:t>
      </w:r>
      <w:r>
        <w:rPr>
          <w:sz w:val="16"/>
          <w:szCs w:val="16"/>
          <w:lang w:val="en-GB"/>
        </w:rPr>
        <w:t>.</w:t>
      </w:r>
      <w:r w:rsidRPr="00A62CB0">
        <w:rPr>
          <w:sz w:val="16"/>
          <w:szCs w:val="16"/>
          <w:lang w:val="en-GB"/>
        </w:rPr>
        <w:t xml:space="preserve">7% </w:t>
      </w:r>
      <w:r>
        <w:rPr>
          <w:sz w:val="16"/>
          <w:szCs w:val="16"/>
          <w:lang w:val="en-GB"/>
        </w:rPr>
        <w:t>year-on-year</w:t>
      </w:r>
      <w:r w:rsidRPr="00A62CB0">
        <w:rPr>
          <w:sz w:val="16"/>
          <w:szCs w:val="16"/>
          <w:lang w:val="en-GB"/>
        </w:rPr>
        <w:t>),</w:t>
      </w:r>
      <w:r>
        <w:rPr>
          <w:sz w:val="16"/>
          <w:szCs w:val="16"/>
          <w:lang w:val="en-GB"/>
        </w:rPr>
        <w:t xml:space="preserve"> the CR </w:t>
      </w:r>
      <w:r w:rsidRPr="00A62CB0">
        <w:rPr>
          <w:sz w:val="16"/>
          <w:szCs w:val="16"/>
          <w:lang w:val="en-GB"/>
        </w:rPr>
        <w:t>(–3</w:t>
      </w:r>
      <w:r>
        <w:rPr>
          <w:sz w:val="16"/>
          <w:szCs w:val="16"/>
          <w:lang w:val="en-GB"/>
        </w:rPr>
        <w:t>.</w:t>
      </w:r>
      <w:r w:rsidRPr="00A62CB0">
        <w:rPr>
          <w:sz w:val="16"/>
          <w:szCs w:val="16"/>
          <w:lang w:val="en-GB"/>
        </w:rPr>
        <w:t>0%) a</w:t>
      </w:r>
      <w:r>
        <w:rPr>
          <w:sz w:val="16"/>
          <w:szCs w:val="16"/>
          <w:lang w:val="en-GB"/>
        </w:rPr>
        <w:t xml:space="preserve">nd Austria </w:t>
      </w:r>
      <w:r w:rsidRPr="00A62CB0">
        <w:rPr>
          <w:sz w:val="16"/>
          <w:szCs w:val="16"/>
          <w:lang w:val="en-GB"/>
        </w:rPr>
        <w:t>(–2</w:t>
      </w:r>
      <w:r>
        <w:rPr>
          <w:sz w:val="16"/>
          <w:szCs w:val="16"/>
          <w:lang w:val="en-GB"/>
        </w:rPr>
        <w:t>.</w:t>
      </w:r>
      <w:r w:rsidRPr="00A62CB0">
        <w:rPr>
          <w:sz w:val="16"/>
          <w:szCs w:val="16"/>
          <w:lang w:val="en-GB"/>
        </w:rPr>
        <w:t xml:space="preserve">3%) </w:t>
      </w:r>
      <w:r>
        <w:rPr>
          <w:sz w:val="16"/>
          <w:szCs w:val="16"/>
          <w:lang w:val="en-GB"/>
        </w:rPr>
        <w:t xml:space="preserve">contrasted with the brisk pace of Poland </w:t>
      </w:r>
      <w:r w:rsidRPr="00A62CB0">
        <w:rPr>
          <w:sz w:val="16"/>
          <w:szCs w:val="16"/>
          <w:lang w:val="en-GB"/>
        </w:rPr>
        <w:t>(+12</w:t>
      </w:r>
      <w:r>
        <w:rPr>
          <w:sz w:val="16"/>
          <w:szCs w:val="16"/>
          <w:lang w:val="en-GB"/>
        </w:rPr>
        <w:t>.</w:t>
      </w:r>
      <w:r w:rsidRPr="00A62CB0">
        <w:rPr>
          <w:sz w:val="16"/>
          <w:szCs w:val="16"/>
          <w:lang w:val="en-GB"/>
        </w:rPr>
        <w:t xml:space="preserve">7%), </w:t>
      </w:r>
      <w:r>
        <w:rPr>
          <w:sz w:val="16"/>
          <w:szCs w:val="16"/>
          <w:lang w:val="en-GB"/>
        </w:rPr>
        <w:t xml:space="preserve">Hungary </w:t>
      </w:r>
      <w:r w:rsidRPr="00A62CB0">
        <w:rPr>
          <w:sz w:val="16"/>
          <w:szCs w:val="16"/>
          <w:lang w:val="en-GB"/>
        </w:rPr>
        <w:t>(+7</w:t>
      </w:r>
      <w:r>
        <w:rPr>
          <w:sz w:val="16"/>
          <w:szCs w:val="16"/>
          <w:lang w:val="en-GB"/>
        </w:rPr>
        <w:t>.</w:t>
      </w:r>
      <w:r w:rsidRPr="00A62CB0">
        <w:rPr>
          <w:sz w:val="16"/>
          <w:szCs w:val="16"/>
          <w:lang w:val="en-GB"/>
        </w:rPr>
        <w:t>9%) a</w:t>
      </w:r>
      <w:r>
        <w:rPr>
          <w:sz w:val="16"/>
          <w:szCs w:val="16"/>
          <w:lang w:val="en-GB"/>
        </w:rPr>
        <w:t xml:space="preserve">nd Slovakia </w:t>
      </w:r>
      <w:r w:rsidRPr="00A62CB0">
        <w:rPr>
          <w:sz w:val="16"/>
          <w:szCs w:val="16"/>
          <w:lang w:val="en-GB"/>
        </w:rPr>
        <w:t>(+5</w:t>
      </w:r>
      <w:r>
        <w:rPr>
          <w:sz w:val="16"/>
          <w:szCs w:val="16"/>
          <w:lang w:val="en-GB"/>
        </w:rPr>
        <w:t>.</w:t>
      </w:r>
      <w:r w:rsidRPr="00A62CB0">
        <w:rPr>
          <w:sz w:val="16"/>
          <w:szCs w:val="16"/>
          <w:lang w:val="en-GB"/>
        </w:rPr>
        <w:t xml:space="preserve">4%). </w:t>
      </w:r>
      <w:r>
        <w:rPr>
          <w:sz w:val="16"/>
          <w:szCs w:val="16"/>
          <w:lang w:val="en-GB"/>
        </w:rPr>
        <w:t xml:space="preserve">Sales for food went down by </w:t>
      </w:r>
      <w:r w:rsidRPr="00A62CB0">
        <w:rPr>
          <w:sz w:val="16"/>
          <w:szCs w:val="16"/>
          <w:lang w:val="en-GB"/>
        </w:rPr>
        <w:t>2</w:t>
      </w:r>
      <w:r>
        <w:rPr>
          <w:sz w:val="16"/>
          <w:szCs w:val="16"/>
          <w:lang w:val="en-GB"/>
        </w:rPr>
        <w:t>.</w:t>
      </w:r>
      <w:r w:rsidRPr="00A62CB0">
        <w:rPr>
          <w:sz w:val="16"/>
          <w:szCs w:val="16"/>
          <w:lang w:val="en-GB"/>
        </w:rPr>
        <w:t>3%</w:t>
      </w:r>
      <w:r>
        <w:rPr>
          <w:sz w:val="16"/>
          <w:szCs w:val="16"/>
          <w:lang w:val="en-GB"/>
        </w:rPr>
        <w:t xml:space="preserve"> in the EU</w:t>
      </w:r>
      <w:r w:rsidRPr="00A62CB0">
        <w:rPr>
          <w:sz w:val="16"/>
          <w:szCs w:val="16"/>
          <w:lang w:val="en-GB"/>
        </w:rPr>
        <w:t>,</w:t>
      </w:r>
      <w:r>
        <w:rPr>
          <w:sz w:val="16"/>
          <w:szCs w:val="16"/>
          <w:lang w:val="en-GB"/>
        </w:rPr>
        <w:t xml:space="preserve"> in contrast non-food products </w:t>
      </w:r>
      <w:r w:rsidRPr="00A62CB0">
        <w:rPr>
          <w:sz w:val="16"/>
          <w:szCs w:val="16"/>
          <w:lang w:val="en-GB"/>
        </w:rPr>
        <w:t>(+2</w:t>
      </w:r>
      <w:r>
        <w:rPr>
          <w:sz w:val="16"/>
          <w:szCs w:val="16"/>
          <w:lang w:val="en-GB"/>
        </w:rPr>
        <w:t>.</w:t>
      </w:r>
      <w:r w:rsidRPr="00A62CB0">
        <w:rPr>
          <w:sz w:val="16"/>
          <w:szCs w:val="16"/>
          <w:lang w:val="en-GB"/>
        </w:rPr>
        <w:t>8%) a</w:t>
      </w:r>
      <w:r>
        <w:rPr>
          <w:sz w:val="16"/>
          <w:szCs w:val="16"/>
          <w:lang w:val="en-GB"/>
        </w:rPr>
        <w:t xml:space="preserve">nd sale of motor fuels </w:t>
      </w:r>
      <w:r w:rsidRPr="00A62CB0">
        <w:rPr>
          <w:sz w:val="16"/>
          <w:szCs w:val="16"/>
          <w:lang w:val="en-GB"/>
        </w:rPr>
        <w:t>(+7</w:t>
      </w:r>
      <w:r>
        <w:rPr>
          <w:sz w:val="16"/>
          <w:szCs w:val="16"/>
          <w:lang w:val="en-GB"/>
        </w:rPr>
        <w:t>.</w:t>
      </w:r>
      <w:r w:rsidRPr="00A62CB0">
        <w:rPr>
          <w:sz w:val="16"/>
          <w:szCs w:val="16"/>
          <w:lang w:val="en-GB"/>
        </w:rPr>
        <w:t>8%)</w:t>
      </w:r>
      <w:r>
        <w:rPr>
          <w:sz w:val="16"/>
          <w:szCs w:val="16"/>
          <w:lang w:val="en-GB"/>
        </w:rPr>
        <w:t xml:space="preserve"> recorded considerably faster rates than in the CR.</w:t>
      </w:r>
      <w:r w:rsidRPr="00A62CB0">
        <w:rPr>
          <w:sz w:val="16"/>
          <w:szCs w:val="16"/>
          <w:lang w:val="en-GB"/>
        </w:rPr>
        <w:t xml:space="preserve"> </w:t>
      </w:r>
      <w:r>
        <w:rPr>
          <w:sz w:val="16"/>
          <w:szCs w:val="16"/>
          <w:lang w:val="en-GB"/>
        </w:rPr>
        <w:t>It belonged together with German, Denmark and Belgium to the only Union states, where the sales fell in all the above mentioned key retail segments in this year</w:t>
      </w:r>
      <w:r>
        <w:rPr>
          <w:sz w:val="16"/>
          <w:szCs w:val="16"/>
          <w:lang w:val="en-US"/>
        </w:rPr>
        <w:t>’</w:t>
      </w:r>
      <w:r>
        <w:rPr>
          <w:sz w:val="16"/>
          <w:szCs w:val="16"/>
        </w:rPr>
        <w:t>s Q</w:t>
      </w:r>
      <w:r w:rsidRPr="00A62CB0">
        <w:rPr>
          <w:sz w:val="16"/>
          <w:szCs w:val="16"/>
          <w:lang w:val="en-GB"/>
        </w:rPr>
        <w:t>2.</w:t>
      </w:r>
    </w:p>
  </w:footnote>
  <w:footnote w:id="47">
    <w:p w14:paraId="2A3E9251" w14:textId="77777777" w:rsidR="00073B58" w:rsidRPr="00913B36" w:rsidRDefault="00073B58" w:rsidP="00A62CB0">
      <w:pPr>
        <w:pStyle w:val="Textpoznpodarou"/>
        <w:jc w:val="both"/>
        <w:rPr>
          <w:spacing w:val="-7"/>
          <w:sz w:val="16"/>
          <w:szCs w:val="16"/>
        </w:rPr>
      </w:pPr>
      <w:r w:rsidRPr="00A62CB0">
        <w:rPr>
          <w:rStyle w:val="Znakapoznpodarou"/>
          <w:spacing w:val="-7"/>
          <w:sz w:val="16"/>
          <w:szCs w:val="16"/>
          <w:lang w:val="en-GB"/>
        </w:rPr>
        <w:footnoteRef/>
      </w:r>
      <w:r w:rsidRPr="00A62CB0">
        <w:rPr>
          <w:spacing w:val="-7"/>
          <w:sz w:val="16"/>
          <w:szCs w:val="16"/>
          <w:lang w:val="en-GB"/>
        </w:rPr>
        <w:t xml:space="preserve"> </w:t>
      </w:r>
      <w:r>
        <w:rPr>
          <w:spacing w:val="-7"/>
          <w:sz w:val="16"/>
          <w:szCs w:val="16"/>
          <w:lang w:val="en-GB"/>
        </w:rPr>
        <w:t xml:space="preserve">Lower consumption of motor fuels was linked to the price escalation aided by the war in Ukraine. Sales for motor fuels increased by </w:t>
      </w:r>
      <w:r w:rsidRPr="00A62CB0">
        <w:rPr>
          <w:spacing w:val="-7"/>
          <w:sz w:val="16"/>
          <w:szCs w:val="16"/>
          <w:lang w:val="en-GB"/>
        </w:rPr>
        <w:t>38</w:t>
      </w:r>
      <w:r>
        <w:rPr>
          <w:spacing w:val="-7"/>
          <w:sz w:val="16"/>
          <w:szCs w:val="16"/>
          <w:lang w:val="en-GB"/>
        </w:rPr>
        <w:t>.</w:t>
      </w:r>
      <w:r w:rsidRPr="00A62CB0">
        <w:rPr>
          <w:spacing w:val="-7"/>
          <w:sz w:val="16"/>
          <w:szCs w:val="16"/>
          <w:lang w:val="en-GB"/>
        </w:rPr>
        <w:t>1%</w:t>
      </w:r>
      <w:r>
        <w:rPr>
          <w:spacing w:val="-7"/>
          <w:sz w:val="16"/>
          <w:szCs w:val="16"/>
          <w:lang w:val="en-GB"/>
        </w:rPr>
        <w:t xml:space="preserve"> in current prices year-on-year</w:t>
      </w:r>
      <w:r w:rsidRPr="00A62CB0">
        <w:rPr>
          <w:spacing w:val="-7"/>
          <w:sz w:val="16"/>
          <w:szCs w:val="16"/>
          <w:lang w:val="en-GB"/>
        </w:rPr>
        <w:t>.</w:t>
      </w:r>
    </w:p>
  </w:footnote>
  <w:footnote w:id="48">
    <w:p w14:paraId="1AD250E4" w14:textId="77777777" w:rsidR="00073B58" w:rsidRPr="00DE472F" w:rsidRDefault="00073B58" w:rsidP="00073B58">
      <w:pPr>
        <w:pStyle w:val="Textpoznpodarou"/>
        <w:rPr>
          <w:sz w:val="16"/>
          <w:szCs w:val="16"/>
        </w:rPr>
      </w:pPr>
      <w:r w:rsidRPr="00DE472F">
        <w:rPr>
          <w:rStyle w:val="Znakapoznpodarou"/>
          <w:sz w:val="16"/>
          <w:szCs w:val="16"/>
        </w:rPr>
        <w:footnoteRef/>
      </w:r>
      <w:r w:rsidRPr="00DE472F">
        <w:rPr>
          <w:sz w:val="16"/>
          <w:szCs w:val="16"/>
        </w:rPr>
        <w:t xml:space="preserve"> </w:t>
      </w:r>
      <w:r w:rsidRPr="0051190D">
        <w:rPr>
          <w:sz w:val="16"/>
          <w:szCs w:val="16"/>
          <w:lang w:val="en-GB"/>
        </w:rPr>
        <w:t>Year-on-year increase of the value of export of electricity, gas, steam and air conditioning to Slovakia reached 6.2 CZK bn and 7.4 bn to Germany.</w:t>
      </w:r>
      <w:r w:rsidRPr="00DE472F">
        <w:rPr>
          <w:sz w:val="16"/>
          <w:szCs w:val="16"/>
        </w:rPr>
        <w:t xml:space="preserve">    </w:t>
      </w:r>
    </w:p>
  </w:footnote>
  <w:footnote w:id="49">
    <w:p w14:paraId="1175F367" w14:textId="77777777" w:rsidR="00073B58" w:rsidRPr="00D021B3" w:rsidRDefault="00073B58" w:rsidP="00073B58">
      <w:pPr>
        <w:pStyle w:val="Textpoznpodarou"/>
        <w:rPr>
          <w:sz w:val="16"/>
          <w:szCs w:val="16"/>
        </w:rPr>
      </w:pPr>
      <w:r w:rsidRPr="00D021B3">
        <w:rPr>
          <w:rStyle w:val="Znakapoznpodarou"/>
          <w:sz w:val="16"/>
          <w:szCs w:val="16"/>
        </w:rPr>
        <w:footnoteRef/>
      </w:r>
      <w:r w:rsidRPr="00D021B3">
        <w:rPr>
          <w:sz w:val="16"/>
          <w:szCs w:val="16"/>
        </w:rPr>
        <w:t xml:space="preserve"> </w:t>
      </w:r>
      <w:r w:rsidRPr="00572C04">
        <w:rPr>
          <w:sz w:val="16"/>
          <w:szCs w:val="16"/>
          <w:lang w:val="en-GB"/>
        </w:rPr>
        <w:t xml:space="preserve">The export of oil and natural gas totalled 16 </w:t>
      </w:r>
      <w:r>
        <w:rPr>
          <w:sz w:val="16"/>
          <w:szCs w:val="16"/>
          <w:lang w:val="en-GB"/>
        </w:rPr>
        <w:t xml:space="preserve">CZK mil </w:t>
      </w:r>
      <w:r w:rsidRPr="00572C04">
        <w:rPr>
          <w:sz w:val="16"/>
          <w:szCs w:val="16"/>
          <w:lang w:val="en-GB"/>
        </w:rPr>
        <w:t>in Q2 2021, it was 5.2 bn this year.</w:t>
      </w:r>
      <w:r w:rsidRPr="00D021B3">
        <w:rPr>
          <w:sz w:val="16"/>
          <w:szCs w:val="16"/>
        </w:rPr>
        <w:t xml:space="preserve"> </w:t>
      </w:r>
    </w:p>
  </w:footnote>
  <w:footnote w:id="50">
    <w:p w14:paraId="75076F36" w14:textId="77777777" w:rsidR="00073B58" w:rsidRPr="009400F5" w:rsidRDefault="00073B58" w:rsidP="00073B58">
      <w:pPr>
        <w:pStyle w:val="Textpoznpodarou"/>
        <w:jc w:val="both"/>
        <w:rPr>
          <w:sz w:val="16"/>
          <w:szCs w:val="16"/>
          <w:lang w:val="en-GB"/>
        </w:rPr>
      </w:pPr>
      <w:r w:rsidRPr="00697CA5">
        <w:rPr>
          <w:rStyle w:val="Znakapoznpodarou"/>
          <w:sz w:val="16"/>
          <w:szCs w:val="16"/>
        </w:rPr>
        <w:footnoteRef/>
      </w:r>
      <w:r w:rsidRPr="00697CA5">
        <w:rPr>
          <w:sz w:val="16"/>
          <w:szCs w:val="16"/>
        </w:rPr>
        <w:t xml:space="preserve"> </w:t>
      </w:r>
      <w:r w:rsidRPr="009400F5">
        <w:rPr>
          <w:sz w:val="16"/>
          <w:szCs w:val="16"/>
          <w:lang w:val="en-GB"/>
        </w:rPr>
        <w:t>Within the bounds of second quarter of the year, the foreign trade with goods finished in deficit last in year 2007 (−1.9 CZK bn).</w:t>
      </w:r>
      <w:r w:rsidRPr="009400F5">
        <w:rPr>
          <w:spacing w:val="-4"/>
          <w:sz w:val="16"/>
          <w:szCs w:val="16"/>
          <w:lang w:val="en-GB"/>
        </w:rPr>
        <w:t xml:space="preserve"> </w:t>
      </w:r>
    </w:p>
  </w:footnote>
  <w:footnote w:id="51">
    <w:p w14:paraId="39425EAF" w14:textId="77777777" w:rsidR="00073B58" w:rsidRPr="00B10B82" w:rsidRDefault="00073B58" w:rsidP="00073B58">
      <w:pPr>
        <w:pStyle w:val="Textpoznpodarou"/>
        <w:jc w:val="both"/>
        <w:rPr>
          <w:sz w:val="16"/>
          <w:szCs w:val="16"/>
          <w:lang w:val="en-GB"/>
        </w:rPr>
      </w:pPr>
      <w:r w:rsidRPr="000A4298">
        <w:rPr>
          <w:rStyle w:val="Znakapoznpodarou"/>
          <w:sz w:val="16"/>
          <w:szCs w:val="16"/>
        </w:rPr>
        <w:footnoteRef/>
      </w:r>
      <w:r>
        <w:rPr>
          <w:sz w:val="16"/>
          <w:szCs w:val="16"/>
        </w:rPr>
        <w:t xml:space="preserve"> </w:t>
      </w:r>
      <w:r w:rsidRPr="00B10B82">
        <w:rPr>
          <w:sz w:val="16"/>
          <w:szCs w:val="16"/>
          <w:lang w:val="en-GB"/>
        </w:rPr>
        <w:t>Imput</w:t>
      </w:r>
      <w:r>
        <w:rPr>
          <w:sz w:val="16"/>
          <w:szCs w:val="16"/>
          <w:lang w:val="en-GB"/>
        </w:rPr>
        <w:t>ed rent expresses the cost of owner living. Apart from prices of housing themselves, it also contains the cost of construction and renovation and further fees. More at</w:t>
      </w:r>
      <w:r w:rsidRPr="00B10B82">
        <w:rPr>
          <w:sz w:val="16"/>
          <w:szCs w:val="16"/>
          <w:lang w:val="en-GB"/>
        </w:rPr>
        <w:t xml:space="preserve">: </w:t>
      </w:r>
      <w:hyperlink r:id="rId1" w:history="1">
        <w:r w:rsidRPr="00B10B82">
          <w:rPr>
            <w:rStyle w:val="Hypertextovodkaz"/>
            <w:sz w:val="16"/>
            <w:szCs w:val="16"/>
            <w:lang w:val="en-GB"/>
          </w:rPr>
          <w:t>https://www.czso.cz/csu/czso/metodicka-poznamka-k-indexu-spotrebitelskych-cen-imputovane-najemne</w:t>
        </w:r>
      </w:hyperlink>
      <w:r w:rsidRPr="00B10B82">
        <w:rPr>
          <w:rStyle w:val="Hypertextovodkaz"/>
          <w:sz w:val="16"/>
          <w:szCs w:val="16"/>
          <w:u w:val="none"/>
          <w:lang w:val="en-GB"/>
        </w:rPr>
        <w:t>.</w:t>
      </w:r>
    </w:p>
  </w:footnote>
  <w:footnote w:id="52">
    <w:p w14:paraId="423720FD" w14:textId="77777777" w:rsidR="00073B58" w:rsidRPr="00B10B82" w:rsidRDefault="00073B58" w:rsidP="00073B58">
      <w:pPr>
        <w:pStyle w:val="Textpoznpodarou"/>
        <w:jc w:val="both"/>
        <w:rPr>
          <w:sz w:val="16"/>
          <w:szCs w:val="16"/>
          <w:lang w:val="en-GB"/>
        </w:rPr>
      </w:pPr>
      <w:r w:rsidRPr="00B10B82">
        <w:rPr>
          <w:rStyle w:val="Znakapoznpodarou"/>
          <w:sz w:val="16"/>
          <w:szCs w:val="16"/>
          <w:lang w:val="en-GB"/>
        </w:rPr>
        <w:footnoteRef/>
      </w:r>
      <w:r w:rsidRPr="00B10B82">
        <w:rPr>
          <w:sz w:val="16"/>
          <w:szCs w:val="16"/>
          <w:lang w:val="en-GB"/>
        </w:rPr>
        <w:t xml:space="preserve"> </w:t>
      </w:r>
      <w:r>
        <w:rPr>
          <w:sz w:val="16"/>
          <w:szCs w:val="16"/>
          <w:lang w:val="en-GB"/>
        </w:rPr>
        <w:t xml:space="preserve">Contrary to the consumer price index, which is compiled by the CZSO for the Czech economy, </w:t>
      </w:r>
      <w:r w:rsidRPr="00B10B82">
        <w:rPr>
          <w:sz w:val="16"/>
          <w:szCs w:val="16"/>
          <w:lang w:val="en-GB"/>
        </w:rPr>
        <w:t>HICP</w:t>
      </w:r>
      <w:r>
        <w:rPr>
          <w:sz w:val="16"/>
          <w:szCs w:val="16"/>
          <w:lang w:val="en-GB"/>
        </w:rPr>
        <w:t xml:space="preserve"> does not consists of imputed rent, which is the main reason for the difference between the gauged growth rates of prices. </w:t>
      </w:r>
    </w:p>
  </w:footnote>
  <w:footnote w:id="53">
    <w:p w14:paraId="57F95357" w14:textId="77777777" w:rsidR="00073B58" w:rsidRPr="00E35D83" w:rsidRDefault="00073B58" w:rsidP="00073B58">
      <w:pPr>
        <w:pStyle w:val="Textpoznpodarou"/>
        <w:jc w:val="both"/>
        <w:rPr>
          <w:sz w:val="16"/>
          <w:szCs w:val="16"/>
          <w:lang w:val="en-GB"/>
        </w:rPr>
      </w:pPr>
      <w:r w:rsidRPr="005F66A4">
        <w:rPr>
          <w:rStyle w:val="Znakapoznpodarou"/>
          <w:sz w:val="16"/>
          <w:szCs w:val="16"/>
        </w:rPr>
        <w:footnoteRef/>
      </w:r>
      <w:r w:rsidRPr="005F66A4">
        <w:rPr>
          <w:sz w:val="16"/>
          <w:szCs w:val="16"/>
        </w:rPr>
        <w:t xml:space="preserve"> </w:t>
      </w:r>
      <w:r w:rsidRPr="00E35D83">
        <w:rPr>
          <w:sz w:val="16"/>
          <w:szCs w:val="16"/>
          <w:lang w:val="en-GB"/>
        </w:rPr>
        <w:t xml:space="preserve">Exact values of the indicator are not provided to due to the protection of individual data. </w:t>
      </w:r>
    </w:p>
  </w:footnote>
  <w:footnote w:id="54">
    <w:p w14:paraId="12FF0ABF" w14:textId="77777777" w:rsidR="00073B58" w:rsidRPr="00DE6E29" w:rsidRDefault="00073B58" w:rsidP="00073B58">
      <w:pPr>
        <w:pStyle w:val="Textpoznpodarou"/>
        <w:jc w:val="both"/>
        <w:rPr>
          <w:sz w:val="16"/>
          <w:szCs w:val="16"/>
          <w:lang w:val="en-GB"/>
        </w:rPr>
      </w:pPr>
      <w:r w:rsidRPr="000C5F73">
        <w:rPr>
          <w:rStyle w:val="Znakapoznpodarou"/>
          <w:sz w:val="16"/>
          <w:szCs w:val="16"/>
        </w:rPr>
        <w:footnoteRef/>
      </w:r>
      <w:r w:rsidRPr="000C5F73">
        <w:rPr>
          <w:sz w:val="16"/>
          <w:szCs w:val="16"/>
        </w:rPr>
        <w:t xml:space="preserve"> </w:t>
      </w:r>
      <w:r w:rsidRPr="00DE6E29">
        <w:rPr>
          <w:sz w:val="16"/>
          <w:szCs w:val="16"/>
          <w:lang w:val="en-GB"/>
        </w:rPr>
        <w:t xml:space="preserve">Without prices of water distribution and </w:t>
      </w:r>
      <w:r>
        <w:rPr>
          <w:sz w:val="16"/>
          <w:szCs w:val="16"/>
          <w:lang w:val="en-GB"/>
        </w:rPr>
        <w:t>s</w:t>
      </w:r>
      <w:r w:rsidRPr="00DE6E29">
        <w:rPr>
          <w:sz w:val="16"/>
          <w:szCs w:val="16"/>
          <w:lang w:val="en-GB"/>
        </w:rPr>
        <w:t xml:space="preserve">ervices associated with wastewaters. </w:t>
      </w:r>
    </w:p>
  </w:footnote>
  <w:footnote w:id="55">
    <w:p w14:paraId="5D4C0891" w14:textId="77777777" w:rsidR="00073B58" w:rsidRPr="00557EFC" w:rsidRDefault="00073B58" w:rsidP="00073B58">
      <w:pPr>
        <w:pStyle w:val="Textpoznpodarou"/>
        <w:jc w:val="both"/>
        <w:rPr>
          <w:sz w:val="16"/>
          <w:szCs w:val="16"/>
          <w:lang w:val="en-GB"/>
        </w:rPr>
      </w:pPr>
      <w:r w:rsidRPr="00557EFC">
        <w:rPr>
          <w:rStyle w:val="Znakapoznpodarou"/>
          <w:sz w:val="16"/>
          <w:szCs w:val="16"/>
          <w:lang w:val="en-GB"/>
        </w:rPr>
        <w:footnoteRef/>
      </w:r>
      <w:r w:rsidRPr="00557EFC">
        <w:rPr>
          <w:sz w:val="16"/>
          <w:szCs w:val="16"/>
          <w:lang w:val="en-GB"/>
        </w:rPr>
        <w:t xml:space="preserve"> </w:t>
      </w:r>
      <w:r>
        <w:rPr>
          <w:sz w:val="16"/>
          <w:szCs w:val="16"/>
          <w:lang w:val="en-GB"/>
        </w:rPr>
        <w:t>Based on the CNB data, th</w:t>
      </w:r>
      <w:r w:rsidRPr="00A25E62">
        <w:rPr>
          <w:sz w:val="16"/>
          <w:szCs w:val="16"/>
          <w:lang w:val="en-GB"/>
        </w:rPr>
        <w:t xml:space="preserve">e average koruna foreign </w:t>
      </w:r>
      <w:r>
        <w:rPr>
          <w:sz w:val="16"/>
          <w:szCs w:val="16"/>
          <w:lang w:val="en-GB"/>
        </w:rPr>
        <w:t>e</w:t>
      </w:r>
      <w:r w:rsidRPr="00A25E62">
        <w:rPr>
          <w:sz w:val="16"/>
          <w:szCs w:val="16"/>
          <w:lang w:val="en-GB"/>
        </w:rPr>
        <w:t xml:space="preserve">xchange per euro reached </w:t>
      </w:r>
      <w:r>
        <w:rPr>
          <w:sz w:val="16"/>
          <w:szCs w:val="16"/>
          <w:lang w:val="en-GB"/>
        </w:rPr>
        <w:t xml:space="preserve">24.644 CZK/EUR in Q2 2022. Koruna foreign exchange per dollar markedly depreciated year-on-year. </w:t>
      </w:r>
      <w:r w:rsidRPr="00A25E62">
        <w:rPr>
          <w:sz w:val="16"/>
          <w:szCs w:val="16"/>
          <w:lang w:val="en-GB"/>
        </w:rPr>
        <w:t>The average was 2</w:t>
      </w:r>
      <w:r>
        <w:rPr>
          <w:sz w:val="16"/>
          <w:szCs w:val="16"/>
          <w:lang w:val="en-GB"/>
        </w:rPr>
        <w:t>1</w:t>
      </w:r>
      <w:r w:rsidRPr="00A25E62">
        <w:rPr>
          <w:sz w:val="16"/>
          <w:szCs w:val="16"/>
          <w:lang w:val="en-GB"/>
        </w:rPr>
        <w:t>.</w:t>
      </w:r>
      <w:r>
        <w:rPr>
          <w:sz w:val="16"/>
          <w:szCs w:val="16"/>
          <w:lang w:val="en-GB"/>
        </w:rPr>
        <w:t>265</w:t>
      </w:r>
      <w:r w:rsidRPr="00A25E62">
        <w:rPr>
          <w:sz w:val="16"/>
          <w:szCs w:val="16"/>
          <w:lang w:val="en-GB"/>
        </w:rPr>
        <w:t> CZK/USD</w:t>
      </w:r>
      <w:r>
        <w:rPr>
          <w:sz w:val="16"/>
          <w:szCs w:val="16"/>
          <w:lang w:val="en-GB"/>
        </w:rPr>
        <w:t xml:space="preserve"> in Q2 2021 and 23.165 CZK/USD this year. </w:t>
      </w:r>
    </w:p>
  </w:footnote>
  <w:footnote w:id="56">
    <w:p w14:paraId="48F191F2" w14:textId="77777777" w:rsidR="00073B58" w:rsidRPr="00557EFC" w:rsidRDefault="00073B58" w:rsidP="00073B58">
      <w:pPr>
        <w:pStyle w:val="Textpoznpodarou"/>
        <w:jc w:val="both"/>
        <w:rPr>
          <w:sz w:val="16"/>
          <w:szCs w:val="16"/>
          <w:lang w:val="en-GB"/>
        </w:rPr>
      </w:pPr>
      <w:r w:rsidRPr="00557EFC">
        <w:rPr>
          <w:rStyle w:val="Znakapoznpodarou"/>
          <w:sz w:val="16"/>
          <w:szCs w:val="16"/>
          <w:lang w:val="en-GB"/>
        </w:rPr>
        <w:footnoteRef/>
      </w:r>
      <w:r w:rsidRPr="00557EFC">
        <w:rPr>
          <w:sz w:val="16"/>
          <w:szCs w:val="16"/>
          <w:lang w:val="en-GB"/>
        </w:rPr>
        <w:t xml:space="preserve"> SITC 6 – </w:t>
      </w:r>
      <w:r w:rsidRPr="00A25E62">
        <w:rPr>
          <w:sz w:val="16"/>
          <w:szCs w:val="16"/>
          <w:lang w:val="en-GB"/>
        </w:rPr>
        <w:t>m</w:t>
      </w:r>
      <w:r w:rsidRPr="00217809">
        <w:rPr>
          <w:sz w:val="16"/>
          <w:szCs w:val="16"/>
          <w:lang w:val="en-GB"/>
        </w:rPr>
        <w:t>anufactured goods classified chiefly by material</w:t>
      </w:r>
      <w:r>
        <w:rPr>
          <w:sz w:val="16"/>
          <w:szCs w:val="16"/>
          <w:lang w:val="en-GB"/>
        </w:rPr>
        <w:t>.</w:t>
      </w:r>
    </w:p>
  </w:footnote>
  <w:footnote w:id="57">
    <w:p w14:paraId="7678C0A3" w14:textId="77777777" w:rsidR="00073B58" w:rsidRPr="00557EFC" w:rsidRDefault="00073B58" w:rsidP="00073B58">
      <w:pPr>
        <w:pStyle w:val="Textpoznpodarou"/>
        <w:jc w:val="both"/>
        <w:rPr>
          <w:sz w:val="16"/>
          <w:szCs w:val="16"/>
          <w:lang w:val="en-GB"/>
        </w:rPr>
      </w:pPr>
      <w:r w:rsidRPr="00557EFC">
        <w:rPr>
          <w:rStyle w:val="Znakapoznpodarou"/>
          <w:sz w:val="16"/>
          <w:szCs w:val="16"/>
          <w:lang w:val="en-GB"/>
        </w:rPr>
        <w:footnoteRef/>
      </w:r>
      <w:r w:rsidRPr="00557EFC">
        <w:rPr>
          <w:sz w:val="16"/>
          <w:szCs w:val="16"/>
          <w:lang w:val="en-GB"/>
        </w:rPr>
        <w:t xml:space="preserve"> SITC 2 – </w:t>
      </w:r>
      <w:r w:rsidRPr="00A25E62">
        <w:rPr>
          <w:sz w:val="16"/>
          <w:szCs w:val="16"/>
          <w:lang w:val="en-GB"/>
        </w:rPr>
        <w:t xml:space="preserve">crude materials inedible, except fuels. </w:t>
      </w:r>
    </w:p>
  </w:footnote>
  <w:footnote w:id="58">
    <w:p w14:paraId="0AF240DC" w14:textId="723CE1EB" w:rsidR="00073B58" w:rsidRPr="009E74B3" w:rsidRDefault="00073B58" w:rsidP="00B51B36">
      <w:pPr>
        <w:pStyle w:val="Textpoznpodarou"/>
        <w:jc w:val="both"/>
        <w:rPr>
          <w:color w:val="0D0D0D" w:themeColor="text1" w:themeTint="F2"/>
          <w:spacing w:val="-6"/>
          <w:sz w:val="16"/>
          <w:szCs w:val="16"/>
          <w:lang w:val="en-GB"/>
        </w:rPr>
      </w:pPr>
      <w:r w:rsidRPr="009E74B3">
        <w:rPr>
          <w:rStyle w:val="Znakapoznpodarou"/>
          <w:color w:val="0D0D0D" w:themeColor="text1" w:themeTint="F2"/>
          <w:sz w:val="16"/>
          <w:szCs w:val="16"/>
        </w:rPr>
        <w:footnoteRef/>
      </w:r>
      <w:r w:rsidRPr="009E74B3">
        <w:rPr>
          <w:color w:val="0D0D0D" w:themeColor="text1" w:themeTint="F2"/>
          <w:sz w:val="16"/>
          <w:szCs w:val="16"/>
        </w:rPr>
        <w:t xml:space="preserve"> </w:t>
      </w:r>
      <w:r w:rsidRPr="009E74B3">
        <w:rPr>
          <w:sz w:val="16"/>
          <w:szCs w:val="16"/>
          <w:lang w:val="en-GB"/>
        </w:rPr>
        <w:t>Data regarding employment stem from the national accounts’ conception. They are expressed in physical persons and adjusted for seasonal effects</w:t>
      </w:r>
      <w:r w:rsidRPr="009E74B3">
        <w:rPr>
          <w:spacing w:val="-6"/>
          <w:sz w:val="16"/>
          <w:szCs w:val="16"/>
          <w:lang w:val="en-GB"/>
        </w:rPr>
        <w:t xml:space="preserve">. </w:t>
      </w:r>
    </w:p>
  </w:footnote>
  <w:footnote w:id="59">
    <w:p w14:paraId="0AAEFDAF" w14:textId="7D26D86B" w:rsidR="00073B58" w:rsidRPr="00C723DE" w:rsidRDefault="00073B58" w:rsidP="00C723DE">
      <w:pPr>
        <w:pStyle w:val="Textpoznpodarou"/>
        <w:jc w:val="both"/>
        <w:rPr>
          <w:color w:val="0D0D0D" w:themeColor="text1" w:themeTint="F2"/>
          <w:sz w:val="16"/>
          <w:szCs w:val="16"/>
          <w:lang w:val="en-GB"/>
        </w:rPr>
      </w:pPr>
      <w:r w:rsidRPr="00C723DE">
        <w:rPr>
          <w:rStyle w:val="Znakapoznpodarou"/>
          <w:color w:val="0D0D0D" w:themeColor="text1" w:themeTint="F2"/>
          <w:sz w:val="16"/>
          <w:szCs w:val="16"/>
          <w:lang w:val="en-GB"/>
        </w:rPr>
        <w:footnoteRef/>
      </w:r>
      <w:r w:rsidRPr="00C723DE">
        <w:rPr>
          <w:color w:val="0D0D0D" w:themeColor="text1" w:themeTint="F2"/>
          <w:sz w:val="16"/>
          <w:szCs w:val="16"/>
          <w:lang w:val="en-GB"/>
        </w:rPr>
        <w:t xml:space="preserve"> </w:t>
      </w:r>
      <w:r>
        <w:rPr>
          <w:color w:val="0D0D0D" w:themeColor="text1" w:themeTint="F2"/>
          <w:sz w:val="16"/>
          <w:szCs w:val="16"/>
          <w:lang w:val="en-GB"/>
        </w:rPr>
        <w:t>Branches with the prevalent public services, including p</w:t>
      </w:r>
      <w:r w:rsidRPr="00FC3DB2">
        <w:rPr>
          <w:sz w:val="16"/>
          <w:szCs w:val="16"/>
          <w:lang w:val="en-GB"/>
        </w:rPr>
        <w:t>ublic administration</w:t>
      </w:r>
      <w:r>
        <w:rPr>
          <w:sz w:val="16"/>
          <w:szCs w:val="16"/>
          <w:lang w:val="en-GB"/>
        </w:rPr>
        <w:t xml:space="preserve"> and social security and also </w:t>
      </w:r>
      <w:r w:rsidRPr="00FC3DB2">
        <w:rPr>
          <w:sz w:val="16"/>
          <w:szCs w:val="16"/>
          <w:lang w:val="en-GB"/>
        </w:rPr>
        <w:t>education</w:t>
      </w:r>
      <w:r>
        <w:rPr>
          <w:sz w:val="16"/>
          <w:szCs w:val="16"/>
          <w:lang w:val="en-GB"/>
        </w:rPr>
        <w:t xml:space="preserve"> and </w:t>
      </w:r>
      <w:r w:rsidRPr="00FC3DB2">
        <w:rPr>
          <w:sz w:val="16"/>
          <w:szCs w:val="16"/>
          <w:lang w:val="en-GB"/>
        </w:rPr>
        <w:t>health and social work</w:t>
      </w:r>
      <w:r>
        <w:rPr>
          <w:sz w:val="16"/>
          <w:szCs w:val="16"/>
          <w:lang w:val="en-GB"/>
        </w:rPr>
        <w:t xml:space="preserve">, had the most pro-growth effect on the employment out of all key branches also for the whole period of years </w:t>
      </w:r>
      <w:r w:rsidRPr="00C723DE">
        <w:rPr>
          <w:color w:val="0D0D0D" w:themeColor="text1" w:themeTint="F2"/>
          <w:sz w:val="16"/>
          <w:szCs w:val="16"/>
          <w:lang w:val="en-GB"/>
        </w:rPr>
        <w:t>2020 a</w:t>
      </w:r>
      <w:r>
        <w:rPr>
          <w:color w:val="0D0D0D" w:themeColor="text1" w:themeTint="F2"/>
          <w:sz w:val="16"/>
          <w:szCs w:val="16"/>
          <w:lang w:val="en-GB"/>
        </w:rPr>
        <w:t>nd</w:t>
      </w:r>
      <w:r w:rsidRPr="00C723DE">
        <w:rPr>
          <w:color w:val="0D0D0D" w:themeColor="text1" w:themeTint="F2"/>
          <w:sz w:val="16"/>
          <w:szCs w:val="16"/>
          <w:lang w:val="en-GB"/>
        </w:rPr>
        <w:t> 2021.</w:t>
      </w:r>
    </w:p>
  </w:footnote>
  <w:footnote w:id="60">
    <w:p w14:paraId="7646DA2B" w14:textId="545B03AF" w:rsidR="00073B58" w:rsidRPr="00424B72" w:rsidRDefault="00073B58" w:rsidP="00E25304">
      <w:pPr>
        <w:pStyle w:val="Textpoznpodarou"/>
        <w:jc w:val="both"/>
        <w:rPr>
          <w:color w:val="0D0D0D" w:themeColor="text1" w:themeTint="F2"/>
          <w:spacing w:val="-6"/>
          <w:sz w:val="16"/>
          <w:szCs w:val="16"/>
          <w:lang w:val="en-GB"/>
        </w:rPr>
      </w:pPr>
      <w:r w:rsidRPr="00F41731">
        <w:rPr>
          <w:rStyle w:val="Znakapoznpodarou"/>
          <w:color w:val="0D0D0D" w:themeColor="text1" w:themeTint="F2"/>
          <w:spacing w:val="-6"/>
          <w:sz w:val="16"/>
          <w:szCs w:val="16"/>
        </w:rPr>
        <w:footnoteRef/>
      </w:r>
      <w:r w:rsidRPr="00F41731">
        <w:rPr>
          <w:color w:val="0D0D0D" w:themeColor="text1" w:themeTint="F2"/>
          <w:spacing w:val="-6"/>
          <w:sz w:val="16"/>
          <w:szCs w:val="16"/>
        </w:rPr>
        <w:t xml:space="preserve"> </w:t>
      </w:r>
      <w:r w:rsidRPr="00424B72">
        <w:rPr>
          <w:color w:val="0D0D0D" w:themeColor="text1" w:themeTint="F2"/>
          <w:spacing w:val="-6"/>
          <w:sz w:val="16"/>
          <w:szCs w:val="16"/>
          <w:lang w:val="en-GB"/>
        </w:rPr>
        <w:t xml:space="preserve">Growth of the number of foreigners working in the CR distinctly accelerated this year during </w:t>
      </w:r>
      <w:r>
        <w:rPr>
          <w:color w:val="0D0D0D" w:themeColor="text1" w:themeTint="F2"/>
          <w:spacing w:val="-6"/>
          <w:sz w:val="16"/>
          <w:szCs w:val="16"/>
          <w:lang w:val="en-GB"/>
        </w:rPr>
        <w:t>spring</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It was assisted by the beginning integration of the refugees from Ukraine, ongoing economic migration from the economically weaker regions of the EU as well as countries outside the EU had an effect of a smaller magnitude. The labour offices (LO) registered </w:t>
      </w:r>
      <w:r w:rsidRPr="00424B72">
        <w:rPr>
          <w:color w:val="0D0D0D" w:themeColor="text1" w:themeTint="F2"/>
          <w:spacing w:val="-6"/>
          <w:sz w:val="16"/>
          <w:szCs w:val="16"/>
          <w:lang w:val="en-GB"/>
        </w:rPr>
        <w:t>767 t</w:t>
      </w:r>
      <w:r>
        <w:rPr>
          <w:color w:val="0D0D0D" w:themeColor="text1" w:themeTint="F2"/>
          <w:spacing w:val="-6"/>
          <w:sz w:val="16"/>
          <w:szCs w:val="16"/>
          <w:lang w:val="en-GB"/>
        </w:rPr>
        <w:t xml:space="preserve">housand foreign nationals in the employee status on the territory of the CR this year in July. It was by </w:t>
      </w:r>
      <w:r w:rsidRPr="00424B72">
        <w:rPr>
          <w:color w:val="0D0D0D" w:themeColor="text1" w:themeTint="F2"/>
          <w:spacing w:val="-6"/>
          <w:sz w:val="16"/>
          <w:szCs w:val="16"/>
          <w:lang w:val="en-GB"/>
        </w:rPr>
        <w:t>9%</w:t>
      </w:r>
      <w:r>
        <w:rPr>
          <w:color w:val="0D0D0D" w:themeColor="text1" w:themeTint="F2"/>
          <w:spacing w:val="-6"/>
          <w:sz w:val="16"/>
          <w:szCs w:val="16"/>
          <w:lang w:val="en-GB"/>
        </w:rPr>
        <w:t xml:space="preserve"> more than at the end of year 2</w:t>
      </w:r>
      <w:r w:rsidRPr="00424B72">
        <w:rPr>
          <w:color w:val="0D0D0D" w:themeColor="text1" w:themeTint="F2"/>
          <w:spacing w:val="-6"/>
          <w:sz w:val="16"/>
          <w:szCs w:val="16"/>
          <w:lang w:val="en-GB"/>
        </w:rPr>
        <w:t>021 (</w:t>
      </w:r>
      <w:r>
        <w:rPr>
          <w:color w:val="0D0D0D" w:themeColor="text1" w:themeTint="F2"/>
          <w:spacing w:val="-6"/>
          <w:sz w:val="16"/>
          <w:szCs w:val="16"/>
          <w:lang w:val="en-GB"/>
        </w:rPr>
        <w:t xml:space="preserve">and by </w:t>
      </w:r>
      <w:r w:rsidRPr="00424B72">
        <w:rPr>
          <w:color w:val="0D0D0D" w:themeColor="text1" w:themeTint="F2"/>
          <w:spacing w:val="-6"/>
          <w:sz w:val="16"/>
          <w:szCs w:val="16"/>
          <w:lang w:val="en-GB"/>
        </w:rPr>
        <w:t xml:space="preserve">12% </w:t>
      </w:r>
      <w:r>
        <w:rPr>
          <w:color w:val="0D0D0D" w:themeColor="text1" w:themeTint="F2"/>
          <w:spacing w:val="-6"/>
          <w:sz w:val="16"/>
          <w:szCs w:val="16"/>
          <w:lang w:val="en-GB"/>
        </w:rPr>
        <w:t>more than last year in July</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In addition also foreigners, which are holders of the trade licence were active in the CR (</w:t>
      </w:r>
      <w:r w:rsidRPr="00424B72">
        <w:rPr>
          <w:color w:val="0D0D0D" w:themeColor="text1" w:themeTint="F2"/>
          <w:spacing w:val="-6"/>
          <w:sz w:val="16"/>
          <w:szCs w:val="16"/>
          <w:lang w:val="en-GB"/>
        </w:rPr>
        <w:t>106 t</w:t>
      </w:r>
      <w:r>
        <w:rPr>
          <w:color w:val="0D0D0D" w:themeColor="text1" w:themeTint="F2"/>
          <w:spacing w:val="-6"/>
          <w:sz w:val="16"/>
          <w:szCs w:val="16"/>
          <w:lang w:val="en-GB"/>
        </w:rPr>
        <w:t>housand</w:t>
      </w:r>
      <w:r w:rsidRPr="00424B72">
        <w:rPr>
          <w:color w:val="0D0D0D" w:themeColor="text1" w:themeTint="F2"/>
          <w:spacing w:val="-6"/>
          <w:sz w:val="16"/>
          <w:szCs w:val="16"/>
          <w:lang w:val="en-GB"/>
        </w:rPr>
        <w:t>). T</w:t>
      </w:r>
      <w:r>
        <w:rPr>
          <w:color w:val="0D0D0D" w:themeColor="text1" w:themeTint="F2"/>
          <w:spacing w:val="-6"/>
          <w:sz w:val="16"/>
          <w:szCs w:val="16"/>
          <w:lang w:val="en-GB"/>
        </w:rPr>
        <w:t xml:space="preserve">hese were increasing slower year-on-year </w:t>
      </w:r>
      <w:r w:rsidRPr="00424B72">
        <w:rPr>
          <w:color w:val="0D0D0D" w:themeColor="text1" w:themeTint="F2"/>
          <w:spacing w:val="-6"/>
          <w:sz w:val="16"/>
          <w:szCs w:val="16"/>
          <w:lang w:val="en-GB"/>
        </w:rPr>
        <w:t>(+6%),</w:t>
      </w:r>
      <w:r>
        <w:rPr>
          <w:color w:val="0D0D0D" w:themeColor="text1" w:themeTint="F2"/>
          <w:spacing w:val="-6"/>
          <w:sz w:val="16"/>
          <w:szCs w:val="16"/>
          <w:lang w:val="en-GB"/>
        </w:rPr>
        <w:t xml:space="preserve"> because it primarily concerns foreigners settled in the long-term </w:t>
      </w:r>
      <w:r w:rsidRPr="00424B72">
        <w:rPr>
          <w:color w:val="0D0D0D" w:themeColor="text1" w:themeTint="F2"/>
          <w:spacing w:val="-6"/>
          <w:sz w:val="16"/>
          <w:szCs w:val="16"/>
          <w:lang w:val="en-GB"/>
        </w:rPr>
        <w:t>(</w:t>
      </w:r>
      <w:r>
        <w:rPr>
          <w:color w:val="0D0D0D" w:themeColor="text1" w:themeTint="F2"/>
          <w:spacing w:val="-6"/>
          <w:sz w:val="16"/>
          <w:szCs w:val="16"/>
          <w:lang w:val="en-GB"/>
        </w:rPr>
        <w:t>largely from Ukraine, Slovakia and Vietnam</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Workers from Ukraine added to the growth of the number of foreigners in the employee positions from more than 80% from January till July </w:t>
      </w:r>
      <w:r w:rsidRPr="00424B72">
        <w:rPr>
          <w:color w:val="0D0D0D" w:themeColor="text1" w:themeTint="F2"/>
          <w:spacing w:val="-6"/>
          <w:sz w:val="16"/>
          <w:szCs w:val="16"/>
          <w:lang w:val="en-GB"/>
        </w:rPr>
        <w:t xml:space="preserve">2022, </w:t>
      </w:r>
      <w:r>
        <w:rPr>
          <w:color w:val="0D0D0D" w:themeColor="text1" w:themeTint="F2"/>
          <w:spacing w:val="-6"/>
          <w:sz w:val="16"/>
          <w:szCs w:val="16"/>
          <w:lang w:val="en-GB"/>
        </w:rPr>
        <w:t xml:space="preserve">their number expanded by more than one quarter </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to </w:t>
      </w:r>
      <w:r w:rsidRPr="00424B72">
        <w:rPr>
          <w:color w:val="0D0D0D" w:themeColor="text1" w:themeTint="F2"/>
          <w:spacing w:val="-6"/>
          <w:sz w:val="16"/>
          <w:szCs w:val="16"/>
          <w:lang w:val="en-GB"/>
        </w:rPr>
        <w:t>249 t</w:t>
      </w:r>
      <w:r>
        <w:rPr>
          <w:color w:val="0D0D0D" w:themeColor="text1" w:themeTint="F2"/>
          <w:spacing w:val="-6"/>
          <w:sz w:val="16"/>
          <w:szCs w:val="16"/>
          <w:lang w:val="en-GB"/>
        </w:rPr>
        <w:t>housand</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where females only negligibly prevailed</w:t>
      </w:r>
      <w:r w:rsidRPr="00424B72">
        <w:rPr>
          <w:color w:val="0D0D0D" w:themeColor="text1" w:themeTint="F2"/>
          <w:spacing w:val="-6"/>
          <w:sz w:val="16"/>
          <w:szCs w:val="16"/>
          <w:lang w:val="en-GB"/>
        </w:rPr>
        <w:t>). Slov</w:t>
      </w:r>
      <w:r>
        <w:rPr>
          <w:color w:val="0D0D0D" w:themeColor="text1" w:themeTint="F2"/>
          <w:spacing w:val="-6"/>
          <w:sz w:val="16"/>
          <w:szCs w:val="16"/>
          <w:lang w:val="en-GB"/>
        </w:rPr>
        <w:t xml:space="preserve">akians, comprising the second most numerous group, rather stagnated with respect to numbers </w:t>
      </w:r>
      <w:r w:rsidRPr="00424B72">
        <w:rPr>
          <w:color w:val="0D0D0D" w:themeColor="text1" w:themeTint="F2"/>
          <w:spacing w:val="-6"/>
          <w:sz w:val="16"/>
          <w:szCs w:val="16"/>
          <w:lang w:val="en-GB"/>
        </w:rPr>
        <w:t>(211 t</w:t>
      </w:r>
      <w:r>
        <w:rPr>
          <w:color w:val="0D0D0D" w:themeColor="text1" w:themeTint="F2"/>
          <w:spacing w:val="-6"/>
          <w:sz w:val="16"/>
          <w:szCs w:val="16"/>
          <w:lang w:val="en-GB"/>
        </w:rPr>
        <w:t>housand</w:t>
      </w:r>
      <w:r w:rsidRPr="00424B72">
        <w:rPr>
          <w:color w:val="0D0D0D" w:themeColor="text1" w:themeTint="F2"/>
          <w:spacing w:val="-6"/>
          <w:sz w:val="16"/>
          <w:szCs w:val="16"/>
          <w:lang w:val="en-GB"/>
        </w:rPr>
        <w:t>), s</w:t>
      </w:r>
      <w:r>
        <w:rPr>
          <w:color w:val="0D0D0D" w:themeColor="text1" w:themeTint="F2"/>
          <w:spacing w:val="-6"/>
          <w:sz w:val="16"/>
          <w:szCs w:val="16"/>
          <w:lang w:val="en-GB"/>
        </w:rPr>
        <w:t xml:space="preserve">imilarly to Poles </w:t>
      </w:r>
      <w:r w:rsidRPr="00424B72">
        <w:rPr>
          <w:color w:val="0D0D0D" w:themeColor="text1" w:themeTint="F2"/>
          <w:spacing w:val="-6"/>
          <w:sz w:val="16"/>
          <w:szCs w:val="16"/>
          <w:lang w:val="en-GB"/>
        </w:rPr>
        <w:t>(48 t</w:t>
      </w:r>
      <w:r>
        <w:rPr>
          <w:color w:val="0D0D0D" w:themeColor="text1" w:themeTint="F2"/>
          <w:spacing w:val="-6"/>
          <w:sz w:val="16"/>
          <w:szCs w:val="16"/>
          <w:lang w:val="en-GB"/>
        </w:rPr>
        <w:t>housand</w:t>
      </w:r>
      <w:r w:rsidRPr="00424B72">
        <w:rPr>
          <w:color w:val="0D0D0D" w:themeColor="text1" w:themeTint="F2"/>
          <w:spacing w:val="-6"/>
          <w:sz w:val="16"/>
          <w:szCs w:val="16"/>
          <w:lang w:val="en-GB"/>
        </w:rPr>
        <w:t>) a</w:t>
      </w:r>
      <w:r>
        <w:rPr>
          <w:color w:val="0D0D0D" w:themeColor="text1" w:themeTint="F2"/>
          <w:spacing w:val="-6"/>
          <w:sz w:val="16"/>
          <w:szCs w:val="16"/>
          <w:lang w:val="en-GB"/>
        </w:rPr>
        <w:t xml:space="preserve">nd Romanians </w:t>
      </w:r>
      <w:r w:rsidRPr="00424B72">
        <w:rPr>
          <w:color w:val="0D0D0D" w:themeColor="text1" w:themeTint="F2"/>
          <w:spacing w:val="-6"/>
          <w:sz w:val="16"/>
          <w:szCs w:val="16"/>
          <w:lang w:val="en-GB"/>
        </w:rPr>
        <w:t>(47 t</w:t>
      </w:r>
      <w:r>
        <w:rPr>
          <w:color w:val="0D0D0D" w:themeColor="text1" w:themeTint="F2"/>
          <w:spacing w:val="-6"/>
          <w:sz w:val="16"/>
          <w:szCs w:val="16"/>
          <w:lang w:val="en-GB"/>
        </w:rPr>
        <w:t>housand</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Number of Bulgarian or Belarussian employees even slightly decreased </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to </w:t>
      </w:r>
      <w:r w:rsidRPr="00424B72">
        <w:rPr>
          <w:color w:val="0D0D0D" w:themeColor="text1" w:themeTint="F2"/>
          <w:spacing w:val="-6"/>
          <w:sz w:val="16"/>
          <w:szCs w:val="16"/>
          <w:lang w:val="en-GB"/>
        </w:rPr>
        <w:t>37 t</w:t>
      </w:r>
      <w:r>
        <w:rPr>
          <w:color w:val="0D0D0D" w:themeColor="text1" w:themeTint="F2"/>
          <w:spacing w:val="-6"/>
          <w:sz w:val="16"/>
          <w:szCs w:val="16"/>
          <w:lang w:val="en-GB"/>
        </w:rPr>
        <w:t>housand and</w:t>
      </w:r>
      <w:r w:rsidRPr="00424B72">
        <w:rPr>
          <w:color w:val="0D0D0D" w:themeColor="text1" w:themeTint="F2"/>
          <w:spacing w:val="-6"/>
          <w:sz w:val="16"/>
          <w:szCs w:val="16"/>
          <w:lang w:val="en-GB"/>
        </w:rPr>
        <w:t xml:space="preserve"> 6 t</w:t>
      </w:r>
      <w:r>
        <w:rPr>
          <w:color w:val="0D0D0D" w:themeColor="text1" w:themeTint="F2"/>
          <w:spacing w:val="-6"/>
          <w:sz w:val="16"/>
          <w:szCs w:val="16"/>
          <w:lang w:val="en-GB"/>
        </w:rPr>
        <w:t>housand, respectively</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Among more significant groups of foreigners, those from Moldavia </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to </w:t>
      </w:r>
      <w:r w:rsidRPr="00424B72">
        <w:rPr>
          <w:color w:val="0D0D0D" w:themeColor="text1" w:themeTint="F2"/>
          <w:spacing w:val="-6"/>
          <w:sz w:val="16"/>
          <w:szCs w:val="16"/>
          <w:lang w:val="en-GB"/>
        </w:rPr>
        <w:t>6 t</w:t>
      </w:r>
      <w:r>
        <w:rPr>
          <w:color w:val="0D0D0D" w:themeColor="text1" w:themeTint="F2"/>
          <w:spacing w:val="-6"/>
          <w:sz w:val="16"/>
          <w:szCs w:val="16"/>
          <w:lang w:val="en-GB"/>
        </w:rPr>
        <w:t>housand</w:t>
      </w:r>
      <w:r w:rsidRPr="00424B72">
        <w:rPr>
          <w:color w:val="0D0D0D" w:themeColor="text1" w:themeTint="F2"/>
          <w:spacing w:val="-6"/>
          <w:sz w:val="16"/>
          <w:szCs w:val="16"/>
          <w:lang w:val="en-GB"/>
        </w:rPr>
        <w:t>) a</w:t>
      </w:r>
      <w:r>
        <w:rPr>
          <w:color w:val="0D0D0D" w:themeColor="text1" w:themeTint="F2"/>
          <w:spacing w:val="-6"/>
          <w:sz w:val="16"/>
          <w:szCs w:val="16"/>
          <w:lang w:val="en-GB"/>
        </w:rPr>
        <w:t xml:space="preserve">nd Kazakhstan </w:t>
      </w:r>
      <w:r w:rsidRPr="00424B72">
        <w:rPr>
          <w:color w:val="0D0D0D" w:themeColor="text1" w:themeTint="F2"/>
          <w:spacing w:val="-6"/>
          <w:sz w:val="16"/>
          <w:szCs w:val="16"/>
          <w:lang w:val="en-GB"/>
        </w:rPr>
        <w:t>(5 t</w:t>
      </w:r>
      <w:r>
        <w:rPr>
          <w:color w:val="0D0D0D" w:themeColor="text1" w:themeTint="F2"/>
          <w:spacing w:val="-6"/>
          <w:sz w:val="16"/>
          <w:szCs w:val="16"/>
          <w:lang w:val="en-GB"/>
        </w:rPr>
        <w:t>housand</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 strengthened relatively the most</w:t>
      </w:r>
      <w:r w:rsidRPr="00424B72">
        <w:rPr>
          <w:color w:val="0D0D0D" w:themeColor="text1" w:themeTint="F2"/>
          <w:spacing w:val="-6"/>
          <w:sz w:val="16"/>
          <w:szCs w:val="16"/>
          <w:lang w:val="en-GB"/>
        </w:rPr>
        <w:t>. 31%</w:t>
      </w:r>
      <w:r>
        <w:rPr>
          <w:color w:val="0D0D0D" w:themeColor="text1" w:themeTint="F2"/>
          <w:spacing w:val="-6"/>
          <w:sz w:val="16"/>
          <w:szCs w:val="16"/>
          <w:lang w:val="en-GB"/>
        </w:rPr>
        <w:t xml:space="preserve"> of all foreigners in the employee status in the CR were registered in Prague, 17% in the Central Bohemian region. Their numbers increased “only”</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by </w:t>
      </w:r>
      <w:r w:rsidRPr="00424B72">
        <w:rPr>
          <w:color w:val="0D0D0D" w:themeColor="text1" w:themeTint="F2"/>
          <w:spacing w:val="-6"/>
          <w:sz w:val="16"/>
          <w:szCs w:val="16"/>
          <w:lang w:val="en-GB"/>
        </w:rPr>
        <w:t>5%</w:t>
      </w:r>
      <w:r>
        <w:rPr>
          <w:color w:val="0D0D0D" w:themeColor="text1" w:themeTint="F2"/>
          <w:spacing w:val="-6"/>
          <w:sz w:val="16"/>
          <w:szCs w:val="16"/>
          <w:lang w:val="en-GB"/>
        </w:rPr>
        <w:t xml:space="preserve"> in these regions so far this year</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 on the contrary by </w:t>
      </w:r>
      <w:r w:rsidRPr="00424B72">
        <w:rPr>
          <w:color w:val="0D0D0D" w:themeColor="text1" w:themeTint="F2"/>
          <w:spacing w:val="-6"/>
          <w:sz w:val="16"/>
          <w:szCs w:val="16"/>
          <w:lang w:val="en-GB"/>
        </w:rPr>
        <w:t>22%</w:t>
      </w:r>
      <w:r>
        <w:rPr>
          <w:color w:val="0D0D0D" w:themeColor="text1" w:themeTint="F2"/>
          <w:spacing w:val="-6"/>
          <w:sz w:val="16"/>
          <w:szCs w:val="16"/>
          <w:lang w:val="en-GB"/>
        </w:rPr>
        <w:t xml:space="preserve"> in the regions of Central Moravia</w:t>
      </w:r>
      <w:r w:rsidRPr="00424B72">
        <w:rPr>
          <w:color w:val="0D0D0D" w:themeColor="text1" w:themeTint="F2"/>
          <w:spacing w:val="-6"/>
          <w:sz w:val="16"/>
          <w:szCs w:val="16"/>
          <w:lang w:val="en-GB"/>
        </w:rPr>
        <w:t xml:space="preserve">. </w:t>
      </w:r>
    </w:p>
  </w:footnote>
  <w:footnote w:id="61">
    <w:p w14:paraId="172C9B49" w14:textId="73266F84" w:rsidR="00073B58" w:rsidRPr="009E74B3" w:rsidRDefault="00073B58" w:rsidP="00E25304">
      <w:pPr>
        <w:pStyle w:val="Textpoznpodarou"/>
        <w:jc w:val="both"/>
        <w:rPr>
          <w:spacing w:val="-4"/>
          <w:sz w:val="16"/>
          <w:szCs w:val="16"/>
          <w:lang w:val="en-GB"/>
        </w:rPr>
      </w:pPr>
      <w:r w:rsidRPr="009E74B3">
        <w:rPr>
          <w:rStyle w:val="Znakapoznpodarou"/>
          <w:spacing w:val="-4"/>
          <w:sz w:val="16"/>
          <w:szCs w:val="16"/>
          <w:lang w:val="en-GB"/>
        </w:rPr>
        <w:footnoteRef/>
      </w:r>
      <w:r w:rsidRPr="009E74B3">
        <w:rPr>
          <w:spacing w:val="-4"/>
          <w:sz w:val="16"/>
          <w:szCs w:val="16"/>
          <w:lang w:val="en-GB"/>
        </w:rPr>
        <w:t xml:space="preserve"> As also evidenced by the number of economically inactive persons stating willingness to work, which did not reach even 60 thousand in Q2. </w:t>
      </w:r>
    </w:p>
  </w:footnote>
  <w:footnote w:id="62">
    <w:p w14:paraId="254DF625" w14:textId="6D0740A6" w:rsidR="00073B58" w:rsidRPr="00E25304" w:rsidRDefault="00073B58" w:rsidP="00E25304">
      <w:pPr>
        <w:spacing w:after="0" w:line="240" w:lineRule="auto"/>
        <w:rPr>
          <w:spacing w:val="-4"/>
          <w:sz w:val="16"/>
          <w:szCs w:val="16"/>
          <w:lang w:val="en-GB"/>
        </w:rPr>
      </w:pPr>
      <w:r w:rsidRPr="00E25304">
        <w:rPr>
          <w:rStyle w:val="Znakapoznpodarou"/>
          <w:sz w:val="16"/>
          <w:szCs w:val="16"/>
          <w:lang w:val="en-GB"/>
        </w:rPr>
        <w:footnoteRef/>
      </w:r>
      <w:r w:rsidRPr="00E25304">
        <w:rPr>
          <w:sz w:val="16"/>
          <w:szCs w:val="16"/>
          <w:lang w:val="en-GB"/>
        </w:rPr>
        <w:t xml:space="preserve"> </w:t>
      </w:r>
      <w:r>
        <w:rPr>
          <w:sz w:val="16"/>
          <w:szCs w:val="16"/>
          <w:lang w:val="en-GB"/>
        </w:rPr>
        <w:t xml:space="preserve">In branch other service activities, which include mainly culture, amusement and recreational activities or personal services mainly for households, the hours worked increased by </w:t>
      </w:r>
      <w:r w:rsidRPr="00E25304">
        <w:rPr>
          <w:spacing w:val="-4"/>
          <w:sz w:val="16"/>
          <w:szCs w:val="16"/>
          <w:lang w:val="en-GB"/>
        </w:rPr>
        <w:t>14</w:t>
      </w:r>
      <w:r>
        <w:rPr>
          <w:spacing w:val="-4"/>
          <w:sz w:val="16"/>
          <w:szCs w:val="16"/>
          <w:lang w:val="en-GB"/>
        </w:rPr>
        <w:t>.</w:t>
      </w:r>
      <w:r w:rsidRPr="00E25304">
        <w:rPr>
          <w:spacing w:val="-4"/>
          <w:sz w:val="16"/>
          <w:szCs w:val="16"/>
          <w:lang w:val="en-GB"/>
        </w:rPr>
        <w:t>5%</w:t>
      </w:r>
      <w:r>
        <w:rPr>
          <w:spacing w:val="-4"/>
          <w:sz w:val="16"/>
          <w:szCs w:val="16"/>
          <w:lang w:val="en-GB"/>
        </w:rPr>
        <w:t xml:space="preserve"> year-on-year in this year</w:t>
      </w:r>
      <w:r>
        <w:rPr>
          <w:spacing w:val="-4"/>
          <w:sz w:val="16"/>
          <w:szCs w:val="16"/>
          <w:lang w:val="en-US"/>
        </w:rPr>
        <w:t>’</w:t>
      </w:r>
      <w:r>
        <w:rPr>
          <w:spacing w:val="-4"/>
          <w:sz w:val="16"/>
          <w:szCs w:val="16"/>
        </w:rPr>
        <w:t>s Q2</w:t>
      </w:r>
      <w:r w:rsidRPr="00E25304">
        <w:rPr>
          <w:spacing w:val="-4"/>
          <w:sz w:val="16"/>
          <w:szCs w:val="16"/>
          <w:lang w:val="en-GB"/>
        </w:rPr>
        <w:t xml:space="preserve">. </w:t>
      </w:r>
      <w:r>
        <w:rPr>
          <w:spacing w:val="-4"/>
          <w:sz w:val="16"/>
          <w:szCs w:val="16"/>
          <w:lang w:val="en-GB"/>
        </w:rPr>
        <w:t xml:space="preserve">It still however fell by nearly one tenth behind the corresponding level from year </w:t>
      </w:r>
      <w:r w:rsidRPr="00E25304">
        <w:rPr>
          <w:spacing w:val="-4"/>
          <w:sz w:val="16"/>
          <w:szCs w:val="16"/>
          <w:lang w:val="en-GB"/>
        </w:rPr>
        <w:t>2019</w:t>
      </w:r>
      <w:r>
        <w:rPr>
          <w:spacing w:val="-4"/>
          <w:sz w:val="16"/>
          <w:szCs w:val="16"/>
          <w:lang w:val="en-GB"/>
        </w:rPr>
        <w:t xml:space="preserve">. </w:t>
      </w:r>
      <w:r w:rsidRPr="00E25304">
        <w:rPr>
          <w:spacing w:val="-4"/>
          <w:sz w:val="16"/>
          <w:szCs w:val="16"/>
          <w:lang w:val="en-GB"/>
        </w:rPr>
        <w:t xml:space="preserve"> </w:t>
      </w:r>
    </w:p>
  </w:footnote>
  <w:footnote w:id="63">
    <w:p w14:paraId="3AE8ACE1" w14:textId="69C5B219" w:rsidR="00073B58" w:rsidRPr="00A433ED" w:rsidRDefault="00073B58" w:rsidP="00A433ED">
      <w:pPr>
        <w:pStyle w:val="Textpoznpodarou"/>
        <w:jc w:val="both"/>
        <w:rPr>
          <w:sz w:val="16"/>
          <w:szCs w:val="16"/>
          <w:lang w:val="en-GB"/>
        </w:rPr>
      </w:pPr>
      <w:r w:rsidRPr="006076B0">
        <w:rPr>
          <w:rStyle w:val="Znakapoznpodarou"/>
          <w:sz w:val="16"/>
          <w:szCs w:val="16"/>
        </w:rPr>
        <w:footnoteRef/>
      </w:r>
      <w:r w:rsidRPr="006076B0">
        <w:rPr>
          <w:sz w:val="16"/>
          <w:szCs w:val="16"/>
        </w:rPr>
        <w:t xml:space="preserve"> </w:t>
      </w:r>
      <w:r w:rsidRPr="00A433ED">
        <w:rPr>
          <w:sz w:val="16"/>
          <w:szCs w:val="16"/>
          <w:lang w:val="en-GB"/>
        </w:rPr>
        <w:t>According to the up-to-date data from Q</w:t>
      </w:r>
      <w:r w:rsidRPr="00A433ED">
        <w:rPr>
          <w:spacing w:val="-4"/>
          <w:sz w:val="16"/>
          <w:szCs w:val="16"/>
          <w:lang w:val="en-GB"/>
        </w:rPr>
        <w:t>1 2022, only the Netherlands (82.</w:t>
      </w:r>
      <w:r>
        <w:rPr>
          <w:spacing w:val="-4"/>
          <w:sz w:val="16"/>
          <w:szCs w:val="16"/>
          <w:lang w:val="en-GB"/>
        </w:rPr>
        <w:t>4</w:t>
      </w:r>
      <w:r w:rsidRPr="00A433ED">
        <w:rPr>
          <w:spacing w:val="-4"/>
          <w:sz w:val="16"/>
          <w:szCs w:val="16"/>
          <w:lang w:val="en-GB"/>
        </w:rPr>
        <w:t xml:space="preserve">), Estonia (82%) and Sweden (80.9%) recorded higher employment rate (of population aged 20 to 64 years) than in the CR (80.8%). </w:t>
      </w:r>
      <w:r>
        <w:rPr>
          <w:spacing w:val="-4"/>
          <w:sz w:val="16"/>
          <w:szCs w:val="16"/>
          <w:lang w:val="en-GB"/>
        </w:rPr>
        <w:t xml:space="preserve">The CR already holds a Union primacy in the employment of males, or rather all persons in the age group </w:t>
      </w:r>
      <w:r w:rsidRPr="00A433ED">
        <w:rPr>
          <w:spacing w:val="-4"/>
          <w:sz w:val="16"/>
          <w:szCs w:val="16"/>
          <w:lang w:val="en-GB"/>
        </w:rPr>
        <w:t xml:space="preserve">45 </w:t>
      </w:r>
      <w:r>
        <w:rPr>
          <w:spacing w:val="-4"/>
          <w:sz w:val="16"/>
          <w:szCs w:val="16"/>
          <w:lang w:val="en-GB"/>
        </w:rPr>
        <w:t xml:space="preserve">to </w:t>
      </w:r>
      <w:r w:rsidRPr="00A433ED">
        <w:rPr>
          <w:spacing w:val="-4"/>
          <w:sz w:val="16"/>
          <w:szCs w:val="16"/>
          <w:lang w:val="en-GB"/>
        </w:rPr>
        <w:t xml:space="preserve">59 </w:t>
      </w:r>
      <w:r>
        <w:rPr>
          <w:spacing w:val="-4"/>
          <w:sz w:val="16"/>
          <w:szCs w:val="16"/>
          <w:lang w:val="en-GB"/>
        </w:rPr>
        <w:t>years</w:t>
      </w:r>
      <w:r w:rsidRPr="00A433ED">
        <w:rPr>
          <w:spacing w:val="-4"/>
          <w:sz w:val="16"/>
          <w:szCs w:val="16"/>
          <w:lang w:val="en-GB"/>
        </w:rPr>
        <w:t>, participa</w:t>
      </w:r>
      <w:r>
        <w:rPr>
          <w:spacing w:val="-4"/>
          <w:sz w:val="16"/>
          <w:szCs w:val="16"/>
          <w:lang w:val="en-GB"/>
        </w:rPr>
        <w:t>tion of females</w:t>
      </w:r>
      <w:r w:rsidRPr="00A433ED">
        <w:rPr>
          <w:spacing w:val="-4"/>
          <w:sz w:val="16"/>
          <w:szCs w:val="16"/>
          <w:lang w:val="en-GB"/>
        </w:rPr>
        <w:t xml:space="preserve"> </w:t>
      </w:r>
      <w:r>
        <w:rPr>
          <w:spacing w:val="-4"/>
          <w:sz w:val="16"/>
          <w:szCs w:val="16"/>
          <w:lang w:val="en-GB"/>
        </w:rPr>
        <w:t xml:space="preserve">and of persons above </w:t>
      </w:r>
      <w:r w:rsidRPr="00A433ED">
        <w:rPr>
          <w:spacing w:val="-4"/>
          <w:sz w:val="16"/>
          <w:szCs w:val="16"/>
          <w:lang w:val="en-GB"/>
        </w:rPr>
        <w:t xml:space="preserve">60 </w:t>
      </w:r>
      <w:r>
        <w:rPr>
          <w:spacing w:val="-4"/>
          <w:sz w:val="16"/>
          <w:szCs w:val="16"/>
          <w:lang w:val="en-GB"/>
        </w:rPr>
        <w:t>years exceeds the EU level only mildly. E</w:t>
      </w:r>
      <w:r w:rsidRPr="00A433ED">
        <w:rPr>
          <w:spacing w:val="-4"/>
          <w:sz w:val="16"/>
          <w:szCs w:val="16"/>
          <w:lang w:val="en-GB"/>
        </w:rPr>
        <w:t>mployment remains below average for young up to 25 years of age and also in the group 30 to 34 years of age (here solely for females). The employment rate for youth stayed still below the level of year 2019 in the CR as opposed to the EU.</w:t>
      </w:r>
    </w:p>
  </w:footnote>
  <w:footnote w:id="64">
    <w:p w14:paraId="0B3CF980" w14:textId="4670005B" w:rsidR="00073B58" w:rsidRPr="00A433ED" w:rsidRDefault="00073B58" w:rsidP="00A433ED">
      <w:pPr>
        <w:pStyle w:val="Textpoznpodarou"/>
        <w:jc w:val="both"/>
        <w:rPr>
          <w:sz w:val="16"/>
          <w:szCs w:val="16"/>
          <w:lang w:val="en-GB"/>
        </w:rPr>
      </w:pPr>
      <w:r w:rsidRPr="00A433ED">
        <w:rPr>
          <w:rStyle w:val="Znakapoznpodarou"/>
          <w:sz w:val="16"/>
          <w:szCs w:val="16"/>
          <w:lang w:val="en-GB"/>
        </w:rPr>
        <w:footnoteRef/>
      </w:r>
      <w:r w:rsidRPr="00A433ED">
        <w:rPr>
          <w:sz w:val="16"/>
          <w:szCs w:val="16"/>
          <w:lang w:val="en-GB"/>
        </w:rPr>
        <w:t xml:space="preserve"> Mainly businesses in textile and clothing industry, metallurgy and rubber industry, petrochemical industry and also in repairs of machinery and equipment anticipated lowering of employment.</w:t>
      </w:r>
    </w:p>
  </w:footnote>
  <w:footnote w:id="65">
    <w:p w14:paraId="3D3C5B19" w14:textId="001D5CC0" w:rsidR="00073B58" w:rsidRPr="00A433ED" w:rsidRDefault="00073B58" w:rsidP="00A433ED">
      <w:pPr>
        <w:pStyle w:val="Textpoznpodarou"/>
        <w:jc w:val="both"/>
        <w:rPr>
          <w:sz w:val="16"/>
          <w:szCs w:val="16"/>
          <w:lang w:val="en-GB"/>
        </w:rPr>
      </w:pPr>
      <w:r w:rsidRPr="00A433ED">
        <w:rPr>
          <w:rStyle w:val="Znakapoznpodarou"/>
          <w:sz w:val="16"/>
          <w:szCs w:val="16"/>
          <w:lang w:val="en-GB"/>
        </w:rPr>
        <w:footnoteRef/>
      </w:r>
      <w:r w:rsidRPr="00A433ED">
        <w:rPr>
          <w:sz w:val="16"/>
          <w:szCs w:val="16"/>
          <w:lang w:val="en-GB"/>
        </w:rPr>
        <w:t xml:space="preserve"> Negative expectations for employment prevailed in the air transportation, postal and courier activities, publishing activities and also in financial activities.  </w:t>
      </w:r>
    </w:p>
  </w:footnote>
  <w:footnote w:id="66">
    <w:p w14:paraId="4F7F9F61" w14:textId="7FED10B3" w:rsidR="00073B58" w:rsidRPr="00A433ED" w:rsidRDefault="00073B58" w:rsidP="00A433ED">
      <w:pPr>
        <w:pStyle w:val="Textpoznpodarou"/>
        <w:jc w:val="both"/>
        <w:rPr>
          <w:spacing w:val="-3"/>
          <w:sz w:val="16"/>
          <w:szCs w:val="16"/>
          <w:lang w:val="en-GB"/>
        </w:rPr>
      </w:pPr>
      <w:r w:rsidRPr="00A433ED">
        <w:rPr>
          <w:rStyle w:val="Znakapoznpodarou"/>
          <w:spacing w:val="-3"/>
          <w:sz w:val="16"/>
          <w:szCs w:val="16"/>
          <w:lang w:val="en-GB"/>
        </w:rPr>
        <w:footnoteRef/>
      </w:r>
      <w:r w:rsidRPr="00A433ED">
        <w:rPr>
          <w:spacing w:val="-3"/>
          <w:sz w:val="16"/>
          <w:szCs w:val="16"/>
          <w:lang w:val="en-GB"/>
        </w:rPr>
        <w:t xml:space="preserve"> Unless stated otherwise, all data regarding the unemployment rates are sourced from the LFSS (based on the ILO methodology) and are adjusted for seasonal effects.</w:t>
      </w:r>
    </w:p>
  </w:footnote>
  <w:footnote w:id="67">
    <w:p w14:paraId="325FD3F6" w14:textId="77777777" w:rsidR="00073B58" w:rsidRPr="00DD68F3" w:rsidRDefault="00073B58" w:rsidP="00DD68F3">
      <w:pPr>
        <w:pStyle w:val="Textpoznpodarou"/>
        <w:jc w:val="both"/>
        <w:rPr>
          <w:sz w:val="16"/>
          <w:szCs w:val="16"/>
          <w:lang w:val="en-GB"/>
        </w:rPr>
      </w:pPr>
      <w:r w:rsidRPr="00DD68F3">
        <w:rPr>
          <w:rStyle w:val="Znakapoznpodarou"/>
          <w:sz w:val="16"/>
          <w:szCs w:val="16"/>
          <w:lang w:val="en-GB"/>
        </w:rPr>
        <w:footnoteRef/>
      </w:r>
      <w:r w:rsidRPr="00DD68F3">
        <w:rPr>
          <w:sz w:val="16"/>
          <w:szCs w:val="16"/>
          <w:lang w:val="en-GB"/>
        </w:rPr>
        <w:t xml:space="preserve"> </w:t>
      </w:r>
      <w:r>
        <w:rPr>
          <w:sz w:val="16"/>
          <w:szCs w:val="16"/>
          <w:lang w:val="en-GB"/>
        </w:rPr>
        <w:t>Significant part of vacancies however cannot be considered active for various reasons.</w:t>
      </w:r>
      <w:r w:rsidRPr="00DD68F3">
        <w:rPr>
          <w:color w:val="0D0D0D" w:themeColor="text1" w:themeTint="F2"/>
          <w:sz w:val="16"/>
          <w:szCs w:val="16"/>
          <w:lang w:val="en-GB"/>
        </w:rPr>
        <w:t xml:space="preserve"> </w:t>
      </w:r>
      <w:r>
        <w:rPr>
          <w:color w:val="0D0D0D" w:themeColor="text1" w:themeTint="F2"/>
          <w:sz w:val="16"/>
          <w:szCs w:val="16"/>
          <w:lang w:val="en-GB"/>
        </w:rPr>
        <w:t xml:space="preserve">It e.g. constitutes positions offered by companies, which terminated their operations, further positions, which are outdated, but were not removed from the offer or positions substantially unattractive </w:t>
      </w:r>
      <w:r w:rsidRPr="00DD68F3">
        <w:rPr>
          <w:sz w:val="16"/>
          <w:szCs w:val="16"/>
          <w:lang w:val="en-GB"/>
        </w:rPr>
        <w:t>(</w:t>
      </w:r>
      <w:r>
        <w:rPr>
          <w:sz w:val="16"/>
          <w:szCs w:val="16"/>
          <w:lang w:val="en-GB"/>
        </w:rPr>
        <w:t>combination of very low earnings and relatively higher demands on the applicant</w:t>
      </w:r>
      <w:r w:rsidRPr="00DD68F3">
        <w:rPr>
          <w:sz w:val="16"/>
          <w:szCs w:val="16"/>
          <w:lang w:val="en-GB"/>
        </w:rPr>
        <w:t xml:space="preserve">) </w:t>
      </w:r>
      <w:r>
        <w:rPr>
          <w:sz w:val="16"/>
          <w:szCs w:val="16"/>
          <w:lang w:val="en-GB"/>
        </w:rPr>
        <w:t xml:space="preserve">remaining vacant for a long time. Only part of the entire offer of job vacancies can thus be considered truly active. Number of positions, which were offered less than half a year, totalled only </w:t>
      </w:r>
      <w:r w:rsidRPr="00DD68F3">
        <w:rPr>
          <w:sz w:val="16"/>
          <w:szCs w:val="16"/>
          <w:lang w:val="en-GB"/>
        </w:rPr>
        <w:t>163 t</w:t>
      </w:r>
      <w:r>
        <w:rPr>
          <w:sz w:val="16"/>
          <w:szCs w:val="16"/>
          <w:lang w:val="en-GB"/>
        </w:rPr>
        <w:t>housand at the end of Q2</w:t>
      </w:r>
      <w:r w:rsidRPr="00DD68F3">
        <w:rPr>
          <w:sz w:val="16"/>
          <w:szCs w:val="16"/>
          <w:lang w:val="en-GB"/>
        </w:rPr>
        <w:t>s.</w:t>
      </w:r>
    </w:p>
  </w:footnote>
  <w:footnote w:id="68">
    <w:p w14:paraId="2153609B" w14:textId="77777777" w:rsidR="00073B58" w:rsidRPr="00850669" w:rsidRDefault="00073B58" w:rsidP="00850669">
      <w:pPr>
        <w:pStyle w:val="Textpoznpodarou"/>
        <w:jc w:val="both"/>
        <w:rPr>
          <w:sz w:val="16"/>
          <w:szCs w:val="16"/>
          <w:lang w:val="en-GB"/>
        </w:rPr>
      </w:pPr>
      <w:r w:rsidRPr="00DD68F3">
        <w:rPr>
          <w:rStyle w:val="Znakapoznpodarou"/>
          <w:sz w:val="16"/>
          <w:szCs w:val="16"/>
          <w:lang w:val="en-GB"/>
        </w:rPr>
        <w:footnoteRef/>
      </w:r>
      <w:r w:rsidRPr="00DD68F3">
        <w:rPr>
          <w:sz w:val="16"/>
          <w:szCs w:val="16"/>
          <w:lang w:val="en-GB"/>
        </w:rPr>
        <w:t xml:space="preserve"> </w:t>
      </w:r>
      <w:r>
        <w:rPr>
          <w:sz w:val="16"/>
          <w:szCs w:val="16"/>
          <w:lang w:val="en-GB"/>
        </w:rPr>
        <w:t xml:space="preserve">More than </w:t>
      </w:r>
      <w:r w:rsidRPr="00850669">
        <w:rPr>
          <w:color w:val="0D0D0D" w:themeColor="text1" w:themeTint="F2"/>
          <w:spacing w:val="-4"/>
          <w:sz w:val="16"/>
          <w:szCs w:val="16"/>
          <w:lang w:val="en-GB"/>
        </w:rPr>
        <w:t>2</w:t>
      </w:r>
      <w:r>
        <w:rPr>
          <w:color w:val="0D0D0D" w:themeColor="text1" w:themeTint="F2"/>
          <w:spacing w:val="-4"/>
          <w:sz w:val="16"/>
          <w:szCs w:val="16"/>
          <w:lang w:val="en-GB"/>
        </w:rPr>
        <w:t>.</w:t>
      </w:r>
      <w:r w:rsidRPr="00850669">
        <w:rPr>
          <w:color w:val="0D0D0D" w:themeColor="text1" w:themeTint="F2"/>
          <w:spacing w:val="-4"/>
          <w:sz w:val="16"/>
          <w:szCs w:val="16"/>
          <w:lang w:val="en-GB"/>
        </w:rPr>
        <w:t>5</w:t>
      </w:r>
      <w:r>
        <w:rPr>
          <w:color w:val="0D0D0D" w:themeColor="text1" w:themeTint="F2"/>
          <w:spacing w:val="-4"/>
          <w:sz w:val="16"/>
          <w:szCs w:val="16"/>
          <w:lang w:val="en-GB"/>
        </w:rPr>
        <w:t xml:space="preserve"> of applicants per job vacancies were accounted only in regions </w:t>
      </w:r>
      <w:r w:rsidRPr="00850669">
        <w:rPr>
          <w:color w:val="0D0D0D" w:themeColor="text1" w:themeTint="F2"/>
          <w:spacing w:val="-4"/>
          <w:sz w:val="16"/>
          <w:szCs w:val="16"/>
          <w:lang w:val="en-GB"/>
        </w:rPr>
        <w:t>Karviná (9</w:t>
      </w:r>
      <w:r>
        <w:rPr>
          <w:color w:val="0D0D0D" w:themeColor="text1" w:themeTint="F2"/>
          <w:spacing w:val="-4"/>
          <w:sz w:val="16"/>
          <w:szCs w:val="16"/>
          <w:lang w:val="en-GB"/>
        </w:rPr>
        <w:t>.</w:t>
      </w:r>
      <w:r w:rsidRPr="00850669">
        <w:rPr>
          <w:color w:val="0D0D0D" w:themeColor="text1" w:themeTint="F2"/>
          <w:spacing w:val="-4"/>
          <w:sz w:val="16"/>
          <w:szCs w:val="16"/>
          <w:lang w:val="en-GB"/>
        </w:rPr>
        <w:t>6), Ústí nad Labem (4</w:t>
      </w:r>
      <w:r>
        <w:rPr>
          <w:color w:val="0D0D0D" w:themeColor="text1" w:themeTint="F2"/>
          <w:spacing w:val="-4"/>
          <w:sz w:val="16"/>
          <w:szCs w:val="16"/>
          <w:lang w:val="en-GB"/>
        </w:rPr>
        <w:t>.</w:t>
      </w:r>
      <w:r w:rsidRPr="00850669">
        <w:rPr>
          <w:color w:val="0D0D0D" w:themeColor="text1" w:themeTint="F2"/>
          <w:spacing w:val="-4"/>
          <w:sz w:val="16"/>
          <w:szCs w:val="16"/>
          <w:lang w:val="en-GB"/>
        </w:rPr>
        <w:t>4), Most (4</w:t>
      </w:r>
      <w:r>
        <w:rPr>
          <w:color w:val="0D0D0D" w:themeColor="text1" w:themeTint="F2"/>
          <w:spacing w:val="-4"/>
          <w:sz w:val="16"/>
          <w:szCs w:val="16"/>
          <w:lang w:val="en-GB"/>
        </w:rPr>
        <w:t>.</w:t>
      </w:r>
      <w:r w:rsidRPr="00850669">
        <w:rPr>
          <w:color w:val="0D0D0D" w:themeColor="text1" w:themeTint="F2"/>
          <w:spacing w:val="-4"/>
          <w:sz w:val="16"/>
          <w:szCs w:val="16"/>
          <w:lang w:val="en-GB"/>
        </w:rPr>
        <w:t>0), Bruntál (3</w:t>
      </w:r>
      <w:r>
        <w:rPr>
          <w:color w:val="0D0D0D" w:themeColor="text1" w:themeTint="F2"/>
          <w:spacing w:val="-4"/>
          <w:sz w:val="16"/>
          <w:szCs w:val="16"/>
          <w:lang w:val="en-GB"/>
        </w:rPr>
        <w:t>.</w:t>
      </w:r>
      <w:r w:rsidRPr="00850669">
        <w:rPr>
          <w:color w:val="0D0D0D" w:themeColor="text1" w:themeTint="F2"/>
          <w:spacing w:val="-4"/>
          <w:sz w:val="16"/>
          <w:szCs w:val="16"/>
          <w:lang w:val="en-GB"/>
        </w:rPr>
        <w:t>8), Děčín (2</w:t>
      </w:r>
      <w:r>
        <w:rPr>
          <w:color w:val="0D0D0D" w:themeColor="text1" w:themeTint="F2"/>
          <w:spacing w:val="-4"/>
          <w:sz w:val="16"/>
          <w:szCs w:val="16"/>
          <w:lang w:val="en-GB"/>
        </w:rPr>
        <w:t>.</w:t>
      </w:r>
      <w:r w:rsidRPr="00850669">
        <w:rPr>
          <w:color w:val="0D0D0D" w:themeColor="text1" w:themeTint="F2"/>
          <w:spacing w:val="-4"/>
          <w:sz w:val="16"/>
          <w:szCs w:val="16"/>
          <w:lang w:val="en-GB"/>
        </w:rPr>
        <w:t>8), Sokolov (2</w:t>
      </w:r>
      <w:r>
        <w:rPr>
          <w:color w:val="0D0D0D" w:themeColor="text1" w:themeTint="F2"/>
          <w:spacing w:val="-4"/>
          <w:sz w:val="16"/>
          <w:szCs w:val="16"/>
          <w:lang w:val="en-GB"/>
        </w:rPr>
        <w:t>.</w:t>
      </w:r>
      <w:r w:rsidRPr="00850669">
        <w:rPr>
          <w:color w:val="0D0D0D" w:themeColor="text1" w:themeTint="F2"/>
          <w:spacing w:val="-4"/>
          <w:sz w:val="16"/>
          <w:szCs w:val="16"/>
          <w:lang w:val="en-GB"/>
        </w:rPr>
        <w:t>7) a</w:t>
      </w:r>
      <w:r>
        <w:rPr>
          <w:color w:val="0D0D0D" w:themeColor="text1" w:themeTint="F2"/>
          <w:spacing w:val="-4"/>
          <w:sz w:val="16"/>
          <w:szCs w:val="16"/>
          <w:lang w:val="en-GB"/>
        </w:rPr>
        <w:t>nd</w:t>
      </w:r>
      <w:r w:rsidRPr="00850669">
        <w:rPr>
          <w:color w:val="0D0D0D" w:themeColor="text1" w:themeTint="F2"/>
          <w:spacing w:val="-4"/>
          <w:sz w:val="16"/>
          <w:szCs w:val="16"/>
          <w:lang w:val="en-GB"/>
        </w:rPr>
        <w:t xml:space="preserve"> Opava (2</w:t>
      </w:r>
      <w:r>
        <w:rPr>
          <w:color w:val="0D0D0D" w:themeColor="text1" w:themeTint="F2"/>
          <w:spacing w:val="-4"/>
          <w:sz w:val="16"/>
          <w:szCs w:val="16"/>
          <w:lang w:val="en-GB"/>
        </w:rPr>
        <w:t>.</w:t>
      </w:r>
      <w:r w:rsidRPr="00850669">
        <w:rPr>
          <w:color w:val="0D0D0D" w:themeColor="text1" w:themeTint="F2"/>
          <w:spacing w:val="-4"/>
          <w:sz w:val="16"/>
          <w:szCs w:val="16"/>
          <w:lang w:val="en-GB"/>
        </w:rPr>
        <w:t xml:space="preserve">6). </w:t>
      </w:r>
      <w:r>
        <w:rPr>
          <w:color w:val="0D0D0D" w:themeColor="text1" w:themeTint="F2"/>
          <w:spacing w:val="-4"/>
          <w:sz w:val="16"/>
          <w:szCs w:val="16"/>
          <w:lang w:val="en-GB"/>
        </w:rPr>
        <w:t xml:space="preserve">The whole Moravia-Silesian region </w:t>
      </w:r>
      <w:r w:rsidRPr="00850669">
        <w:rPr>
          <w:color w:val="0D0D0D" w:themeColor="text1" w:themeTint="F2"/>
          <w:spacing w:val="-4"/>
          <w:sz w:val="16"/>
          <w:szCs w:val="16"/>
          <w:lang w:val="en-GB"/>
        </w:rPr>
        <w:t>(2</w:t>
      </w:r>
      <w:r>
        <w:rPr>
          <w:color w:val="0D0D0D" w:themeColor="text1" w:themeTint="F2"/>
          <w:spacing w:val="-4"/>
          <w:sz w:val="16"/>
          <w:szCs w:val="16"/>
          <w:lang w:val="en-GB"/>
        </w:rPr>
        <w:t>.</w:t>
      </w:r>
      <w:r w:rsidRPr="00850669">
        <w:rPr>
          <w:color w:val="0D0D0D" w:themeColor="text1" w:themeTint="F2"/>
          <w:spacing w:val="-4"/>
          <w:sz w:val="16"/>
          <w:szCs w:val="16"/>
          <w:lang w:val="en-GB"/>
        </w:rPr>
        <w:t>8)</w:t>
      </w:r>
      <w:r>
        <w:rPr>
          <w:color w:val="0D0D0D" w:themeColor="text1" w:themeTint="F2"/>
          <w:spacing w:val="-4"/>
          <w:sz w:val="16"/>
          <w:szCs w:val="16"/>
          <w:lang w:val="en-GB"/>
        </w:rPr>
        <w:t xml:space="preserve"> featured similar numbers</w:t>
      </w:r>
      <w:r w:rsidRPr="00850669">
        <w:rPr>
          <w:color w:val="0D0D0D" w:themeColor="text1" w:themeTint="F2"/>
          <w:spacing w:val="-4"/>
          <w:sz w:val="16"/>
          <w:szCs w:val="16"/>
          <w:lang w:val="en-GB"/>
        </w:rPr>
        <w:t>.</w:t>
      </w:r>
    </w:p>
  </w:footnote>
  <w:footnote w:id="69">
    <w:p w14:paraId="1E642C2C" w14:textId="63B1974A" w:rsidR="00073B58" w:rsidRPr="00850669" w:rsidRDefault="00073B58" w:rsidP="00850669">
      <w:pPr>
        <w:pStyle w:val="Textpoznpodarou"/>
        <w:jc w:val="both"/>
        <w:rPr>
          <w:sz w:val="16"/>
          <w:szCs w:val="16"/>
          <w:lang w:val="en-GB"/>
        </w:rPr>
      </w:pPr>
      <w:r w:rsidRPr="00850669">
        <w:rPr>
          <w:rStyle w:val="Znakapoznpodarou"/>
          <w:sz w:val="16"/>
          <w:szCs w:val="16"/>
          <w:lang w:val="en-GB"/>
        </w:rPr>
        <w:footnoteRef/>
      </w:r>
      <w:r w:rsidRPr="00850669">
        <w:rPr>
          <w:sz w:val="16"/>
          <w:szCs w:val="16"/>
          <w:lang w:val="en-GB"/>
        </w:rPr>
        <w:t xml:space="preserve"> </w:t>
      </w:r>
      <w:r>
        <w:rPr>
          <w:sz w:val="16"/>
          <w:szCs w:val="16"/>
          <w:lang w:val="en-GB"/>
        </w:rPr>
        <w:t>The gross disposable income of households lowered by 2% in real expression year-on-year in Q</w:t>
      </w:r>
      <w:r w:rsidRPr="00850669">
        <w:rPr>
          <w:sz w:val="16"/>
          <w:szCs w:val="16"/>
          <w:lang w:val="en-GB"/>
        </w:rPr>
        <w:t>1</w:t>
      </w:r>
      <w:r>
        <w:rPr>
          <w:sz w:val="16"/>
          <w:szCs w:val="16"/>
          <w:lang w:val="en-GB"/>
        </w:rPr>
        <w:t xml:space="preserve"> </w:t>
      </w:r>
      <w:r w:rsidRPr="00850669">
        <w:rPr>
          <w:sz w:val="16"/>
          <w:szCs w:val="16"/>
          <w:lang w:val="en-GB"/>
        </w:rPr>
        <w:t xml:space="preserve">2022. </w:t>
      </w:r>
      <w:r>
        <w:rPr>
          <w:sz w:val="16"/>
          <w:szCs w:val="16"/>
          <w:lang w:val="en-GB"/>
        </w:rPr>
        <w:t xml:space="preserve">It at the same time takes into account apart from wages and salaries also other factors </w:t>
      </w:r>
      <w:r w:rsidRPr="00850669">
        <w:rPr>
          <w:spacing w:val="-4"/>
          <w:sz w:val="16"/>
          <w:szCs w:val="16"/>
          <w:lang w:val="en-GB"/>
        </w:rPr>
        <w:t>(</w:t>
      </w:r>
      <w:r>
        <w:rPr>
          <w:spacing w:val="-4"/>
          <w:sz w:val="16"/>
          <w:szCs w:val="16"/>
          <w:lang w:val="en-GB"/>
        </w:rPr>
        <w:t>grey economy, possible increase of economic activity of population, e.g. in the form of second employments, work agreements, further also income flowing from running a business or ownership of capital and also social transfers from state including the retirement pensions</w:t>
      </w:r>
      <w:r w:rsidRPr="00850669">
        <w:rPr>
          <w:spacing w:val="-4"/>
          <w:sz w:val="16"/>
          <w:szCs w:val="16"/>
          <w:lang w:val="en-GB"/>
        </w:rPr>
        <w:t>).</w:t>
      </w:r>
    </w:p>
  </w:footnote>
  <w:footnote w:id="70">
    <w:p w14:paraId="17895CF1" w14:textId="77777777" w:rsidR="00073B58" w:rsidRPr="001C044E" w:rsidRDefault="00073B58" w:rsidP="00073B58">
      <w:pPr>
        <w:pStyle w:val="Textpoznpodarou"/>
        <w:jc w:val="both"/>
        <w:rPr>
          <w:sz w:val="16"/>
          <w:szCs w:val="16"/>
          <w:lang w:val="en-GB"/>
        </w:rPr>
      </w:pPr>
      <w:r>
        <w:rPr>
          <w:rStyle w:val="Znakapoznpodarou"/>
          <w:sz w:val="16"/>
          <w:szCs w:val="16"/>
        </w:rPr>
        <w:footnoteRef/>
      </w:r>
      <w:r>
        <w:rPr>
          <w:sz w:val="16"/>
          <w:szCs w:val="16"/>
        </w:rPr>
        <w:t xml:space="preserve"> </w:t>
      </w:r>
      <w:r w:rsidRPr="0018655E">
        <w:rPr>
          <w:sz w:val="16"/>
          <w:szCs w:val="16"/>
          <w:lang w:val="en-GB"/>
        </w:rPr>
        <w:t>Unless stated otherwise, the source of data in the chapter is the Czech National Bank database ARAD. Values of foreign exchange rates also</w:t>
      </w:r>
      <w:r>
        <w:rPr>
          <w:sz w:val="16"/>
          <w:szCs w:val="16"/>
          <w:lang w:val="en-GB"/>
        </w:rPr>
        <w:t xml:space="preserve"> stem </w:t>
      </w:r>
      <w:r w:rsidRPr="0018655E">
        <w:rPr>
          <w:sz w:val="16"/>
          <w:szCs w:val="16"/>
          <w:lang w:val="en-GB"/>
        </w:rPr>
        <w:t>from the CNB</w:t>
      </w:r>
      <w:r w:rsidRPr="001C044E">
        <w:rPr>
          <w:sz w:val="16"/>
          <w:szCs w:val="16"/>
          <w:lang w:val="en-GB"/>
        </w:rPr>
        <w:t>.</w:t>
      </w:r>
    </w:p>
  </w:footnote>
  <w:footnote w:id="71">
    <w:p w14:paraId="0BBF4293" w14:textId="77777777" w:rsidR="00073B58" w:rsidRPr="001C044E" w:rsidRDefault="00073B58" w:rsidP="00073B58">
      <w:pPr>
        <w:pStyle w:val="Textpoznpodarou"/>
        <w:jc w:val="both"/>
        <w:rPr>
          <w:sz w:val="16"/>
          <w:szCs w:val="16"/>
          <w:lang w:val="en-GB"/>
        </w:rPr>
      </w:pPr>
      <w:r w:rsidRPr="001C044E">
        <w:rPr>
          <w:rStyle w:val="Znakapoznpodarou"/>
          <w:sz w:val="16"/>
          <w:szCs w:val="16"/>
          <w:lang w:val="en-GB"/>
        </w:rPr>
        <w:footnoteRef/>
      </w:r>
      <w:r w:rsidRPr="001C044E">
        <w:rPr>
          <w:sz w:val="16"/>
          <w:szCs w:val="16"/>
          <w:lang w:val="en-GB"/>
        </w:rPr>
        <w:t xml:space="preserve"> </w:t>
      </w:r>
      <w:r>
        <w:rPr>
          <w:sz w:val="16"/>
          <w:szCs w:val="16"/>
          <w:lang w:val="en-GB"/>
        </w:rPr>
        <w:t>Unless stated otherwise, as the change of interest rates is meant the difference between value as of 30</w:t>
      </w:r>
      <w:r w:rsidRPr="006063BB">
        <w:rPr>
          <w:sz w:val="16"/>
          <w:szCs w:val="16"/>
          <w:vertAlign w:val="superscript"/>
          <w:lang w:val="en-GB"/>
        </w:rPr>
        <w:t>th</w:t>
      </w:r>
      <w:r>
        <w:rPr>
          <w:sz w:val="16"/>
          <w:szCs w:val="16"/>
          <w:lang w:val="en-GB"/>
        </w:rPr>
        <w:t xml:space="preserve"> June</w:t>
      </w:r>
      <w:r w:rsidRPr="001C044E">
        <w:rPr>
          <w:sz w:val="16"/>
          <w:szCs w:val="16"/>
          <w:lang w:val="en-GB"/>
        </w:rPr>
        <w:t xml:space="preserve"> 2022 a</w:t>
      </w:r>
      <w:r>
        <w:rPr>
          <w:sz w:val="16"/>
          <w:szCs w:val="16"/>
          <w:lang w:val="en-GB"/>
        </w:rPr>
        <w:t>nd 31</w:t>
      </w:r>
      <w:r w:rsidRPr="006063BB">
        <w:rPr>
          <w:sz w:val="16"/>
          <w:szCs w:val="16"/>
          <w:vertAlign w:val="superscript"/>
          <w:lang w:val="en-GB"/>
        </w:rPr>
        <w:t>st</w:t>
      </w:r>
      <w:r>
        <w:rPr>
          <w:sz w:val="16"/>
          <w:szCs w:val="16"/>
          <w:lang w:val="en-GB"/>
        </w:rPr>
        <w:t xml:space="preserve"> March</w:t>
      </w:r>
      <w:r w:rsidRPr="001C044E">
        <w:rPr>
          <w:sz w:val="16"/>
          <w:szCs w:val="16"/>
          <w:lang w:val="en-GB"/>
        </w:rPr>
        <w:t xml:space="preserve"> 2022.</w:t>
      </w:r>
    </w:p>
  </w:footnote>
  <w:footnote w:id="72">
    <w:p w14:paraId="4369BDA5" w14:textId="77777777" w:rsidR="00073B58" w:rsidRPr="001C044E" w:rsidRDefault="00073B58" w:rsidP="00073B58">
      <w:pPr>
        <w:pStyle w:val="Textpoznpodarou"/>
        <w:jc w:val="both"/>
        <w:rPr>
          <w:sz w:val="16"/>
          <w:szCs w:val="16"/>
          <w:lang w:val="en-GB"/>
        </w:rPr>
      </w:pPr>
      <w:r w:rsidRPr="001C044E">
        <w:rPr>
          <w:rStyle w:val="Znakapoznpodarou"/>
          <w:sz w:val="16"/>
          <w:szCs w:val="16"/>
          <w:lang w:val="en-GB"/>
        </w:rPr>
        <w:footnoteRef/>
      </w:r>
      <w:r w:rsidRPr="001C044E">
        <w:rPr>
          <w:sz w:val="16"/>
          <w:szCs w:val="16"/>
          <w:lang w:val="en-GB"/>
        </w:rPr>
        <w:t xml:space="preserve"> </w:t>
      </w:r>
      <w:r>
        <w:rPr>
          <w:sz w:val="16"/>
          <w:szCs w:val="16"/>
          <w:lang w:val="en-GB"/>
        </w:rPr>
        <w:t xml:space="preserve">Population including self-employed persons. </w:t>
      </w:r>
    </w:p>
  </w:footnote>
  <w:footnote w:id="73">
    <w:p w14:paraId="4A9D3E47" w14:textId="77777777" w:rsidR="00073B58" w:rsidRPr="00284DA5" w:rsidRDefault="00073B58" w:rsidP="00073B58">
      <w:pPr>
        <w:pStyle w:val="Textpoznpodarou"/>
        <w:jc w:val="both"/>
        <w:rPr>
          <w:sz w:val="16"/>
          <w:szCs w:val="16"/>
        </w:rPr>
      </w:pPr>
      <w:r w:rsidRPr="00284DA5">
        <w:rPr>
          <w:rStyle w:val="Znakapoznpodarou"/>
          <w:sz w:val="16"/>
          <w:szCs w:val="16"/>
        </w:rPr>
        <w:footnoteRef/>
      </w:r>
      <w:r w:rsidRPr="00284DA5">
        <w:rPr>
          <w:sz w:val="16"/>
          <w:szCs w:val="16"/>
        </w:rPr>
        <w:t xml:space="preserve"> </w:t>
      </w:r>
      <w:r w:rsidRPr="00437701">
        <w:rPr>
          <w:sz w:val="16"/>
          <w:szCs w:val="16"/>
          <w:lang w:val="en-GB"/>
        </w:rPr>
        <w:t>New contracts also include the refinanced credit and other agreements (mainly</w:t>
      </w:r>
      <w:r>
        <w:rPr>
          <w:sz w:val="16"/>
          <w:szCs w:val="16"/>
          <w:lang w:val="en-GB"/>
        </w:rPr>
        <w:t xml:space="preserve"> the suspension of payments in the last two years</w:t>
      </w:r>
      <w:r w:rsidRPr="0082371F">
        <w:rPr>
          <w:sz w:val="16"/>
          <w:szCs w:val="16"/>
          <w:lang w:val="en-GB"/>
        </w:rPr>
        <w:t>).</w:t>
      </w:r>
    </w:p>
  </w:footnote>
  <w:footnote w:id="74">
    <w:p w14:paraId="6A9BDE10" w14:textId="1EC5722B" w:rsidR="00073B58" w:rsidRPr="004764B7" w:rsidRDefault="00073B58" w:rsidP="004764B7">
      <w:pPr>
        <w:pStyle w:val="Textpoznpodarou"/>
        <w:jc w:val="both"/>
        <w:rPr>
          <w:spacing w:val="-3"/>
          <w:sz w:val="16"/>
          <w:szCs w:val="16"/>
          <w:lang w:val="en-GB"/>
        </w:rPr>
      </w:pPr>
      <w:r w:rsidRPr="004A27B5">
        <w:rPr>
          <w:rStyle w:val="Znakapoznpodarou"/>
          <w:spacing w:val="-3"/>
          <w:sz w:val="16"/>
          <w:szCs w:val="16"/>
        </w:rPr>
        <w:footnoteRef/>
      </w:r>
      <w:r w:rsidRPr="004A27B5">
        <w:rPr>
          <w:spacing w:val="-3"/>
          <w:sz w:val="16"/>
          <w:szCs w:val="16"/>
        </w:rPr>
        <w:t xml:space="preserve"> </w:t>
      </w:r>
      <w:r w:rsidRPr="004764B7">
        <w:rPr>
          <w:spacing w:val="-3"/>
          <w:sz w:val="16"/>
          <w:szCs w:val="16"/>
          <w:lang w:val="en-GB"/>
        </w:rPr>
        <w:t>Unless stated otherwise</w:t>
      </w:r>
      <w:r w:rsidRPr="004764B7">
        <w:rPr>
          <w:color w:val="0D0D0D" w:themeColor="text1" w:themeTint="F2"/>
          <w:spacing w:val="-3"/>
          <w:sz w:val="16"/>
          <w:szCs w:val="16"/>
          <w:lang w:val="en-GB"/>
        </w:rPr>
        <w:t xml:space="preserve">, </w:t>
      </w:r>
      <w:r w:rsidRPr="0000724D">
        <w:rPr>
          <w:sz w:val="16"/>
          <w:szCs w:val="16"/>
          <w:lang w:val="en-GB"/>
        </w:rPr>
        <w:t xml:space="preserve">all data related to the state budget stem from the data of the Ministry of Finance regarding the </w:t>
      </w:r>
      <w:r>
        <w:rPr>
          <w:sz w:val="16"/>
          <w:szCs w:val="16"/>
          <w:lang w:val="en-GB"/>
        </w:rPr>
        <w:t xml:space="preserve">treasury </w:t>
      </w:r>
      <w:r w:rsidRPr="0000724D">
        <w:rPr>
          <w:sz w:val="16"/>
          <w:szCs w:val="16"/>
          <w:lang w:val="en-GB"/>
        </w:rPr>
        <w:t>fulfilment</w:t>
      </w:r>
      <w:r>
        <w:rPr>
          <w:sz w:val="16"/>
          <w:szCs w:val="16"/>
          <w:lang w:val="en-GB"/>
        </w:rPr>
        <w:t xml:space="preserve">. </w:t>
      </w:r>
    </w:p>
  </w:footnote>
  <w:footnote w:id="75">
    <w:p w14:paraId="78A2EB1E" w14:textId="186485EF" w:rsidR="00073B58" w:rsidRPr="004764B7" w:rsidRDefault="00073B58" w:rsidP="004764B7">
      <w:pPr>
        <w:pStyle w:val="Textpoznpodarou"/>
        <w:jc w:val="both"/>
        <w:rPr>
          <w:sz w:val="16"/>
          <w:szCs w:val="16"/>
          <w:lang w:val="en-GB"/>
        </w:rPr>
      </w:pPr>
      <w:r w:rsidRPr="004764B7">
        <w:rPr>
          <w:rStyle w:val="Znakapoznpodarou"/>
          <w:sz w:val="16"/>
          <w:szCs w:val="16"/>
          <w:lang w:val="en-GB"/>
        </w:rPr>
        <w:footnoteRef/>
      </w:r>
      <w:r w:rsidRPr="004764B7">
        <w:rPr>
          <w:sz w:val="16"/>
          <w:szCs w:val="16"/>
          <w:lang w:val="en-GB"/>
        </w:rPr>
        <w:t xml:space="preserve"> </w:t>
      </w:r>
      <w:r>
        <w:rPr>
          <w:sz w:val="16"/>
          <w:szCs w:val="16"/>
          <w:lang w:val="en-GB"/>
        </w:rPr>
        <w:t>It affected mainly the drawing of investment as well as possibilities to pre-finance some current transfers and also restricted further sources of funding a</w:t>
      </w:r>
      <w:r>
        <w:rPr>
          <w:spacing w:val="-4"/>
          <w:sz w:val="16"/>
          <w:szCs w:val="16"/>
          <w:lang w:val="en-GB"/>
        </w:rPr>
        <w:t>t the beginning of the year</w:t>
      </w:r>
      <w:r w:rsidRPr="004764B7">
        <w:rPr>
          <w:spacing w:val="-4"/>
          <w:sz w:val="16"/>
          <w:szCs w:val="16"/>
          <w:lang w:val="en-GB"/>
        </w:rPr>
        <w:t xml:space="preserve"> (</w:t>
      </w:r>
      <w:r>
        <w:rPr>
          <w:spacing w:val="-4"/>
          <w:sz w:val="16"/>
          <w:szCs w:val="16"/>
          <w:lang w:val="en-GB"/>
        </w:rPr>
        <w:t xml:space="preserve">e.g. extra-budgetary resources </w:t>
      </w:r>
      <w:r w:rsidRPr="004764B7">
        <w:rPr>
          <w:sz w:val="16"/>
          <w:szCs w:val="16"/>
          <w:lang w:val="en-GB"/>
        </w:rPr>
        <w:t xml:space="preserve">– </w:t>
      </w:r>
      <w:r>
        <w:rPr>
          <w:sz w:val="16"/>
          <w:szCs w:val="16"/>
          <w:lang w:val="en-GB"/>
        </w:rPr>
        <w:t>mainly the claims from the unused expenditures from the previous years</w:t>
      </w:r>
      <w:r w:rsidRPr="004764B7">
        <w:rPr>
          <w:sz w:val="16"/>
          <w:szCs w:val="16"/>
          <w:lang w:val="en-GB"/>
        </w:rPr>
        <w:t>).</w:t>
      </w:r>
    </w:p>
  </w:footnote>
  <w:footnote w:id="76">
    <w:p w14:paraId="1D22DFE7" w14:textId="65BC22EB" w:rsidR="00073B58" w:rsidRPr="004764B7" w:rsidRDefault="00073B58" w:rsidP="004764B7">
      <w:pPr>
        <w:pStyle w:val="Textpoznpodarou"/>
        <w:jc w:val="both"/>
        <w:rPr>
          <w:sz w:val="16"/>
          <w:szCs w:val="16"/>
          <w:lang w:val="en-GB"/>
        </w:rPr>
      </w:pPr>
      <w:r w:rsidRPr="004764B7">
        <w:rPr>
          <w:rStyle w:val="Znakapoznpodarou"/>
          <w:sz w:val="16"/>
          <w:szCs w:val="16"/>
          <w:lang w:val="en-GB"/>
        </w:rPr>
        <w:footnoteRef/>
      </w:r>
      <w:r w:rsidRPr="004764B7">
        <w:rPr>
          <w:sz w:val="16"/>
          <w:szCs w:val="16"/>
          <w:lang w:val="en-GB"/>
        </w:rPr>
        <w:t xml:space="preserve"> </w:t>
      </w:r>
      <w:r>
        <w:rPr>
          <w:sz w:val="16"/>
          <w:szCs w:val="16"/>
          <w:lang w:val="en-GB"/>
        </w:rPr>
        <w:t xml:space="preserve">Here it is considered the tax collection at the level of all public budgets and not including the social security insurance. </w:t>
      </w:r>
    </w:p>
  </w:footnote>
  <w:footnote w:id="77">
    <w:p w14:paraId="565FAA38" w14:textId="034AB494" w:rsidR="00073B58" w:rsidRPr="004764B7" w:rsidRDefault="00073B58" w:rsidP="004764B7">
      <w:pPr>
        <w:pStyle w:val="Textpoznpodarou"/>
        <w:jc w:val="both"/>
        <w:rPr>
          <w:sz w:val="16"/>
          <w:szCs w:val="16"/>
          <w:lang w:val="en-GB"/>
        </w:rPr>
      </w:pPr>
      <w:r w:rsidRPr="004764B7">
        <w:rPr>
          <w:rStyle w:val="Znakapoznpodarou"/>
          <w:sz w:val="16"/>
          <w:szCs w:val="16"/>
          <w:lang w:val="en-GB"/>
        </w:rPr>
        <w:footnoteRef/>
      </w:r>
      <w:r w:rsidRPr="004764B7">
        <w:rPr>
          <w:sz w:val="16"/>
          <w:szCs w:val="16"/>
          <w:lang w:val="en-GB"/>
        </w:rPr>
        <w:t xml:space="preserve"> </w:t>
      </w:r>
      <w:r>
        <w:rPr>
          <w:sz w:val="16"/>
          <w:szCs w:val="16"/>
          <w:lang w:val="en-GB"/>
        </w:rPr>
        <w:t>While the comparison with the beginning of year 2020 was by 2.9% lower still in Q</w:t>
      </w:r>
      <w:r w:rsidRPr="004764B7">
        <w:rPr>
          <w:sz w:val="16"/>
          <w:szCs w:val="16"/>
          <w:lang w:val="en-GB"/>
        </w:rPr>
        <w:t>1</w:t>
      </w:r>
      <w:r>
        <w:rPr>
          <w:sz w:val="16"/>
          <w:szCs w:val="16"/>
          <w:lang w:val="en-GB"/>
        </w:rPr>
        <w:t xml:space="preserve"> </w:t>
      </w:r>
      <w:r w:rsidRPr="004764B7">
        <w:rPr>
          <w:sz w:val="16"/>
          <w:szCs w:val="16"/>
          <w:lang w:val="en-GB"/>
        </w:rPr>
        <w:t>2022</w:t>
      </w:r>
      <w:r>
        <w:rPr>
          <w:sz w:val="16"/>
          <w:szCs w:val="16"/>
          <w:lang w:val="en-GB"/>
        </w:rPr>
        <w:t>, it already surpassed in total by 9.9% the level from H1 2019 in this year</w:t>
      </w:r>
      <w:r>
        <w:rPr>
          <w:sz w:val="16"/>
          <w:szCs w:val="16"/>
          <w:lang w:val="en-US"/>
        </w:rPr>
        <w:t xml:space="preserve">’s half-year. </w:t>
      </w:r>
    </w:p>
  </w:footnote>
  <w:footnote w:id="78">
    <w:p w14:paraId="0230EE8A" w14:textId="40070EEF" w:rsidR="00073B58" w:rsidRPr="004764B7" w:rsidRDefault="00073B58" w:rsidP="004764B7">
      <w:pPr>
        <w:pStyle w:val="Textpoznpodarou"/>
        <w:jc w:val="both"/>
        <w:rPr>
          <w:lang w:val="en-GB"/>
        </w:rPr>
      </w:pPr>
      <w:r w:rsidRPr="004764B7">
        <w:rPr>
          <w:spacing w:val="-4"/>
          <w:sz w:val="16"/>
          <w:szCs w:val="16"/>
          <w:vertAlign w:val="superscript"/>
          <w:lang w:val="en-GB"/>
        </w:rPr>
        <w:footnoteRef/>
      </w:r>
      <w:r w:rsidRPr="004764B7">
        <w:rPr>
          <w:spacing w:val="-4"/>
          <w:sz w:val="16"/>
          <w:szCs w:val="16"/>
          <w:lang w:val="en-GB"/>
        </w:rPr>
        <w:t xml:space="preserve"> </w:t>
      </w:r>
      <w:r>
        <w:rPr>
          <w:spacing w:val="-4"/>
          <w:sz w:val="16"/>
          <w:szCs w:val="16"/>
          <w:lang w:val="en-GB"/>
        </w:rPr>
        <w:t xml:space="preserve">Based on Act No. </w:t>
      </w:r>
      <w:r w:rsidRPr="004764B7">
        <w:rPr>
          <w:spacing w:val="-4"/>
          <w:sz w:val="16"/>
          <w:szCs w:val="16"/>
          <w:lang w:val="en-GB"/>
        </w:rPr>
        <w:t xml:space="preserve">57/2022 </w:t>
      </w:r>
      <w:r>
        <w:rPr>
          <w:spacing w:val="-4"/>
          <w:sz w:val="16"/>
          <w:szCs w:val="16"/>
          <w:lang w:val="en-GB"/>
        </w:rPr>
        <w:t>Coll.</w:t>
      </w:r>
      <w:r w:rsidRPr="004764B7">
        <w:rPr>
          <w:spacing w:val="-4"/>
          <w:sz w:val="16"/>
          <w:szCs w:val="16"/>
          <w:lang w:val="en-GB"/>
        </w:rPr>
        <w:t>,</w:t>
      </w:r>
      <w:r>
        <w:rPr>
          <w:spacing w:val="-4"/>
          <w:sz w:val="16"/>
          <w:szCs w:val="16"/>
          <w:lang w:val="en-GB"/>
        </w:rPr>
        <w:t xml:space="preserve"> on the state budget, approved by the Chamber of Deputies of the Parliament of the CR on </w:t>
      </w:r>
      <w:r w:rsidRPr="004764B7">
        <w:rPr>
          <w:spacing w:val="-4"/>
          <w:sz w:val="16"/>
          <w:szCs w:val="16"/>
          <w:lang w:val="en-GB"/>
        </w:rPr>
        <w:t>10</w:t>
      </w:r>
      <w:r w:rsidRPr="004B6AC1">
        <w:rPr>
          <w:spacing w:val="-4"/>
          <w:sz w:val="16"/>
          <w:szCs w:val="16"/>
          <w:vertAlign w:val="superscript"/>
          <w:lang w:val="en-GB"/>
        </w:rPr>
        <w:t>th</w:t>
      </w:r>
      <w:r>
        <w:rPr>
          <w:spacing w:val="-4"/>
          <w:sz w:val="16"/>
          <w:szCs w:val="16"/>
          <w:lang w:val="en-GB"/>
        </w:rPr>
        <w:t xml:space="preserve"> March </w:t>
      </w:r>
      <w:r w:rsidRPr="004764B7">
        <w:rPr>
          <w:spacing w:val="-4"/>
          <w:sz w:val="16"/>
          <w:szCs w:val="16"/>
          <w:lang w:val="en-GB"/>
        </w:rPr>
        <w:t>2022.</w:t>
      </w:r>
    </w:p>
  </w:footnote>
  <w:footnote w:id="79">
    <w:p w14:paraId="2A3BD0DE" w14:textId="7265FA82" w:rsidR="00073B58" w:rsidRPr="00123B2A" w:rsidRDefault="00073B58" w:rsidP="004764B7">
      <w:pPr>
        <w:pStyle w:val="Textpoznpodarou"/>
        <w:jc w:val="both"/>
        <w:rPr>
          <w:sz w:val="16"/>
          <w:szCs w:val="16"/>
        </w:rPr>
      </w:pPr>
      <w:r w:rsidRPr="004764B7">
        <w:rPr>
          <w:rStyle w:val="Znakapoznpodarou"/>
          <w:sz w:val="16"/>
          <w:szCs w:val="16"/>
          <w:lang w:val="en-GB"/>
        </w:rPr>
        <w:footnoteRef/>
      </w:r>
      <w:r w:rsidRPr="004764B7">
        <w:rPr>
          <w:sz w:val="16"/>
          <w:szCs w:val="16"/>
          <w:lang w:val="en-GB"/>
        </w:rPr>
        <w:t xml:space="preserve"> </w:t>
      </w:r>
      <w:r>
        <w:rPr>
          <w:sz w:val="16"/>
          <w:szCs w:val="16"/>
          <w:lang w:val="en-GB"/>
        </w:rPr>
        <w:t>Effective as of 1</w:t>
      </w:r>
      <w:r w:rsidRPr="00613A32">
        <w:rPr>
          <w:sz w:val="16"/>
          <w:szCs w:val="16"/>
          <w:vertAlign w:val="superscript"/>
          <w:lang w:val="en-GB"/>
        </w:rPr>
        <w:t>st</w:t>
      </w:r>
      <w:r>
        <w:rPr>
          <w:sz w:val="16"/>
          <w:szCs w:val="16"/>
          <w:lang w:val="en-GB"/>
        </w:rPr>
        <w:t xml:space="preserve"> June until 30</w:t>
      </w:r>
      <w:r w:rsidRPr="00613A32">
        <w:rPr>
          <w:sz w:val="16"/>
          <w:szCs w:val="16"/>
          <w:vertAlign w:val="superscript"/>
          <w:lang w:val="en-GB"/>
        </w:rPr>
        <w:t>th</w:t>
      </w:r>
      <w:r>
        <w:rPr>
          <w:sz w:val="16"/>
          <w:szCs w:val="16"/>
          <w:lang w:val="en-GB"/>
        </w:rPr>
        <w:t xml:space="preserve"> September </w:t>
      </w:r>
      <w:r w:rsidRPr="004764B7">
        <w:rPr>
          <w:sz w:val="16"/>
          <w:szCs w:val="16"/>
          <w:lang w:val="en-GB"/>
        </w:rPr>
        <w:t>2022</w:t>
      </w:r>
      <w:r>
        <w:rPr>
          <w:sz w:val="16"/>
          <w:szCs w:val="16"/>
          <w:lang w:val="en-GB"/>
        </w:rPr>
        <w:t xml:space="preserve">, the consumer tax rate on petrol and diesel fuels is temporarily lowered by </w:t>
      </w:r>
      <w:r w:rsidRPr="004764B7">
        <w:rPr>
          <w:sz w:val="16"/>
          <w:szCs w:val="16"/>
          <w:lang w:val="en-GB"/>
        </w:rPr>
        <w:t>1</w:t>
      </w:r>
      <w:r>
        <w:rPr>
          <w:sz w:val="16"/>
          <w:szCs w:val="16"/>
          <w:lang w:val="en-GB"/>
        </w:rPr>
        <w:t>.</w:t>
      </w:r>
      <w:r w:rsidRPr="004764B7">
        <w:rPr>
          <w:sz w:val="16"/>
          <w:szCs w:val="16"/>
          <w:lang w:val="en-GB"/>
        </w:rPr>
        <w:t>50</w:t>
      </w:r>
      <w:r>
        <w:rPr>
          <w:sz w:val="16"/>
          <w:szCs w:val="16"/>
          <w:lang w:val="en-GB"/>
        </w:rPr>
        <w:t xml:space="preserve"> CZK per litre. </w:t>
      </w:r>
    </w:p>
  </w:footnote>
  <w:footnote w:id="80">
    <w:p w14:paraId="53C898FC" w14:textId="7B93290E" w:rsidR="00073B58" w:rsidRPr="00D526FA" w:rsidRDefault="00073B58" w:rsidP="00617174">
      <w:pPr>
        <w:pStyle w:val="Textpoznpodarou"/>
        <w:jc w:val="both"/>
        <w:rPr>
          <w:sz w:val="16"/>
          <w:szCs w:val="16"/>
          <w:lang w:val="en-GB"/>
        </w:rPr>
      </w:pPr>
      <w:r w:rsidRPr="00D526FA">
        <w:rPr>
          <w:rStyle w:val="Znakapoznpodarou"/>
          <w:sz w:val="16"/>
          <w:szCs w:val="16"/>
          <w:lang w:val="en-GB"/>
        </w:rPr>
        <w:footnoteRef/>
      </w:r>
      <w:r w:rsidRPr="00D526FA">
        <w:rPr>
          <w:sz w:val="16"/>
          <w:szCs w:val="16"/>
          <w:lang w:val="en-GB"/>
        </w:rPr>
        <w:t xml:space="preserve"> It is the payment for payers, which have mandatory audit, or their tax return is processed and submitted </w:t>
      </w:r>
      <w:r>
        <w:rPr>
          <w:sz w:val="16"/>
          <w:szCs w:val="16"/>
          <w:lang w:val="en-GB"/>
        </w:rPr>
        <w:t xml:space="preserve">by </w:t>
      </w:r>
      <w:r w:rsidRPr="00D526FA">
        <w:rPr>
          <w:sz w:val="16"/>
          <w:szCs w:val="16"/>
          <w:lang w:val="en-GB"/>
        </w:rPr>
        <w:t xml:space="preserve">tax advisor. </w:t>
      </w:r>
    </w:p>
  </w:footnote>
  <w:footnote w:id="81">
    <w:p w14:paraId="51A1DF33" w14:textId="645399F6" w:rsidR="00073B58" w:rsidRPr="004B0A56" w:rsidRDefault="00073B58" w:rsidP="00617174">
      <w:pPr>
        <w:autoSpaceDE w:val="0"/>
        <w:autoSpaceDN w:val="0"/>
        <w:adjustRightInd w:val="0"/>
        <w:spacing w:after="0" w:line="240" w:lineRule="auto"/>
        <w:rPr>
          <w:rFonts w:ascii="Calibri" w:eastAsia="Calibri" w:hAnsi="Calibri" w:cs="Calibri"/>
          <w:sz w:val="16"/>
          <w:szCs w:val="16"/>
          <w:lang w:val="en-GB" w:eastAsia="en-US"/>
        </w:rPr>
      </w:pPr>
      <w:r w:rsidRPr="00D526FA">
        <w:rPr>
          <w:rStyle w:val="Znakapoznpodarou"/>
          <w:sz w:val="16"/>
          <w:szCs w:val="16"/>
          <w:lang w:val="en-GB"/>
        </w:rPr>
        <w:footnoteRef/>
      </w:r>
      <w:r w:rsidRPr="00D526FA">
        <w:rPr>
          <w:sz w:val="16"/>
          <w:szCs w:val="16"/>
          <w:lang w:val="en-GB"/>
        </w:rPr>
        <w:t xml:space="preserve"> High year-on-year growth of the collection of the corporate tax was partially influenced by last year’s shift of term</w:t>
      </w:r>
      <w:r w:rsidRPr="004B0A56">
        <w:rPr>
          <w:sz w:val="16"/>
          <w:szCs w:val="16"/>
          <w:lang w:val="en-GB"/>
        </w:rPr>
        <w:t xml:space="preserve"> for the payment of tax advance (based on the individual requests of companies) with negative impact on the income of this tax into the SB in the amount of 6.4 CZK bn (for H1 2021). Further it also contained the change in the taxation of the reserves of the health insurance companies. </w:t>
      </w:r>
    </w:p>
  </w:footnote>
  <w:footnote w:id="82">
    <w:p w14:paraId="49FC97B2" w14:textId="57154038" w:rsidR="00073B58" w:rsidRPr="00A11E70" w:rsidRDefault="00073B58" w:rsidP="00B973A0">
      <w:pPr>
        <w:pStyle w:val="Textpoznpodarou"/>
        <w:jc w:val="both"/>
        <w:rPr>
          <w:sz w:val="16"/>
          <w:szCs w:val="16"/>
          <w:lang w:val="en-GB"/>
        </w:rPr>
      </w:pPr>
      <w:r w:rsidRPr="00271248">
        <w:rPr>
          <w:rStyle w:val="Znakapoznpodarou"/>
          <w:sz w:val="16"/>
          <w:szCs w:val="16"/>
        </w:rPr>
        <w:footnoteRef/>
      </w:r>
      <w:r w:rsidRPr="00271248">
        <w:rPr>
          <w:sz w:val="16"/>
          <w:szCs w:val="16"/>
        </w:rPr>
        <w:t xml:space="preserve"> </w:t>
      </w:r>
      <w:r w:rsidRPr="00A11E70">
        <w:rPr>
          <w:sz w:val="16"/>
          <w:szCs w:val="16"/>
          <w:lang w:val="en-GB"/>
        </w:rPr>
        <w:t>Total of the monthly expenditures of all organisational units of the sta</w:t>
      </w:r>
      <w:r>
        <w:rPr>
          <w:sz w:val="16"/>
          <w:szCs w:val="16"/>
          <w:lang w:val="en-GB"/>
        </w:rPr>
        <w:t>t</w:t>
      </w:r>
      <w:r w:rsidRPr="00A11E70">
        <w:rPr>
          <w:sz w:val="16"/>
          <w:szCs w:val="16"/>
          <w:lang w:val="en-GB"/>
        </w:rPr>
        <w:t>e thus could reach maximum of one twel</w:t>
      </w:r>
      <w:r>
        <w:rPr>
          <w:sz w:val="16"/>
          <w:szCs w:val="16"/>
          <w:lang w:val="en-GB"/>
        </w:rPr>
        <w:t>fth</w:t>
      </w:r>
      <w:r w:rsidRPr="00A11E70">
        <w:rPr>
          <w:sz w:val="16"/>
          <w:szCs w:val="16"/>
          <w:lang w:val="en-GB"/>
        </w:rPr>
        <w:t xml:space="preserve"> of total SB expenditures set according to the approved Act on SB from year 2021. This led among other things to the postponement of the non-essential operating expenditures as well as investment. </w:t>
      </w:r>
    </w:p>
  </w:footnote>
  <w:footnote w:id="83">
    <w:p w14:paraId="7A545E47" w14:textId="53B24AF1" w:rsidR="00073B58" w:rsidRPr="00A11E70" w:rsidRDefault="00073B58" w:rsidP="00B973A0">
      <w:pPr>
        <w:pStyle w:val="Textpoznpodarou"/>
        <w:jc w:val="both"/>
        <w:rPr>
          <w:sz w:val="16"/>
          <w:szCs w:val="16"/>
          <w:lang w:val="en-GB"/>
        </w:rPr>
      </w:pPr>
      <w:r w:rsidRPr="00A11E70">
        <w:rPr>
          <w:rStyle w:val="Znakapoznpodarou"/>
          <w:sz w:val="16"/>
          <w:szCs w:val="16"/>
          <w:lang w:val="en-GB"/>
        </w:rPr>
        <w:footnoteRef/>
      </w:r>
      <w:r w:rsidRPr="00A11E70">
        <w:rPr>
          <w:sz w:val="16"/>
          <w:szCs w:val="16"/>
          <w:lang w:val="en-GB"/>
        </w:rPr>
        <w:t xml:space="preserve"> T</w:t>
      </w:r>
      <w:r>
        <w:rPr>
          <w:sz w:val="16"/>
          <w:szCs w:val="16"/>
          <w:lang w:val="en-GB"/>
        </w:rPr>
        <w:t>his aid culminated last year in Q</w:t>
      </w:r>
      <w:r w:rsidRPr="00A11E70">
        <w:rPr>
          <w:sz w:val="16"/>
          <w:szCs w:val="16"/>
          <w:lang w:val="en-GB"/>
        </w:rPr>
        <w:t>2</w:t>
      </w:r>
      <w:r>
        <w:rPr>
          <w:sz w:val="16"/>
          <w:szCs w:val="16"/>
          <w:lang w:val="en-GB"/>
        </w:rPr>
        <w:t xml:space="preserve"> when it comprised of </w:t>
      </w:r>
      <w:r w:rsidRPr="00A11E70">
        <w:rPr>
          <w:sz w:val="16"/>
          <w:szCs w:val="16"/>
          <w:lang w:val="en-GB"/>
        </w:rPr>
        <w:t>64</w:t>
      </w:r>
      <w:r>
        <w:rPr>
          <w:sz w:val="16"/>
          <w:szCs w:val="16"/>
          <w:lang w:val="en-GB"/>
        </w:rPr>
        <w:t xml:space="preserve"> CZK bn </w:t>
      </w:r>
      <w:r w:rsidRPr="00A11E70">
        <w:rPr>
          <w:sz w:val="16"/>
          <w:szCs w:val="16"/>
          <w:lang w:val="en-GB"/>
        </w:rPr>
        <w:t>(</w:t>
      </w:r>
      <w:r>
        <w:rPr>
          <w:sz w:val="16"/>
          <w:szCs w:val="16"/>
          <w:lang w:val="en-GB"/>
        </w:rPr>
        <w:t>101 bn in total for the entire H</w:t>
      </w:r>
      <w:r w:rsidRPr="00A11E70">
        <w:rPr>
          <w:sz w:val="16"/>
          <w:szCs w:val="16"/>
          <w:lang w:val="en-GB"/>
        </w:rPr>
        <w:t>1)</w:t>
      </w:r>
      <w:r>
        <w:rPr>
          <w:sz w:val="16"/>
          <w:szCs w:val="16"/>
          <w:lang w:val="en-GB"/>
        </w:rPr>
        <w:t xml:space="preserve">. It mainly consisted of compensation of part of wages and mandatory transfers </w:t>
      </w:r>
      <w:r w:rsidRPr="00A11E70">
        <w:rPr>
          <w:color w:val="0D0D0D" w:themeColor="text1" w:themeTint="F2"/>
          <w:spacing w:val="-4"/>
          <w:sz w:val="16"/>
          <w:szCs w:val="16"/>
          <w:lang w:val="en-GB"/>
        </w:rPr>
        <w:t>(</w:t>
      </w:r>
      <w:r>
        <w:rPr>
          <w:color w:val="0D0D0D" w:themeColor="text1" w:themeTint="F2"/>
          <w:spacing w:val="-4"/>
          <w:sz w:val="16"/>
          <w:szCs w:val="16"/>
          <w:lang w:val="en-GB"/>
        </w:rPr>
        <w:t>within the A</w:t>
      </w:r>
      <w:r w:rsidRPr="00A11E70">
        <w:rPr>
          <w:color w:val="0D0D0D" w:themeColor="text1" w:themeTint="F2"/>
          <w:spacing w:val="-4"/>
          <w:sz w:val="16"/>
          <w:szCs w:val="16"/>
          <w:lang w:val="en-GB"/>
        </w:rPr>
        <w:t xml:space="preserve">ntivirus A, A+ </w:t>
      </w:r>
      <w:r>
        <w:rPr>
          <w:color w:val="0D0D0D" w:themeColor="text1" w:themeTint="F2"/>
          <w:spacing w:val="-4"/>
          <w:sz w:val="16"/>
          <w:szCs w:val="16"/>
          <w:lang w:val="en-GB"/>
        </w:rPr>
        <w:t xml:space="preserve">and </w:t>
      </w:r>
      <w:r w:rsidRPr="00A11E70">
        <w:rPr>
          <w:color w:val="0D0D0D" w:themeColor="text1" w:themeTint="F2"/>
          <w:spacing w:val="-4"/>
          <w:sz w:val="16"/>
          <w:szCs w:val="16"/>
          <w:lang w:val="en-GB"/>
        </w:rPr>
        <w:t>B</w:t>
      </w:r>
      <w:r>
        <w:rPr>
          <w:color w:val="0D0D0D" w:themeColor="text1" w:themeTint="F2"/>
          <w:spacing w:val="-4"/>
          <w:sz w:val="16"/>
          <w:szCs w:val="16"/>
          <w:lang w:val="en-GB"/>
        </w:rPr>
        <w:t xml:space="preserve"> programme</w:t>
      </w:r>
      <w:r w:rsidRPr="00A11E70">
        <w:rPr>
          <w:color w:val="0D0D0D" w:themeColor="text1" w:themeTint="F2"/>
          <w:spacing w:val="-4"/>
          <w:sz w:val="16"/>
          <w:szCs w:val="16"/>
          <w:lang w:val="en-GB"/>
        </w:rPr>
        <w:t>), spe</w:t>
      </w:r>
      <w:r>
        <w:rPr>
          <w:color w:val="0D0D0D" w:themeColor="text1" w:themeTint="F2"/>
          <w:spacing w:val="-4"/>
          <w:sz w:val="16"/>
          <w:szCs w:val="16"/>
          <w:lang w:val="en-GB"/>
        </w:rPr>
        <w:t xml:space="preserve">cial programmes to directly support the hit sectors of the economy </w:t>
      </w:r>
      <w:r w:rsidRPr="00A11E70">
        <w:rPr>
          <w:color w:val="0D0D0D" w:themeColor="text1" w:themeTint="F2"/>
          <w:spacing w:val="-4"/>
          <w:sz w:val="16"/>
          <w:szCs w:val="16"/>
          <w:lang w:val="en-GB"/>
        </w:rPr>
        <w:t>(</w:t>
      </w:r>
      <w:r>
        <w:rPr>
          <w:color w:val="0D0D0D" w:themeColor="text1" w:themeTint="F2"/>
          <w:spacing w:val="-4"/>
          <w:sz w:val="16"/>
          <w:szCs w:val="16"/>
          <w:lang w:val="en-GB"/>
        </w:rPr>
        <w:t xml:space="preserve">e.g. </w:t>
      </w:r>
      <w:r w:rsidRPr="00A11E70">
        <w:rPr>
          <w:color w:val="0D0D0D" w:themeColor="text1" w:themeTint="F2"/>
          <w:spacing w:val="-4"/>
          <w:sz w:val="16"/>
          <w:szCs w:val="16"/>
          <w:lang w:val="en-GB"/>
        </w:rPr>
        <w:t>COVID</w:t>
      </w:r>
      <w:r>
        <w:rPr>
          <w:color w:val="0D0D0D" w:themeColor="text1" w:themeTint="F2"/>
          <w:spacing w:val="-4"/>
          <w:sz w:val="16"/>
          <w:szCs w:val="16"/>
          <w:lang w:val="en-GB"/>
        </w:rPr>
        <w:t xml:space="preserve"> Rent</w:t>
      </w:r>
      <w:r w:rsidRPr="00A11E70">
        <w:rPr>
          <w:color w:val="0D0D0D" w:themeColor="text1" w:themeTint="F2"/>
          <w:spacing w:val="-4"/>
          <w:sz w:val="16"/>
          <w:szCs w:val="16"/>
          <w:lang w:val="en-GB"/>
        </w:rPr>
        <w:t xml:space="preserve">, COVID </w:t>
      </w:r>
      <w:r>
        <w:rPr>
          <w:color w:val="0D0D0D" w:themeColor="text1" w:themeTint="F2"/>
          <w:spacing w:val="-4"/>
          <w:sz w:val="16"/>
          <w:szCs w:val="16"/>
          <w:lang w:val="en-GB"/>
        </w:rPr>
        <w:t>Uncovered costs</w:t>
      </w:r>
      <w:r w:rsidRPr="00A11E70">
        <w:rPr>
          <w:color w:val="0D0D0D" w:themeColor="text1" w:themeTint="F2"/>
          <w:spacing w:val="-4"/>
          <w:sz w:val="16"/>
          <w:szCs w:val="16"/>
          <w:lang w:val="en-GB"/>
        </w:rPr>
        <w:t>),</w:t>
      </w:r>
      <w:r>
        <w:rPr>
          <w:color w:val="0D0D0D" w:themeColor="text1" w:themeTint="F2"/>
          <w:spacing w:val="-4"/>
          <w:sz w:val="16"/>
          <w:szCs w:val="16"/>
          <w:lang w:val="en-GB"/>
        </w:rPr>
        <w:t xml:space="preserve"> higher outlays in healthcare</w:t>
      </w:r>
      <w:r w:rsidRPr="00A11E70">
        <w:rPr>
          <w:color w:val="0D0D0D" w:themeColor="text1" w:themeTint="F2"/>
          <w:spacing w:val="-4"/>
          <w:sz w:val="16"/>
          <w:szCs w:val="16"/>
          <w:lang w:val="en-GB"/>
        </w:rPr>
        <w:t xml:space="preserve"> (</w:t>
      </w:r>
      <w:r>
        <w:rPr>
          <w:color w:val="0D0D0D" w:themeColor="text1" w:themeTint="F2"/>
          <w:spacing w:val="-4"/>
          <w:sz w:val="16"/>
          <w:szCs w:val="16"/>
          <w:lang w:val="en-GB"/>
        </w:rPr>
        <w:t>especially increase of the state payment per so called state insured person, raised personal costs of employees in health and social works</w:t>
      </w:r>
      <w:r w:rsidRPr="00A11E70">
        <w:rPr>
          <w:color w:val="0D0D0D" w:themeColor="text1" w:themeTint="F2"/>
          <w:spacing w:val="-4"/>
          <w:sz w:val="16"/>
          <w:szCs w:val="16"/>
          <w:lang w:val="en-GB"/>
        </w:rPr>
        <w:t>, </w:t>
      </w:r>
      <w:r>
        <w:rPr>
          <w:color w:val="0D0D0D" w:themeColor="text1" w:themeTint="F2"/>
          <w:spacing w:val="-4"/>
          <w:sz w:val="16"/>
          <w:szCs w:val="16"/>
          <w:lang w:val="en-GB"/>
        </w:rPr>
        <w:t>purchases of protective equipment</w:t>
      </w:r>
      <w:r w:rsidRPr="00A11E70">
        <w:rPr>
          <w:color w:val="0D0D0D" w:themeColor="text1" w:themeTint="F2"/>
          <w:spacing w:val="-4"/>
          <w:sz w:val="16"/>
          <w:szCs w:val="16"/>
          <w:lang w:val="en-GB"/>
        </w:rPr>
        <w:t>) a</w:t>
      </w:r>
      <w:r>
        <w:rPr>
          <w:color w:val="0D0D0D" w:themeColor="text1" w:themeTint="F2"/>
          <w:spacing w:val="-4"/>
          <w:sz w:val="16"/>
          <w:szCs w:val="16"/>
          <w:lang w:val="en-GB"/>
        </w:rPr>
        <w:t xml:space="preserve">nd finally also the increased expenditures on some social benefits </w:t>
      </w:r>
      <w:r w:rsidRPr="00A11E70">
        <w:rPr>
          <w:color w:val="0D0D0D" w:themeColor="text1" w:themeTint="F2"/>
          <w:spacing w:val="-4"/>
          <w:sz w:val="16"/>
          <w:szCs w:val="16"/>
          <w:lang w:val="en-GB"/>
        </w:rPr>
        <w:t>(</w:t>
      </w:r>
      <w:r>
        <w:rPr>
          <w:color w:val="0D0D0D" w:themeColor="text1" w:themeTint="F2"/>
          <w:spacing w:val="-4"/>
          <w:sz w:val="16"/>
          <w:szCs w:val="16"/>
          <w:lang w:val="en-GB"/>
        </w:rPr>
        <w:t>care benefits, extraordinary contribution for employee in quarantine or isolation</w:t>
      </w:r>
      <w:r w:rsidRPr="00A11E70">
        <w:rPr>
          <w:color w:val="0D0D0D" w:themeColor="text1" w:themeTint="F2"/>
          <w:spacing w:val="-4"/>
          <w:sz w:val="16"/>
          <w:szCs w:val="16"/>
          <w:lang w:val="en-GB"/>
        </w:rPr>
        <w:t>).</w:t>
      </w:r>
    </w:p>
  </w:footnote>
  <w:footnote w:id="84">
    <w:p w14:paraId="11B1C919" w14:textId="6AAE88D9" w:rsidR="00073B58" w:rsidRPr="00B973A0" w:rsidRDefault="00073B58" w:rsidP="00B973A0">
      <w:pPr>
        <w:pStyle w:val="Textpoznpodarou"/>
        <w:jc w:val="both"/>
        <w:rPr>
          <w:sz w:val="16"/>
          <w:szCs w:val="16"/>
          <w:lang w:val="en-GB"/>
        </w:rPr>
      </w:pPr>
      <w:r w:rsidRPr="00B973A0">
        <w:rPr>
          <w:rStyle w:val="Znakapoznpodarou"/>
          <w:sz w:val="16"/>
          <w:szCs w:val="16"/>
          <w:lang w:val="en-GB"/>
        </w:rPr>
        <w:footnoteRef/>
      </w:r>
      <w:r w:rsidRPr="00B973A0">
        <w:rPr>
          <w:sz w:val="16"/>
          <w:szCs w:val="16"/>
          <w:lang w:val="en-GB"/>
        </w:rPr>
        <w:t xml:space="preserve"> M</w:t>
      </w:r>
      <w:r>
        <w:rPr>
          <w:sz w:val="16"/>
          <w:szCs w:val="16"/>
          <w:lang w:val="en-GB"/>
        </w:rPr>
        <w:t xml:space="preserve">onthly payments by state increased from 1767 CZK to 1967 CZK per person as of </w:t>
      </w:r>
      <w:r w:rsidRPr="00B973A0">
        <w:rPr>
          <w:sz w:val="16"/>
          <w:szCs w:val="16"/>
          <w:lang w:val="en-GB"/>
        </w:rPr>
        <w:t>1</w:t>
      </w:r>
      <w:r w:rsidRPr="00CA5EBE">
        <w:rPr>
          <w:sz w:val="16"/>
          <w:szCs w:val="16"/>
          <w:vertAlign w:val="superscript"/>
          <w:lang w:val="en-GB"/>
        </w:rPr>
        <w:t>st</w:t>
      </w:r>
      <w:r>
        <w:rPr>
          <w:sz w:val="16"/>
          <w:szCs w:val="16"/>
          <w:lang w:val="en-GB"/>
        </w:rPr>
        <w:t xml:space="preserve"> January </w:t>
      </w:r>
      <w:r w:rsidRPr="00B973A0">
        <w:rPr>
          <w:sz w:val="16"/>
          <w:szCs w:val="16"/>
          <w:lang w:val="en-GB"/>
        </w:rPr>
        <w:t>2022</w:t>
      </w:r>
      <w:r>
        <w:rPr>
          <w:sz w:val="16"/>
          <w:szCs w:val="16"/>
          <w:lang w:val="en-GB"/>
        </w:rPr>
        <w:t>. According to the amendment to the Act on public health insurance approved later however the payment fell to 1567 CZK as of 1</w:t>
      </w:r>
      <w:r w:rsidRPr="00261C26">
        <w:rPr>
          <w:sz w:val="16"/>
          <w:szCs w:val="16"/>
          <w:vertAlign w:val="superscript"/>
          <w:lang w:val="en-GB"/>
        </w:rPr>
        <w:t>st</w:t>
      </w:r>
      <w:r>
        <w:rPr>
          <w:sz w:val="16"/>
          <w:szCs w:val="16"/>
          <w:lang w:val="en-GB"/>
        </w:rPr>
        <w:t xml:space="preserve"> July 2022. The average monthly payment for the whole year 2022 will total </w:t>
      </w:r>
      <w:r w:rsidRPr="00B973A0">
        <w:rPr>
          <w:sz w:val="16"/>
          <w:szCs w:val="16"/>
          <w:lang w:val="en-GB"/>
        </w:rPr>
        <w:t xml:space="preserve">1 767 </w:t>
      </w:r>
      <w:r>
        <w:rPr>
          <w:sz w:val="16"/>
          <w:szCs w:val="16"/>
          <w:lang w:val="en-GB"/>
        </w:rPr>
        <w:t xml:space="preserve">CZK and it will thus be maintained at the level from year </w:t>
      </w:r>
      <w:r w:rsidRPr="00B973A0">
        <w:rPr>
          <w:sz w:val="16"/>
          <w:szCs w:val="16"/>
          <w:lang w:val="en-GB"/>
        </w:rPr>
        <w:t>2021.</w:t>
      </w:r>
    </w:p>
  </w:footnote>
  <w:footnote w:id="85">
    <w:p w14:paraId="6C7C8EEF" w14:textId="42185A15" w:rsidR="00073B58" w:rsidRPr="00B97ABC" w:rsidRDefault="00073B58" w:rsidP="00B973A0">
      <w:pPr>
        <w:pStyle w:val="Textpoznpodarou"/>
        <w:jc w:val="both"/>
        <w:rPr>
          <w:sz w:val="16"/>
          <w:szCs w:val="16"/>
        </w:rPr>
      </w:pPr>
      <w:r w:rsidRPr="00B973A0">
        <w:rPr>
          <w:rStyle w:val="Znakapoznpodarou"/>
          <w:sz w:val="16"/>
          <w:szCs w:val="16"/>
          <w:lang w:val="en-GB"/>
        </w:rPr>
        <w:footnoteRef/>
      </w:r>
      <w:r w:rsidRPr="00B973A0">
        <w:rPr>
          <w:sz w:val="16"/>
          <w:szCs w:val="16"/>
          <w:lang w:val="en-GB"/>
        </w:rPr>
        <w:t xml:space="preserve"> </w:t>
      </w:r>
      <w:r>
        <w:rPr>
          <w:sz w:val="16"/>
          <w:szCs w:val="16"/>
          <w:lang w:val="en-GB"/>
        </w:rPr>
        <w:t>It c</w:t>
      </w:r>
      <w:r w:rsidRPr="00956F60">
        <w:rPr>
          <w:sz w:val="16"/>
          <w:szCs w:val="16"/>
          <w:lang w:val="en-GB"/>
        </w:rPr>
        <w:t>orresponds to the balance of the budget chapter State debt</w:t>
      </w:r>
      <w:r>
        <w:rPr>
          <w:sz w:val="16"/>
          <w:szCs w:val="16"/>
          <w:lang w:val="en-GB"/>
        </w:rPr>
        <w:t xml:space="preserve">. </w:t>
      </w:r>
    </w:p>
  </w:footnote>
  <w:footnote w:id="86">
    <w:p w14:paraId="01845247" w14:textId="6DB38B36" w:rsidR="00073B58" w:rsidRPr="00E00CB7" w:rsidRDefault="00073B58" w:rsidP="00956F60">
      <w:pPr>
        <w:pStyle w:val="Textpoznpodarou"/>
        <w:jc w:val="both"/>
        <w:rPr>
          <w:spacing w:val="-4"/>
          <w:lang w:val="en-GB"/>
        </w:rPr>
      </w:pPr>
      <w:r w:rsidRPr="00E00CB7">
        <w:rPr>
          <w:rStyle w:val="Znakapoznpodarou"/>
          <w:spacing w:val="-4"/>
          <w:sz w:val="16"/>
          <w:szCs w:val="16"/>
          <w:lang w:val="en-GB"/>
        </w:rPr>
        <w:footnoteRef/>
      </w:r>
      <w:r w:rsidRPr="00E00CB7">
        <w:rPr>
          <w:spacing w:val="-4"/>
          <w:sz w:val="16"/>
          <w:szCs w:val="16"/>
          <w:lang w:val="en-GB"/>
        </w:rPr>
        <w:t xml:space="preserve"> It is expressed as the difference between revenues and expenditure on pensions form the SB. </w:t>
      </w:r>
      <w:r>
        <w:rPr>
          <w:spacing w:val="-4"/>
          <w:sz w:val="16"/>
          <w:szCs w:val="16"/>
          <w:lang w:val="en-GB"/>
        </w:rPr>
        <w:t xml:space="preserve">Expenditures do not contain the costs of administration of the pension insurance system. </w:t>
      </w:r>
    </w:p>
  </w:footnote>
  <w:footnote w:id="87">
    <w:p w14:paraId="4C550D30" w14:textId="3051D618" w:rsidR="00073B58" w:rsidRPr="00E00CB7" w:rsidRDefault="00073B58" w:rsidP="00956F60">
      <w:pPr>
        <w:autoSpaceDE w:val="0"/>
        <w:autoSpaceDN w:val="0"/>
        <w:adjustRightInd w:val="0"/>
        <w:spacing w:after="0" w:line="240" w:lineRule="auto"/>
        <w:rPr>
          <w:rFonts w:ascii="Calibri" w:eastAsia="Calibri" w:hAnsi="Calibri" w:cs="Calibri"/>
          <w:sz w:val="16"/>
          <w:szCs w:val="16"/>
          <w:lang w:val="en-GB" w:eastAsia="en-US"/>
        </w:rPr>
      </w:pPr>
      <w:r w:rsidRPr="00E00CB7">
        <w:rPr>
          <w:rStyle w:val="Znakapoznpodarou"/>
          <w:sz w:val="16"/>
          <w:szCs w:val="16"/>
          <w:lang w:val="en-GB"/>
        </w:rPr>
        <w:footnoteRef/>
      </w:r>
      <w:r w:rsidRPr="00E00CB7">
        <w:rPr>
          <w:sz w:val="16"/>
          <w:szCs w:val="16"/>
          <w:lang w:val="en-GB"/>
        </w:rPr>
        <w:t xml:space="preserve"> </w:t>
      </w:r>
      <w:r>
        <w:rPr>
          <w:sz w:val="16"/>
          <w:szCs w:val="16"/>
          <w:lang w:val="en-GB"/>
        </w:rPr>
        <w:t xml:space="preserve">Lower expenditures on the weight significant parental allowances </w:t>
      </w:r>
      <w:r w:rsidRPr="00E00CB7">
        <w:rPr>
          <w:sz w:val="16"/>
          <w:szCs w:val="16"/>
          <w:lang w:val="en-GB"/>
        </w:rPr>
        <w:t>(−7</w:t>
      </w:r>
      <w:r>
        <w:rPr>
          <w:sz w:val="16"/>
          <w:szCs w:val="16"/>
          <w:lang w:val="en-GB"/>
        </w:rPr>
        <w:t>.</w:t>
      </w:r>
      <w:r w:rsidRPr="00E00CB7">
        <w:rPr>
          <w:sz w:val="16"/>
          <w:szCs w:val="16"/>
          <w:lang w:val="en-GB"/>
        </w:rPr>
        <w:t>2%)</w:t>
      </w:r>
      <w:r>
        <w:rPr>
          <w:sz w:val="16"/>
          <w:szCs w:val="16"/>
          <w:lang w:val="en-GB"/>
        </w:rPr>
        <w:t xml:space="preserve"> mainly stood in the background</w:t>
      </w:r>
      <w:r w:rsidRPr="00E00CB7">
        <w:rPr>
          <w:sz w:val="16"/>
          <w:szCs w:val="16"/>
          <w:lang w:val="en-GB"/>
        </w:rPr>
        <w:t>,</w:t>
      </w:r>
      <w:r>
        <w:rPr>
          <w:sz w:val="16"/>
          <w:szCs w:val="16"/>
          <w:lang w:val="en-GB"/>
        </w:rPr>
        <w:t xml:space="preserve"> in contrast the income tested benefit experienced growth </w:t>
      </w:r>
      <w:r w:rsidRPr="00E00CB7">
        <w:rPr>
          <w:sz w:val="16"/>
          <w:szCs w:val="16"/>
          <w:lang w:val="en-GB"/>
        </w:rPr>
        <w:t xml:space="preserve">– </w:t>
      </w:r>
      <w:r>
        <w:rPr>
          <w:sz w:val="16"/>
          <w:szCs w:val="16"/>
          <w:lang w:val="en-GB"/>
        </w:rPr>
        <w:t>housing allowance</w:t>
      </w:r>
      <w:r w:rsidRPr="00E00CB7">
        <w:rPr>
          <w:sz w:val="16"/>
          <w:szCs w:val="16"/>
          <w:lang w:val="en-GB"/>
        </w:rPr>
        <w:t xml:space="preserve"> (+10</w:t>
      </w:r>
      <w:r>
        <w:rPr>
          <w:sz w:val="16"/>
          <w:szCs w:val="16"/>
          <w:lang w:val="en-GB"/>
        </w:rPr>
        <w:t>.</w:t>
      </w:r>
      <w:r w:rsidRPr="00E00CB7">
        <w:rPr>
          <w:sz w:val="16"/>
          <w:szCs w:val="16"/>
          <w:lang w:val="en-GB"/>
        </w:rPr>
        <w:t>2%) a</w:t>
      </w:r>
      <w:r>
        <w:rPr>
          <w:sz w:val="16"/>
          <w:szCs w:val="16"/>
          <w:lang w:val="en-GB"/>
        </w:rPr>
        <w:t xml:space="preserve">nd child allowance </w:t>
      </w:r>
      <w:r w:rsidRPr="00E00CB7">
        <w:rPr>
          <w:sz w:val="16"/>
          <w:szCs w:val="16"/>
          <w:lang w:val="en-GB"/>
        </w:rPr>
        <w:t>(+56</w:t>
      </w:r>
      <w:r>
        <w:rPr>
          <w:sz w:val="16"/>
          <w:szCs w:val="16"/>
          <w:lang w:val="en-GB"/>
        </w:rPr>
        <w:t>.</w:t>
      </w:r>
      <w:r w:rsidRPr="00E00CB7">
        <w:rPr>
          <w:sz w:val="16"/>
          <w:szCs w:val="16"/>
          <w:lang w:val="en-GB"/>
        </w:rPr>
        <w:t>5%).</w:t>
      </w:r>
      <w:r>
        <w:rPr>
          <w:sz w:val="16"/>
          <w:szCs w:val="16"/>
          <w:lang w:val="en-GB"/>
        </w:rPr>
        <w:t xml:space="preserve"> For the last mentioned item, the impact of legislative changes in force since last year</w:t>
      </w:r>
      <w:r>
        <w:rPr>
          <w:sz w:val="16"/>
          <w:szCs w:val="16"/>
          <w:lang w:val="en-US"/>
        </w:rPr>
        <w:t>’</w:t>
      </w:r>
      <w:r>
        <w:rPr>
          <w:sz w:val="16"/>
          <w:szCs w:val="16"/>
        </w:rPr>
        <w:t xml:space="preserve">s July </w:t>
      </w:r>
      <w:r w:rsidRPr="00E00CB7">
        <w:rPr>
          <w:sz w:val="16"/>
          <w:szCs w:val="16"/>
          <w:lang w:val="en-GB"/>
        </w:rPr>
        <w:t>(</w:t>
      </w:r>
      <w:r>
        <w:rPr>
          <w:sz w:val="16"/>
          <w:szCs w:val="16"/>
          <w:lang w:val="en-GB"/>
        </w:rPr>
        <w:t xml:space="preserve">especially increase of the limit of the relevant income establishing the right to the child allowance from </w:t>
      </w:r>
      <w:r w:rsidRPr="00E00CB7">
        <w:rPr>
          <w:sz w:val="16"/>
          <w:szCs w:val="16"/>
          <w:lang w:val="en-GB"/>
        </w:rPr>
        <w:t>2</w:t>
      </w:r>
      <w:r>
        <w:rPr>
          <w:sz w:val="16"/>
          <w:szCs w:val="16"/>
          <w:lang w:val="en-GB"/>
        </w:rPr>
        <w:t>.</w:t>
      </w:r>
      <w:r w:rsidRPr="00E00CB7">
        <w:rPr>
          <w:sz w:val="16"/>
          <w:szCs w:val="16"/>
          <w:lang w:val="en-GB"/>
        </w:rPr>
        <w:t>7</w:t>
      </w:r>
      <w:r>
        <w:rPr>
          <w:sz w:val="16"/>
          <w:szCs w:val="16"/>
          <w:lang w:val="en-GB"/>
        </w:rPr>
        <w:t xml:space="preserve"> to </w:t>
      </w:r>
      <w:r w:rsidRPr="00E00CB7">
        <w:rPr>
          <w:sz w:val="16"/>
          <w:szCs w:val="16"/>
          <w:lang w:val="en-GB"/>
        </w:rPr>
        <w:t>3</w:t>
      </w:r>
      <w:r>
        <w:rPr>
          <w:sz w:val="16"/>
          <w:szCs w:val="16"/>
          <w:lang w:val="en-GB"/>
        </w:rPr>
        <w:t>.</w:t>
      </w:r>
      <w:r w:rsidRPr="00E00CB7">
        <w:rPr>
          <w:sz w:val="16"/>
          <w:szCs w:val="16"/>
          <w:lang w:val="en-GB"/>
        </w:rPr>
        <w:t>4</w:t>
      </w:r>
      <w:r>
        <w:rPr>
          <w:sz w:val="16"/>
          <w:szCs w:val="16"/>
          <w:lang w:val="en-GB"/>
        </w:rPr>
        <w:t xml:space="preserve">multiple of the minimum subsistence amount and increase of the child allowance amount by </w:t>
      </w:r>
      <w:r w:rsidRPr="00E00CB7">
        <w:rPr>
          <w:sz w:val="16"/>
          <w:szCs w:val="16"/>
          <w:lang w:val="en-GB"/>
        </w:rPr>
        <w:t>26%).</w:t>
      </w:r>
    </w:p>
  </w:footnote>
  <w:footnote w:id="88">
    <w:p w14:paraId="75E7C865" w14:textId="675BAD0C" w:rsidR="00073B58" w:rsidRPr="00E00CB7" w:rsidRDefault="00073B58" w:rsidP="00956F60">
      <w:pPr>
        <w:pStyle w:val="Textpoznpodarou"/>
        <w:jc w:val="both"/>
        <w:rPr>
          <w:sz w:val="16"/>
          <w:szCs w:val="16"/>
          <w:lang w:val="en-GB"/>
        </w:rPr>
      </w:pPr>
      <w:r w:rsidRPr="00E00CB7">
        <w:rPr>
          <w:rStyle w:val="Znakapoznpodarou"/>
          <w:sz w:val="16"/>
          <w:szCs w:val="16"/>
          <w:lang w:val="en-GB"/>
        </w:rPr>
        <w:footnoteRef/>
      </w:r>
      <w:r w:rsidRPr="00E00CB7">
        <w:rPr>
          <w:sz w:val="16"/>
          <w:szCs w:val="16"/>
          <w:lang w:val="en-GB"/>
        </w:rPr>
        <w:t xml:space="preserve"> S</w:t>
      </w:r>
      <w:r>
        <w:rPr>
          <w:sz w:val="16"/>
          <w:szCs w:val="16"/>
          <w:lang w:val="en-GB"/>
        </w:rPr>
        <w:t xml:space="preserve">imilar half-yearly “run-up” of investment was however apparent also last year or in years </w:t>
      </w:r>
      <w:r w:rsidRPr="00E00CB7">
        <w:rPr>
          <w:sz w:val="16"/>
          <w:szCs w:val="16"/>
          <w:lang w:val="en-GB"/>
        </w:rPr>
        <w:t>2018 a</w:t>
      </w:r>
      <w:r>
        <w:rPr>
          <w:sz w:val="16"/>
          <w:szCs w:val="16"/>
          <w:lang w:val="en-GB"/>
        </w:rPr>
        <w:t>nd</w:t>
      </w:r>
      <w:r w:rsidRPr="00E00CB7">
        <w:rPr>
          <w:sz w:val="16"/>
          <w:szCs w:val="16"/>
          <w:lang w:val="en-GB"/>
        </w:rPr>
        <w:t xml:space="preserve"> 2019. </w:t>
      </w:r>
    </w:p>
  </w:footnote>
  <w:footnote w:id="89">
    <w:p w14:paraId="7564EB96" w14:textId="77777777" w:rsidR="00073B58" w:rsidRPr="00E00CB7" w:rsidRDefault="00073B58" w:rsidP="00956F60">
      <w:pPr>
        <w:pStyle w:val="Textpoznpodarou"/>
        <w:jc w:val="both"/>
        <w:rPr>
          <w:sz w:val="16"/>
          <w:szCs w:val="16"/>
          <w:lang w:val="en-GB"/>
        </w:rPr>
      </w:pPr>
      <w:r w:rsidRPr="00E00CB7">
        <w:rPr>
          <w:rStyle w:val="Znakapoznpodarou"/>
          <w:sz w:val="16"/>
          <w:szCs w:val="16"/>
          <w:lang w:val="en-GB"/>
        </w:rPr>
        <w:footnoteRef/>
      </w:r>
      <w:r w:rsidRPr="00E00CB7">
        <w:rPr>
          <w:sz w:val="16"/>
          <w:szCs w:val="16"/>
          <w:lang w:val="en-GB"/>
        </w:rPr>
        <w:t xml:space="preserve"> </w:t>
      </w:r>
      <w:r>
        <w:rPr>
          <w:sz w:val="16"/>
          <w:szCs w:val="16"/>
          <w:lang w:val="en-GB"/>
        </w:rPr>
        <w:t xml:space="preserve">It funds mainly the investment and reform projects of the EU member states via the national restoration plans. </w:t>
      </w:r>
      <w:r>
        <w:rPr>
          <w:rFonts w:cs="Arial"/>
          <w:color w:val="000000"/>
          <w:sz w:val="16"/>
          <w:szCs w:val="16"/>
          <w:lang w:val="en-GB"/>
        </w:rPr>
        <w:t xml:space="preserve">The CR started to draw on it for the first time this year. </w:t>
      </w:r>
    </w:p>
  </w:footnote>
  <w:footnote w:id="90">
    <w:p w14:paraId="0B879FF9" w14:textId="1D0ADD5E" w:rsidR="00073B58" w:rsidRPr="00956F60" w:rsidRDefault="00073B58" w:rsidP="00956F60">
      <w:pPr>
        <w:pStyle w:val="Textpoznpodarou"/>
        <w:jc w:val="both"/>
        <w:rPr>
          <w:sz w:val="16"/>
          <w:szCs w:val="16"/>
          <w:lang w:val="en-GB"/>
        </w:rPr>
      </w:pPr>
      <w:r w:rsidRPr="008C2F4A">
        <w:rPr>
          <w:rStyle w:val="Znakapoznpodarou"/>
          <w:sz w:val="16"/>
          <w:szCs w:val="16"/>
        </w:rPr>
        <w:footnoteRef/>
      </w:r>
      <w:r w:rsidRPr="008C2F4A">
        <w:rPr>
          <w:sz w:val="16"/>
          <w:szCs w:val="16"/>
        </w:rPr>
        <w:t xml:space="preserve"> </w:t>
      </w:r>
      <w:r>
        <w:rPr>
          <w:sz w:val="16"/>
          <w:szCs w:val="16"/>
          <w:lang w:val="en-GB"/>
        </w:rPr>
        <w:t>Data regarding the budget of government institutions for Q</w:t>
      </w:r>
      <w:r w:rsidRPr="00E56530">
        <w:rPr>
          <w:sz w:val="16"/>
          <w:szCs w:val="16"/>
          <w:lang w:val="en-GB"/>
        </w:rPr>
        <w:t>2</w:t>
      </w:r>
      <w:r>
        <w:rPr>
          <w:sz w:val="16"/>
          <w:szCs w:val="16"/>
          <w:lang w:val="en-GB"/>
        </w:rPr>
        <w:t xml:space="preserve"> 2</w:t>
      </w:r>
      <w:r w:rsidRPr="00E56530">
        <w:rPr>
          <w:sz w:val="16"/>
          <w:szCs w:val="16"/>
          <w:lang w:val="en-GB"/>
        </w:rPr>
        <w:t>02</w:t>
      </w:r>
      <w:r>
        <w:rPr>
          <w:sz w:val="16"/>
          <w:szCs w:val="16"/>
          <w:lang w:val="en-GB"/>
        </w:rPr>
        <w:t>2</w:t>
      </w:r>
      <w:r w:rsidRPr="00E56530">
        <w:rPr>
          <w:sz w:val="16"/>
          <w:szCs w:val="16"/>
          <w:lang w:val="en-GB"/>
        </w:rPr>
        <w:t xml:space="preserve"> </w:t>
      </w:r>
      <w:r>
        <w:rPr>
          <w:sz w:val="16"/>
          <w:szCs w:val="16"/>
          <w:lang w:val="en-GB"/>
        </w:rPr>
        <w:t>will be published by the CZSO on 3</w:t>
      </w:r>
      <w:r w:rsidRPr="00471D6A">
        <w:rPr>
          <w:sz w:val="16"/>
          <w:szCs w:val="16"/>
          <w:vertAlign w:val="superscript"/>
          <w:lang w:val="en-GB"/>
        </w:rPr>
        <w:t>rd</w:t>
      </w:r>
      <w:r>
        <w:rPr>
          <w:sz w:val="16"/>
          <w:szCs w:val="16"/>
          <w:lang w:val="en-GB"/>
        </w:rPr>
        <w:t xml:space="preserve"> October </w:t>
      </w:r>
      <w:r w:rsidRPr="00E56530">
        <w:rPr>
          <w:sz w:val="16"/>
          <w:szCs w:val="16"/>
          <w:lang w:val="en-GB"/>
        </w:rPr>
        <w:t>20</w:t>
      </w:r>
      <w:r>
        <w:rPr>
          <w:sz w:val="16"/>
          <w:szCs w:val="16"/>
          <w:lang w:val="en-GB"/>
        </w:rPr>
        <w:t>2</w:t>
      </w:r>
      <w:r w:rsidRPr="00E56530">
        <w:rPr>
          <w:sz w:val="16"/>
          <w:szCs w:val="16"/>
          <w:lang w:val="en-GB"/>
        </w:rPr>
        <w:t>2</w:t>
      </w:r>
      <w:r>
        <w:rPr>
          <w:sz w:val="16"/>
          <w:szCs w:val="16"/>
          <w:lang w:val="en-GB"/>
        </w:rPr>
        <w:t>, Eurostat then on 21</w:t>
      </w:r>
      <w:r w:rsidRPr="00471D6A">
        <w:rPr>
          <w:sz w:val="16"/>
          <w:szCs w:val="16"/>
          <w:vertAlign w:val="superscript"/>
          <w:lang w:val="en-GB"/>
        </w:rPr>
        <w:t>st</w:t>
      </w:r>
      <w:r>
        <w:rPr>
          <w:sz w:val="16"/>
          <w:szCs w:val="16"/>
          <w:lang w:val="en-GB"/>
        </w:rPr>
        <w:t xml:space="preserve"> October 2022</w:t>
      </w:r>
      <w:r w:rsidRPr="00E56530">
        <w:rPr>
          <w:sz w:val="16"/>
          <w:szCs w:val="16"/>
          <w:lang w:val="en-GB"/>
        </w:rPr>
        <w:t>.</w:t>
      </w:r>
      <w:r>
        <w:rPr>
          <w:sz w:val="16"/>
          <w:szCs w:val="16"/>
          <w:lang w:val="en-GB"/>
        </w:rPr>
        <w:t xml:space="preserve"> More detailed assessment of the development for this year</w:t>
      </w:r>
      <w:r>
        <w:rPr>
          <w:sz w:val="16"/>
          <w:szCs w:val="16"/>
          <w:lang w:val="en-US"/>
        </w:rPr>
        <w:t>’</w:t>
      </w:r>
      <w:r>
        <w:rPr>
          <w:sz w:val="16"/>
          <w:szCs w:val="16"/>
        </w:rPr>
        <w:t xml:space="preserve">s </w:t>
      </w:r>
      <w:r>
        <w:rPr>
          <w:sz w:val="16"/>
          <w:szCs w:val="16"/>
          <w:lang w:val="en-GB"/>
        </w:rPr>
        <w:t>Q1</w:t>
      </w:r>
      <w:r w:rsidRPr="00E56530">
        <w:rPr>
          <w:sz w:val="16"/>
          <w:szCs w:val="16"/>
          <w:lang w:val="en-GB"/>
        </w:rPr>
        <w:t> </w:t>
      </w:r>
      <w:r>
        <w:rPr>
          <w:sz w:val="16"/>
          <w:szCs w:val="16"/>
          <w:lang w:val="en-GB"/>
        </w:rPr>
        <w:t>is contained in the publication Analysis of the sector accounts</w:t>
      </w:r>
      <w:r w:rsidRPr="00E56530">
        <w:rPr>
          <w:sz w:val="16"/>
          <w:szCs w:val="16"/>
          <w:lang w:val="en-GB"/>
        </w:rPr>
        <w:t>:</w:t>
      </w:r>
    </w:p>
    <w:p w14:paraId="6D10CD26" w14:textId="77777777" w:rsidR="00073B58" w:rsidRPr="00956F60" w:rsidRDefault="00073B58" w:rsidP="00956F60">
      <w:pPr>
        <w:pStyle w:val="Textpoznpodarou"/>
        <w:jc w:val="both"/>
        <w:rPr>
          <w:sz w:val="16"/>
          <w:szCs w:val="16"/>
          <w:lang w:val="en-GB"/>
        </w:rPr>
      </w:pPr>
      <w:hyperlink r:id="rId2" w:history="1">
        <w:r w:rsidRPr="00956F60">
          <w:rPr>
            <w:rStyle w:val="Hypertextovodkaz"/>
            <w:sz w:val="16"/>
            <w:szCs w:val="16"/>
            <w:lang w:val="en-GB"/>
          </w:rPr>
          <w:t>https://www.czso.cz/csu/czso/cri/analyza-ctvrtletnich-sektorovych-uctu-1-ctvrtleti-2022</w:t>
        </w:r>
      </w:hyperlink>
    </w:p>
  </w:footnote>
  <w:footnote w:id="91">
    <w:p w14:paraId="389B25C3" w14:textId="44DB16BF" w:rsidR="00073B58" w:rsidRPr="00956F60" w:rsidRDefault="00073B58" w:rsidP="00956F60">
      <w:pPr>
        <w:pStyle w:val="Textpoznpodarou"/>
        <w:jc w:val="both"/>
        <w:rPr>
          <w:sz w:val="16"/>
          <w:szCs w:val="16"/>
          <w:lang w:val="en-GB"/>
        </w:rPr>
      </w:pPr>
      <w:r w:rsidRPr="00956F60">
        <w:rPr>
          <w:rStyle w:val="Znakapoznpodarou"/>
          <w:sz w:val="16"/>
          <w:szCs w:val="16"/>
          <w:lang w:val="en-GB"/>
        </w:rPr>
        <w:footnoteRef/>
      </w:r>
      <w:r w:rsidRPr="00956F60">
        <w:rPr>
          <w:sz w:val="16"/>
          <w:szCs w:val="16"/>
          <w:lang w:val="en-GB"/>
        </w:rPr>
        <w:t xml:space="preserve"> </w:t>
      </w:r>
      <w:r>
        <w:rPr>
          <w:sz w:val="16"/>
          <w:szCs w:val="16"/>
          <w:lang w:val="en-GB"/>
        </w:rPr>
        <w:t xml:space="preserve">Unless stated otherwise, data given below regarding the budget of sector </w:t>
      </w:r>
      <w:r w:rsidRPr="00956F60">
        <w:rPr>
          <w:sz w:val="16"/>
          <w:szCs w:val="16"/>
          <w:lang w:val="en-GB"/>
        </w:rPr>
        <w:t xml:space="preserve">VI </w:t>
      </w:r>
      <w:r>
        <w:rPr>
          <w:sz w:val="16"/>
          <w:szCs w:val="16"/>
          <w:lang w:val="en-GB"/>
        </w:rPr>
        <w:t xml:space="preserve">are expressed after seasonal adjustment.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5496D026" w:rsidR="00073B58" w:rsidRPr="00D060D1" w:rsidRDefault="00073B58" w:rsidP="00937AE2">
    <w:pPr>
      <w:pStyle w:val="Zhlav"/>
      <w:rPr>
        <w:lang w:val="en-GB"/>
      </w:rPr>
    </w:pPr>
    <w:r w:rsidRPr="00D060D1">
      <w:rPr>
        <w:lang w:val="en-GB"/>
      </w:rPr>
      <w:t>The Czech Economy Development</w:t>
    </w:r>
  </w:p>
  <w:p w14:paraId="3E881AB3" w14:textId="77777777" w:rsidR="00073B58" w:rsidRPr="006F5416" w:rsidRDefault="00073B58"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0E20256D" w:rsidR="00073B58" w:rsidRPr="00D060D1" w:rsidRDefault="00073B58" w:rsidP="00937AE2">
    <w:pPr>
      <w:pStyle w:val="Zhlav"/>
      <w:rPr>
        <w:lang w:val="en-GB"/>
      </w:rPr>
    </w:pPr>
    <w:r w:rsidRPr="00D060D1">
      <w:rPr>
        <w:lang w:val="en-GB"/>
      </w:rPr>
      <w:t>The Czech Economy Development</w:t>
    </w:r>
  </w:p>
  <w:p w14:paraId="57266714" w14:textId="77777777" w:rsidR="00073B58" w:rsidRPr="006F5416" w:rsidRDefault="00073B58"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AFB96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2A2B"/>
    <w:rsid w:val="0000370A"/>
    <w:rsid w:val="00003849"/>
    <w:rsid w:val="00003D02"/>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68D"/>
    <w:rsid w:val="00010702"/>
    <w:rsid w:val="00010A2C"/>
    <w:rsid w:val="0001128E"/>
    <w:rsid w:val="00011912"/>
    <w:rsid w:val="0001193B"/>
    <w:rsid w:val="00011E90"/>
    <w:rsid w:val="000129B7"/>
    <w:rsid w:val="0001387D"/>
    <w:rsid w:val="00014CE1"/>
    <w:rsid w:val="00014ED0"/>
    <w:rsid w:val="0001641E"/>
    <w:rsid w:val="00016420"/>
    <w:rsid w:val="00016BDB"/>
    <w:rsid w:val="00017B01"/>
    <w:rsid w:val="000200BE"/>
    <w:rsid w:val="000204E5"/>
    <w:rsid w:val="000205D1"/>
    <w:rsid w:val="00020F22"/>
    <w:rsid w:val="0002195D"/>
    <w:rsid w:val="00021F9B"/>
    <w:rsid w:val="000228AE"/>
    <w:rsid w:val="000230CC"/>
    <w:rsid w:val="000233D1"/>
    <w:rsid w:val="000234D6"/>
    <w:rsid w:val="00023D29"/>
    <w:rsid w:val="00024280"/>
    <w:rsid w:val="00024348"/>
    <w:rsid w:val="000243D4"/>
    <w:rsid w:val="00024449"/>
    <w:rsid w:val="00026109"/>
    <w:rsid w:val="0002622B"/>
    <w:rsid w:val="00026389"/>
    <w:rsid w:val="0002669F"/>
    <w:rsid w:val="000279E5"/>
    <w:rsid w:val="000305E0"/>
    <w:rsid w:val="00031AE0"/>
    <w:rsid w:val="00031BB2"/>
    <w:rsid w:val="000322EF"/>
    <w:rsid w:val="00032AE0"/>
    <w:rsid w:val="00033FCD"/>
    <w:rsid w:val="00034776"/>
    <w:rsid w:val="000348AF"/>
    <w:rsid w:val="00034B70"/>
    <w:rsid w:val="00034DF7"/>
    <w:rsid w:val="00034E68"/>
    <w:rsid w:val="000350C8"/>
    <w:rsid w:val="00036195"/>
    <w:rsid w:val="000374B2"/>
    <w:rsid w:val="000376C0"/>
    <w:rsid w:val="000403A7"/>
    <w:rsid w:val="00040632"/>
    <w:rsid w:val="00040A64"/>
    <w:rsid w:val="00041AFC"/>
    <w:rsid w:val="00041CEC"/>
    <w:rsid w:val="00041D02"/>
    <w:rsid w:val="00042596"/>
    <w:rsid w:val="00042A4A"/>
    <w:rsid w:val="00043A33"/>
    <w:rsid w:val="00044183"/>
    <w:rsid w:val="0004431D"/>
    <w:rsid w:val="00044AAC"/>
    <w:rsid w:val="00045426"/>
    <w:rsid w:val="0004694F"/>
    <w:rsid w:val="00046F2F"/>
    <w:rsid w:val="00047AD4"/>
    <w:rsid w:val="00047D54"/>
    <w:rsid w:val="00047EC5"/>
    <w:rsid w:val="0005054A"/>
    <w:rsid w:val="00050A87"/>
    <w:rsid w:val="00051506"/>
    <w:rsid w:val="00051A2E"/>
    <w:rsid w:val="000522E4"/>
    <w:rsid w:val="0005312A"/>
    <w:rsid w:val="00053713"/>
    <w:rsid w:val="0005434E"/>
    <w:rsid w:val="00054C5F"/>
    <w:rsid w:val="00055CB6"/>
    <w:rsid w:val="0005621E"/>
    <w:rsid w:val="00056628"/>
    <w:rsid w:val="000572DD"/>
    <w:rsid w:val="00057B1E"/>
    <w:rsid w:val="0006033F"/>
    <w:rsid w:val="000603ED"/>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65"/>
    <w:rsid w:val="000663F0"/>
    <w:rsid w:val="00066558"/>
    <w:rsid w:val="000671DB"/>
    <w:rsid w:val="00067982"/>
    <w:rsid w:val="0007053D"/>
    <w:rsid w:val="00070A87"/>
    <w:rsid w:val="000712B3"/>
    <w:rsid w:val="00071A7C"/>
    <w:rsid w:val="00071E38"/>
    <w:rsid w:val="00071E60"/>
    <w:rsid w:val="00072FF5"/>
    <w:rsid w:val="00073A5A"/>
    <w:rsid w:val="00073B58"/>
    <w:rsid w:val="000746AF"/>
    <w:rsid w:val="0007474E"/>
    <w:rsid w:val="00074988"/>
    <w:rsid w:val="0007512B"/>
    <w:rsid w:val="00075551"/>
    <w:rsid w:val="000767F5"/>
    <w:rsid w:val="00076CCB"/>
    <w:rsid w:val="00076D90"/>
    <w:rsid w:val="00077FF0"/>
    <w:rsid w:val="00081A55"/>
    <w:rsid w:val="0008263E"/>
    <w:rsid w:val="00082C19"/>
    <w:rsid w:val="00082F89"/>
    <w:rsid w:val="00083457"/>
    <w:rsid w:val="000837CD"/>
    <w:rsid w:val="00083B7F"/>
    <w:rsid w:val="00084BFF"/>
    <w:rsid w:val="00085395"/>
    <w:rsid w:val="000863DC"/>
    <w:rsid w:val="00086896"/>
    <w:rsid w:val="00086AC1"/>
    <w:rsid w:val="00086D19"/>
    <w:rsid w:val="0008729C"/>
    <w:rsid w:val="00087634"/>
    <w:rsid w:val="00087F2B"/>
    <w:rsid w:val="00090694"/>
    <w:rsid w:val="00090EE2"/>
    <w:rsid w:val="00090FC6"/>
    <w:rsid w:val="000913B1"/>
    <w:rsid w:val="0009190F"/>
    <w:rsid w:val="0009290F"/>
    <w:rsid w:val="00093241"/>
    <w:rsid w:val="00093868"/>
    <w:rsid w:val="000940BC"/>
    <w:rsid w:val="00094A84"/>
    <w:rsid w:val="00095025"/>
    <w:rsid w:val="00095135"/>
    <w:rsid w:val="0009626E"/>
    <w:rsid w:val="0009644D"/>
    <w:rsid w:val="00097191"/>
    <w:rsid w:val="000974D1"/>
    <w:rsid w:val="00097784"/>
    <w:rsid w:val="0009799E"/>
    <w:rsid w:val="00097E48"/>
    <w:rsid w:val="000A07CB"/>
    <w:rsid w:val="000A0BC0"/>
    <w:rsid w:val="000A1183"/>
    <w:rsid w:val="000A12ED"/>
    <w:rsid w:val="000A17BB"/>
    <w:rsid w:val="000A1D49"/>
    <w:rsid w:val="000A212B"/>
    <w:rsid w:val="000A242D"/>
    <w:rsid w:val="000A256D"/>
    <w:rsid w:val="000A2643"/>
    <w:rsid w:val="000A2E5F"/>
    <w:rsid w:val="000A3A2C"/>
    <w:rsid w:val="000A3D9E"/>
    <w:rsid w:val="000A4A54"/>
    <w:rsid w:val="000A4ED9"/>
    <w:rsid w:val="000A50C7"/>
    <w:rsid w:val="000A5DB7"/>
    <w:rsid w:val="000A6597"/>
    <w:rsid w:val="000A6753"/>
    <w:rsid w:val="000A6D94"/>
    <w:rsid w:val="000A7377"/>
    <w:rsid w:val="000A74A4"/>
    <w:rsid w:val="000A775A"/>
    <w:rsid w:val="000A7D63"/>
    <w:rsid w:val="000A7FF4"/>
    <w:rsid w:val="000B03CC"/>
    <w:rsid w:val="000B0842"/>
    <w:rsid w:val="000B2B79"/>
    <w:rsid w:val="000B4212"/>
    <w:rsid w:val="000B54B5"/>
    <w:rsid w:val="000B67B7"/>
    <w:rsid w:val="000B6A0A"/>
    <w:rsid w:val="000C0127"/>
    <w:rsid w:val="000C0CA6"/>
    <w:rsid w:val="000C0EA8"/>
    <w:rsid w:val="000C0EB2"/>
    <w:rsid w:val="000C13A2"/>
    <w:rsid w:val="000C21E7"/>
    <w:rsid w:val="000C23EC"/>
    <w:rsid w:val="000C26A2"/>
    <w:rsid w:val="000C290E"/>
    <w:rsid w:val="000C30C3"/>
    <w:rsid w:val="000C3408"/>
    <w:rsid w:val="000C35AB"/>
    <w:rsid w:val="000C3F7B"/>
    <w:rsid w:val="000C45A5"/>
    <w:rsid w:val="000C4769"/>
    <w:rsid w:val="000C4D56"/>
    <w:rsid w:val="000C5DFA"/>
    <w:rsid w:val="000C62C0"/>
    <w:rsid w:val="000C6306"/>
    <w:rsid w:val="000C6AFD"/>
    <w:rsid w:val="000C6C90"/>
    <w:rsid w:val="000C72B7"/>
    <w:rsid w:val="000C7A79"/>
    <w:rsid w:val="000D0A26"/>
    <w:rsid w:val="000D13CB"/>
    <w:rsid w:val="000D1ECA"/>
    <w:rsid w:val="000D2196"/>
    <w:rsid w:val="000D246F"/>
    <w:rsid w:val="000D27C9"/>
    <w:rsid w:val="000D2C2E"/>
    <w:rsid w:val="000D2F9F"/>
    <w:rsid w:val="000D3058"/>
    <w:rsid w:val="000D310A"/>
    <w:rsid w:val="000D3EF4"/>
    <w:rsid w:val="000D4761"/>
    <w:rsid w:val="000D4DC0"/>
    <w:rsid w:val="000D55BA"/>
    <w:rsid w:val="000D5637"/>
    <w:rsid w:val="000D5A03"/>
    <w:rsid w:val="000D5BED"/>
    <w:rsid w:val="000D5ED3"/>
    <w:rsid w:val="000D616C"/>
    <w:rsid w:val="000D6AD9"/>
    <w:rsid w:val="000D6F4E"/>
    <w:rsid w:val="000D6FDA"/>
    <w:rsid w:val="000D73BB"/>
    <w:rsid w:val="000E0820"/>
    <w:rsid w:val="000E0E96"/>
    <w:rsid w:val="000E298B"/>
    <w:rsid w:val="000E2C7D"/>
    <w:rsid w:val="000E3E56"/>
    <w:rsid w:val="000E440D"/>
    <w:rsid w:val="000E4AC5"/>
    <w:rsid w:val="000E6253"/>
    <w:rsid w:val="000E6A04"/>
    <w:rsid w:val="000E6AC4"/>
    <w:rsid w:val="000E6E4D"/>
    <w:rsid w:val="000E6FBD"/>
    <w:rsid w:val="000E6FCB"/>
    <w:rsid w:val="000F090B"/>
    <w:rsid w:val="000F15F7"/>
    <w:rsid w:val="000F1AA2"/>
    <w:rsid w:val="000F378E"/>
    <w:rsid w:val="000F3F3B"/>
    <w:rsid w:val="000F4721"/>
    <w:rsid w:val="000F47E8"/>
    <w:rsid w:val="000F5C59"/>
    <w:rsid w:val="000F629E"/>
    <w:rsid w:val="000F70E4"/>
    <w:rsid w:val="000F76EA"/>
    <w:rsid w:val="001002DE"/>
    <w:rsid w:val="001006AB"/>
    <w:rsid w:val="00100A8B"/>
    <w:rsid w:val="00100F5C"/>
    <w:rsid w:val="001014D9"/>
    <w:rsid w:val="00101B15"/>
    <w:rsid w:val="00101CDA"/>
    <w:rsid w:val="00102037"/>
    <w:rsid w:val="00103DCB"/>
    <w:rsid w:val="001041F2"/>
    <w:rsid w:val="00104C4C"/>
    <w:rsid w:val="00105015"/>
    <w:rsid w:val="001055D2"/>
    <w:rsid w:val="001057C2"/>
    <w:rsid w:val="00105B09"/>
    <w:rsid w:val="0010707E"/>
    <w:rsid w:val="00107124"/>
    <w:rsid w:val="0011038E"/>
    <w:rsid w:val="00111573"/>
    <w:rsid w:val="00111E98"/>
    <w:rsid w:val="001125EF"/>
    <w:rsid w:val="00112CAB"/>
    <w:rsid w:val="0011440C"/>
    <w:rsid w:val="00114C33"/>
    <w:rsid w:val="00116D3F"/>
    <w:rsid w:val="00117474"/>
    <w:rsid w:val="00117623"/>
    <w:rsid w:val="00117642"/>
    <w:rsid w:val="00117FEA"/>
    <w:rsid w:val="001200CF"/>
    <w:rsid w:val="001208E3"/>
    <w:rsid w:val="00120F97"/>
    <w:rsid w:val="00121609"/>
    <w:rsid w:val="0012192F"/>
    <w:rsid w:val="00122994"/>
    <w:rsid w:val="00123204"/>
    <w:rsid w:val="00124B46"/>
    <w:rsid w:val="001257BE"/>
    <w:rsid w:val="001257E0"/>
    <w:rsid w:val="00125D69"/>
    <w:rsid w:val="00126538"/>
    <w:rsid w:val="00126A48"/>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5DA"/>
    <w:rsid w:val="001459BC"/>
    <w:rsid w:val="00145D5C"/>
    <w:rsid w:val="00146310"/>
    <w:rsid w:val="001502B9"/>
    <w:rsid w:val="00150ECA"/>
    <w:rsid w:val="00150FA4"/>
    <w:rsid w:val="00151707"/>
    <w:rsid w:val="00152C86"/>
    <w:rsid w:val="00152F4F"/>
    <w:rsid w:val="00153264"/>
    <w:rsid w:val="0015329F"/>
    <w:rsid w:val="00153378"/>
    <w:rsid w:val="00153D54"/>
    <w:rsid w:val="001544A1"/>
    <w:rsid w:val="001553B8"/>
    <w:rsid w:val="001554C2"/>
    <w:rsid w:val="00156D04"/>
    <w:rsid w:val="001571C0"/>
    <w:rsid w:val="0015753D"/>
    <w:rsid w:val="00157984"/>
    <w:rsid w:val="00157CC9"/>
    <w:rsid w:val="00160C21"/>
    <w:rsid w:val="001612F4"/>
    <w:rsid w:val="00161553"/>
    <w:rsid w:val="0016206D"/>
    <w:rsid w:val="0016216F"/>
    <w:rsid w:val="0016256B"/>
    <w:rsid w:val="00162C26"/>
    <w:rsid w:val="00162F81"/>
    <w:rsid w:val="00163793"/>
    <w:rsid w:val="00164CA1"/>
    <w:rsid w:val="00165313"/>
    <w:rsid w:val="001665AB"/>
    <w:rsid w:val="00167485"/>
    <w:rsid w:val="001679F5"/>
    <w:rsid w:val="00167B92"/>
    <w:rsid w:val="00167CB9"/>
    <w:rsid w:val="00167DD8"/>
    <w:rsid w:val="001705AD"/>
    <w:rsid w:val="001706D6"/>
    <w:rsid w:val="001714F2"/>
    <w:rsid w:val="00171BA9"/>
    <w:rsid w:val="00171E8E"/>
    <w:rsid w:val="00171FEA"/>
    <w:rsid w:val="00173622"/>
    <w:rsid w:val="001738A5"/>
    <w:rsid w:val="00173CB7"/>
    <w:rsid w:val="001742E7"/>
    <w:rsid w:val="00174501"/>
    <w:rsid w:val="00174965"/>
    <w:rsid w:val="00175B9F"/>
    <w:rsid w:val="00176217"/>
    <w:rsid w:val="001762F4"/>
    <w:rsid w:val="001777BA"/>
    <w:rsid w:val="00181029"/>
    <w:rsid w:val="00181BBC"/>
    <w:rsid w:val="00181E9D"/>
    <w:rsid w:val="00182D3C"/>
    <w:rsid w:val="0018385F"/>
    <w:rsid w:val="00183931"/>
    <w:rsid w:val="00183BCF"/>
    <w:rsid w:val="00184017"/>
    <w:rsid w:val="0018477D"/>
    <w:rsid w:val="001847BB"/>
    <w:rsid w:val="00184B08"/>
    <w:rsid w:val="00185010"/>
    <w:rsid w:val="001854F2"/>
    <w:rsid w:val="00185C22"/>
    <w:rsid w:val="00186BA9"/>
    <w:rsid w:val="00187D50"/>
    <w:rsid w:val="00190796"/>
    <w:rsid w:val="00190B4D"/>
    <w:rsid w:val="00191298"/>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DBF"/>
    <w:rsid w:val="001A1F68"/>
    <w:rsid w:val="001A21FA"/>
    <w:rsid w:val="001A4D7C"/>
    <w:rsid w:val="001A4DC3"/>
    <w:rsid w:val="001A4EF0"/>
    <w:rsid w:val="001A552F"/>
    <w:rsid w:val="001A6015"/>
    <w:rsid w:val="001A70B1"/>
    <w:rsid w:val="001A7672"/>
    <w:rsid w:val="001B01CB"/>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44E"/>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081"/>
    <w:rsid w:val="001C544D"/>
    <w:rsid w:val="001C5A8A"/>
    <w:rsid w:val="001C5C63"/>
    <w:rsid w:val="001C5E46"/>
    <w:rsid w:val="001C69CE"/>
    <w:rsid w:val="001C6B3B"/>
    <w:rsid w:val="001C7051"/>
    <w:rsid w:val="001C7A26"/>
    <w:rsid w:val="001C7E3F"/>
    <w:rsid w:val="001D0EF1"/>
    <w:rsid w:val="001D1A44"/>
    <w:rsid w:val="001D2029"/>
    <w:rsid w:val="001D22C2"/>
    <w:rsid w:val="001D2C99"/>
    <w:rsid w:val="001D3852"/>
    <w:rsid w:val="001D3B75"/>
    <w:rsid w:val="001D452E"/>
    <w:rsid w:val="001D4E19"/>
    <w:rsid w:val="001D54C1"/>
    <w:rsid w:val="001D556E"/>
    <w:rsid w:val="001D5DF2"/>
    <w:rsid w:val="001D6175"/>
    <w:rsid w:val="001D68B2"/>
    <w:rsid w:val="001D7EFD"/>
    <w:rsid w:val="001D7F60"/>
    <w:rsid w:val="001E085B"/>
    <w:rsid w:val="001E111C"/>
    <w:rsid w:val="001E149B"/>
    <w:rsid w:val="001E15CB"/>
    <w:rsid w:val="001E3227"/>
    <w:rsid w:val="001E3306"/>
    <w:rsid w:val="001E4452"/>
    <w:rsid w:val="001E504C"/>
    <w:rsid w:val="001E56AC"/>
    <w:rsid w:val="001E5A17"/>
    <w:rsid w:val="001E74C5"/>
    <w:rsid w:val="001F1236"/>
    <w:rsid w:val="001F1CAE"/>
    <w:rsid w:val="001F2F90"/>
    <w:rsid w:val="001F406B"/>
    <w:rsid w:val="001F4597"/>
    <w:rsid w:val="001F4826"/>
    <w:rsid w:val="001F4933"/>
    <w:rsid w:val="001F59C8"/>
    <w:rsid w:val="001F6CD3"/>
    <w:rsid w:val="001F75DA"/>
    <w:rsid w:val="001F7931"/>
    <w:rsid w:val="001F7CE0"/>
    <w:rsid w:val="00200085"/>
    <w:rsid w:val="00201633"/>
    <w:rsid w:val="00203332"/>
    <w:rsid w:val="00203CD5"/>
    <w:rsid w:val="00203D8F"/>
    <w:rsid w:val="00203DA4"/>
    <w:rsid w:val="00204EA6"/>
    <w:rsid w:val="00205186"/>
    <w:rsid w:val="0020549F"/>
    <w:rsid w:val="00206516"/>
    <w:rsid w:val="00206CF4"/>
    <w:rsid w:val="002070CF"/>
    <w:rsid w:val="002071D5"/>
    <w:rsid w:val="00210941"/>
    <w:rsid w:val="002111E5"/>
    <w:rsid w:val="0021149E"/>
    <w:rsid w:val="002118B9"/>
    <w:rsid w:val="00211E4A"/>
    <w:rsid w:val="00213691"/>
    <w:rsid w:val="002142C0"/>
    <w:rsid w:val="002151B4"/>
    <w:rsid w:val="00217BED"/>
    <w:rsid w:val="00217C5B"/>
    <w:rsid w:val="002208C9"/>
    <w:rsid w:val="00220A43"/>
    <w:rsid w:val="0022139E"/>
    <w:rsid w:val="00222729"/>
    <w:rsid w:val="0022287B"/>
    <w:rsid w:val="002228DB"/>
    <w:rsid w:val="00223185"/>
    <w:rsid w:val="00223264"/>
    <w:rsid w:val="002233D6"/>
    <w:rsid w:val="002235EA"/>
    <w:rsid w:val="002243FB"/>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8C7"/>
    <w:rsid w:val="00244A15"/>
    <w:rsid w:val="002452D9"/>
    <w:rsid w:val="00246649"/>
    <w:rsid w:val="00247319"/>
    <w:rsid w:val="002474FE"/>
    <w:rsid w:val="0024799E"/>
    <w:rsid w:val="00247E60"/>
    <w:rsid w:val="00251496"/>
    <w:rsid w:val="00251B08"/>
    <w:rsid w:val="00251C53"/>
    <w:rsid w:val="00251F7A"/>
    <w:rsid w:val="00252AB9"/>
    <w:rsid w:val="002532B1"/>
    <w:rsid w:val="00253C0F"/>
    <w:rsid w:val="00253ED9"/>
    <w:rsid w:val="002558C1"/>
    <w:rsid w:val="00256207"/>
    <w:rsid w:val="002575F3"/>
    <w:rsid w:val="002603E1"/>
    <w:rsid w:val="002605FE"/>
    <w:rsid w:val="0026120E"/>
    <w:rsid w:val="002617EE"/>
    <w:rsid w:val="0026183A"/>
    <w:rsid w:val="00261C26"/>
    <w:rsid w:val="00262582"/>
    <w:rsid w:val="002626B4"/>
    <w:rsid w:val="0026288F"/>
    <w:rsid w:val="0026291D"/>
    <w:rsid w:val="00262CF3"/>
    <w:rsid w:val="002631D6"/>
    <w:rsid w:val="00264309"/>
    <w:rsid w:val="00264992"/>
    <w:rsid w:val="00264B4F"/>
    <w:rsid w:val="00264B85"/>
    <w:rsid w:val="0026564B"/>
    <w:rsid w:val="0026588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881"/>
    <w:rsid w:val="00282AD4"/>
    <w:rsid w:val="0028341F"/>
    <w:rsid w:val="002837AE"/>
    <w:rsid w:val="00283C13"/>
    <w:rsid w:val="00283F7B"/>
    <w:rsid w:val="0028431A"/>
    <w:rsid w:val="002853FA"/>
    <w:rsid w:val="00285412"/>
    <w:rsid w:val="002857D3"/>
    <w:rsid w:val="00286220"/>
    <w:rsid w:val="0029110B"/>
    <w:rsid w:val="00291640"/>
    <w:rsid w:val="00291EBD"/>
    <w:rsid w:val="0029237E"/>
    <w:rsid w:val="00292997"/>
    <w:rsid w:val="00293043"/>
    <w:rsid w:val="00293D24"/>
    <w:rsid w:val="00293FC1"/>
    <w:rsid w:val="0029461A"/>
    <w:rsid w:val="00294F74"/>
    <w:rsid w:val="0029509B"/>
    <w:rsid w:val="0029588F"/>
    <w:rsid w:val="00295E96"/>
    <w:rsid w:val="00297256"/>
    <w:rsid w:val="00297A5C"/>
    <w:rsid w:val="00297D51"/>
    <w:rsid w:val="002A0122"/>
    <w:rsid w:val="002A016B"/>
    <w:rsid w:val="002A0B40"/>
    <w:rsid w:val="002A103E"/>
    <w:rsid w:val="002A16D4"/>
    <w:rsid w:val="002A1E4F"/>
    <w:rsid w:val="002A230C"/>
    <w:rsid w:val="002A23F9"/>
    <w:rsid w:val="002A2AF7"/>
    <w:rsid w:val="002A3209"/>
    <w:rsid w:val="002A35F7"/>
    <w:rsid w:val="002A38F3"/>
    <w:rsid w:val="002A3EA2"/>
    <w:rsid w:val="002A4701"/>
    <w:rsid w:val="002A4F23"/>
    <w:rsid w:val="002A51AC"/>
    <w:rsid w:val="002A532A"/>
    <w:rsid w:val="002A5846"/>
    <w:rsid w:val="002A5D3A"/>
    <w:rsid w:val="002A5D97"/>
    <w:rsid w:val="002A603E"/>
    <w:rsid w:val="002A63B9"/>
    <w:rsid w:val="002A6FCC"/>
    <w:rsid w:val="002A7089"/>
    <w:rsid w:val="002B0692"/>
    <w:rsid w:val="002B0763"/>
    <w:rsid w:val="002B1619"/>
    <w:rsid w:val="002B3DD7"/>
    <w:rsid w:val="002B3EF4"/>
    <w:rsid w:val="002B4845"/>
    <w:rsid w:val="002B5567"/>
    <w:rsid w:val="002B5812"/>
    <w:rsid w:val="002B6545"/>
    <w:rsid w:val="002B72AA"/>
    <w:rsid w:val="002B764D"/>
    <w:rsid w:val="002B7E7F"/>
    <w:rsid w:val="002C1110"/>
    <w:rsid w:val="002C1BC2"/>
    <w:rsid w:val="002C1F09"/>
    <w:rsid w:val="002C22A4"/>
    <w:rsid w:val="002C260B"/>
    <w:rsid w:val="002C27A6"/>
    <w:rsid w:val="002C288C"/>
    <w:rsid w:val="002C2EB0"/>
    <w:rsid w:val="002C31E4"/>
    <w:rsid w:val="002C398D"/>
    <w:rsid w:val="002C40D2"/>
    <w:rsid w:val="002C43BD"/>
    <w:rsid w:val="002C5245"/>
    <w:rsid w:val="002C564A"/>
    <w:rsid w:val="002C59D8"/>
    <w:rsid w:val="002C5FEB"/>
    <w:rsid w:val="002C6494"/>
    <w:rsid w:val="002D05CB"/>
    <w:rsid w:val="002D0E59"/>
    <w:rsid w:val="002D2127"/>
    <w:rsid w:val="002D2C4F"/>
    <w:rsid w:val="002D3EBB"/>
    <w:rsid w:val="002D455C"/>
    <w:rsid w:val="002D6066"/>
    <w:rsid w:val="002D6A4C"/>
    <w:rsid w:val="002E01AD"/>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59E"/>
    <w:rsid w:val="002E792B"/>
    <w:rsid w:val="002E7AEB"/>
    <w:rsid w:val="002E7B79"/>
    <w:rsid w:val="002F0C47"/>
    <w:rsid w:val="002F1B09"/>
    <w:rsid w:val="002F1D56"/>
    <w:rsid w:val="002F1DCB"/>
    <w:rsid w:val="002F1DE4"/>
    <w:rsid w:val="002F327C"/>
    <w:rsid w:val="002F333D"/>
    <w:rsid w:val="002F351A"/>
    <w:rsid w:val="002F357F"/>
    <w:rsid w:val="002F46D6"/>
    <w:rsid w:val="002F498A"/>
    <w:rsid w:val="002F4AD8"/>
    <w:rsid w:val="002F5285"/>
    <w:rsid w:val="002F5820"/>
    <w:rsid w:val="002F58CC"/>
    <w:rsid w:val="002F5F60"/>
    <w:rsid w:val="002F616A"/>
    <w:rsid w:val="002F64BB"/>
    <w:rsid w:val="002F7D9B"/>
    <w:rsid w:val="00300C31"/>
    <w:rsid w:val="003017EC"/>
    <w:rsid w:val="00302165"/>
    <w:rsid w:val="00303BB4"/>
    <w:rsid w:val="00304194"/>
    <w:rsid w:val="00304771"/>
    <w:rsid w:val="00304F9C"/>
    <w:rsid w:val="0030521E"/>
    <w:rsid w:val="003052D4"/>
    <w:rsid w:val="00305863"/>
    <w:rsid w:val="00305FE5"/>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7C6"/>
    <w:rsid w:val="00316B3D"/>
    <w:rsid w:val="00317343"/>
    <w:rsid w:val="0032058C"/>
    <w:rsid w:val="003208D0"/>
    <w:rsid w:val="003209D6"/>
    <w:rsid w:val="003217B9"/>
    <w:rsid w:val="00321924"/>
    <w:rsid w:val="00321AF1"/>
    <w:rsid w:val="00321EB6"/>
    <w:rsid w:val="003220A5"/>
    <w:rsid w:val="00322CF6"/>
    <w:rsid w:val="003238E0"/>
    <w:rsid w:val="00323A1C"/>
    <w:rsid w:val="00323A2F"/>
    <w:rsid w:val="0032417B"/>
    <w:rsid w:val="003247E1"/>
    <w:rsid w:val="00324B59"/>
    <w:rsid w:val="00325071"/>
    <w:rsid w:val="00325E46"/>
    <w:rsid w:val="003263F9"/>
    <w:rsid w:val="0032656E"/>
    <w:rsid w:val="0032788F"/>
    <w:rsid w:val="00332190"/>
    <w:rsid w:val="00332A98"/>
    <w:rsid w:val="003334BD"/>
    <w:rsid w:val="00333973"/>
    <w:rsid w:val="00333CD0"/>
    <w:rsid w:val="0033448D"/>
    <w:rsid w:val="00334AD2"/>
    <w:rsid w:val="00334CB6"/>
    <w:rsid w:val="00336F1E"/>
    <w:rsid w:val="0033709C"/>
    <w:rsid w:val="003370C5"/>
    <w:rsid w:val="003373C6"/>
    <w:rsid w:val="0033753A"/>
    <w:rsid w:val="00340BF3"/>
    <w:rsid w:val="00341D26"/>
    <w:rsid w:val="00341F05"/>
    <w:rsid w:val="0034210C"/>
    <w:rsid w:val="0034335E"/>
    <w:rsid w:val="003434C5"/>
    <w:rsid w:val="00344668"/>
    <w:rsid w:val="00344940"/>
    <w:rsid w:val="00344E77"/>
    <w:rsid w:val="00346234"/>
    <w:rsid w:val="003462D9"/>
    <w:rsid w:val="0034699F"/>
    <w:rsid w:val="0034723F"/>
    <w:rsid w:val="00347247"/>
    <w:rsid w:val="003474B6"/>
    <w:rsid w:val="00347DD4"/>
    <w:rsid w:val="00350580"/>
    <w:rsid w:val="00350B13"/>
    <w:rsid w:val="00352B43"/>
    <w:rsid w:val="00352C28"/>
    <w:rsid w:val="003541BB"/>
    <w:rsid w:val="00354F89"/>
    <w:rsid w:val="0035506D"/>
    <w:rsid w:val="0036077F"/>
    <w:rsid w:val="00360C86"/>
    <w:rsid w:val="00360F7A"/>
    <w:rsid w:val="00360FBC"/>
    <w:rsid w:val="00361537"/>
    <w:rsid w:val="00361FB7"/>
    <w:rsid w:val="0036242A"/>
    <w:rsid w:val="003627D3"/>
    <w:rsid w:val="00362C23"/>
    <w:rsid w:val="00362DCA"/>
    <w:rsid w:val="00362E90"/>
    <w:rsid w:val="00364FA0"/>
    <w:rsid w:val="003657F3"/>
    <w:rsid w:val="00365844"/>
    <w:rsid w:val="00365DA5"/>
    <w:rsid w:val="00365EF5"/>
    <w:rsid w:val="00365F61"/>
    <w:rsid w:val="0036624C"/>
    <w:rsid w:val="00366461"/>
    <w:rsid w:val="003667F6"/>
    <w:rsid w:val="00367F84"/>
    <w:rsid w:val="003712BC"/>
    <w:rsid w:val="00372164"/>
    <w:rsid w:val="003738BD"/>
    <w:rsid w:val="00374263"/>
    <w:rsid w:val="0037445E"/>
    <w:rsid w:val="003746F0"/>
    <w:rsid w:val="00374A20"/>
    <w:rsid w:val="00374B96"/>
    <w:rsid w:val="00374E21"/>
    <w:rsid w:val="0037537A"/>
    <w:rsid w:val="0037713E"/>
    <w:rsid w:val="00377B2E"/>
    <w:rsid w:val="00380C9B"/>
    <w:rsid w:val="0038102E"/>
    <w:rsid w:val="003810F0"/>
    <w:rsid w:val="003815D4"/>
    <w:rsid w:val="003818DC"/>
    <w:rsid w:val="003820ED"/>
    <w:rsid w:val="00382513"/>
    <w:rsid w:val="00382D80"/>
    <w:rsid w:val="00383388"/>
    <w:rsid w:val="003834F8"/>
    <w:rsid w:val="003838D0"/>
    <w:rsid w:val="003840C2"/>
    <w:rsid w:val="00384327"/>
    <w:rsid w:val="00384A89"/>
    <w:rsid w:val="00385086"/>
    <w:rsid w:val="00385D98"/>
    <w:rsid w:val="003866AA"/>
    <w:rsid w:val="00390306"/>
    <w:rsid w:val="003908A6"/>
    <w:rsid w:val="00390CE5"/>
    <w:rsid w:val="0039109D"/>
    <w:rsid w:val="00391989"/>
    <w:rsid w:val="00391A6C"/>
    <w:rsid w:val="003927F6"/>
    <w:rsid w:val="0039398D"/>
    <w:rsid w:val="00393B3F"/>
    <w:rsid w:val="0039402D"/>
    <w:rsid w:val="003962CA"/>
    <w:rsid w:val="00396739"/>
    <w:rsid w:val="003978B1"/>
    <w:rsid w:val="003A04F6"/>
    <w:rsid w:val="003A0837"/>
    <w:rsid w:val="003A2B4D"/>
    <w:rsid w:val="003A2D12"/>
    <w:rsid w:val="003A2E46"/>
    <w:rsid w:val="003A2EBA"/>
    <w:rsid w:val="003A3343"/>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C8D"/>
    <w:rsid w:val="003B1EA8"/>
    <w:rsid w:val="003B1F9D"/>
    <w:rsid w:val="003B2A8D"/>
    <w:rsid w:val="003B2AD1"/>
    <w:rsid w:val="003B2D2E"/>
    <w:rsid w:val="003B3135"/>
    <w:rsid w:val="003B376A"/>
    <w:rsid w:val="003B42C7"/>
    <w:rsid w:val="003B461F"/>
    <w:rsid w:val="003B483F"/>
    <w:rsid w:val="003B4998"/>
    <w:rsid w:val="003B5A32"/>
    <w:rsid w:val="003B5B59"/>
    <w:rsid w:val="003B709D"/>
    <w:rsid w:val="003B7B50"/>
    <w:rsid w:val="003C0B07"/>
    <w:rsid w:val="003C2284"/>
    <w:rsid w:val="003C2CE7"/>
    <w:rsid w:val="003C2DB8"/>
    <w:rsid w:val="003C3490"/>
    <w:rsid w:val="003C3608"/>
    <w:rsid w:val="003C3AE8"/>
    <w:rsid w:val="003C3D2C"/>
    <w:rsid w:val="003C4058"/>
    <w:rsid w:val="003C4E13"/>
    <w:rsid w:val="003C53AB"/>
    <w:rsid w:val="003C58A5"/>
    <w:rsid w:val="003C6221"/>
    <w:rsid w:val="003C63D7"/>
    <w:rsid w:val="003C672E"/>
    <w:rsid w:val="003C68CC"/>
    <w:rsid w:val="003C7D39"/>
    <w:rsid w:val="003C7E62"/>
    <w:rsid w:val="003D12B9"/>
    <w:rsid w:val="003D1A33"/>
    <w:rsid w:val="003D1E7A"/>
    <w:rsid w:val="003D242B"/>
    <w:rsid w:val="003D2492"/>
    <w:rsid w:val="003D29AA"/>
    <w:rsid w:val="003D2A99"/>
    <w:rsid w:val="003D4EFE"/>
    <w:rsid w:val="003D55EA"/>
    <w:rsid w:val="003D6920"/>
    <w:rsid w:val="003E0249"/>
    <w:rsid w:val="003E08A4"/>
    <w:rsid w:val="003E1EF8"/>
    <w:rsid w:val="003E2DFB"/>
    <w:rsid w:val="003E4466"/>
    <w:rsid w:val="003E4C91"/>
    <w:rsid w:val="003E52D8"/>
    <w:rsid w:val="003E585F"/>
    <w:rsid w:val="003E5FA9"/>
    <w:rsid w:val="003E62F1"/>
    <w:rsid w:val="003E6F84"/>
    <w:rsid w:val="003F0148"/>
    <w:rsid w:val="003F313C"/>
    <w:rsid w:val="003F33B1"/>
    <w:rsid w:val="003F33B9"/>
    <w:rsid w:val="003F37FC"/>
    <w:rsid w:val="003F3E76"/>
    <w:rsid w:val="003F4318"/>
    <w:rsid w:val="003F4B2C"/>
    <w:rsid w:val="003F551C"/>
    <w:rsid w:val="003F5A2B"/>
    <w:rsid w:val="003F5B3D"/>
    <w:rsid w:val="003F626D"/>
    <w:rsid w:val="003F72ED"/>
    <w:rsid w:val="003F778A"/>
    <w:rsid w:val="003F79B6"/>
    <w:rsid w:val="003F7D23"/>
    <w:rsid w:val="00400050"/>
    <w:rsid w:val="004002C8"/>
    <w:rsid w:val="00400468"/>
    <w:rsid w:val="0040099D"/>
    <w:rsid w:val="00400B87"/>
    <w:rsid w:val="004016CB"/>
    <w:rsid w:val="00401B23"/>
    <w:rsid w:val="00402ADB"/>
    <w:rsid w:val="0040368D"/>
    <w:rsid w:val="00403D1D"/>
    <w:rsid w:val="00403F57"/>
    <w:rsid w:val="00404398"/>
    <w:rsid w:val="004046BD"/>
    <w:rsid w:val="0040488D"/>
    <w:rsid w:val="00404BAB"/>
    <w:rsid w:val="004052EF"/>
    <w:rsid w:val="00405318"/>
    <w:rsid w:val="004059D2"/>
    <w:rsid w:val="00405FFC"/>
    <w:rsid w:val="004060C9"/>
    <w:rsid w:val="004066D0"/>
    <w:rsid w:val="00406B0D"/>
    <w:rsid w:val="00406C2E"/>
    <w:rsid w:val="00406CDA"/>
    <w:rsid w:val="00406EB0"/>
    <w:rsid w:val="00407711"/>
    <w:rsid w:val="0040772C"/>
    <w:rsid w:val="00407C13"/>
    <w:rsid w:val="004103F6"/>
    <w:rsid w:val="00410638"/>
    <w:rsid w:val="00412511"/>
    <w:rsid w:val="004125C2"/>
    <w:rsid w:val="00412DFA"/>
    <w:rsid w:val="00413465"/>
    <w:rsid w:val="004149AC"/>
    <w:rsid w:val="0041501E"/>
    <w:rsid w:val="00415452"/>
    <w:rsid w:val="004159C3"/>
    <w:rsid w:val="00415A57"/>
    <w:rsid w:val="00416730"/>
    <w:rsid w:val="00416DAC"/>
    <w:rsid w:val="00417068"/>
    <w:rsid w:val="00417106"/>
    <w:rsid w:val="00420792"/>
    <w:rsid w:val="00420880"/>
    <w:rsid w:val="00421179"/>
    <w:rsid w:val="004225D7"/>
    <w:rsid w:val="004227DA"/>
    <w:rsid w:val="00423623"/>
    <w:rsid w:val="0042425A"/>
    <w:rsid w:val="0042470E"/>
    <w:rsid w:val="00424B72"/>
    <w:rsid w:val="00425352"/>
    <w:rsid w:val="00425734"/>
    <w:rsid w:val="00426C99"/>
    <w:rsid w:val="004272BE"/>
    <w:rsid w:val="00427654"/>
    <w:rsid w:val="004305E4"/>
    <w:rsid w:val="00430C96"/>
    <w:rsid w:val="0043174F"/>
    <w:rsid w:val="00431BFF"/>
    <w:rsid w:val="00432199"/>
    <w:rsid w:val="00432A58"/>
    <w:rsid w:val="004331C3"/>
    <w:rsid w:val="00433C17"/>
    <w:rsid w:val="00434617"/>
    <w:rsid w:val="00434DE9"/>
    <w:rsid w:val="00435051"/>
    <w:rsid w:val="00435C69"/>
    <w:rsid w:val="004360FB"/>
    <w:rsid w:val="00437701"/>
    <w:rsid w:val="00437CED"/>
    <w:rsid w:val="004407BF"/>
    <w:rsid w:val="00440900"/>
    <w:rsid w:val="0044121D"/>
    <w:rsid w:val="00441BF6"/>
    <w:rsid w:val="00441D2B"/>
    <w:rsid w:val="00441F8B"/>
    <w:rsid w:val="00442085"/>
    <w:rsid w:val="0044279E"/>
    <w:rsid w:val="004441A0"/>
    <w:rsid w:val="00444618"/>
    <w:rsid w:val="00444C8C"/>
    <w:rsid w:val="00445861"/>
    <w:rsid w:val="00445A8E"/>
    <w:rsid w:val="00446D44"/>
    <w:rsid w:val="0045078A"/>
    <w:rsid w:val="0045086D"/>
    <w:rsid w:val="00450DAB"/>
    <w:rsid w:val="0045125B"/>
    <w:rsid w:val="00451E25"/>
    <w:rsid w:val="00451EF1"/>
    <w:rsid w:val="004521DF"/>
    <w:rsid w:val="00452E60"/>
    <w:rsid w:val="0045321B"/>
    <w:rsid w:val="00456FE5"/>
    <w:rsid w:val="00457490"/>
    <w:rsid w:val="00457744"/>
    <w:rsid w:val="0045778B"/>
    <w:rsid w:val="0045786C"/>
    <w:rsid w:val="00457953"/>
    <w:rsid w:val="0046011D"/>
    <w:rsid w:val="004604D8"/>
    <w:rsid w:val="00460656"/>
    <w:rsid w:val="00460FB3"/>
    <w:rsid w:val="00463205"/>
    <w:rsid w:val="00463D3C"/>
    <w:rsid w:val="00464851"/>
    <w:rsid w:val="00464990"/>
    <w:rsid w:val="00464BF5"/>
    <w:rsid w:val="00466595"/>
    <w:rsid w:val="00466B3E"/>
    <w:rsid w:val="0046746A"/>
    <w:rsid w:val="00467B14"/>
    <w:rsid w:val="004706ED"/>
    <w:rsid w:val="004707FE"/>
    <w:rsid w:val="00470EDC"/>
    <w:rsid w:val="00471533"/>
    <w:rsid w:val="00471D6A"/>
    <w:rsid w:val="00472418"/>
    <w:rsid w:val="0047276D"/>
    <w:rsid w:val="00472AF6"/>
    <w:rsid w:val="00473482"/>
    <w:rsid w:val="00473491"/>
    <w:rsid w:val="00474646"/>
    <w:rsid w:val="004748E0"/>
    <w:rsid w:val="00474A04"/>
    <w:rsid w:val="00476240"/>
    <w:rsid w:val="00476439"/>
    <w:rsid w:val="00476450"/>
    <w:rsid w:val="004764B7"/>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880"/>
    <w:rsid w:val="00484ECE"/>
    <w:rsid w:val="00485145"/>
    <w:rsid w:val="00485E4D"/>
    <w:rsid w:val="00485E82"/>
    <w:rsid w:val="00486132"/>
    <w:rsid w:val="0048686D"/>
    <w:rsid w:val="004868F4"/>
    <w:rsid w:val="00486A4D"/>
    <w:rsid w:val="00487FC3"/>
    <w:rsid w:val="004915CB"/>
    <w:rsid w:val="004924DC"/>
    <w:rsid w:val="00492879"/>
    <w:rsid w:val="00493E85"/>
    <w:rsid w:val="00494464"/>
    <w:rsid w:val="00495145"/>
    <w:rsid w:val="0049531F"/>
    <w:rsid w:val="00496A39"/>
    <w:rsid w:val="004979A5"/>
    <w:rsid w:val="004A0144"/>
    <w:rsid w:val="004A0328"/>
    <w:rsid w:val="004A036E"/>
    <w:rsid w:val="004A0498"/>
    <w:rsid w:val="004A06B0"/>
    <w:rsid w:val="004A0D0E"/>
    <w:rsid w:val="004A14E4"/>
    <w:rsid w:val="004A204E"/>
    <w:rsid w:val="004A2642"/>
    <w:rsid w:val="004A26A5"/>
    <w:rsid w:val="004A27F0"/>
    <w:rsid w:val="004A3212"/>
    <w:rsid w:val="004A37CD"/>
    <w:rsid w:val="004A40D9"/>
    <w:rsid w:val="004A49A5"/>
    <w:rsid w:val="004A4F8A"/>
    <w:rsid w:val="004A52AB"/>
    <w:rsid w:val="004A5494"/>
    <w:rsid w:val="004A5D4E"/>
    <w:rsid w:val="004A61C5"/>
    <w:rsid w:val="004A62A0"/>
    <w:rsid w:val="004A77B8"/>
    <w:rsid w:val="004A77DF"/>
    <w:rsid w:val="004B0A56"/>
    <w:rsid w:val="004B1417"/>
    <w:rsid w:val="004B18DF"/>
    <w:rsid w:val="004B1D3D"/>
    <w:rsid w:val="004B305C"/>
    <w:rsid w:val="004B31B8"/>
    <w:rsid w:val="004B339A"/>
    <w:rsid w:val="004B3BD0"/>
    <w:rsid w:val="004B4C83"/>
    <w:rsid w:val="004B55B7"/>
    <w:rsid w:val="004B5BFA"/>
    <w:rsid w:val="004B6005"/>
    <w:rsid w:val="004B619E"/>
    <w:rsid w:val="004B6468"/>
    <w:rsid w:val="004B6AC1"/>
    <w:rsid w:val="004B6EF8"/>
    <w:rsid w:val="004B7125"/>
    <w:rsid w:val="004B756A"/>
    <w:rsid w:val="004B7A0C"/>
    <w:rsid w:val="004B7FB1"/>
    <w:rsid w:val="004C06D6"/>
    <w:rsid w:val="004C0970"/>
    <w:rsid w:val="004C0B3F"/>
    <w:rsid w:val="004C0F87"/>
    <w:rsid w:val="004C1178"/>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438"/>
    <w:rsid w:val="004C6E0E"/>
    <w:rsid w:val="004C70DC"/>
    <w:rsid w:val="004C7100"/>
    <w:rsid w:val="004D0211"/>
    <w:rsid w:val="004D0794"/>
    <w:rsid w:val="004D07B9"/>
    <w:rsid w:val="004D0822"/>
    <w:rsid w:val="004D108E"/>
    <w:rsid w:val="004D122F"/>
    <w:rsid w:val="004D2A9A"/>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22B"/>
    <w:rsid w:val="004F3272"/>
    <w:rsid w:val="004F33A0"/>
    <w:rsid w:val="004F3873"/>
    <w:rsid w:val="004F3BD2"/>
    <w:rsid w:val="004F46ED"/>
    <w:rsid w:val="004F49A3"/>
    <w:rsid w:val="004F4C99"/>
    <w:rsid w:val="004F5358"/>
    <w:rsid w:val="004F55FA"/>
    <w:rsid w:val="004F6339"/>
    <w:rsid w:val="004F6484"/>
    <w:rsid w:val="004F6539"/>
    <w:rsid w:val="005021F1"/>
    <w:rsid w:val="00503D54"/>
    <w:rsid w:val="005040D3"/>
    <w:rsid w:val="005048E2"/>
    <w:rsid w:val="00504BA2"/>
    <w:rsid w:val="00505FC8"/>
    <w:rsid w:val="00506603"/>
    <w:rsid w:val="0050686E"/>
    <w:rsid w:val="0050689D"/>
    <w:rsid w:val="005077F5"/>
    <w:rsid w:val="005108C0"/>
    <w:rsid w:val="0051094F"/>
    <w:rsid w:val="00511217"/>
    <w:rsid w:val="00511873"/>
    <w:rsid w:val="0051190D"/>
    <w:rsid w:val="00511BAF"/>
    <w:rsid w:val="00512461"/>
    <w:rsid w:val="00512501"/>
    <w:rsid w:val="00512585"/>
    <w:rsid w:val="00512A2F"/>
    <w:rsid w:val="00513B7E"/>
    <w:rsid w:val="00513E9D"/>
    <w:rsid w:val="0051475D"/>
    <w:rsid w:val="00514B11"/>
    <w:rsid w:val="00514DED"/>
    <w:rsid w:val="0051500A"/>
    <w:rsid w:val="00515485"/>
    <w:rsid w:val="00515BE9"/>
    <w:rsid w:val="00515C74"/>
    <w:rsid w:val="00515CEB"/>
    <w:rsid w:val="0051630F"/>
    <w:rsid w:val="00516337"/>
    <w:rsid w:val="00517113"/>
    <w:rsid w:val="00517615"/>
    <w:rsid w:val="0052007E"/>
    <w:rsid w:val="0052032E"/>
    <w:rsid w:val="00520F4A"/>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728"/>
    <w:rsid w:val="00530A68"/>
    <w:rsid w:val="00530AD4"/>
    <w:rsid w:val="0053129F"/>
    <w:rsid w:val="00531C5A"/>
    <w:rsid w:val="00532CE7"/>
    <w:rsid w:val="00532D8B"/>
    <w:rsid w:val="0053324C"/>
    <w:rsid w:val="00533A8D"/>
    <w:rsid w:val="00534A28"/>
    <w:rsid w:val="00535018"/>
    <w:rsid w:val="0053595E"/>
    <w:rsid w:val="00537571"/>
    <w:rsid w:val="00540056"/>
    <w:rsid w:val="0054101E"/>
    <w:rsid w:val="005410E2"/>
    <w:rsid w:val="00541508"/>
    <w:rsid w:val="00541AE3"/>
    <w:rsid w:val="00542748"/>
    <w:rsid w:val="00543498"/>
    <w:rsid w:val="00544011"/>
    <w:rsid w:val="005441A8"/>
    <w:rsid w:val="00544BE5"/>
    <w:rsid w:val="005453A3"/>
    <w:rsid w:val="005455F6"/>
    <w:rsid w:val="0054582F"/>
    <w:rsid w:val="00546FC7"/>
    <w:rsid w:val="005500D6"/>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57EFC"/>
    <w:rsid w:val="00560825"/>
    <w:rsid w:val="00560C41"/>
    <w:rsid w:val="00560CAC"/>
    <w:rsid w:val="00561751"/>
    <w:rsid w:val="00561F44"/>
    <w:rsid w:val="00562015"/>
    <w:rsid w:val="005621B9"/>
    <w:rsid w:val="00562B4D"/>
    <w:rsid w:val="00562DB1"/>
    <w:rsid w:val="00563EB8"/>
    <w:rsid w:val="005647BF"/>
    <w:rsid w:val="00564AF1"/>
    <w:rsid w:val="005655DB"/>
    <w:rsid w:val="00565E88"/>
    <w:rsid w:val="005662F5"/>
    <w:rsid w:val="00567339"/>
    <w:rsid w:val="005678EE"/>
    <w:rsid w:val="00567910"/>
    <w:rsid w:val="00570270"/>
    <w:rsid w:val="00570464"/>
    <w:rsid w:val="00570BC3"/>
    <w:rsid w:val="0057182A"/>
    <w:rsid w:val="00571E59"/>
    <w:rsid w:val="00572079"/>
    <w:rsid w:val="00572900"/>
    <w:rsid w:val="00572C04"/>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D30"/>
    <w:rsid w:val="00590608"/>
    <w:rsid w:val="00590B28"/>
    <w:rsid w:val="00591187"/>
    <w:rsid w:val="005911BE"/>
    <w:rsid w:val="00591273"/>
    <w:rsid w:val="005915EA"/>
    <w:rsid w:val="00591E9E"/>
    <w:rsid w:val="005927A4"/>
    <w:rsid w:val="00593152"/>
    <w:rsid w:val="00593389"/>
    <w:rsid w:val="00593FE6"/>
    <w:rsid w:val="005956A3"/>
    <w:rsid w:val="00595958"/>
    <w:rsid w:val="00595CAB"/>
    <w:rsid w:val="0059622E"/>
    <w:rsid w:val="00597671"/>
    <w:rsid w:val="00597BBF"/>
    <w:rsid w:val="005A040C"/>
    <w:rsid w:val="005A0443"/>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2756"/>
    <w:rsid w:val="005B41C9"/>
    <w:rsid w:val="005B44E6"/>
    <w:rsid w:val="005B4853"/>
    <w:rsid w:val="005B62D1"/>
    <w:rsid w:val="005B6CA1"/>
    <w:rsid w:val="005B6F04"/>
    <w:rsid w:val="005B770C"/>
    <w:rsid w:val="005C06ED"/>
    <w:rsid w:val="005C0CE1"/>
    <w:rsid w:val="005C11B8"/>
    <w:rsid w:val="005C181B"/>
    <w:rsid w:val="005C19E3"/>
    <w:rsid w:val="005C216C"/>
    <w:rsid w:val="005C230A"/>
    <w:rsid w:val="005C2609"/>
    <w:rsid w:val="005C2B30"/>
    <w:rsid w:val="005C412B"/>
    <w:rsid w:val="005C43EC"/>
    <w:rsid w:val="005C45DD"/>
    <w:rsid w:val="005C4704"/>
    <w:rsid w:val="005C4CB1"/>
    <w:rsid w:val="005C70AB"/>
    <w:rsid w:val="005C771D"/>
    <w:rsid w:val="005D015C"/>
    <w:rsid w:val="005D1117"/>
    <w:rsid w:val="005D3F06"/>
    <w:rsid w:val="005D4608"/>
    <w:rsid w:val="005D4B73"/>
    <w:rsid w:val="005D533D"/>
    <w:rsid w:val="005D5645"/>
    <w:rsid w:val="005D5802"/>
    <w:rsid w:val="005D5AA9"/>
    <w:rsid w:val="005D66E6"/>
    <w:rsid w:val="005D7119"/>
    <w:rsid w:val="005D7508"/>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CB0"/>
    <w:rsid w:val="005F6D7F"/>
    <w:rsid w:val="005F6DFE"/>
    <w:rsid w:val="005F7174"/>
    <w:rsid w:val="005F724F"/>
    <w:rsid w:val="0060120D"/>
    <w:rsid w:val="006017C1"/>
    <w:rsid w:val="00601ADE"/>
    <w:rsid w:val="00601EEF"/>
    <w:rsid w:val="0060255A"/>
    <w:rsid w:val="00602998"/>
    <w:rsid w:val="00602EB3"/>
    <w:rsid w:val="00604307"/>
    <w:rsid w:val="0060487F"/>
    <w:rsid w:val="00604EAD"/>
    <w:rsid w:val="0060513F"/>
    <w:rsid w:val="006063BB"/>
    <w:rsid w:val="006065E2"/>
    <w:rsid w:val="0060694B"/>
    <w:rsid w:val="006104FB"/>
    <w:rsid w:val="0061176D"/>
    <w:rsid w:val="0061200F"/>
    <w:rsid w:val="00612756"/>
    <w:rsid w:val="00612A2F"/>
    <w:rsid w:val="00612AAE"/>
    <w:rsid w:val="00612B07"/>
    <w:rsid w:val="00612FD9"/>
    <w:rsid w:val="006139E0"/>
    <w:rsid w:val="00613A32"/>
    <w:rsid w:val="00613BAF"/>
    <w:rsid w:val="00614D35"/>
    <w:rsid w:val="006156B4"/>
    <w:rsid w:val="00615DAF"/>
    <w:rsid w:val="00616254"/>
    <w:rsid w:val="0061672A"/>
    <w:rsid w:val="00616E05"/>
    <w:rsid w:val="00617174"/>
    <w:rsid w:val="00617985"/>
    <w:rsid w:val="00620B77"/>
    <w:rsid w:val="00621190"/>
    <w:rsid w:val="0062131B"/>
    <w:rsid w:val="00621E26"/>
    <w:rsid w:val="006224EA"/>
    <w:rsid w:val="0062263A"/>
    <w:rsid w:val="006227DF"/>
    <w:rsid w:val="006234A0"/>
    <w:rsid w:val="006235CD"/>
    <w:rsid w:val="006236C8"/>
    <w:rsid w:val="00624093"/>
    <w:rsid w:val="006240A3"/>
    <w:rsid w:val="00625A19"/>
    <w:rsid w:val="00625A84"/>
    <w:rsid w:val="00626079"/>
    <w:rsid w:val="006305F7"/>
    <w:rsid w:val="00630741"/>
    <w:rsid w:val="00631698"/>
    <w:rsid w:val="00631E44"/>
    <w:rsid w:val="00632B4B"/>
    <w:rsid w:val="0063476C"/>
    <w:rsid w:val="00634C57"/>
    <w:rsid w:val="00634CE7"/>
    <w:rsid w:val="006350D5"/>
    <w:rsid w:val="006359F7"/>
    <w:rsid w:val="00635C51"/>
    <w:rsid w:val="0063642C"/>
    <w:rsid w:val="00636492"/>
    <w:rsid w:val="0063714C"/>
    <w:rsid w:val="006376B3"/>
    <w:rsid w:val="00637858"/>
    <w:rsid w:val="006404A7"/>
    <w:rsid w:val="00640A38"/>
    <w:rsid w:val="00640E6B"/>
    <w:rsid w:val="0064123E"/>
    <w:rsid w:val="00641787"/>
    <w:rsid w:val="0064179B"/>
    <w:rsid w:val="00642489"/>
    <w:rsid w:val="0064341F"/>
    <w:rsid w:val="00644055"/>
    <w:rsid w:val="00644137"/>
    <w:rsid w:val="0064478C"/>
    <w:rsid w:val="0064513D"/>
    <w:rsid w:val="00645160"/>
    <w:rsid w:val="006451E4"/>
    <w:rsid w:val="0064574B"/>
    <w:rsid w:val="006459DF"/>
    <w:rsid w:val="00645B33"/>
    <w:rsid w:val="00646B42"/>
    <w:rsid w:val="006516CB"/>
    <w:rsid w:val="00652E30"/>
    <w:rsid w:val="00653BD0"/>
    <w:rsid w:val="00654110"/>
    <w:rsid w:val="00654604"/>
    <w:rsid w:val="00656C5D"/>
    <w:rsid w:val="00656CFB"/>
    <w:rsid w:val="00656D25"/>
    <w:rsid w:val="00657E87"/>
    <w:rsid w:val="00660D2D"/>
    <w:rsid w:val="00661C41"/>
    <w:rsid w:val="00661E03"/>
    <w:rsid w:val="00661EC9"/>
    <w:rsid w:val="00661EF8"/>
    <w:rsid w:val="00662469"/>
    <w:rsid w:val="0066411C"/>
    <w:rsid w:val="00664205"/>
    <w:rsid w:val="00664647"/>
    <w:rsid w:val="00664803"/>
    <w:rsid w:val="0066502F"/>
    <w:rsid w:val="006653CC"/>
    <w:rsid w:val="00665982"/>
    <w:rsid w:val="00665A05"/>
    <w:rsid w:val="00665BA4"/>
    <w:rsid w:val="00666BF3"/>
    <w:rsid w:val="00667856"/>
    <w:rsid w:val="00667AF2"/>
    <w:rsid w:val="00670489"/>
    <w:rsid w:val="006710C9"/>
    <w:rsid w:val="00671D85"/>
    <w:rsid w:val="00672586"/>
    <w:rsid w:val="006727BC"/>
    <w:rsid w:val="006741CD"/>
    <w:rsid w:val="00674D89"/>
    <w:rsid w:val="0067514E"/>
    <w:rsid w:val="00675E37"/>
    <w:rsid w:val="0067623E"/>
    <w:rsid w:val="0067635D"/>
    <w:rsid w:val="00676736"/>
    <w:rsid w:val="006769A4"/>
    <w:rsid w:val="006769C6"/>
    <w:rsid w:val="00676D76"/>
    <w:rsid w:val="00676F9F"/>
    <w:rsid w:val="00677519"/>
    <w:rsid w:val="00677591"/>
    <w:rsid w:val="00677594"/>
    <w:rsid w:val="0067794F"/>
    <w:rsid w:val="00677FA3"/>
    <w:rsid w:val="0068032F"/>
    <w:rsid w:val="00680D37"/>
    <w:rsid w:val="00681060"/>
    <w:rsid w:val="0068174E"/>
    <w:rsid w:val="0068177E"/>
    <w:rsid w:val="00681DCE"/>
    <w:rsid w:val="00682110"/>
    <w:rsid w:val="0068260E"/>
    <w:rsid w:val="00683CE6"/>
    <w:rsid w:val="006846B3"/>
    <w:rsid w:val="00684B9B"/>
    <w:rsid w:val="00684D59"/>
    <w:rsid w:val="00684E25"/>
    <w:rsid w:val="006858A4"/>
    <w:rsid w:val="00685C08"/>
    <w:rsid w:val="00686718"/>
    <w:rsid w:val="00686A63"/>
    <w:rsid w:val="00686BFA"/>
    <w:rsid w:val="00686DED"/>
    <w:rsid w:val="00686DFB"/>
    <w:rsid w:val="006875A0"/>
    <w:rsid w:val="006878C6"/>
    <w:rsid w:val="00687D27"/>
    <w:rsid w:val="00691943"/>
    <w:rsid w:val="00691FB9"/>
    <w:rsid w:val="0069212C"/>
    <w:rsid w:val="00693550"/>
    <w:rsid w:val="00694622"/>
    <w:rsid w:val="006948DE"/>
    <w:rsid w:val="00695065"/>
    <w:rsid w:val="00695BEF"/>
    <w:rsid w:val="00696251"/>
    <w:rsid w:val="006966C7"/>
    <w:rsid w:val="006968C1"/>
    <w:rsid w:val="00696DBC"/>
    <w:rsid w:val="0069752C"/>
    <w:rsid w:val="006977B8"/>
    <w:rsid w:val="006977F6"/>
    <w:rsid w:val="00697A13"/>
    <w:rsid w:val="006A0DD4"/>
    <w:rsid w:val="006A109C"/>
    <w:rsid w:val="006A30E5"/>
    <w:rsid w:val="006A39A7"/>
    <w:rsid w:val="006A4E91"/>
    <w:rsid w:val="006A5F4B"/>
    <w:rsid w:val="006A6114"/>
    <w:rsid w:val="006A6565"/>
    <w:rsid w:val="006A7665"/>
    <w:rsid w:val="006A7691"/>
    <w:rsid w:val="006A7E73"/>
    <w:rsid w:val="006A7EE2"/>
    <w:rsid w:val="006B0514"/>
    <w:rsid w:val="006B0F92"/>
    <w:rsid w:val="006B2785"/>
    <w:rsid w:val="006B27C7"/>
    <w:rsid w:val="006B3006"/>
    <w:rsid w:val="006B344A"/>
    <w:rsid w:val="006B3B51"/>
    <w:rsid w:val="006B3EF1"/>
    <w:rsid w:val="006B4485"/>
    <w:rsid w:val="006B58C9"/>
    <w:rsid w:val="006B60ED"/>
    <w:rsid w:val="006B6CC5"/>
    <w:rsid w:val="006B74AC"/>
    <w:rsid w:val="006B757F"/>
    <w:rsid w:val="006B78D8"/>
    <w:rsid w:val="006B79EA"/>
    <w:rsid w:val="006C0C5D"/>
    <w:rsid w:val="006C113F"/>
    <w:rsid w:val="006C123E"/>
    <w:rsid w:val="006C15A1"/>
    <w:rsid w:val="006C1752"/>
    <w:rsid w:val="006C1DDC"/>
    <w:rsid w:val="006C28CA"/>
    <w:rsid w:val="006C2BBF"/>
    <w:rsid w:val="006C2FBD"/>
    <w:rsid w:val="006C3336"/>
    <w:rsid w:val="006C3495"/>
    <w:rsid w:val="006C36E1"/>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04D"/>
    <w:rsid w:val="006D18B3"/>
    <w:rsid w:val="006D1E89"/>
    <w:rsid w:val="006D26CE"/>
    <w:rsid w:val="006D2A74"/>
    <w:rsid w:val="006D317E"/>
    <w:rsid w:val="006D3E8A"/>
    <w:rsid w:val="006D47D9"/>
    <w:rsid w:val="006D61F6"/>
    <w:rsid w:val="006E1081"/>
    <w:rsid w:val="006E1332"/>
    <w:rsid w:val="006E19CB"/>
    <w:rsid w:val="006E2364"/>
    <w:rsid w:val="006E2589"/>
    <w:rsid w:val="006E279A"/>
    <w:rsid w:val="006E313B"/>
    <w:rsid w:val="006E34B2"/>
    <w:rsid w:val="006E3A45"/>
    <w:rsid w:val="006E4078"/>
    <w:rsid w:val="006E4F68"/>
    <w:rsid w:val="006E51C4"/>
    <w:rsid w:val="006E53AD"/>
    <w:rsid w:val="006E58CB"/>
    <w:rsid w:val="006E6A93"/>
    <w:rsid w:val="006E7227"/>
    <w:rsid w:val="006E7410"/>
    <w:rsid w:val="006E761A"/>
    <w:rsid w:val="006F0646"/>
    <w:rsid w:val="006F0741"/>
    <w:rsid w:val="006F0EE2"/>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448"/>
    <w:rsid w:val="007008A9"/>
    <w:rsid w:val="00700E8A"/>
    <w:rsid w:val="0070398A"/>
    <w:rsid w:val="00705242"/>
    <w:rsid w:val="007055E0"/>
    <w:rsid w:val="007056ED"/>
    <w:rsid w:val="00705C47"/>
    <w:rsid w:val="00705F4E"/>
    <w:rsid w:val="0070658E"/>
    <w:rsid w:val="007065C5"/>
    <w:rsid w:val="007068E1"/>
    <w:rsid w:val="00706AA0"/>
    <w:rsid w:val="00706AD4"/>
    <w:rsid w:val="00707150"/>
    <w:rsid w:val="00711CF9"/>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504"/>
    <w:rsid w:val="00721601"/>
    <w:rsid w:val="00722777"/>
    <w:rsid w:val="00723435"/>
    <w:rsid w:val="00723436"/>
    <w:rsid w:val="007240E2"/>
    <w:rsid w:val="0072454C"/>
    <w:rsid w:val="0072583E"/>
    <w:rsid w:val="00725BB5"/>
    <w:rsid w:val="00726978"/>
    <w:rsid w:val="00727C02"/>
    <w:rsid w:val="0073008E"/>
    <w:rsid w:val="00730A8B"/>
    <w:rsid w:val="00730AE8"/>
    <w:rsid w:val="00730F1B"/>
    <w:rsid w:val="007310AC"/>
    <w:rsid w:val="0073186D"/>
    <w:rsid w:val="0073261D"/>
    <w:rsid w:val="0073333D"/>
    <w:rsid w:val="007335AE"/>
    <w:rsid w:val="00733EF2"/>
    <w:rsid w:val="007343D9"/>
    <w:rsid w:val="00734F71"/>
    <w:rsid w:val="00735448"/>
    <w:rsid w:val="00736F07"/>
    <w:rsid w:val="007377BD"/>
    <w:rsid w:val="00737DEC"/>
    <w:rsid w:val="0074004D"/>
    <w:rsid w:val="00741493"/>
    <w:rsid w:val="007434E5"/>
    <w:rsid w:val="00743DB7"/>
    <w:rsid w:val="0074499B"/>
    <w:rsid w:val="0074501E"/>
    <w:rsid w:val="007450BF"/>
    <w:rsid w:val="0074599A"/>
    <w:rsid w:val="00746F45"/>
    <w:rsid w:val="007471A1"/>
    <w:rsid w:val="0074744D"/>
    <w:rsid w:val="007477BD"/>
    <w:rsid w:val="007477DA"/>
    <w:rsid w:val="00747EE9"/>
    <w:rsid w:val="007511CD"/>
    <w:rsid w:val="007520B6"/>
    <w:rsid w:val="007520F6"/>
    <w:rsid w:val="00752180"/>
    <w:rsid w:val="00752323"/>
    <w:rsid w:val="0075291E"/>
    <w:rsid w:val="007532B7"/>
    <w:rsid w:val="00753CAB"/>
    <w:rsid w:val="00754A70"/>
    <w:rsid w:val="00754BC9"/>
    <w:rsid w:val="00755202"/>
    <w:rsid w:val="00755D3A"/>
    <w:rsid w:val="00757140"/>
    <w:rsid w:val="00757241"/>
    <w:rsid w:val="0075751D"/>
    <w:rsid w:val="0075763E"/>
    <w:rsid w:val="007578D3"/>
    <w:rsid w:val="0076029B"/>
    <w:rsid w:val="007602CF"/>
    <w:rsid w:val="00760391"/>
    <w:rsid w:val="007609C6"/>
    <w:rsid w:val="007615F3"/>
    <w:rsid w:val="0076175D"/>
    <w:rsid w:val="00761CB5"/>
    <w:rsid w:val="007622B7"/>
    <w:rsid w:val="007629D5"/>
    <w:rsid w:val="007635F8"/>
    <w:rsid w:val="00763B85"/>
    <w:rsid w:val="00763DB7"/>
    <w:rsid w:val="007644A2"/>
    <w:rsid w:val="00764932"/>
    <w:rsid w:val="00764974"/>
    <w:rsid w:val="00764C76"/>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0D"/>
    <w:rsid w:val="00771972"/>
    <w:rsid w:val="007721AD"/>
    <w:rsid w:val="00772279"/>
    <w:rsid w:val="00772DAB"/>
    <w:rsid w:val="00772FF9"/>
    <w:rsid w:val="0077348B"/>
    <w:rsid w:val="007734F5"/>
    <w:rsid w:val="007743DB"/>
    <w:rsid w:val="00774D2C"/>
    <w:rsid w:val="007759C8"/>
    <w:rsid w:val="00775E00"/>
    <w:rsid w:val="0077605B"/>
    <w:rsid w:val="00776169"/>
    <w:rsid w:val="00776527"/>
    <w:rsid w:val="00777040"/>
    <w:rsid w:val="00777CE6"/>
    <w:rsid w:val="00777D57"/>
    <w:rsid w:val="00780EF1"/>
    <w:rsid w:val="00781A91"/>
    <w:rsid w:val="00781AD3"/>
    <w:rsid w:val="00781F36"/>
    <w:rsid w:val="00783576"/>
    <w:rsid w:val="00784492"/>
    <w:rsid w:val="00785778"/>
    <w:rsid w:val="00785890"/>
    <w:rsid w:val="00786C87"/>
    <w:rsid w:val="0078755E"/>
    <w:rsid w:val="007877C9"/>
    <w:rsid w:val="0079058A"/>
    <w:rsid w:val="00790764"/>
    <w:rsid w:val="0079085F"/>
    <w:rsid w:val="00790E96"/>
    <w:rsid w:val="00791005"/>
    <w:rsid w:val="00792007"/>
    <w:rsid w:val="007924BF"/>
    <w:rsid w:val="007932D3"/>
    <w:rsid w:val="00793597"/>
    <w:rsid w:val="00793D78"/>
    <w:rsid w:val="0079420B"/>
    <w:rsid w:val="0079453C"/>
    <w:rsid w:val="00794677"/>
    <w:rsid w:val="00794925"/>
    <w:rsid w:val="00795759"/>
    <w:rsid w:val="007971DC"/>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A7A92"/>
    <w:rsid w:val="007A7B13"/>
    <w:rsid w:val="007B04B0"/>
    <w:rsid w:val="007B0834"/>
    <w:rsid w:val="007B0E83"/>
    <w:rsid w:val="007B11FA"/>
    <w:rsid w:val="007B12AF"/>
    <w:rsid w:val="007B1396"/>
    <w:rsid w:val="007B16D6"/>
    <w:rsid w:val="007B1D1B"/>
    <w:rsid w:val="007B2011"/>
    <w:rsid w:val="007B2CFE"/>
    <w:rsid w:val="007B309B"/>
    <w:rsid w:val="007B3D5E"/>
    <w:rsid w:val="007B3DCB"/>
    <w:rsid w:val="007B54AE"/>
    <w:rsid w:val="007B561F"/>
    <w:rsid w:val="007B5725"/>
    <w:rsid w:val="007B5C1F"/>
    <w:rsid w:val="007B60D7"/>
    <w:rsid w:val="007B6689"/>
    <w:rsid w:val="007B66AD"/>
    <w:rsid w:val="007B6747"/>
    <w:rsid w:val="007B6F72"/>
    <w:rsid w:val="007B74AA"/>
    <w:rsid w:val="007B75E8"/>
    <w:rsid w:val="007C0069"/>
    <w:rsid w:val="007C06AF"/>
    <w:rsid w:val="007C09FB"/>
    <w:rsid w:val="007C10BD"/>
    <w:rsid w:val="007C162D"/>
    <w:rsid w:val="007C1EC4"/>
    <w:rsid w:val="007C1F0C"/>
    <w:rsid w:val="007C1FFB"/>
    <w:rsid w:val="007C289D"/>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171"/>
    <w:rsid w:val="007D42E5"/>
    <w:rsid w:val="007D4458"/>
    <w:rsid w:val="007D6A9F"/>
    <w:rsid w:val="007D6AF9"/>
    <w:rsid w:val="007D7763"/>
    <w:rsid w:val="007E0535"/>
    <w:rsid w:val="007E07F2"/>
    <w:rsid w:val="007E0D4A"/>
    <w:rsid w:val="007E0D64"/>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2DE"/>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4D33"/>
    <w:rsid w:val="0080559E"/>
    <w:rsid w:val="00805AF3"/>
    <w:rsid w:val="00806C9C"/>
    <w:rsid w:val="0080734C"/>
    <w:rsid w:val="00807C82"/>
    <w:rsid w:val="00810BD0"/>
    <w:rsid w:val="008117CC"/>
    <w:rsid w:val="00811FF8"/>
    <w:rsid w:val="0081294E"/>
    <w:rsid w:val="008129AC"/>
    <w:rsid w:val="00813D58"/>
    <w:rsid w:val="00813DCA"/>
    <w:rsid w:val="0081402B"/>
    <w:rsid w:val="008161A6"/>
    <w:rsid w:val="008165B8"/>
    <w:rsid w:val="00816905"/>
    <w:rsid w:val="00816D98"/>
    <w:rsid w:val="00816E42"/>
    <w:rsid w:val="00817040"/>
    <w:rsid w:val="00817A17"/>
    <w:rsid w:val="00817EC1"/>
    <w:rsid w:val="008207D1"/>
    <w:rsid w:val="00820D2A"/>
    <w:rsid w:val="0082112D"/>
    <w:rsid w:val="00821624"/>
    <w:rsid w:val="00821FF6"/>
    <w:rsid w:val="00822490"/>
    <w:rsid w:val="00822574"/>
    <w:rsid w:val="00822980"/>
    <w:rsid w:val="00822F08"/>
    <w:rsid w:val="0082371F"/>
    <w:rsid w:val="00824BA6"/>
    <w:rsid w:val="00825120"/>
    <w:rsid w:val="00825C4D"/>
    <w:rsid w:val="00826A08"/>
    <w:rsid w:val="00826AC0"/>
    <w:rsid w:val="00827094"/>
    <w:rsid w:val="00827186"/>
    <w:rsid w:val="00827C8E"/>
    <w:rsid w:val="00830569"/>
    <w:rsid w:val="00830AEA"/>
    <w:rsid w:val="00830E86"/>
    <w:rsid w:val="0083143E"/>
    <w:rsid w:val="008315B8"/>
    <w:rsid w:val="008315D5"/>
    <w:rsid w:val="00831CDE"/>
    <w:rsid w:val="00831F2B"/>
    <w:rsid w:val="008320CF"/>
    <w:rsid w:val="008324A3"/>
    <w:rsid w:val="00832B76"/>
    <w:rsid w:val="00832F77"/>
    <w:rsid w:val="008331B4"/>
    <w:rsid w:val="00834304"/>
    <w:rsid w:val="00834336"/>
    <w:rsid w:val="00834FAA"/>
    <w:rsid w:val="008354FB"/>
    <w:rsid w:val="00835FF1"/>
    <w:rsid w:val="00836086"/>
    <w:rsid w:val="0083630F"/>
    <w:rsid w:val="008369DA"/>
    <w:rsid w:val="00836A06"/>
    <w:rsid w:val="008374BC"/>
    <w:rsid w:val="0083785E"/>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669"/>
    <w:rsid w:val="00850E83"/>
    <w:rsid w:val="0085114D"/>
    <w:rsid w:val="00851163"/>
    <w:rsid w:val="008520A8"/>
    <w:rsid w:val="00852210"/>
    <w:rsid w:val="00852217"/>
    <w:rsid w:val="00853282"/>
    <w:rsid w:val="0085334C"/>
    <w:rsid w:val="00854291"/>
    <w:rsid w:val="00855408"/>
    <w:rsid w:val="00855D03"/>
    <w:rsid w:val="00856D65"/>
    <w:rsid w:val="00856FA4"/>
    <w:rsid w:val="00860943"/>
    <w:rsid w:val="00860D79"/>
    <w:rsid w:val="00861289"/>
    <w:rsid w:val="00861B41"/>
    <w:rsid w:val="00861B9F"/>
    <w:rsid w:val="00861BE3"/>
    <w:rsid w:val="008625D3"/>
    <w:rsid w:val="008627B1"/>
    <w:rsid w:val="00862C0A"/>
    <w:rsid w:val="00863434"/>
    <w:rsid w:val="0086344F"/>
    <w:rsid w:val="00863949"/>
    <w:rsid w:val="008641AC"/>
    <w:rsid w:val="00865E4C"/>
    <w:rsid w:val="00866074"/>
    <w:rsid w:val="0086720C"/>
    <w:rsid w:val="00867546"/>
    <w:rsid w:val="0086781C"/>
    <w:rsid w:val="00867934"/>
    <w:rsid w:val="0086796D"/>
    <w:rsid w:val="00867DAB"/>
    <w:rsid w:val="0087000B"/>
    <w:rsid w:val="008701E4"/>
    <w:rsid w:val="008704E9"/>
    <w:rsid w:val="008705FB"/>
    <w:rsid w:val="00870ECD"/>
    <w:rsid w:val="008710A4"/>
    <w:rsid w:val="0087186F"/>
    <w:rsid w:val="008726F0"/>
    <w:rsid w:val="0087347C"/>
    <w:rsid w:val="008734E7"/>
    <w:rsid w:val="0087368D"/>
    <w:rsid w:val="008740CC"/>
    <w:rsid w:val="0087442A"/>
    <w:rsid w:val="00874578"/>
    <w:rsid w:val="00874FE8"/>
    <w:rsid w:val="00875A32"/>
    <w:rsid w:val="00875CC1"/>
    <w:rsid w:val="00876086"/>
    <w:rsid w:val="00876297"/>
    <w:rsid w:val="00876651"/>
    <w:rsid w:val="00876E83"/>
    <w:rsid w:val="008772BC"/>
    <w:rsid w:val="00880A0E"/>
    <w:rsid w:val="00880C61"/>
    <w:rsid w:val="00880D68"/>
    <w:rsid w:val="008817FE"/>
    <w:rsid w:val="00881CD7"/>
    <w:rsid w:val="00882911"/>
    <w:rsid w:val="00882F6E"/>
    <w:rsid w:val="00883202"/>
    <w:rsid w:val="00884E02"/>
    <w:rsid w:val="0088502B"/>
    <w:rsid w:val="008851D8"/>
    <w:rsid w:val="008854EB"/>
    <w:rsid w:val="00885D40"/>
    <w:rsid w:val="008869C4"/>
    <w:rsid w:val="008873D4"/>
    <w:rsid w:val="00890CB1"/>
    <w:rsid w:val="00891D31"/>
    <w:rsid w:val="00891EDF"/>
    <w:rsid w:val="00892872"/>
    <w:rsid w:val="0089296D"/>
    <w:rsid w:val="00893E85"/>
    <w:rsid w:val="00893EBE"/>
    <w:rsid w:val="00893F40"/>
    <w:rsid w:val="00894029"/>
    <w:rsid w:val="00894031"/>
    <w:rsid w:val="00894C5D"/>
    <w:rsid w:val="00895508"/>
    <w:rsid w:val="008964BB"/>
    <w:rsid w:val="008967E9"/>
    <w:rsid w:val="00896A5C"/>
    <w:rsid w:val="00896AA1"/>
    <w:rsid w:val="00896E33"/>
    <w:rsid w:val="008972D2"/>
    <w:rsid w:val="0089754C"/>
    <w:rsid w:val="00897CFA"/>
    <w:rsid w:val="008A0659"/>
    <w:rsid w:val="008A0ADD"/>
    <w:rsid w:val="008A0D27"/>
    <w:rsid w:val="008A1A58"/>
    <w:rsid w:val="008A1C59"/>
    <w:rsid w:val="008A29A7"/>
    <w:rsid w:val="008A37E2"/>
    <w:rsid w:val="008A388E"/>
    <w:rsid w:val="008A394E"/>
    <w:rsid w:val="008A3CBA"/>
    <w:rsid w:val="008A4B59"/>
    <w:rsid w:val="008A58DB"/>
    <w:rsid w:val="008A63E1"/>
    <w:rsid w:val="008A66B7"/>
    <w:rsid w:val="008A68BB"/>
    <w:rsid w:val="008A6AA5"/>
    <w:rsid w:val="008A7127"/>
    <w:rsid w:val="008B0CBA"/>
    <w:rsid w:val="008B0E9E"/>
    <w:rsid w:val="008B2639"/>
    <w:rsid w:val="008B3537"/>
    <w:rsid w:val="008B3690"/>
    <w:rsid w:val="008B3A80"/>
    <w:rsid w:val="008B3AEC"/>
    <w:rsid w:val="008B3C07"/>
    <w:rsid w:val="008B3F7B"/>
    <w:rsid w:val="008B43CA"/>
    <w:rsid w:val="008B5068"/>
    <w:rsid w:val="008B50AC"/>
    <w:rsid w:val="008B5324"/>
    <w:rsid w:val="008B5C99"/>
    <w:rsid w:val="008B6106"/>
    <w:rsid w:val="008B7C02"/>
    <w:rsid w:val="008B7D2B"/>
    <w:rsid w:val="008B7EF9"/>
    <w:rsid w:val="008C0049"/>
    <w:rsid w:val="008C0314"/>
    <w:rsid w:val="008C0900"/>
    <w:rsid w:val="008C0E88"/>
    <w:rsid w:val="008C0EBE"/>
    <w:rsid w:val="008C1717"/>
    <w:rsid w:val="008C17F0"/>
    <w:rsid w:val="008C1CB5"/>
    <w:rsid w:val="008C3B05"/>
    <w:rsid w:val="008C3B6A"/>
    <w:rsid w:val="008C4A3C"/>
    <w:rsid w:val="008C4B50"/>
    <w:rsid w:val="008C5A37"/>
    <w:rsid w:val="008C5AB8"/>
    <w:rsid w:val="008C7132"/>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709"/>
    <w:rsid w:val="008D3ACD"/>
    <w:rsid w:val="008D6C3A"/>
    <w:rsid w:val="008D70E2"/>
    <w:rsid w:val="008D7BFE"/>
    <w:rsid w:val="008D7F47"/>
    <w:rsid w:val="008E0001"/>
    <w:rsid w:val="008E039E"/>
    <w:rsid w:val="008E0C88"/>
    <w:rsid w:val="008E292B"/>
    <w:rsid w:val="008E2C57"/>
    <w:rsid w:val="008E31FF"/>
    <w:rsid w:val="008E3287"/>
    <w:rsid w:val="008E36AE"/>
    <w:rsid w:val="008E38E4"/>
    <w:rsid w:val="008E3DFA"/>
    <w:rsid w:val="008E51EB"/>
    <w:rsid w:val="008E5746"/>
    <w:rsid w:val="008E5925"/>
    <w:rsid w:val="008E5997"/>
    <w:rsid w:val="008E64D7"/>
    <w:rsid w:val="008E6DCB"/>
    <w:rsid w:val="008E6F06"/>
    <w:rsid w:val="008E7000"/>
    <w:rsid w:val="008E723E"/>
    <w:rsid w:val="008E7B8E"/>
    <w:rsid w:val="008E7FC9"/>
    <w:rsid w:val="008F00AE"/>
    <w:rsid w:val="008F0107"/>
    <w:rsid w:val="008F029B"/>
    <w:rsid w:val="008F04BA"/>
    <w:rsid w:val="008F0589"/>
    <w:rsid w:val="008F0FBC"/>
    <w:rsid w:val="008F2A5D"/>
    <w:rsid w:val="008F2BC7"/>
    <w:rsid w:val="008F2E83"/>
    <w:rsid w:val="008F3636"/>
    <w:rsid w:val="008F3AD4"/>
    <w:rsid w:val="008F3FC9"/>
    <w:rsid w:val="008F509F"/>
    <w:rsid w:val="008F5383"/>
    <w:rsid w:val="008F585B"/>
    <w:rsid w:val="008F7FB0"/>
    <w:rsid w:val="009003A8"/>
    <w:rsid w:val="009005E4"/>
    <w:rsid w:val="0090081B"/>
    <w:rsid w:val="00900977"/>
    <w:rsid w:val="009011BB"/>
    <w:rsid w:val="00901C7F"/>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2C6"/>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66E"/>
    <w:rsid w:val="00920EC4"/>
    <w:rsid w:val="0092180B"/>
    <w:rsid w:val="00921F14"/>
    <w:rsid w:val="00922443"/>
    <w:rsid w:val="0092276B"/>
    <w:rsid w:val="0092292F"/>
    <w:rsid w:val="00922D28"/>
    <w:rsid w:val="00923970"/>
    <w:rsid w:val="00923CB0"/>
    <w:rsid w:val="00923D8C"/>
    <w:rsid w:val="00924871"/>
    <w:rsid w:val="00924AC8"/>
    <w:rsid w:val="00924D6B"/>
    <w:rsid w:val="00925429"/>
    <w:rsid w:val="00925615"/>
    <w:rsid w:val="0092597A"/>
    <w:rsid w:val="00926520"/>
    <w:rsid w:val="009266A3"/>
    <w:rsid w:val="00926CF0"/>
    <w:rsid w:val="009273A9"/>
    <w:rsid w:val="009301B5"/>
    <w:rsid w:val="00930251"/>
    <w:rsid w:val="0093033E"/>
    <w:rsid w:val="009305FC"/>
    <w:rsid w:val="00930A99"/>
    <w:rsid w:val="00930FB1"/>
    <w:rsid w:val="0093139F"/>
    <w:rsid w:val="009318C3"/>
    <w:rsid w:val="00932239"/>
    <w:rsid w:val="00932443"/>
    <w:rsid w:val="00932B32"/>
    <w:rsid w:val="0093305E"/>
    <w:rsid w:val="00933BFC"/>
    <w:rsid w:val="00933F4A"/>
    <w:rsid w:val="009341F1"/>
    <w:rsid w:val="00934FF2"/>
    <w:rsid w:val="009358D7"/>
    <w:rsid w:val="00935BD4"/>
    <w:rsid w:val="00935DFE"/>
    <w:rsid w:val="00935F70"/>
    <w:rsid w:val="0093648B"/>
    <w:rsid w:val="00937017"/>
    <w:rsid w:val="009373B2"/>
    <w:rsid w:val="00937AE2"/>
    <w:rsid w:val="009400F5"/>
    <w:rsid w:val="0094061F"/>
    <w:rsid w:val="00940F0F"/>
    <w:rsid w:val="00941912"/>
    <w:rsid w:val="00942393"/>
    <w:rsid w:val="0094416B"/>
    <w:rsid w:val="0094427A"/>
    <w:rsid w:val="009449C6"/>
    <w:rsid w:val="00944A17"/>
    <w:rsid w:val="00944C7C"/>
    <w:rsid w:val="00945245"/>
    <w:rsid w:val="00945523"/>
    <w:rsid w:val="00946C43"/>
    <w:rsid w:val="00950921"/>
    <w:rsid w:val="009513F7"/>
    <w:rsid w:val="00951D68"/>
    <w:rsid w:val="00951E5B"/>
    <w:rsid w:val="00952050"/>
    <w:rsid w:val="00952315"/>
    <w:rsid w:val="009523D9"/>
    <w:rsid w:val="00952B7B"/>
    <w:rsid w:val="0095357B"/>
    <w:rsid w:val="009538B3"/>
    <w:rsid w:val="00953B93"/>
    <w:rsid w:val="00954F39"/>
    <w:rsid w:val="009555FD"/>
    <w:rsid w:val="00955BAD"/>
    <w:rsid w:val="0095664B"/>
    <w:rsid w:val="009568DC"/>
    <w:rsid w:val="00956F60"/>
    <w:rsid w:val="00957140"/>
    <w:rsid w:val="00957445"/>
    <w:rsid w:val="0095759C"/>
    <w:rsid w:val="00960F4F"/>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928"/>
    <w:rsid w:val="00965A10"/>
    <w:rsid w:val="00965AD0"/>
    <w:rsid w:val="009670A3"/>
    <w:rsid w:val="009674BE"/>
    <w:rsid w:val="00967675"/>
    <w:rsid w:val="00970FB5"/>
    <w:rsid w:val="009715F2"/>
    <w:rsid w:val="00971710"/>
    <w:rsid w:val="00971B87"/>
    <w:rsid w:val="00971C77"/>
    <w:rsid w:val="0097203A"/>
    <w:rsid w:val="00972FCD"/>
    <w:rsid w:val="00973324"/>
    <w:rsid w:val="009736DF"/>
    <w:rsid w:val="009741AE"/>
    <w:rsid w:val="009741FC"/>
    <w:rsid w:val="00974475"/>
    <w:rsid w:val="00974782"/>
    <w:rsid w:val="00974923"/>
    <w:rsid w:val="009757EA"/>
    <w:rsid w:val="00975909"/>
    <w:rsid w:val="0097737B"/>
    <w:rsid w:val="009774CA"/>
    <w:rsid w:val="00977C3D"/>
    <w:rsid w:val="00980C28"/>
    <w:rsid w:val="00980D3D"/>
    <w:rsid w:val="0098103E"/>
    <w:rsid w:val="0098157D"/>
    <w:rsid w:val="00983101"/>
    <w:rsid w:val="00983E41"/>
    <w:rsid w:val="009845E1"/>
    <w:rsid w:val="00984D1B"/>
    <w:rsid w:val="00986246"/>
    <w:rsid w:val="00987A30"/>
    <w:rsid w:val="00987F57"/>
    <w:rsid w:val="00990312"/>
    <w:rsid w:val="0099182E"/>
    <w:rsid w:val="00991957"/>
    <w:rsid w:val="00991D45"/>
    <w:rsid w:val="00992BB3"/>
    <w:rsid w:val="00992CF3"/>
    <w:rsid w:val="00993194"/>
    <w:rsid w:val="0099321E"/>
    <w:rsid w:val="00994171"/>
    <w:rsid w:val="00994868"/>
    <w:rsid w:val="00994976"/>
    <w:rsid w:val="00994D28"/>
    <w:rsid w:val="00994F2C"/>
    <w:rsid w:val="00995720"/>
    <w:rsid w:val="009957CC"/>
    <w:rsid w:val="009968D6"/>
    <w:rsid w:val="00996BD9"/>
    <w:rsid w:val="00997213"/>
    <w:rsid w:val="009974E8"/>
    <w:rsid w:val="00997953"/>
    <w:rsid w:val="00997D55"/>
    <w:rsid w:val="009A0349"/>
    <w:rsid w:val="009A0BFF"/>
    <w:rsid w:val="009A10A0"/>
    <w:rsid w:val="009A1CAB"/>
    <w:rsid w:val="009A2359"/>
    <w:rsid w:val="009A24F1"/>
    <w:rsid w:val="009A27E0"/>
    <w:rsid w:val="009A2DBB"/>
    <w:rsid w:val="009A4D57"/>
    <w:rsid w:val="009A5049"/>
    <w:rsid w:val="009A51A5"/>
    <w:rsid w:val="009A5309"/>
    <w:rsid w:val="009A5759"/>
    <w:rsid w:val="009A60D1"/>
    <w:rsid w:val="009A6225"/>
    <w:rsid w:val="009A64F5"/>
    <w:rsid w:val="009B00D2"/>
    <w:rsid w:val="009B05B3"/>
    <w:rsid w:val="009B0CAF"/>
    <w:rsid w:val="009B1324"/>
    <w:rsid w:val="009B2558"/>
    <w:rsid w:val="009B284F"/>
    <w:rsid w:val="009B35A0"/>
    <w:rsid w:val="009B3764"/>
    <w:rsid w:val="009B3840"/>
    <w:rsid w:val="009B52AC"/>
    <w:rsid w:val="009B553D"/>
    <w:rsid w:val="009B59EA"/>
    <w:rsid w:val="009B66CE"/>
    <w:rsid w:val="009B6A37"/>
    <w:rsid w:val="009B6FD3"/>
    <w:rsid w:val="009B72BE"/>
    <w:rsid w:val="009B78A4"/>
    <w:rsid w:val="009B7DB2"/>
    <w:rsid w:val="009C03DB"/>
    <w:rsid w:val="009C15AF"/>
    <w:rsid w:val="009C1750"/>
    <w:rsid w:val="009C1E76"/>
    <w:rsid w:val="009C243F"/>
    <w:rsid w:val="009C2E29"/>
    <w:rsid w:val="009C3032"/>
    <w:rsid w:val="009C3170"/>
    <w:rsid w:val="009C37BD"/>
    <w:rsid w:val="009C3E8F"/>
    <w:rsid w:val="009C554B"/>
    <w:rsid w:val="009C5E83"/>
    <w:rsid w:val="009C6AE5"/>
    <w:rsid w:val="009C7126"/>
    <w:rsid w:val="009C719E"/>
    <w:rsid w:val="009C7238"/>
    <w:rsid w:val="009C7799"/>
    <w:rsid w:val="009D07A9"/>
    <w:rsid w:val="009D0AE2"/>
    <w:rsid w:val="009D0D9F"/>
    <w:rsid w:val="009D0EBB"/>
    <w:rsid w:val="009D2890"/>
    <w:rsid w:val="009D2C46"/>
    <w:rsid w:val="009D3ACD"/>
    <w:rsid w:val="009D3F73"/>
    <w:rsid w:val="009D4254"/>
    <w:rsid w:val="009D4847"/>
    <w:rsid w:val="009D4F21"/>
    <w:rsid w:val="009D587D"/>
    <w:rsid w:val="009D6EA6"/>
    <w:rsid w:val="009D7731"/>
    <w:rsid w:val="009D7C31"/>
    <w:rsid w:val="009E1120"/>
    <w:rsid w:val="009E1393"/>
    <w:rsid w:val="009E1922"/>
    <w:rsid w:val="009E1A3D"/>
    <w:rsid w:val="009E3EA1"/>
    <w:rsid w:val="009E4715"/>
    <w:rsid w:val="009E4A58"/>
    <w:rsid w:val="009E5273"/>
    <w:rsid w:val="009E57A8"/>
    <w:rsid w:val="009E5B85"/>
    <w:rsid w:val="009E5DDB"/>
    <w:rsid w:val="009E74B3"/>
    <w:rsid w:val="009F1CA6"/>
    <w:rsid w:val="009F2921"/>
    <w:rsid w:val="009F42CF"/>
    <w:rsid w:val="009F4982"/>
    <w:rsid w:val="009F4CA7"/>
    <w:rsid w:val="009F4F6A"/>
    <w:rsid w:val="009F55BA"/>
    <w:rsid w:val="009F7541"/>
    <w:rsid w:val="009F7D36"/>
    <w:rsid w:val="009F7D61"/>
    <w:rsid w:val="009F7DF4"/>
    <w:rsid w:val="00A00994"/>
    <w:rsid w:val="00A009B0"/>
    <w:rsid w:val="00A00E71"/>
    <w:rsid w:val="00A0187B"/>
    <w:rsid w:val="00A02E8B"/>
    <w:rsid w:val="00A0306F"/>
    <w:rsid w:val="00A03511"/>
    <w:rsid w:val="00A03B10"/>
    <w:rsid w:val="00A03E2E"/>
    <w:rsid w:val="00A04616"/>
    <w:rsid w:val="00A04717"/>
    <w:rsid w:val="00A05D8F"/>
    <w:rsid w:val="00A05EB1"/>
    <w:rsid w:val="00A05EE4"/>
    <w:rsid w:val="00A06F99"/>
    <w:rsid w:val="00A1004C"/>
    <w:rsid w:val="00A1053B"/>
    <w:rsid w:val="00A106E6"/>
    <w:rsid w:val="00A10D66"/>
    <w:rsid w:val="00A113A4"/>
    <w:rsid w:val="00A11E70"/>
    <w:rsid w:val="00A12A8E"/>
    <w:rsid w:val="00A12CAD"/>
    <w:rsid w:val="00A12D93"/>
    <w:rsid w:val="00A133F9"/>
    <w:rsid w:val="00A14114"/>
    <w:rsid w:val="00A1576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1ED3"/>
    <w:rsid w:val="00A22073"/>
    <w:rsid w:val="00A2229E"/>
    <w:rsid w:val="00A22361"/>
    <w:rsid w:val="00A223E0"/>
    <w:rsid w:val="00A22418"/>
    <w:rsid w:val="00A22959"/>
    <w:rsid w:val="00A2312C"/>
    <w:rsid w:val="00A23158"/>
    <w:rsid w:val="00A232D7"/>
    <w:rsid w:val="00A237C6"/>
    <w:rsid w:val="00A23847"/>
    <w:rsid w:val="00A23E43"/>
    <w:rsid w:val="00A24726"/>
    <w:rsid w:val="00A24DEB"/>
    <w:rsid w:val="00A24ED9"/>
    <w:rsid w:val="00A251DB"/>
    <w:rsid w:val="00A25216"/>
    <w:rsid w:val="00A252AC"/>
    <w:rsid w:val="00A2597D"/>
    <w:rsid w:val="00A2628E"/>
    <w:rsid w:val="00A264E0"/>
    <w:rsid w:val="00A264F5"/>
    <w:rsid w:val="00A266BF"/>
    <w:rsid w:val="00A26777"/>
    <w:rsid w:val="00A2731E"/>
    <w:rsid w:val="00A309AC"/>
    <w:rsid w:val="00A30F65"/>
    <w:rsid w:val="00A315D0"/>
    <w:rsid w:val="00A3279E"/>
    <w:rsid w:val="00A33DB1"/>
    <w:rsid w:val="00A33EEB"/>
    <w:rsid w:val="00A35900"/>
    <w:rsid w:val="00A35982"/>
    <w:rsid w:val="00A35F33"/>
    <w:rsid w:val="00A36E9D"/>
    <w:rsid w:val="00A401A3"/>
    <w:rsid w:val="00A4064D"/>
    <w:rsid w:val="00A40EAC"/>
    <w:rsid w:val="00A418BC"/>
    <w:rsid w:val="00A419FF"/>
    <w:rsid w:val="00A41FCF"/>
    <w:rsid w:val="00A42593"/>
    <w:rsid w:val="00A42936"/>
    <w:rsid w:val="00A433ED"/>
    <w:rsid w:val="00A43CF8"/>
    <w:rsid w:val="00A43DF2"/>
    <w:rsid w:val="00A445A8"/>
    <w:rsid w:val="00A44ADE"/>
    <w:rsid w:val="00A44B0D"/>
    <w:rsid w:val="00A44D21"/>
    <w:rsid w:val="00A45087"/>
    <w:rsid w:val="00A45489"/>
    <w:rsid w:val="00A45858"/>
    <w:rsid w:val="00A45988"/>
    <w:rsid w:val="00A45CED"/>
    <w:rsid w:val="00A465E9"/>
    <w:rsid w:val="00A468E7"/>
    <w:rsid w:val="00A46DE0"/>
    <w:rsid w:val="00A478BA"/>
    <w:rsid w:val="00A50D73"/>
    <w:rsid w:val="00A518BB"/>
    <w:rsid w:val="00A52A88"/>
    <w:rsid w:val="00A52CAD"/>
    <w:rsid w:val="00A53340"/>
    <w:rsid w:val="00A53FC7"/>
    <w:rsid w:val="00A55569"/>
    <w:rsid w:val="00A55C36"/>
    <w:rsid w:val="00A5661B"/>
    <w:rsid w:val="00A566A0"/>
    <w:rsid w:val="00A571D8"/>
    <w:rsid w:val="00A600E7"/>
    <w:rsid w:val="00A601E7"/>
    <w:rsid w:val="00A60AC1"/>
    <w:rsid w:val="00A626FF"/>
    <w:rsid w:val="00A62CB0"/>
    <w:rsid w:val="00A62CE1"/>
    <w:rsid w:val="00A65469"/>
    <w:rsid w:val="00A65528"/>
    <w:rsid w:val="00A655D3"/>
    <w:rsid w:val="00A662D9"/>
    <w:rsid w:val="00A6630C"/>
    <w:rsid w:val="00A6741E"/>
    <w:rsid w:val="00A67E29"/>
    <w:rsid w:val="00A7016A"/>
    <w:rsid w:val="00A7018D"/>
    <w:rsid w:val="00A7191D"/>
    <w:rsid w:val="00A722F9"/>
    <w:rsid w:val="00A72D42"/>
    <w:rsid w:val="00A73DB6"/>
    <w:rsid w:val="00A746C9"/>
    <w:rsid w:val="00A74C2A"/>
    <w:rsid w:val="00A75E40"/>
    <w:rsid w:val="00A76818"/>
    <w:rsid w:val="00A777FE"/>
    <w:rsid w:val="00A77D1D"/>
    <w:rsid w:val="00A77E6B"/>
    <w:rsid w:val="00A81652"/>
    <w:rsid w:val="00A82BF0"/>
    <w:rsid w:val="00A82C91"/>
    <w:rsid w:val="00A83150"/>
    <w:rsid w:val="00A83398"/>
    <w:rsid w:val="00A8394B"/>
    <w:rsid w:val="00A83D6E"/>
    <w:rsid w:val="00A83FD5"/>
    <w:rsid w:val="00A8521A"/>
    <w:rsid w:val="00A85323"/>
    <w:rsid w:val="00A853BF"/>
    <w:rsid w:val="00A857C0"/>
    <w:rsid w:val="00A85ACB"/>
    <w:rsid w:val="00A85DE3"/>
    <w:rsid w:val="00A85F12"/>
    <w:rsid w:val="00A86FEF"/>
    <w:rsid w:val="00A9036F"/>
    <w:rsid w:val="00A9092B"/>
    <w:rsid w:val="00A90F2C"/>
    <w:rsid w:val="00A90FED"/>
    <w:rsid w:val="00A91482"/>
    <w:rsid w:val="00A9189D"/>
    <w:rsid w:val="00A91E71"/>
    <w:rsid w:val="00A925B1"/>
    <w:rsid w:val="00A92A3E"/>
    <w:rsid w:val="00A934F9"/>
    <w:rsid w:val="00A938E0"/>
    <w:rsid w:val="00A940E3"/>
    <w:rsid w:val="00A942B7"/>
    <w:rsid w:val="00A94983"/>
    <w:rsid w:val="00A94DF9"/>
    <w:rsid w:val="00A9532C"/>
    <w:rsid w:val="00A95A5C"/>
    <w:rsid w:val="00A95F1A"/>
    <w:rsid w:val="00A96116"/>
    <w:rsid w:val="00A9614E"/>
    <w:rsid w:val="00A96422"/>
    <w:rsid w:val="00A96C0F"/>
    <w:rsid w:val="00A97075"/>
    <w:rsid w:val="00A970D7"/>
    <w:rsid w:val="00AA0A80"/>
    <w:rsid w:val="00AA0E80"/>
    <w:rsid w:val="00AA16F4"/>
    <w:rsid w:val="00AA17CD"/>
    <w:rsid w:val="00AA1D85"/>
    <w:rsid w:val="00AA212B"/>
    <w:rsid w:val="00AA212F"/>
    <w:rsid w:val="00AA2130"/>
    <w:rsid w:val="00AA2648"/>
    <w:rsid w:val="00AA26A9"/>
    <w:rsid w:val="00AA28FC"/>
    <w:rsid w:val="00AA2996"/>
    <w:rsid w:val="00AA2AF4"/>
    <w:rsid w:val="00AA3B9F"/>
    <w:rsid w:val="00AA4282"/>
    <w:rsid w:val="00AA43F2"/>
    <w:rsid w:val="00AA4790"/>
    <w:rsid w:val="00AA52BF"/>
    <w:rsid w:val="00AA559A"/>
    <w:rsid w:val="00AA67D6"/>
    <w:rsid w:val="00AA6C31"/>
    <w:rsid w:val="00AA7752"/>
    <w:rsid w:val="00AA7CE8"/>
    <w:rsid w:val="00AB1457"/>
    <w:rsid w:val="00AB2AF1"/>
    <w:rsid w:val="00AB32CB"/>
    <w:rsid w:val="00AB348F"/>
    <w:rsid w:val="00AB3AD7"/>
    <w:rsid w:val="00AB3BA7"/>
    <w:rsid w:val="00AB3EC7"/>
    <w:rsid w:val="00AB5A64"/>
    <w:rsid w:val="00AB5CA1"/>
    <w:rsid w:val="00AB6395"/>
    <w:rsid w:val="00AB6456"/>
    <w:rsid w:val="00AB75C5"/>
    <w:rsid w:val="00AC044E"/>
    <w:rsid w:val="00AC2118"/>
    <w:rsid w:val="00AC2395"/>
    <w:rsid w:val="00AC271D"/>
    <w:rsid w:val="00AC2960"/>
    <w:rsid w:val="00AC2AC4"/>
    <w:rsid w:val="00AC4284"/>
    <w:rsid w:val="00AC45BD"/>
    <w:rsid w:val="00AC50BB"/>
    <w:rsid w:val="00AC5256"/>
    <w:rsid w:val="00AC5AA9"/>
    <w:rsid w:val="00AC78F1"/>
    <w:rsid w:val="00AD0B22"/>
    <w:rsid w:val="00AD0EE7"/>
    <w:rsid w:val="00AD168E"/>
    <w:rsid w:val="00AD2530"/>
    <w:rsid w:val="00AD306C"/>
    <w:rsid w:val="00AD3A14"/>
    <w:rsid w:val="00AD44CD"/>
    <w:rsid w:val="00AD47A7"/>
    <w:rsid w:val="00AD5AD2"/>
    <w:rsid w:val="00AD6462"/>
    <w:rsid w:val="00AD66C5"/>
    <w:rsid w:val="00AD68C4"/>
    <w:rsid w:val="00AD71F9"/>
    <w:rsid w:val="00AE09B3"/>
    <w:rsid w:val="00AE1311"/>
    <w:rsid w:val="00AE18FB"/>
    <w:rsid w:val="00AE1A83"/>
    <w:rsid w:val="00AE2C25"/>
    <w:rsid w:val="00AE30BE"/>
    <w:rsid w:val="00AE3858"/>
    <w:rsid w:val="00AE3DAA"/>
    <w:rsid w:val="00AE3E6A"/>
    <w:rsid w:val="00AE417E"/>
    <w:rsid w:val="00AE56EE"/>
    <w:rsid w:val="00AE6414"/>
    <w:rsid w:val="00AE6A0F"/>
    <w:rsid w:val="00AE7269"/>
    <w:rsid w:val="00AE7739"/>
    <w:rsid w:val="00AE797C"/>
    <w:rsid w:val="00AE7CE7"/>
    <w:rsid w:val="00AE7FAB"/>
    <w:rsid w:val="00AF0DE4"/>
    <w:rsid w:val="00AF12A0"/>
    <w:rsid w:val="00AF1E87"/>
    <w:rsid w:val="00AF436B"/>
    <w:rsid w:val="00AF50DD"/>
    <w:rsid w:val="00AF5179"/>
    <w:rsid w:val="00AF5CC2"/>
    <w:rsid w:val="00AF660D"/>
    <w:rsid w:val="00AF6776"/>
    <w:rsid w:val="00AF6D54"/>
    <w:rsid w:val="00AF6F98"/>
    <w:rsid w:val="00AF7277"/>
    <w:rsid w:val="00B00550"/>
    <w:rsid w:val="00B00913"/>
    <w:rsid w:val="00B00D4D"/>
    <w:rsid w:val="00B01593"/>
    <w:rsid w:val="00B018DF"/>
    <w:rsid w:val="00B01D0F"/>
    <w:rsid w:val="00B01FF9"/>
    <w:rsid w:val="00B023F2"/>
    <w:rsid w:val="00B026FE"/>
    <w:rsid w:val="00B0271F"/>
    <w:rsid w:val="00B038CA"/>
    <w:rsid w:val="00B049A5"/>
    <w:rsid w:val="00B05F00"/>
    <w:rsid w:val="00B06DB4"/>
    <w:rsid w:val="00B07132"/>
    <w:rsid w:val="00B0750D"/>
    <w:rsid w:val="00B07674"/>
    <w:rsid w:val="00B07850"/>
    <w:rsid w:val="00B0799C"/>
    <w:rsid w:val="00B102CE"/>
    <w:rsid w:val="00B108C1"/>
    <w:rsid w:val="00B10A4D"/>
    <w:rsid w:val="00B10B82"/>
    <w:rsid w:val="00B10C90"/>
    <w:rsid w:val="00B11002"/>
    <w:rsid w:val="00B1114F"/>
    <w:rsid w:val="00B11A78"/>
    <w:rsid w:val="00B11B59"/>
    <w:rsid w:val="00B121B2"/>
    <w:rsid w:val="00B12B59"/>
    <w:rsid w:val="00B131B1"/>
    <w:rsid w:val="00B13671"/>
    <w:rsid w:val="00B141B6"/>
    <w:rsid w:val="00B14BC1"/>
    <w:rsid w:val="00B14E93"/>
    <w:rsid w:val="00B154DE"/>
    <w:rsid w:val="00B162C3"/>
    <w:rsid w:val="00B16DD1"/>
    <w:rsid w:val="00B16EB8"/>
    <w:rsid w:val="00B1700A"/>
    <w:rsid w:val="00B17E71"/>
    <w:rsid w:val="00B17FDE"/>
    <w:rsid w:val="00B20632"/>
    <w:rsid w:val="00B22210"/>
    <w:rsid w:val="00B22DD8"/>
    <w:rsid w:val="00B233BF"/>
    <w:rsid w:val="00B2379C"/>
    <w:rsid w:val="00B23D5D"/>
    <w:rsid w:val="00B23E6E"/>
    <w:rsid w:val="00B2450C"/>
    <w:rsid w:val="00B2464B"/>
    <w:rsid w:val="00B2501C"/>
    <w:rsid w:val="00B2687D"/>
    <w:rsid w:val="00B276F5"/>
    <w:rsid w:val="00B3108D"/>
    <w:rsid w:val="00B310AC"/>
    <w:rsid w:val="00B32DDB"/>
    <w:rsid w:val="00B32F31"/>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496"/>
    <w:rsid w:val="00B439DA"/>
    <w:rsid w:val="00B44097"/>
    <w:rsid w:val="00B4411A"/>
    <w:rsid w:val="00B44504"/>
    <w:rsid w:val="00B44566"/>
    <w:rsid w:val="00B45FE8"/>
    <w:rsid w:val="00B46604"/>
    <w:rsid w:val="00B47089"/>
    <w:rsid w:val="00B47587"/>
    <w:rsid w:val="00B5150A"/>
    <w:rsid w:val="00B51B36"/>
    <w:rsid w:val="00B52151"/>
    <w:rsid w:val="00B52188"/>
    <w:rsid w:val="00B530CD"/>
    <w:rsid w:val="00B53639"/>
    <w:rsid w:val="00B53C7D"/>
    <w:rsid w:val="00B53E56"/>
    <w:rsid w:val="00B55311"/>
    <w:rsid w:val="00B5597E"/>
    <w:rsid w:val="00B55A97"/>
    <w:rsid w:val="00B55F5E"/>
    <w:rsid w:val="00B5601B"/>
    <w:rsid w:val="00B56196"/>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67CA1"/>
    <w:rsid w:val="00B71FBF"/>
    <w:rsid w:val="00B734A0"/>
    <w:rsid w:val="00B73A14"/>
    <w:rsid w:val="00B73B91"/>
    <w:rsid w:val="00B74306"/>
    <w:rsid w:val="00B748BD"/>
    <w:rsid w:val="00B74FD7"/>
    <w:rsid w:val="00B754D6"/>
    <w:rsid w:val="00B76100"/>
    <w:rsid w:val="00B7680F"/>
    <w:rsid w:val="00B76B48"/>
    <w:rsid w:val="00B76D1E"/>
    <w:rsid w:val="00B77543"/>
    <w:rsid w:val="00B77584"/>
    <w:rsid w:val="00B77D23"/>
    <w:rsid w:val="00B77E34"/>
    <w:rsid w:val="00B80D44"/>
    <w:rsid w:val="00B80D89"/>
    <w:rsid w:val="00B80EC6"/>
    <w:rsid w:val="00B81288"/>
    <w:rsid w:val="00B8128A"/>
    <w:rsid w:val="00B81D70"/>
    <w:rsid w:val="00B81EBC"/>
    <w:rsid w:val="00B833B9"/>
    <w:rsid w:val="00B83AAF"/>
    <w:rsid w:val="00B83E07"/>
    <w:rsid w:val="00B84CF6"/>
    <w:rsid w:val="00B85016"/>
    <w:rsid w:val="00B8561A"/>
    <w:rsid w:val="00B86628"/>
    <w:rsid w:val="00B86643"/>
    <w:rsid w:val="00B868F7"/>
    <w:rsid w:val="00B86EB1"/>
    <w:rsid w:val="00B871A7"/>
    <w:rsid w:val="00B8792C"/>
    <w:rsid w:val="00B90131"/>
    <w:rsid w:val="00B9215C"/>
    <w:rsid w:val="00B9225C"/>
    <w:rsid w:val="00B92951"/>
    <w:rsid w:val="00B92D1D"/>
    <w:rsid w:val="00B92D7E"/>
    <w:rsid w:val="00B930CE"/>
    <w:rsid w:val="00B938C5"/>
    <w:rsid w:val="00B940A8"/>
    <w:rsid w:val="00B9554A"/>
    <w:rsid w:val="00B95940"/>
    <w:rsid w:val="00B95ACA"/>
    <w:rsid w:val="00B95C12"/>
    <w:rsid w:val="00B96035"/>
    <w:rsid w:val="00B96D74"/>
    <w:rsid w:val="00B9720E"/>
    <w:rsid w:val="00B973A0"/>
    <w:rsid w:val="00B97ACC"/>
    <w:rsid w:val="00B97FE2"/>
    <w:rsid w:val="00BA0E0B"/>
    <w:rsid w:val="00BA201A"/>
    <w:rsid w:val="00BA21DF"/>
    <w:rsid w:val="00BA2C4A"/>
    <w:rsid w:val="00BA361D"/>
    <w:rsid w:val="00BA3787"/>
    <w:rsid w:val="00BA403A"/>
    <w:rsid w:val="00BA4085"/>
    <w:rsid w:val="00BA4287"/>
    <w:rsid w:val="00BA46E8"/>
    <w:rsid w:val="00BA49DB"/>
    <w:rsid w:val="00BA4AE9"/>
    <w:rsid w:val="00BA4E19"/>
    <w:rsid w:val="00BA6436"/>
    <w:rsid w:val="00BA64F2"/>
    <w:rsid w:val="00BA684E"/>
    <w:rsid w:val="00BA6C2B"/>
    <w:rsid w:val="00BA7B64"/>
    <w:rsid w:val="00BB02A3"/>
    <w:rsid w:val="00BB0351"/>
    <w:rsid w:val="00BB0D48"/>
    <w:rsid w:val="00BB1209"/>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60A"/>
    <w:rsid w:val="00BC0930"/>
    <w:rsid w:val="00BC1537"/>
    <w:rsid w:val="00BC327F"/>
    <w:rsid w:val="00BC3512"/>
    <w:rsid w:val="00BC4A8C"/>
    <w:rsid w:val="00BC4B35"/>
    <w:rsid w:val="00BC50BE"/>
    <w:rsid w:val="00BC5332"/>
    <w:rsid w:val="00BC5715"/>
    <w:rsid w:val="00BC5C12"/>
    <w:rsid w:val="00BC641B"/>
    <w:rsid w:val="00BC69C7"/>
    <w:rsid w:val="00BC7154"/>
    <w:rsid w:val="00BC731E"/>
    <w:rsid w:val="00BC7614"/>
    <w:rsid w:val="00BC7BCB"/>
    <w:rsid w:val="00BC7EFA"/>
    <w:rsid w:val="00BD041B"/>
    <w:rsid w:val="00BD25BB"/>
    <w:rsid w:val="00BD2AF8"/>
    <w:rsid w:val="00BD366B"/>
    <w:rsid w:val="00BD3C09"/>
    <w:rsid w:val="00BD410B"/>
    <w:rsid w:val="00BD41DB"/>
    <w:rsid w:val="00BD4A73"/>
    <w:rsid w:val="00BD4EDD"/>
    <w:rsid w:val="00BD4EF4"/>
    <w:rsid w:val="00BD4EFA"/>
    <w:rsid w:val="00BD5822"/>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0AF"/>
    <w:rsid w:val="00BE7F5F"/>
    <w:rsid w:val="00BF02C8"/>
    <w:rsid w:val="00BF1481"/>
    <w:rsid w:val="00BF1578"/>
    <w:rsid w:val="00BF15CA"/>
    <w:rsid w:val="00BF1D12"/>
    <w:rsid w:val="00BF1D3A"/>
    <w:rsid w:val="00BF2B5B"/>
    <w:rsid w:val="00BF2D41"/>
    <w:rsid w:val="00BF3274"/>
    <w:rsid w:val="00BF32DC"/>
    <w:rsid w:val="00BF35C9"/>
    <w:rsid w:val="00BF4329"/>
    <w:rsid w:val="00BF4E43"/>
    <w:rsid w:val="00BF53D9"/>
    <w:rsid w:val="00BF5C4C"/>
    <w:rsid w:val="00BF765C"/>
    <w:rsid w:val="00BF77FC"/>
    <w:rsid w:val="00C000A4"/>
    <w:rsid w:val="00C006D6"/>
    <w:rsid w:val="00C00BD7"/>
    <w:rsid w:val="00C01410"/>
    <w:rsid w:val="00C015C0"/>
    <w:rsid w:val="00C02D23"/>
    <w:rsid w:val="00C03D4D"/>
    <w:rsid w:val="00C044F4"/>
    <w:rsid w:val="00C04B78"/>
    <w:rsid w:val="00C052AA"/>
    <w:rsid w:val="00C06EE3"/>
    <w:rsid w:val="00C07279"/>
    <w:rsid w:val="00C07749"/>
    <w:rsid w:val="00C07C67"/>
    <w:rsid w:val="00C102FB"/>
    <w:rsid w:val="00C107F8"/>
    <w:rsid w:val="00C11244"/>
    <w:rsid w:val="00C118A9"/>
    <w:rsid w:val="00C11D48"/>
    <w:rsid w:val="00C12304"/>
    <w:rsid w:val="00C12316"/>
    <w:rsid w:val="00C1234A"/>
    <w:rsid w:val="00C1246C"/>
    <w:rsid w:val="00C139F8"/>
    <w:rsid w:val="00C141AD"/>
    <w:rsid w:val="00C1493E"/>
    <w:rsid w:val="00C15708"/>
    <w:rsid w:val="00C15DBD"/>
    <w:rsid w:val="00C161C5"/>
    <w:rsid w:val="00C16DD1"/>
    <w:rsid w:val="00C172F7"/>
    <w:rsid w:val="00C2010D"/>
    <w:rsid w:val="00C20CB5"/>
    <w:rsid w:val="00C20DE9"/>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B76"/>
    <w:rsid w:val="00C31F21"/>
    <w:rsid w:val="00C32631"/>
    <w:rsid w:val="00C33301"/>
    <w:rsid w:val="00C33311"/>
    <w:rsid w:val="00C33B68"/>
    <w:rsid w:val="00C34430"/>
    <w:rsid w:val="00C34AD4"/>
    <w:rsid w:val="00C35570"/>
    <w:rsid w:val="00C3566B"/>
    <w:rsid w:val="00C35A2A"/>
    <w:rsid w:val="00C36A79"/>
    <w:rsid w:val="00C37234"/>
    <w:rsid w:val="00C401A9"/>
    <w:rsid w:val="00C401D2"/>
    <w:rsid w:val="00C4031A"/>
    <w:rsid w:val="00C405D4"/>
    <w:rsid w:val="00C419D5"/>
    <w:rsid w:val="00C41D54"/>
    <w:rsid w:val="00C42EBB"/>
    <w:rsid w:val="00C44644"/>
    <w:rsid w:val="00C4513B"/>
    <w:rsid w:val="00C475E8"/>
    <w:rsid w:val="00C50E79"/>
    <w:rsid w:val="00C5197D"/>
    <w:rsid w:val="00C525FB"/>
    <w:rsid w:val="00C5390B"/>
    <w:rsid w:val="00C53E99"/>
    <w:rsid w:val="00C54257"/>
    <w:rsid w:val="00C54697"/>
    <w:rsid w:val="00C550CE"/>
    <w:rsid w:val="00C553A5"/>
    <w:rsid w:val="00C55402"/>
    <w:rsid w:val="00C5603B"/>
    <w:rsid w:val="00C60AE3"/>
    <w:rsid w:val="00C61299"/>
    <w:rsid w:val="00C61F47"/>
    <w:rsid w:val="00C62828"/>
    <w:rsid w:val="00C63D91"/>
    <w:rsid w:val="00C655DA"/>
    <w:rsid w:val="00C672C1"/>
    <w:rsid w:val="00C706D2"/>
    <w:rsid w:val="00C7109C"/>
    <w:rsid w:val="00C715CC"/>
    <w:rsid w:val="00C719A3"/>
    <w:rsid w:val="00C71D2F"/>
    <w:rsid w:val="00C71D71"/>
    <w:rsid w:val="00C723DE"/>
    <w:rsid w:val="00C72984"/>
    <w:rsid w:val="00C73885"/>
    <w:rsid w:val="00C73C93"/>
    <w:rsid w:val="00C7435A"/>
    <w:rsid w:val="00C747B1"/>
    <w:rsid w:val="00C74FD1"/>
    <w:rsid w:val="00C753DD"/>
    <w:rsid w:val="00C75510"/>
    <w:rsid w:val="00C755F9"/>
    <w:rsid w:val="00C75752"/>
    <w:rsid w:val="00C75B60"/>
    <w:rsid w:val="00C761EC"/>
    <w:rsid w:val="00C76C2F"/>
    <w:rsid w:val="00C7704F"/>
    <w:rsid w:val="00C770C9"/>
    <w:rsid w:val="00C8090B"/>
    <w:rsid w:val="00C81070"/>
    <w:rsid w:val="00C8174E"/>
    <w:rsid w:val="00C8182D"/>
    <w:rsid w:val="00C82191"/>
    <w:rsid w:val="00C83134"/>
    <w:rsid w:val="00C831E7"/>
    <w:rsid w:val="00C832F3"/>
    <w:rsid w:val="00C84307"/>
    <w:rsid w:val="00C845A4"/>
    <w:rsid w:val="00C85545"/>
    <w:rsid w:val="00C855B5"/>
    <w:rsid w:val="00C85F0E"/>
    <w:rsid w:val="00C867F9"/>
    <w:rsid w:val="00C872AA"/>
    <w:rsid w:val="00C87817"/>
    <w:rsid w:val="00C87C6B"/>
    <w:rsid w:val="00C90357"/>
    <w:rsid w:val="00C90CF4"/>
    <w:rsid w:val="00C91C20"/>
    <w:rsid w:val="00C922DE"/>
    <w:rsid w:val="00C92843"/>
    <w:rsid w:val="00C92EB6"/>
    <w:rsid w:val="00C93389"/>
    <w:rsid w:val="00C948E6"/>
    <w:rsid w:val="00C94CDD"/>
    <w:rsid w:val="00C95123"/>
    <w:rsid w:val="00C95CB1"/>
    <w:rsid w:val="00C97588"/>
    <w:rsid w:val="00CA0346"/>
    <w:rsid w:val="00CA0BD5"/>
    <w:rsid w:val="00CA0DA1"/>
    <w:rsid w:val="00CA1BD6"/>
    <w:rsid w:val="00CA37FF"/>
    <w:rsid w:val="00CA423A"/>
    <w:rsid w:val="00CA47BC"/>
    <w:rsid w:val="00CA5EAD"/>
    <w:rsid w:val="00CA5EBE"/>
    <w:rsid w:val="00CA6AB4"/>
    <w:rsid w:val="00CA7255"/>
    <w:rsid w:val="00CA79E2"/>
    <w:rsid w:val="00CB0E4A"/>
    <w:rsid w:val="00CB111E"/>
    <w:rsid w:val="00CB1BEE"/>
    <w:rsid w:val="00CB2351"/>
    <w:rsid w:val="00CB2AA2"/>
    <w:rsid w:val="00CB4022"/>
    <w:rsid w:val="00CB4930"/>
    <w:rsid w:val="00CB4BA9"/>
    <w:rsid w:val="00CB4C48"/>
    <w:rsid w:val="00CB4C63"/>
    <w:rsid w:val="00CB5A48"/>
    <w:rsid w:val="00CB5E10"/>
    <w:rsid w:val="00CB613B"/>
    <w:rsid w:val="00CB6152"/>
    <w:rsid w:val="00CB64E1"/>
    <w:rsid w:val="00CB6C6F"/>
    <w:rsid w:val="00CB6E4D"/>
    <w:rsid w:val="00CB7D69"/>
    <w:rsid w:val="00CC009B"/>
    <w:rsid w:val="00CC0834"/>
    <w:rsid w:val="00CC0AEA"/>
    <w:rsid w:val="00CC20FE"/>
    <w:rsid w:val="00CC225C"/>
    <w:rsid w:val="00CC2E7D"/>
    <w:rsid w:val="00CC469E"/>
    <w:rsid w:val="00CC5BE8"/>
    <w:rsid w:val="00CC612B"/>
    <w:rsid w:val="00CC655F"/>
    <w:rsid w:val="00CC66F9"/>
    <w:rsid w:val="00CC6C2A"/>
    <w:rsid w:val="00CC6E69"/>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AF5"/>
    <w:rsid w:val="00CD2B78"/>
    <w:rsid w:val="00CD3866"/>
    <w:rsid w:val="00CD3FAB"/>
    <w:rsid w:val="00CD5456"/>
    <w:rsid w:val="00CD5C3E"/>
    <w:rsid w:val="00CD5C57"/>
    <w:rsid w:val="00CD6331"/>
    <w:rsid w:val="00CD7E9E"/>
    <w:rsid w:val="00CE03DD"/>
    <w:rsid w:val="00CE14BE"/>
    <w:rsid w:val="00CE17A4"/>
    <w:rsid w:val="00CE1BA9"/>
    <w:rsid w:val="00CE2D8F"/>
    <w:rsid w:val="00CE3532"/>
    <w:rsid w:val="00CE3E48"/>
    <w:rsid w:val="00CE46C0"/>
    <w:rsid w:val="00CE47B8"/>
    <w:rsid w:val="00CE4DAB"/>
    <w:rsid w:val="00CE4F15"/>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2E1"/>
    <w:rsid w:val="00D03A72"/>
    <w:rsid w:val="00D03BAE"/>
    <w:rsid w:val="00D040DD"/>
    <w:rsid w:val="00D04134"/>
    <w:rsid w:val="00D05C65"/>
    <w:rsid w:val="00D060D1"/>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0B69"/>
    <w:rsid w:val="00D214EF"/>
    <w:rsid w:val="00D215B0"/>
    <w:rsid w:val="00D21D6D"/>
    <w:rsid w:val="00D21D83"/>
    <w:rsid w:val="00D22A47"/>
    <w:rsid w:val="00D23331"/>
    <w:rsid w:val="00D235B7"/>
    <w:rsid w:val="00D23A99"/>
    <w:rsid w:val="00D23FAE"/>
    <w:rsid w:val="00D2455B"/>
    <w:rsid w:val="00D25F28"/>
    <w:rsid w:val="00D26071"/>
    <w:rsid w:val="00D260C7"/>
    <w:rsid w:val="00D269B9"/>
    <w:rsid w:val="00D273F7"/>
    <w:rsid w:val="00D2793E"/>
    <w:rsid w:val="00D27973"/>
    <w:rsid w:val="00D27F3A"/>
    <w:rsid w:val="00D3008B"/>
    <w:rsid w:val="00D31537"/>
    <w:rsid w:val="00D31E1E"/>
    <w:rsid w:val="00D31F1F"/>
    <w:rsid w:val="00D322A0"/>
    <w:rsid w:val="00D32824"/>
    <w:rsid w:val="00D334E2"/>
    <w:rsid w:val="00D350B1"/>
    <w:rsid w:val="00D35123"/>
    <w:rsid w:val="00D355CB"/>
    <w:rsid w:val="00D35AD6"/>
    <w:rsid w:val="00D35BBB"/>
    <w:rsid w:val="00D35E1A"/>
    <w:rsid w:val="00D36B0A"/>
    <w:rsid w:val="00D36DFB"/>
    <w:rsid w:val="00D36E1C"/>
    <w:rsid w:val="00D373AF"/>
    <w:rsid w:val="00D40556"/>
    <w:rsid w:val="00D406C8"/>
    <w:rsid w:val="00D40824"/>
    <w:rsid w:val="00D41829"/>
    <w:rsid w:val="00D41F74"/>
    <w:rsid w:val="00D42250"/>
    <w:rsid w:val="00D428C8"/>
    <w:rsid w:val="00D43034"/>
    <w:rsid w:val="00D43ED2"/>
    <w:rsid w:val="00D45649"/>
    <w:rsid w:val="00D47ED6"/>
    <w:rsid w:val="00D50100"/>
    <w:rsid w:val="00D50C95"/>
    <w:rsid w:val="00D50F46"/>
    <w:rsid w:val="00D511D8"/>
    <w:rsid w:val="00D5130D"/>
    <w:rsid w:val="00D5133A"/>
    <w:rsid w:val="00D526FA"/>
    <w:rsid w:val="00D5302A"/>
    <w:rsid w:val="00D533C4"/>
    <w:rsid w:val="00D5384E"/>
    <w:rsid w:val="00D544E7"/>
    <w:rsid w:val="00D5499F"/>
    <w:rsid w:val="00D5560A"/>
    <w:rsid w:val="00D559D2"/>
    <w:rsid w:val="00D56FBF"/>
    <w:rsid w:val="00D57677"/>
    <w:rsid w:val="00D5781F"/>
    <w:rsid w:val="00D60415"/>
    <w:rsid w:val="00D60E3C"/>
    <w:rsid w:val="00D60FA7"/>
    <w:rsid w:val="00D61FAB"/>
    <w:rsid w:val="00D63BE5"/>
    <w:rsid w:val="00D64685"/>
    <w:rsid w:val="00D6475F"/>
    <w:rsid w:val="00D655D4"/>
    <w:rsid w:val="00D65F61"/>
    <w:rsid w:val="00D66223"/>
    <w:rsid w:val="00D667B8"/>
    <w:rsid w:val="00D67D55"/>
    <w:rsid w:val="00D70289"/>
    <w:rsid w:val="00D7041F"/>
    <w:rsid w:val="00D70700"/>
    <w:rsid w:val="00D70800"/>
    <w:rsid w:val="00D70822"/>
    <w:rsid w:val="00D72076"/>
    <w:rsid w:val="00D721B4"/>
    <w:rsid w:val="00D726A9"/>
    <w:rsid w:val="00D728D5"/>
    <w:rsid w:val="00D72DBA"/>
    <w:rsid w:val="00D73D48"/>
    <w:rsid w:val="00D743E0"/>
    <w:rsid w:val="00D7469D"/>
    <w:rsid w:val="00D7490C"/>
    <w:rsid w:val="00D75AC1"/>
    <w:rsid w:val="00D77252"/>
    <w:rsid w:val="00D8084C"/>
    <w:rsid w:val="00D81809"/>
    <w:rsid w:val="00D82119"/>
    <w:rsid w:val="00D82EF1"/>
    <w:rsid w:val="00D84CC9"/>
    <w:rsid w:val="00D84F43"/>
    <w:rsid w:val="00D85114"/>
    <w:rsid w:val="00D85821"/>
    <w:rsid w:val="00D8598C"/>
    <w:rsid w:val="00D86677"/>
    <w:rsid w:val="00D87C06"/>
    <w:rsid w:val="00D9140D"/>
    <w:rsid w:val="00D915EA"/>
    <w:rsid w:val="00D919ED"/>
    <w:rsid w:val="00D922A1"/>
    <w:rsid w:val="00D928BE"/>
    <w:rsid w:val="00D932B8"/>
    <w:rsid w:val="00D932F0"/>
    <w:rsid w:val="00D933F2"/>
    <w:rsid w:val="00D94929"/>
    <w:rsid w:val="00D95302"/>
    <w:rsid w:val="00D95889"/>
    <w:rsid w:val="00D95C5D"/>
    <w:rsid w:val="00D96424"/>
    <w:rsid w:val="00D97400"/>
    <w:rsid w:val="00D97D00"/>
    <w:rsid w:val="00DA096C"/>
    <w:rsid w:val="00DA0DFB"/>
    <w:rsid w:val="00DA1445"/>
    <w:rsid w:val="00DA1AB6"/>
    <w:rsid w:val="00DA273D"/>
    <w:rsid w:val="00DA2E65"/>
    <w:rsid w:val="00DA37DE"/>
    <w:rsid w:val="00DA3ADF"/>
    <w:rsid w:val="00DA4174"/>
    <w:rsid w:val="00DA4F0A"/>
    <w:rsid w:val="00DA5241"/>
    <w:rsid w:val="00DA544C"/>
    <w:rsid w:val="00DA5F8E"/>
    <w:rsid w:val="00DA6364"/>
    <w:rsid w:val="00DA6938"/>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5FDA"/>
    <w:rsid w:val="00DB613B"/>
    <w:rsid w:val="00DB657E"/>
    <w:rsid w:val="00DB7342"/>
    <w:rsid w:val="00DB7489"/>
    <w:rsid w:val="00DB75A6"/>
    <w:rsid w:val="00DB791E"/>
    <w:rsid w:val="00DC0B4D"/>
    <w:rsid w:val="00DC0CBB"/>
    <w:rsid w:val="00DC17D0"/>
    <w:rsid w:val="00DC1A3D"/>
    <w:rsid w:val="00DC1DD1"/>
    <w:rsid w:val="00DC1E5D"/>
    <w:rsid w:val="00DC2B41"/>
    <w:rsid w:val="00DC2EA7"/>
    <w:rsid w:val="00DC3128"/>
    <w:rsid w:val="00DC435B"/>
    <w:rsid w:val="00DC4AC4"/>
    <w:rsid w:val="00DC53D8"/>
    <w:rsid w:val="00DC56FE"/>
    <w:rsid w:val="00DC5AB0"/>
    <w:rsid w:val="00DC5B3B"/>
    <w:rsid w:val="00DC5F11"/>
    <w:rsid w:val="00DC6C2D"/>
    <w:rsid w:val="00DC6D72"/>
    <w:rsid w:val="00DC7ABB"/>
    <w:rsid w:val="00DC7B1A"/>
    <w:rsid w:val="00DD04B0"/>
    <w:rsid w:val="00DD129F"/>
    <w:rsid w:val="00DD13FC"/>
    <w:rsid w:val="00DD1A3F"/>
    <w:rsid w:val="00DD29B5"/>
    <w:rsid w:val="00DD32DD"/>
    <w:rsid w:val="00DD33E8"/>
    <w:rsid w:val="00DD3CC0"/>
    <w:rsid w:val="00DD5287"/>
    <w:rsid w:val="00DD5B36"/>
    <w:rsid w:val="00DD5C58"/>
    <w:rsid w:val="00DD6191"/>
    <w:rsid w:val="00DD68F3"/>
    <w:rsid w:val="00DD7849"/>
    <w:rsid w:val="00DE03DE"/>
    <w:rsid w:val="00DE0D8B"/>
    <w:rsid w:val="00DE1237"/>
    <w:rsid w:val="00DE140F"/>
    <w:rsid w:val="00DE17E9"/>
    <w:rsid w:val="00DE2491"/>
    <w:rsid w:val="00DE3E5D"/>
    <w:rsid w:val="00DE450F"/>
    <w:rsid w:val="00DE4865"/>
    <w:rsid w:val="00DE5A0C"/>
    <w:rsid w:val="00DE5CA6"/>
    <w:rsid w:val="00DE5E55"/>
    <w:rsid w:val="00DE622F"/>
    <w:rsid w:val="00DE6E29"/>
    <w:rsid w:val="00DE7156"/>
    <w:rsid w:val="00DE7AC8"/>
    <w:rsid w:val="00DF0830"/>
    <w:rsid w:val="00DF2C5D"/>
    <w:rsid w:val="00DF2CD3"/>
    <w:rsid w:val="00DF3643"/>
    <w:rsid w:val="00DF42FF"/>
    <w:rsid w:val="00DF4369"/>
    <w:rsid w:val="00DF4423"/>
    <w:rsid w:val="00DF4ADF"/>
    <w:rsid w:val="00DF57D6"/>
    <w:rsid w:val="00DF5D1E"/>
    <w:rsid w:val="00DF63B5"/>
    <w:rsid w:val="00DF77E4"/>
    <w:rsid w:val="00DF7F88"/>
    <w:rsid w:val="00E00B88"/>
    <w:rsid w:val="00E00CB7"/>
    <w:rsid w:val="00E010D9"/>
    <w:rsid w:val="00E01C0E"/>
    <w:rsid w:val="00E0368F"/>
    <w:rsid w:val="00E03805"/>
    <w:rsid w:val="00E03D73"/>
    <w:rsid w:val="00E03F9A"/>
    <w:rsid w:val="00E040DA"/>
    <w:rsid w:val="00E04694"/>
    <w:rsid w:val="00E05333"/>
    <w:rsid w:val="00E1168B"/>
    <w:rsid w:val="00E119E9"/>
    <w:rsid w:val="00E11C7E"/>
    <w:rsid w:val="00E12191"/>
    <w:rsid w:val="00E129E7"/>
    <w:rsid w:val="00E12ABE"/>
    <w:rsid w:val="00E12B1E"/>
    <w:rsid w:val="00E135EB"/>
    <w:rsid w:val="00E13995"/>
    <w:rsid w:val="00E1444C"/>
    <w:rsid w:val="00E156FE"/>
    <w:rsid w:val="00E1690C"/>
    <w:rsid w:val="00E16FC8"/>
    <w:rsid w:val="00E17262"/>
    <w:rsid w:val="00E17F36"/>
    <w:rsid w:val="00E20016"/>
    <w:rsid w:val="00E2009B"/>
    <w:rsid w:val="00E20BB9"/>
    <w:rsid w:val="00E20BCC"/>
    <w:rsid w:val="00E2251C"/>
    <w:rsid w:val="00E2363D"/>
    <w:rsid w:val="00E23C6A"/>
    <w:rsid w:val="00E2484B"/>
    <w:rsid w:val="00E25304"/>
    <w:rsid w:val="00E253A2"/>
    <w:rsid w:val="00E260F6"/>
    <w:rsid w:val="00E2665E"/>
    <w:rsid w:val="00E27127"/>
    <w:rsid w:val="00E27233"/>
    <w:rsid w:val="00E274BB"/>
    <w:rsid w:val="00E30601"/>
    <w:rsid w:val="00E30F15"/>
    <w:rsid w:val="00E31771"/>
    <w:rsid w:val="00E3186D"/>
    <w:rsid w:val="00E31A3E"/>
    <w:rsid w:val="00E32080"/>
    <w:rsid w:val="00E32426"/>
    <w:rsid w:val="00E32778"/>
    <w:rsid w:val="00E3309D"/>
    <w:rsid w:val="00E34E3F"/>
    <w:rsid w:val="00E350B1"/>
    <w:rsid w:val="00E35A53"/>
    <w:rsid w:val="00E35D83"/>
    <w:rsid w:val="00E3634A"/>
    <w:rsid w:val="00E3656B"/>
    <w:rsid w:val="00E3712B"/>
    <w:rsid w:val="00E3724A"/>
    <w:rsid w:val="00E378B1"/>
    <w:rsid w:val="00E41179"/>
    <w:rsid w:val="00E411F9"/>
    <w:rsid w:val="00E417BE"/>
    <w:rsid w:val="00E41CD5"/>
    <w:rsid w:val="00E42054"/>
    <w:rsid w:val="00E42D94"/>
    <w:rsid w:val="00E4372D"/>
    <w:rsid w:val="00E43A9E"/>
    <w:rsid w:val="00E44243"/>
    <w:rsid w:val="00E453F9"/>
    <w:rsid w:val="00E45D7D"/>
    <w:rsid w:val="00E4623F"/>
    <w:rsid w:val="00E4665D"/>
    <w:rsid w:val="00E467E3"/>
    <w:rsid w:val="00E47854"/>
    <w:rsid w:val="00E478E2"/>
    <w:rsid w:val="00E47EBA"/>
    <w:rsid w:val="00E50156"/>
    <w:rsid w:val="00E504EB"/>
    <w:rsid w:val="00E5076C"/>
    <w:rsid w:val="00E50D2E"/>
    <w:rsid w:val="00E50D7D"/>
    <w:rsid w:val="00E50E8A"/>
    <w:rsid w:val="00E51EF0"/>
    <w:rsid w:val="00E53470"/>
    <w:rsid w:val="00E5368D"/>
    <w:rsid w:val="00E539F6"/>
    <w:rsid w:val="00E54698"/>
    <w:rsid w:val="00E54BE9"/>
    <w:rsid w:val="00E54FB4"/>
    <w:rsid w:val="00E55046"/>
    <w:rsid w:val="00E5539A"/>
    <w:rsid w:val="00E55791"/>
    <w:rsid w:val="00E55AB2"/>
    <w:rsid w:val="00E55E1A"/>
    <w:rsid w:val="00E578A2"/>
    <w:rsid w:val="00E579ED"/>
    <w:rsid w:val="00E60043"/>
    <w:rsid w:val="00E61740"/>
    <w:rsid w:val="00E61EB5"/>
    <w:rsid w:val="00E62287"/>
    <w:rsid w:val="00E62EDE"/>
    <w:rsid w:val="00E6324D"/>
    <w:rsid w:val="00E636EC"/>
    <w:rsid w:val="00E65084"/>
    <w:rsid w:val="00E6519D"/>
    <w:rsid w:val="00E657C8"/>
    <w:rsid w:val="00E66062"/>
    <w:rsid w:val="00E6660E"/>
    <w:rsid w:val="00E66768"/>
    <w:rsid w:val="00E67305"/>
    <w:rsid w:val="00E673BD"/>
    <w:rsid w:val="00E67696"/>
    <w:rsid w:val="00E700B4"/>
    <w:rsid w:val="00E709AF"/>
    <w:rsid w:val="00E70A85"/>
    <w:rsid w:val="00E70C5F"/>
    <w:rsid w:val="00E71A58"/>
    <w:rsid w:val="00E728D7"/>
    <w:rsid w:val="00E72A26"/>
    <w:rsid w:val="00E72A7A"/>
    <w:rsid w:val="00E7335A"/>
    <w:rsid w:val="00E73986"/>
    <w:rsid w:val="00E73D21"/>
    <w:rsid w:val="00E7467D"/>
    <w:rsid w:val="00E747DC"/>
    <w:rsid w:val="00E74A2D"/>
    <w:rsid w:val="00E74FE4"/>
    <w:rsid w:val="00E75C94"/>
    <w:rsid w:val="00E76A08"/>
    <w:rsid w:val="00E76B9B"/>
    <w:rsid w:val="00E76E61"/>
    <w:rsid w:val="00E76EE4"/>
    <w:rsid w:val="00E77CC0"/>
    <w:rsid w:val="00E77E8B"/>
    <w:rsid w:val="00E77F50"/>
    <w:rsid w:val="00E80B3D"/>
    <w:rsid w:val="00E80CA3"/>
    <w:rsid w:val="00E8184F"/>
    <w:rsid w:val="00E81AAA"/>
    <w:rsid w:val="00E82618"/>
    <w:rsid w:val="00E82A0F"/>
    <w:rsid w:val="00E82A42"/>
    <w:rsid w:val="00E832F4"/>
    <w:rsid w:val="00E846B0"/>
    <w:rsid w:val="00E84E09"/>
    <w:rsid w:val="00E87CE2"/>
    <w:rsid w:val="00E90CA8"/>
    <w:rsid w:val="00E91113"/>
    <w:rsid w:val="00E911C6"/>
    <w:rsid w:val="00E920DE"/>
    <w:rsid w:val="00E930A1"/>
    <w:rsid w:val="00E93820"/>
    <w:rsid w:val="00E94A86"/>
    <w:rsid w:val="00E951AB"/>
    <w:rsid w:val="00E953F6"/>
    <w:rsid w:val="00E9580F"/>
    <w:rsid w:val="00E95882"/>
    <w:rsid w:val="00E95C3B"/>
    <w:rsid w:val="00E96143"/>
    <w:rsid w:val="00E96833"/>
    <w:rsid w:val="00E96869"/>
    <w:rsid w:val="00E97506"/>
    <w:rsid w:val="00E97BB5"/>
    <w:rsid w:val="00E97D5B"/>
    <w:rsid w:val="00E97F14"/>
    <w:rsid w:val="00EA02FE"/>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5E3D"/>
    <w:rsid w:val="00EA7419"/>
    <w:rsid w:val="00EB0203"/>
    <w:rsid w:val="00EB0E32"/>
    <w:rsid w:val="00EB1786"/>
    <w:rsid w:val="00EB1CDC"/>
    <w:rsid w:val="00EB1D89"/>
    <w:rsid w:val="00EB2693"/>
    <w:rsid w:val="00EB3E60"/>
    <w:rsid w:val="00EB4511"/>
    <w:rsid w:val="00EB48D7"/>
    <w:rsid w:val="00EB49F1"/>
    <w:rsid w:val="00EB4A8E"/>
    <w:rsid w:val="00EB4BC5"/>
    <w:rsid w:val="00EB5BF7"/>
    <w:rsid w:val="00EB5E79"/>
    <w:rsid w:val="00EB6788"/>
    <w:rsid w:val="00EB6FAC"/>
    <w:rsid w:val="00EB7BAC"/>
    <w:rsid w:val="00EB7CC9"/>
    <w:rsid w:val="00EC03D7"/>
    <w:rsid w:val="00EC0749"/>
    <w:rsid w:val="00EC0B86"/>
    <w:rsid w:val="00EC13A7"/>
    <w:rsid w:val="00EC1D31"/>
    <w:rsid w:val="00EC2EB6"/>
    <w:rsid w:val="00EC3F49"/>
    <w:rsid w:val="00EC4FFF"/>
    <w:rsid w:val="00EC5517"/>
    <w:rsid w:val="00EC6E8C"/>
    <w:rsid w:val="00EC729D"/>
    <w:rsid w:val="00ED0702"/>
    <w:rsid w:val="00ED0962"/>
    <w:rsid w:val="00ED0EF0"/>
    <w:rsid w:val="00ED112D"/>
    <w:rsid w:val="00ED12B9"/>
    <w:rsid w:val="00ED16B8"/>
    <w:rsid w:val="00ED1959"/>
    <w:rsid w:val="00ED1A00"/>
    <w:rsid w:val="00ED1DF0"/>
    <w:rsid w:val="00ED2386"/>
    <w:rsid w:val="00ED25F5"/>
    <w:rsid w:val="00ED2EA1"/>
    <w:rsid w:val="00ED3851"/>
    <w:rsid w:val="00ED39D7"/>
    <w:rsid w:val="00ED3E51"/>
    <w:rsid w:val="00ED3F10"/>
    <w:rsid w:val="00ED3F9B"/>
    <w:rsid w:val="00ED3FB3"/>
    <w:rsid w:val="00ED4D04"/>
    <w:rsid w:val="00ED566D"/>
    <w:rsid w:val="00ED5907"/>
    <w:rsid w:val="00ED5F5B"/>
    <w:rsid w:val="00ED62C6"/>
    <w:rsid w:val="00ED64C1"/>
    <w:rsid w:val="00ED72E7"/>
    <w:rsid w:val="00ED74BD"/>
    <w:rsid w:val="00ED781F"/>
    <w:rsid w:val="00EE0E7E"/>
    <w:rsid w:val="00EE2236"/>
    <w:rsid w:val="00EE249F"/>
    <w:rsid w:val="00EE2EB4"/>
    <w:rsid w:val="00EE3446"/>
    <w:rsid w:val="00EE3E78"/>
    <w:rsid w:val="00EE41FD"/>
    <w:rsid w:val="00EE460E"/>
    <w:rsid w:val="00EE4B1B"/>
    <w:rsid w:val="00EE5FBA"/>
    <w:rsid w:val="00EE601C"/>
    <w:rsid w:val="00EE6E06"/>
    <w:rsid w:val="00EE7179"/>
    <w:rsid w:val="00EE762D"/>
    <w:rsid w:val="00EF0D90"/>
    <w:rsid w:val="00EF150D"/>
    <w:rsid w:val="00EF1916"/>
    <w:rsid w:val="00EF1F5A"/>
    <w:rsid w:val="00EF22E2"/>
    <w:rsid w:val="00EF23B5"/>
    <w:rsid w:val="00EF326A"/>
    <w:rsid w:val="00EF3898"/>
    <w:rsid w:val="00EF47BF"/>
    <w:rsid w:val="00EF52F7"/>
    <w:rsid w:val="00EF59B1"/>
    <w:rsid w:val="00EF5A13"/>
    <w:rsid w:val="00EF5FF9"/>
    <w:rsid w:val="00EF600F"/>
    <w:rsid w:val="00EF77D4"/>
    <w:rsid w:val="00EF7CC7"/>
    <w:rsid w:val="00F00535"/>
    <w:rsid w:val="00F00853"/>
    <w:rsid w:val="00F00866"/>
    <w:rsid w:val="00F00EC8"/>
    <w:rsid w:val="00F0160B"/>
    <w:rsid w:val="00F0193E"/>
    <w:rsid w:val="00F028B4"/>
    <w:rsid w:val="00F02A91"/>
    <w:rsid w:val="00F03E2F"/>
    <w:rsid w:val="00F03F8D"/>
    <w:rsid w:val="00F04811"/>
    <w:rsid w:val="00F0488C"/>
    <w:rsid w:val="00F04955"/>
    <w:rsid w:val="00F06203"/>
    <w:rsid w:val="00F073ED"/>
    <w:rsid w:val="00F07C4C"/>
    <w:rsid w:val="00F07E45"/>
    <w:rsid w:val="00F10F11"/>
    <w:rsid w:val="00F11159"/>
    <w:rsid w:val="00F1146D"/>
    <w:rsid w:val="00F115E4"/>
    <w:rsid w:val="00F11AC4"/>
    <w:rsid w:val="00F11C1D"/>
    <w:rsid w:val="00F11D01"/>
    <w:rsid w:val="00F120A5"/>
    <w:rsid w:val="00F12CFB"/>
    <w:rsid w:val="00F13E60"/>
    <w:rsid w:val="00F13F81"/>
    <w:rsid w:val="00F13FDB"/>
    <w:rsid w:val="00F15653"/>
    <w:rsid w:val="00F15AAA"/>
    <w:rsid w:val="00F15BEF"/>
    <w:rsid w:val="00F16F10"/>
    <w:rsid w:val="00F17898"/>
    <w:rsid w:val="00F17FBF"/>
    <w:rsid w:val="00F204BF"/>
    <w:rsid w:val="00F207C2"/>
    <w:rsid w:val="00F21337"/>
    <w:rsid w:val="00F219A1"/>
    <w:rsid w:val="00F235B2"/>
    <w:rsid w:val="00F23E20"/>
    <w:rsid w:val="00F24407"/>
    <w:rsid w:val="00F249CE"/>
    <w:rsid w:val="00F24FAA"/>
    <w:rsid w:val="00F25040"/>
    <w:rsid w:val="00F269D7"/>
    <w:rsid w:val="00F26D1F"/>
    <w:rsid w:val="00F27071"/>
    <w:rsid w:val="00F27331"/>
    <w:rsid w:val="00F276D3"/>
    <w:rsid w:val="00F27EE5"/>
    <w:rsid w:val="00F27FB1"/>
    <w:rsid w:val="00F27FD6"/>
    <w:rsid w:val="00F307CB"/>
    <w:rsid w:val="00F30C0C"/>
    <w:rsid w:val="00F30C65"/>
    <w:rsid w:val="00F3148E"/>
    <w:rsid w:val="00F31E10"/>
    <w:rsid w:val="00F321D2"/>
    <w:rsid w:val="00F32649"/>
    <w:rsid w:val="00F33523"/>
    <w:rsid w:val="00F3364D"/>
    <w:rsid w:val="00F33914"/>
    <w:rsid w:val="00F340B2"/>
    <w:rsid w:val="00F349BF"/>
    <w:rsid w:val="00F34DDC"/>
    <w:rsid w:val="00F36191"/>
    <w:rsid w:val="00F3629F"/>
    <w:rsid w:val="00F36DF3"/>
    <w:rsid w:val="00F371A2"/>
    <w:rsid w:val="00F37362"/>
    <w:rsid w:val="00F375CB"/>
    <w:rsid w:val="00F37EDC"/>
    <w:rsid w:val="00F40205"/>
    <w:rsid w:val="00F437CC"/>
    <w:rsid w:val="00F43A4E"/>
    <w:rsid w:val="00F44537"/>
    <w:rsid w:val="00F458BE"/>
    <w:rsid w:val="00F46185"/>
    <w:rsid w:val="00F46423"/>
    <w:rsid w:val="00F4696A"/>
    <w:rsid w:val="00F47067"/>
    <w:rsid w:val="00F47234"/>
    <w:rsid w:val="00F50451"/>
    <w:rsid w:val="00F51ADD"/>
    <w:rsid w:val="00F525AB"/>
    <w:rsid w:val="00F525EB"/>
    <w:rsid w:val="00F52BFA"/>
    <w:rsid w:val="00F52CB5"/>
    <w:rsid w:val="00F53378"/>
    <w:rsid w:val="00F53A68"/>
    <w:rsid w:val="00F53D2E"/>
    <w:rsid w:val="00F54934"/>
    <w:rsid w:val="00F55A92"/>
    <w:rsid w:val="00F5615B"/>
    <w:rsid w:val="00F5635E"/>
    <w:rsid w:val="00F5657D"/>
    <w:rsid w:val="00F57427"/>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113"/>
    <w:rsid w:val="00F71393"/>
    <w:rsid w:val="00F7150B"/>
    <w:rsid w:val="00F7162D"/>
    <w:rsid w:val="00F717E4"/>
    <w:rsid w:val="00F71DE6"/>
    <w:rsid w:val="00F72C79"/>
    <w:rsid w:val="00F72D71"/>
    <w:rsid w:val="00F7381C"/>
    <w:rsid w:val="00F73A0C"/>
    <w:rsid w:val="00F73AA6"/>
    <w:rsid w:val="00F7467F"/>
    <w:rsid w:val="00F752DC"/>
    <w:rsid w:val="00F7549F"/>
    <w:rsid w:val="00F756DB"/>
    <w:rsid w:val="00F766BE"/>
    <w:rsid w:val="00F767A8"/>
    <w:rsid w:val="00F77590"/>
    <w:rsid w:val="00F77A50"/>
    <w:rsid w:val="00F77E95"/>
    <w:rsid w:val="00F809C0"/>
    <w:rsid w:val="00F81B0F"/>
    <w:rsid w:val="00F822CE"/>
    <w:rsid w:val="00F823E4"/>
    <w:rsid w:val="00F82D14"/>
    <w:rsid w:val="00F842EB"/>
    <w:rsid w:val="00F84E7D"/>
    <w:rsid w:val="00F85066"/>
    <w:rsid w:val="00F8670E"/>
    <w:rsid w:val="00F867A2"/>
    <w:rsid w:val="00F874F8"/>
    <w:rsid w:val="00F87A4D"/>
    <w:rsid w:val="00F90A3E"/>
    <w:rsid w:val="00F90C68"/>
    <w:rsid w:val="00F90EEB"/>
    <w:rsid w:val="00F91B66"/>
    <w:rsid w:val="00F93688"/>
    <w:rsid w:val="00F939F3"/>
    <w:rsid w:val="00F93C6E"/>
    <w:rsid w:val="00F93F2C"/>
    <w:rsid w:val="00F947E9"/>
    <w:rsid w:val="00F962AD"/>
    <w:rsid w:val="00F9644E"/>
    <w:rsid w:val="00F96EE8"/>
    <w:rsid w:val="00FA0105"/>
    <w:rsid w:val="00FA05A0"/>
    <w:rsid w:val="00FA0AEF"/>
    <w:rsid w:val="00FA12B0"/>
    <w:rsid w:val="00FA17CC"/>
    <w:rsid w:val="00FA1CFE"/>
    <w:rsid w:val="00FA1EE7"/>
    <w:rsid w:val="00FA1F01"/>
    <w:rsid w:val="00FA26DF"/>
    <w:rsid w:val="00FA32BC"/>
    <w:rsid w:val="00FA3E13"/>
    <w:rsid w:val="00FA3FA8"/>
    <w:rsid w:val="00FA4059"/>
    <w:rsid w:val="00FA4574"/>
    <w:rsid w:val="00FA48A4"/>
    <w:rsid w:val="00FA4CB7"/>
    <w:rsid w:val="00FA5112"/>
    <w:rsid w:val="00FA5526"/>
    <w:rsid w:val="00FA5D48"/>
    <w:rsid w:val="00FA5D4D"/>
    <w:rsid w:val="00FA6122"/>
    <w:rsid w:val="00FA6CB6"/>
    <w:rsid w:val="00FA70D3"/>
    <w:rsid w:val="00FA792A"/>
    <w:rsid w:val="00FA7AEC"/>
    <w:rsid w:val="00FB0AEA"/>
    <w:rsid w:val="00FB0EE2"/>
    <w:rsid w:val="00FB1A79"/>
    <w:rsid w:val="00FB1B48"/>
    <w:rsid w:val="00FB208B"/>
    <w:rsid w:val="00FB2B2D"/>
    <w:rsid w:val="00FB542E"/>
    <w:rsid w:val="00FB5580"/>
    <w:rsid w:val="00FB564F"/>
    <w:rsid w:val="00FB7DBB"/>
    <w:rsid w:val="00FC05F8"/>
    <w:rsid w:val="00FC077B"/>
    <w:rsid w:val="00FC0BE0"/>
    <w:rsid w:val="00FC0E5F"/>
    <w:rsid w:val="00FC1070"/>
    <w:rsid w:val="00FC1266"/>
    <w:rsid w:val="00FC1A95"/>
    <w:rsid w:val="00FC1ED4"/>
    <w:rsid w:val="00FC35BF"/>
    <w:rsid w:val="00FC3BEC"/>
    <w:rsid w:val="00FC42C5"/>
    <w:rsid w:val="00FC440B"/>
    <w:rsid w:val="00FC4F4B"/>
    <w:rsid w:val="00FC56DE"/>
    <w:rsid w:val="00FC63D9"/>
    <w:rsid w:val="00FC64DE"/>
    <w:rsid w:val="00FC6785"/>
    <w:rsid w:val="00FC684B"/>
    <w:rsid w:val="00FC7136"/>
    <w:rsid w:val="00FC7D98"/>
    <w:rsid w:val="00FC7EB2"/>
    <w:rsid w:val="00FD1135"/>
    <w:rsid w:val="00FD3265"/>
    <w:rsid w:val="00FD3BFE"/>
    <w:rsid w:val="00FD3CF7"/>
    <w:rsid w:val="00FD4124"/>
    <w:rsid w:val="00FD4916"/>
    <w:rsid w:val="00FD4D12"/>
    <w:rsid w:val="00FD4F73"/>
    <w:rsid w:val="00FD595E"/>
    <w:rsid w:val="00FD62E6"/>
    <w:rsid w:val="00FD7802"/>
    <w:rsid w:val="00FD7D3B"/>
    <w:rsid w:val="00FD7F83"/>
    <w:rsid w:val="00FD7FBE"/>
    <w:rsid w:val="00FE0292"/>
    <w:rsid w:val="00FE1209"/>
    <w:rsid w:val="00FE27C7"/>
    <w:rsid w:val="00FE2814"/>
    <w:rsid w:val="00FE2C7E"/>
    <w:rsid w:val="00FE2F78"/>
    <w:rsid w:val="00FE3137"/>
    <w:rsid w:val="00FE346B"/>
    <w:rsid w:val="00FE346F"/>
    <w:rsid w:val="00FE431E"/>
    <w:rsid w:val="00FE460E"/>
    <w:rsid w:val="00FE48E4"/>
    <w:rsid w:val="00FE5466"/>
    <w:rsid w:val="00FE5BF1"/>
    <w:rsid w:val="00FE633D"/>
    <w:rsid w:val="00FE634C"/>
    <w:rsid w:val="00FE6E69"/>
    <w:rsid w:val="00FE6F59"/>
    <w:rsid w:val="00FF01B6"/>
    <w:rsid w:val="00FF0989"/>
    <w:rsid w:val="00FF0F79"/>
    <w:rsid w:val="00FF1136"/>
    <w:rsid w:val="00FF3D76"/>
    <w:rsid w:val="00FF445B"/>
    <w:rsid w:val="00FF5B8C"/>
    <w:rsid w:val="00FF63E6"/>
    <w:rsid w:val="00FF649C"/>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A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npsmoodstavce"/>
    <w:rsid w:val="0021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384443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numbering" Target="numbering.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2.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zso.cz/csu/czso/cri/analyza-ctvrtletnich-sektorovych-uctu-1-ctvrtleti-2022" TargetMode="External"/><Relationship Id="rId1" Type="http://schemas.openxmlformats.org/officeDocument/2006/relationships/hyperlink" Target="https://www.czso.cz/csu/czso/metodicka-poznamka-k-indexu-spotrebitelskych-cen-imputovane-najem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trh%20pr&#225;ce-2q-202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trh%20pr&#225;ce-2q-202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trh%20pr&#225;ce-2q-202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st&#225;tn&#237;%20rozpo&#269;et-2q-202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st&#225;tn&#237;%20rozpo&#269;et-2q-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Odv&#283;tv&#237;%20grafy-2q-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Odv&#283;tv&#237;%20grafy-2q-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Odv&#283;tv&#237;%20grafy-2q-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Odv&#283;tv&#237;%20grafy-2q-20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Odv&#283;tv&#237;%20grafy-2q-20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1'!$C$25:$C$46</c:f>
              <c:numCache>
                <c:formatCode>#\ ##0.0</c:formatCode>
                <c:ptCount val="22"/>
                <c:pt idx="0">
                  <c:v>3.695024939296502</c:v>
                </c:pt>
                <c:pt idx="1">
                  <c:v>5.9154748938585584</c:v>
                </c:pt>
                <c:pt idx="2">
                  <c:v>5.8516412927584582</c:v>
                </c:pt>
                <c:pt idx="3">
                  <c:v>5.8958110920111153</c:v>
                </c:pt>
                <c:pt idx="4">
                  <c:v>4.7409332982438741</c:v>
                </c:pt>
                <c:pt idx="5" formatCode="General">
                  <c:v>2.821338885097731</c:v>
                </c:pt>
                <c:pt idx="6" formatCode="General">
                  <c:v>2.6959141687858903</c:v>
                </c:pt>
                <c:pt idx="7">
                  <c:v>2.6197437017841025</c:v>
                </c:pt>
                <c:pt idx="8">
                  <c:v>2.9978799448777949</c:v>
                </c:pt>
                <c:pt idx="9" formatCode="General">
                  <c:v>3.0712313540949907</c:v>
                </c:pt>
                <c:pt idx="10" formatCode="General">
                  <c:v>3.0292239015638387</c:v>
                </c:pt>
                <c:pt idx="11" formatCode="General">
                  <c:v>2.7681270582493624</c:v>
                </c:pt>
                <c:pt idx="12" formatCode="General">
                  <c:v>-1.4629386956710846</c:v>
                </c:pt>
                <c:pt idx="13" formatCode="General">
                  <c:v>-10.78290466571336</c:v>
                </c:pt>
                <c:pt idx="14" formatCode="General">
                  <c:v>-5.2159569739525011</c:v>
                </c:pt>
                <c:pt idx="15" formatCode="General">
                  <c:v>-4.5960804470275178</c:v>
                </c:pt>
                <c:pt idx="16" formatCode="General">
                  <c:v>-1.9073894441670518</c:v>
                </c:pt>
                <c:pt idx="17" formatCode="General">
                  <c:v>9.1293353391871648</c:v>
                </c:pt>
                <c:pt idx="18" formatCode="General">
                  <c:v>3.7680361202100983</c:v>
                </c:pt>
                <c:pt idx="19" formatCode="General">
                  <c:v>3.4666809246014765</c:v>
                </c:pt>
                <c:pt idx="20" formatCode="General">
                  <c:v>4.6481213438552373</c:v>
                </c:pt>
                <c:pt idx="21" formatCode="General">
                  <c:v>3.6728342161133014</c:v>
                </c:pt>
              </c:numCache>
            </c:numRef>
          </c:val>
          <c:extLst>
            <c:ext xmlns:c16="http://schemas.microsoft.com/office/drawing/2014/chart" uri="{C3380CC4-5D6E-409C-BE32-E72D297353CC}">
              <c16:uniqueId val="{00000000-E975-4928-8AB4-A4583DEFADC3}"/>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1'!$D$25:$D$46</c:f>
              <c:numCache>
                <c:formatCode>#\ ##0.0</c:formatCode>
                <c:ptCount val="22"/>
                <c:pt idx="0">
                  <c:v>2.4</c:v>
                </c:pt>
                <c:pt idx="1">
                  <c:v>2.9</c:v>
                </c:pt>
                <c:pt idx="2">
                  <c:v>3.3</c:v>
                </c:pt>
                <c:pt idx="3">
                  <c:v>3.2</c:v>
                </c:pt>
                <c:pt idx="4">
                  <c:v>2.6</c:v>
                </c:pt>
                <c:pt idx="5">
                  <c:v>2.4</c:v>
                </c:pt>
                <c:pt idx="6">
                  <c:v>1.7</c:v>
                </c:pt>
                <c:pt idx="7">
                  <c:v>1.5</c:v>
                </c:pt>
                <c:pt idx="8">
                  <c:v>2.1</c:v>
                </c:pt>
                <c:pt idx="9">
                  <c:v>1.9</c:v>
                </c:pt>
                <c:pt idx="10">
                  <c:v>2</c:v>
                </c:pt>
                <c:pt idx="11">
                  <c:v>1.4</c:v>
                </c:pt>
                <c:pt idx="12">
                  <c:v>-2.5</c:v>
                </c:pt>
                <c:pt idx="13">
                  <c:v>-13.8</c:v>
                </c:pt>
                <c:pt idx="14">
                  <c:v>-3.8</c:v>
                </c:pt>
                <c:pt idx="15">
                  <c:v>-4</c:v>
                </c:pt>
                <c:pt idx="16">
                  <c:v>-0.9</c:v>
                </c:pt>
                <c:pt idx="17">
                  <c:v>14</c:v>
                </c:pt>
                <c:pt idx="18">
                  <c:v>4.0999999999999996</c:v>
                </c:pt>
                <c:pt idx="19">
                  <c:v>5</c:v>
                </c:pt>
                <c:pt idx="20">
                  <c:v>5.5</c:v>
                </c:pt>
                <c:pt idx="21">
                  <c:v>4</c:v>
                </c:pt>
              </c:numCache>
            </c:numRef>
          </c:val>
          <c:extLst>
            <c:ext xmlns:c16="http://schemas.microsoft.com/office/drawing/2014/chart" uri="{C3380CC4-5D6E-409C-BE32-E72D297353CC}">
              <c16:uniqueId val="{00000001-E975-4928-8AB4-A4583DEFADC3}"/>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1'!$E$25:$E$46</c:f>
              <c:numCache>
                <c:formatCode>#\ ##0.0</c:formatCode>
                <c:ptCount val="22"/>
                <c:pt idx="0">
                  <c:v>1.6501768420245781</c:v>
                </c:pt>
                <c:pt idx="1">
                  <c:v>2.4798258472657153</c:v>
                </c:pt>
                <c:pt idx="2">
                  <c:v>0.83559458693113697</c:v>
                </c:pt>
                <c:pt idx="3">
                  <c:v>0.81343215586227302</c:v>
                </c:pt>
                <c:pt idx="4">
                  <c:v>0.54160105647851253</c:v>
                </c:pt>
                <c:pt idx="5">
                  <c:v>0.60167090858045924</c:v>
                </c:pt>
                <c:pt idx="6">
                  <c:v>0.71259214422481421</c:v>
                </c:pt>
                <c:pt idx="7">
                  <c:v>0.73865794240386151</c:v>
                </c:pt>
                <c:pt idx="8">
                  <c:v>0.91207969856712623</c:v>
                </c:pt>
                <c:pt idx="9" formatCode="General">
                  <c:v>0.67331582335634721</c:v>
                </c:pt>
                <c:pt idx="10" formatCode="General">
                  <c:v>0.67154597277419725</c:v>
                </c:pt>
                <c:pt idx="11" formatCode="General">
                  <c:v>0.4833658554360909</c:v>
                </c:pt>
                <c:pt idx="12" formatCode="General">
                  <c:v>-3.2425707440500986</c:v>
                </c:pt>
                <c:pt idx="13" formatCode="General">
                  <c:v>-8.8487042688318525</c:v>
                </c:pt>
                <c:pt idx="14" formatCode="General">
                  <c:v>6.9532258277307903</c:v>
                </c:pt>
                <c:pt idx="15" formatCode="General">
                  <c:v>1.1405152853573952</c:v>
                </c:pt>
                <c:pt idx="16" formatCode="General">
                  <c:v>-0.51573487903165471</c:v>
                </c:pt>
                <c:pt idx="17" formatCode="General">
                  <c:v>1.4070301736563096</c:v>
                </c:pt>
                <c:pt idx="18" formatCode="General">
                  <c:v>1.6988343818829179</c:v>
                </c:pt>
                <c:pt idx="19" formatCode="General">
                  <c:v>0.84679073483712841</c:v>
                </c:pt>
                <c:pt idx="20" formatCode="General">
                  <c:v>0.62023208969060306</c:v>
                </c:pt>
                <c:pt idx="21" formatCode="General">
                  <c:v>0.46194898231858872</c:v>
                </c:pt>
              </c:numCache>
            </c:numRef>
          </c:val>
          <c:smooth val="0"/>
          <c:extLst>
            <c:ext xmlns:c16="http://schemas.microsoft.com/office/drawing/2014/chart" uri="{C3380CC4-5D6E-409C-BE32-E72D297353CC}">
              <c16:uniqueId val="{00000002-E975-4928-8AB4-A4583DEFADC3}"/>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1'!$F$25:$F$46</c:f>
              <c:numCache>
                <c:formatCode>#\ ##0.0</c:formatCode>
                <c:ptCount val="22"/>
                <c:pt idx="0">
                  <c:v>0.8</c:v>
                </c:pt>
                <c:pt idx="1">
                  <c:v>0.8</c:v>
                </c:pt>
                <c:pt idx="2">
                  <c:v>0.8</c:v>
                </c:pt>
                <c:pt idx="3">
                  <c:v>0.8</c:v>
                </c:pt>
                <c:pt idx="4">
                  <c:v>0.2</c:v>
                </c:pt>
                <c:pt idx="5">
                  <c:v>0.6</c:v>
                </c:pt>
                <c:pt idx="6">
                  <c:v>0.2</c:v>
                </c:pt>
                <c:pt idx="7">
                  <c:v>0.6</c:v>
                </c:pt>
                <c:pt idx="8">
                  <c:v>0.8</c:v>
                </c:pt>
                <c:pt idx="9">
                  <c:v>0.3</c:v>
                </c:pt>
                <c:pt idx="10">
                  <c:v>0.3</c:v>
                </c:pt>
                <c:pt idx="11">
                  <c:v>0</c:v>
                </c:pt>
                <c:pt idx="12">
                  <c:v>-3.1</c:v>
                </c:pt>
                <c:pt idx="13">
                  <c:v>-11.3</c:v>
                </c:pt>
                <c:pt idx="14">
                  <c:v>11.9</c:v>
                </c:pt>
                <c:pt idx="15">
                  <c:v>-0.2</c:v>
                </c:pt>
                <c:pt idx="16">
                  <c:v>0.1</c:v>
                </c:pt>
                <c:pt idx="17">
                  <c:v>2</c:v>
                </c:pt>
                <c:pt idx="18">
                  <c:v>2.2000000000000002</c:v>
                </c:pt>
                <c:pt idx="19">
                  <c:v>0.6</c:v>
                </c:pt>
                <c:pt idx="20">
                  <c:v>0.6</c:v>
                </c:pt>
                <c:pt idx="21">
                  <c:v>0.6</c:v>
                </c:pt>
              </c:numCache>
            </c:numRef>
          </c:val>
          <c:smooth val="0"/>
          <c:extLst>
            <c:ext xmlns:c16="http://schemas.microsoft.com/office/drawing/2014/chart" uri="{C3380CC4-5D6E-409C-BE32-E72D297353CC}">
              <c16:uniqueId val="{00000003-E975-4928-8AB4-A4583DEFADC3}"/>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majorUnit val="3"/>
      </c:valAx>
      <c:spPr>
        <a:ln>
          <a:solidFill>
            <a:schemeClr val="tx1"/>
          </a:solidFill>
        </a:ln>
      </c:spPr>
    </c:plotArea>
    <c:legend>
      <c:legendPos val="b"/>
      <c:layout>
        <c:manualLayout>
          <c:xMode val="edge"/>
          <c:yMode val="edge"/>
          <c:x val="5.0375530939407026E-2"/>
          <c:y val="0.89437255125717996"/>
          <c:w val="0.92644083516900477"/>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249577845322527E-2"/>
          <c:y val="2.1811335019919161E-2"/>
          <c:w val="0.92237743255066085"/>
          <c:h val="0.73318107621299466"/>
        </c:manualLayout>
      </c:layout>
      <c:barChart>
        <c:barDir val="col"/>
        <c:grouping val="clustered"/>
        <c:varyColors val="0"/>
        <c:ser>
          <c:idx val="0"/>
          <c:order val="0"/>
          <c:tx>
            <c:strRef>
              <c:f>'Ceny 2'!$C$5</c:f>
              <c:strCache>
                <c:ptCount val="1"/>
                <c:pt idx="0">
                  <c:v>Total</c:v>
                </c:pt>
              </c:strCache>
            </c:strRef>
          </c:tx>
          <c:spPr>
            <a:solidFill>
              <a:schemeClr val="bg1">
                <a:lumMod val="65000"/>
              </a:schemeClr>
            </a:solidFill>
            <a:ln w="19050">
              <a:noFill/>
            </a:ln>
          </c:spPr>
          <c:invertIfNegative val="0"/>
          <c:cat>
            <c:multiLvlStrRef>
              <c:f>'Ceny 2'!$A$26:$B$47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2'!$C$26:$C$47</c:f>
              <c:numCache>
                <c:formatCode>General</c:formatCode>
                <c:ptCount val="22"/>
                <c:pt idx="0">
                  <c:v>2.4000000000000057</c:v>
                </c:pt>
                <c:pt idx="1">
                  <c:v>2.2000000000000028</c:v>
                </c:pt>
                <c:pt idx="2" formatCode="0.0">
                  <c:v>2.5</c:v>
                </c:pt>
                <c:pt idx="3" formatCode="0.0">
                  <c:v>2.6</c:v>
                </c:pt>
                <c:pt idx="4" formatCode="0.0">
                  <c:v>1.9</c:v>
                </c:pt>
                <c:pt idx="5" formatCode="0.0">
                  <c:v>2.2999999999999998</c:v>
                </c:pt>
                <c:pt idx="6" formatCode="0.0">
                  <c:v>2.4</c:v>
                </c:pt>
                <c:pt idx="7" formatCode="0.0">
                  <c:v>2.1</c:v>
                </c:pt>
                <c:pt idx="8" formatCode="0.0">
                  <c:v>2.7</c:v>
                </c:pt>
                <c:pt idx="9" formatCode="0.0">
                  <c:v>2.8</c:v>
                </c:pt>
                <c:pt idx="10" formatCode="0.0">
                  <c:v>2.8</c:v>
                </c:pt>
                <c:pt idx="11" formatCode="0.0">
                  <c:v>3</c:v>
                </c:pt>
                <c:pt idx="12" formatCode="0.0">
                  <c:v>3.6</c:v>
                </c:pt>
                <c:pt idx="13" formatCode="0.0">
                  <c:v>3.1</c:v>
                </c:pt>
                <c:pt idx="14" formatCode="0.0">
                  <c:v>3.3</c:v>
                </c:pt>
                <c:pt idx="15" formatCode="0.0">
                  <c:v>2.6</c:v>
                </c:pt>
                <c:pt idx="16" formatCode="0.0">
                  <c:v>2.2000000000000002</c:v>
                </c:pt>
                <c:pt idx="17" formatCode="0.0">
                  <c:v>2.9</c:v>
                </c:pt>
                <c:pt idx="18" formatCode="0.0">
                  <c:v>4.0999999999999996</c:v>
                </c:pt>
                <c:pt idx="19" formatCode="0.0">
                  <c:v>6.1</c:v>
                </c:pt>
                <c:pt idx="20" formatCode="0.0">
                  <c:v>11.2</c:v>
                </c:pt>
                <c:pt idx="21" formatCode="0.0">
                  <c:v>15.8</c:v>
                </c:pt>
              </c:numCache>
            </c:numRef>
          </c:val>
          <c:extLst>
            <c:ext xmlns:c16="http://schemas.microsoft.com/office/drawing/2014/chart" uri="{C3380CC4-5D6E-409C-BE32-E72D297353CC}">
              <c16:uniqueId val="{00000000-FD8C-448C-AB2F-6FB0B2C620AA}"/>
            </c:ext>
          </c:extLst>
        </c:ser>
        <c:dLbls>
          <c:showLegendKey val="0"/>
          <c:showVal val="0"/>
          <c:showCatName val="0"/>
          <c:showSerName val="0"/>
          <c:showPercent val="0"/>
          <c:showBubbleSize val="0"/>
        </c:dLbls>
        <c:gapWidth val="95"/>
        <c:axId val="130513536"/>
        <c:axId val="130531712"/>
      </c:barChart>
      <c:lineChart>
        <c:grouping val="standard"/>
        <c:varyColors val="0"/>
        <c:ser>
          <c:idx val="1"/>
          <c:order val="1"/>
          <c:tx>
            <c:strRef>
              <c:f>'Ceny 2'!$D$5</c:f>
              <c:strCache>
                <c:ptCount val="1"/>
                <c:pt idx="0">
                  <c:v>Food</c:v>
                </c:pt>
              </c:strCache>
            </c:strRef>
          </c:tx>
          <c:spPr>
            <a:ln w="19050">
              <a:solidFill>
                <a:srgbClr val="0071BC"/>
              </a:solidFill>
            </a:ln>
          </c:spPr>
          <c:marker>
            <c:symbol val="none"/>
          </c:marker>
          <c:cat>
            <c:multiLvlStrRef>
              <c:f>'Ceny 2'!$A$26:$B$47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2'!$D$26:$D$47</c:f>
              <c:numCache>
                <c:formatCode>General</c:formatCode>
                <c:ptCount val="22"/>
                <c:pt idx="0">
                  <c:v>4.2000000000000028</c:v>
                </c:pt>
                <c:pt idx="1">
                  <c:v>4.5</c:v>
                </c:pt>
                <c:pt idx="2" formatCode="0.0">
                  <c:v>5.7</c:v>
                </c:pt>
                <c:pt idx="3" formatCode="0.0">
                  <c:v>6.3</c:v>
                </c:pt>
                <c:pt idx="4" formatCode="0.0">
                  <c:v>2.9</c:v>
                </c:pt>
                <c:pt idx="5" formatCode="#\ ##0.0_ ;\-#\ ##0.0\ ">
                  <c:v>2.2999999999999998</c:v>
                </c:pt>
                <c:pt idx="6" formatCode="0.0">
                  <c:v>0.6</c:v>
                </c:pt>
                <c:pt idx="7" formatCode="0.0">
                  <c:v>-0.5</c:v>
                </c:pt>
                <c:pt idx="8" formatCode="0.0">
                  <c:v>1</c:v>
                </c:pt>
                <c:pt idx="9" formatCode="0.0">
                  <c:v>2.5</c:v>
                </c:pt>
                <c:pt idx="10" formatCode="0.0">
                  <c:v>3.5</c:v>
                </c:pt>
                <c:pt idx="11" formatCode="0.0">
                  <c:v>4.3</c:v>
                </c:pt>
                <c:pt idx="12" formatCode="0.0">
                  <c:v>6.1</c:v>
                </c:pt>
                <c:pt idx="13" formatCode="0.0">
                  <c:v>6.5</c:v>
                </c:pt>
                <c:pt idx="14" formatCode="0.0">
                  <c:v>4</c:v>
                </c:pt>
                <c:pt idx="15" formatCode="0.0">
                  <c:v>1.7</c:v>
                </c:pt>
                <c:pt idx="16" formatCode="0.0">
                  <c:v>0.3</c:v>
                </c:pt>
                <c:pt idx="17" formatCode="0.0">
                  <c:v>-0.8</c:v>
                </c:pt>
                <c:pt idx="18" formatCode="0.0">
                  <c:v>1.4</c:v>
                </c:pt>
                <c:pt idx="19" formatCode="0.0">
                  <c:v>2.2999999999999998</c:v>
                </c:pt>
                <c:pt idx="20" formatCode="0.0">
                  <c:v>6.7</c:v>
                </c:pt>
                <c:pt idx="21" formatCode="0.0">
                  <c:v>14.6</c:v>
                </c:pt>
              </c:numCache>
            </c:numRef>
          </c:val>
          <c:smooth val="0"/>
          <c:extLst>
            <c:ext xmlns:c16="http://schemas.microsoft.com/office/drawing/2014/chart" uri="{C3380CC4-5D6E-409C-BE32-E72D297353CC}">
              <c16:uniqueId val="{00000001-FD8C-448C-AB2F-6FB0B2C620AA}"/>
            </c:ext>
          </c:extLst>
        </c:ser>
        <c:ser>
          <c:idx val="3"/>
          <c:order val="2"/>
          <c:tx>
            <c:strRef>
              <c:f>'Ceny 2'!$F$5</c:f>
              <c:strCache>
                <c:ptCount val="1"/>
                <c:pt idx="0">
                  <c:v>Housing and energy</c:v>
                </c:pt>
              </c:strCache>
            </c:strRef>
          </c:tx>
          <c:spPr>
            <a:ln w="19050">
              <a:solidFill>
                <a:srgbClr val="7DBB2D"/>
              </a:solidFill>
            </a:ln>
          </c:spPr>
          <c:marker>
            <c:symbol val="none"/>
          </c:marker>
          <c:cat>
            <c:multiLvlStrRef>
              <c:f>'Ceny 2'!$A$26:$B$47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2'!$F$26:$F$47</c:f>
              <c:numCache>
                <c:formatCode>General</c:formatCode>
                <c:ptCount val="22"/>
                <c:pt idx="0">
                  <c:v>0.79999999999999716</c:v>
                </c:pt>
                <c:pt idx="1">
                  <c:v>1.5</c:v>
                </c:pt>
                <c:pt idx="2" formatCode="0.0">
                  <c:v>2.1</c:v>
                </c:pt>
                <c:pt idx="3" formatCode="0.0">
                  <c:v>2.2000000000000002</c:v>
                </c:pt>
                <c:pt idx="4" formatCode="0.0">
                  <c:v>2.2999999999999998</c:v>
                </c:pt>
                <c:pt idx="5" formatCode="0.0">
                  <c:v>2.6</c:v>
                </c:pt>
                <c:pt idx="6" formatCode="0.0">
                  <c:v>3.2</c:v>
                </c:pt>
                <c:pt idx="7" formatCode="0.0">
                  <c:v>3.8</c:v>
                </c:pt>
                <c:pt idx="8" formatCode="0.0">
                  <c:v>5.4</c:v>
                </c:pt>
                <c:pt idx="9" formatCode="0.0">
                  <c:v>5.7</c:v>
                </c:pt>
                <c:pt idx="10" formatCode="0.0">
                  <c:v>5.2</c:v>
                </c:pt>
                <c:pt idx="11" formatCode="0.0">
                  <c:v>5</c:v>
                </c:pt>
                <c:pt idx="12" formatCode="0.0">
                  <c:v>4.2</c:v>
                </c:pt>
                <c:pt idx="13" formatCode="0.0">
                  <c:v>3.2</c:v>
                </c:pt>
                <c:pt idx="14" formatCode="0.0">
                  <c:v>2.7</c:v>
                </c:pt>
                <c:pt idx="15" formatCode="0.0">
                  <c:v>1.4</c:v>
                </c:pt>
                <c:pt idx="16" formatCode="0.0">
                  <c:v>0.6</c:v>
                </c:pt>
                <c:pt idx="17" formatCode="0.0">
                  <c:v>1.3</c:v>
                </c:pt>
                <c:pt idx="18" formatCode="0.0">
                  <c:v>3.6</c:v>
                </c:pt>
                <c:pt idx="19" formatCode="0.0">
                  <c:v>5.6</c:v>
                </c:pt>
                <c:pt idx="20" formatCode="0.0">
                  <c:v>16</c:v>
                </c:pt>
                <c:pt idx="21" formatCode="0.0">
                  <c:v>21.4</c:v>
                </c:pt>
              </c:numCache>
            </c:numRef>
          </c:val>
          <c:smooth val="0"/>
          <c:extLst>
            <c:ext xmlns:c16="http://schemas.microsoft.com/office/drawing/2014/chart" uri="{C3380CC4-5D6E-409C-BE32-E72D297353CC}">
              <c16:uniqueId val="{00000002-FD8C-448C-AB2F-6FB0B2C620AA}"/>
            </c:ext>
          </c:extLst>
        </c:ser>
        <c:ser>
          <c:idx val="4"/>
          <c:order val="3"/>
          <c:tx>
            <c:strRef>
              <c:f>'Ceny 2'!$G$5</c:f>
              <c:strCache>
                <c:ptCount val="1"/>
                <c:pt idx="0">
                  <c:v>Transportation</c:v>
                </c:pt>
              </c:strCache>
            </c:strRef>
          </c:tx>
          <c:spPr>
            <a:ln w="19050">
              <a:solidFill>
                <a:srgbClr val="FFC000"/>
              </a:solidFill>
            </a:ln>
          </c:spPr>
          <c:marker>
            <c:symbol val="none"/>
          </c:marker>
          <c:cat>
            <c:multiLvlStrRef>
              <c:f>'Ceny 2'!$A$26:$B$47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2'!$G$26:$G$47</c:f>
              <c:numCache>
                <c:formatCode>General</c:formatCode>
                <c:ptCount val="22"/>
                <c:pt idx="0">
                  <c:v>6</c:v>
                </c:pt>
                <c:pt idx="1">
                  <c:v>3.9000000000000057</c:v>
                </c:pt>
                <c:pt idx="2" formatCode="0.0">
                  <c:v>2.5</c:v>
                </c:pt>
                <c:pt idx="3" formatCode="0.0">
                  <c:v>2.5</c:v>
                </c:pt>
                <c:pt idx="4" formatCode="0.0">
                  <c:v>1</c:v>
                </c:pt>
                <c:pt idx="5" formatCode="0.0">
                  <c:v>3</c:v>
                </c:pt>
                <c:pt idx="6" formatCode="0.0">
                  <c:v>4.5</c:v>
                </c:pt>
                <c:pt idx="7" formatCode="0.0">
                  <c:v>2.6</c:v>
                </c:pt>
                <c:pt idx="8" formatCode="0.0">
                  <c:v>0.6</c:v>
                </c:pt>
                <c:pt idx="9" formatCode="0.0">
                  <c:v>0.8</c:v>
                </c:pt>
                <c:pt idx="10" formatCode="0.0">
                  <c:v>-0.2</c:v>
                </c:pt>
                <c:pt idx="11" formatCode="0.0">
                  <c:v>0.5</c:v>
                </c:pt>
                <c:pt idx="12">
                  <c:v>1.7</c:v>
                </c:pt>
                <c:pt idx="13" formatCode="0.0">
                  <c:v>-3.4</c:v>
                </c:pt>
                <c:pt idx="14" formatCode="0.0">
                  <c:v>-0.2</c:v>
                </c:pt>
                <c:pt idx="15" formatCode="0.0">
                  <c:v>0.6</c:v>
                </c:pt>
                <c:pt idx="16" formatCode="0.0">
                  <c:v>2.4</c:v>
                </c:pt>
                <c:pt idx="17" formatCode="0.0">
                  <c:v>9.1</c:v>
                </c:pt>
                <c:pt idx="18" formatCode="0.0">
                  <c:v>8.8000000000000007</c:v>
                </c:pt>
                <c:pt idx="19" formatCode="0.0">
                  <c:v>13.1</c:v>
                </c:pt>
                <c:pt idx="20" formatCode="0.0">
                  <c:v>17.2</c:v>
                </c:pt>
                <c:pt idx="21" formatCode="0.0">
                  <c:v>22.7</c:v>
                </c:pt>
              </c:numCache>
            </c:numRef>
          </c:val>
          <c:smooth val="0"/>
          <c:extLst>
            <c:ext xmlns:c16="http://schemas.microsoft.com/office/drawing/2014/chart" uri="{C3380CC4-5D6E-409C-BE32-E72D297353CC}">
              <c16:uniqueId val="{00000003-FD8C-448C-AB2F-6FB0B2C620AA}"/>
            </c:ext>
          </c:extLst>
        </c:ser>
        <c:ser>
          <c:idx val="5"/>
          <c:order val="4"/>
          <c:tx>
            <c:strRef>
              <c:f>'Ceny 2'!$E$5</c:f>
              <c:strCache>
                <c:ptCount val="1"/>
                <c:pt idx="0">
                  <c:v>Alcoholic beverages and tobacco</c:v>
                </c:pt>
              </c:strCache>
            </c:strRef>
          </c:tx>
          <c:spPr>
            <a:ln w="22225">
              <a:solidFill>
                <a:schemeClr val="accent2"/>
              </a:solidFill>
            </a:ln>
          </c:spPr>
          <c:marker>
            <c:symbol val="none"/>
          </c:marker>
          <c:cat>
            <c:multiLvlStrRef>
              <c:f>'Ceny 2'!$A$26:$B$47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2'!$E$26:$E$47</c:f>
              <c:numCache>
                <c:formatCode>General</c:formatCode>
                <c:ptCount val="22"/>
                <c:pt idx="0">
                  <c:v>3.4000000000000057</c:v>
                </c:pt>
                <c:pt idx="1">
                  <c:v>0.79999999999999716</c:v>
                </c:pt>
                <c:pt idx="2" formatCode="0.0">
                  <c:v>1.3</c:v>
                </c:pt>
                <c:pt idx="3" formatCode="0.0">
                  <c:v>1.5</c:v>
                </c:pt>
                <c:pt idx="4" formatCode="0.0">
                  <c:v>2.5</c:v>
                </c:pt>
                <c:pt idx="5" formatCode="0.0">
                  <c:v>3.6</c:v>
                </c:pt>
                <c:pt idx="6" formatCode="0.0">
                  <c:v>2.8</c:v>
                </c:pt>
                <c:pt idx="7" formatCode="0.0">
                  <c:v>3.1</c:v>
                </c:pt>
                <c:pt idx="8" formatCode="0.0">
                  <c:v>3.3</c:v>
                </c:pt>
                <c:pt idx="9" formatCode="0.0">
                  <c:v>1.7</c:v>
                </c:pt>
                <c:pt idx="10" formatCode="0.0">
                  <c:v>1.9</c:v>
                </c:pt>
                <c:pt idx="11" formatCode="0.0">
                  <c:v>1.8</c:v>
                </c:pt>
                <c:pt idx="12">
                  <c:v>3.5</c:v>
                </c:pt>
                <c:pt idx="13" formatCode="0.0">
                  <c:v>6.6</c:v>
                </c:pt>
                <c:pt idx="14" formatCode="0.0">
                  <c:v>10.3</c:v>
                </c:pt>
                <c:pt idx="15" formatCode="0.0">
                  <c:v>9.9</c:v>
                </c:pt>
                <c:pt idx="16" formatCode="0.0">
                  <c:v>9.9</c:v>
                </c:pt>
                <c:pt idx="17" formatCode="0.0">
                  <c:v>9.8000000000000007</c:v>
                </c:pt>
                <c:pt idx="18" formatCode="0.0">
                  <c:v>6.5</c:v>
                </c:pt>
                <c:pt idx="19" formatCode="0.0">
                  <c:v>7.7</c:v>
                </c:pt>
                <c:pt idx="20" formatCode="0.0">
                  <c:v>7.1</c:v>
                </c:pt>
                <c:pt idx="21" formatCode="0.0">
                  <c:v>5.6</c:v>
                </c:pt>
              </c:numCache>
            </c:numRef>
          </c:val>
          <c:smooth val="0"/>
          <c:extLst>
            <c:ext xmlns:c16="http://schemas.microsoft.com/office/drawing/2014/chart" uri="{C3380CC4-5D6E-409C-BE32-E72D297353CC}">
              <c16:uniqueId val="{00000004-FD8C-448C-AB2F-6FB0B2C620AA}"/>
            </c:ext>
          </c:extLst>
        </c:ser>
        <c:ser>
          <c:idx val="2"/>
          <c:order val="5"/>
          <c:tx>
            <c:strRef>
              <c:f>'Ceny 2'!$H$5</c:f>
              <c:strCache>
                <c:ptCount val="1"/>
                <c:pt idx="0">
                  <c:v>Restaurants and hotels</c:v>
                </c:pt>
              </c:strCache>
              <c:extLst xmlns:c15="http://schemas.microsoft.com/office/drawing/2012/chart"/>
            </c:strRef>
          </c:tx>
          <c:spPr>
            <a:ln w="19050">
              <a:solidFill>
                <a:srgbClr val="7030A0"/>
              </a:solidFill>
            </a:ln>
          </c:spPr>
          <c:marker>
            <c:symbol val="none"/>
          </c:marker>
          <c:cat>
            <c:multiLvlStrRef>
              <c:f>'Ceny 2'!$A$26:$B$47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2'!$H$26:$H$47</c:f>
              <c:numCache>
                <c:formatCode>###\ ###\ ##0.0</c:formatCode>
                <c:ptCount val="22"/>
                <c:pt idx="0">
                  <c:v>5.2000000000000028</c:v>
                </c:pt>
                <c:pt idx="1">
                  <c:v>5.7999999999999972</c:v>
                </c:pt>
                <c:pt idx="2">
                  <c:v>6.2999999999999972</c:v>
                </c:pt>
                <c:pt idx="3" formatCode="0.0">
                  <c:v>5.6</c:v>
                </c:pt>
                <c:pt idx="4" formatCode="0.0">
                  <c:v>3.5</c:v>
                </c:pt>
                <c:pt idx="5" formatCode="0.0">
                  <c:v>3.6</c:v>
                </c:pt>
                <c:pt idx="6" formatCode="0.0">
                  <c:v>3.5</c:v>
                </c:pt>
                <c:pt idx="7" formatCode="0.0">
                  <c:v>3.7</c:v>
                </c:pt>
                <c:pt idx="8" formatCode="0.0">
                  <c:v>3.8</c:v>
                </c:pt>
                <c:pt idx="9" formatCode="0.0">
                  <c:v>4</c:v>
                </c:pt>
                <c:pt idx="10" formatCode="0.0">
                  <c:v>4.5</c:v>
                </c:pt>
                <c:pt idx="11" formatCode="0.0">
                  <c:v>4.5999999999999996</c:v>
                </c:pt>
                <c:pt idx="12" formatCode="0.0">
                  <c:v>5.5</c:v>
                </c:pt>
                <c:pt idx="13" formatCode="0.0">
                  <c:v>5.0999999999999996</c:v>
                </c:pt>
                <c:pt idx="14" formatCode="0.0">
                  <c:v>4.9000000000000004</c:v>
                </c:pt>
                <c:pt idx="15" formatCode="0.0">
                  <c:v>4.3</c:v>
                </c:pt>
                <c:pt idx="16" formatCode="0.0">
                  <c:v>3</c:v>
                </c:pt>
                <c:pt idx="17" formatCode="0.0">
                  <c:v>2.9</c:v>
                </c:pt>
                <c:pt idx="18" formatCode="0.0">
                  <c:v>4.5999999999999996</c:v>
                </c:pt>
                <c:pt idx="19" formatCode="0.0">
                  <c:v>6.8</c:v>
                </c:pt>
                <c:pt idx="20" formatCode="0.0">
                  <c:v>12.3</c:v>
                </c:pt>
                <c:pt idx="21" formatCode="0.0">
                  <c:v>21.4</c:v>
                </c:pt>
              </c:numCache>
            </c:numRef>
          </c:val>
          <c:smooth val="0"/>
          <c:extLst xmlns:c15="http://schemas.microsoft.com/office/drawing/2012/chart">
            <c:ext xmlns:c16="http://schemas.microsoft.com/office/drawing/2014/chart" uri="{C3380CC4-5D6E-409C-BE32-E72D297353CC}">
              <c16:uniqueId val="{00000005-FD8C-448C-AB2F-6FB0B2C620AA}"/>
            </c:ext>
          </c:extLst>
        </c:ser>
        <c:dLbls>
          <c:showLegendKey val="0"/>
          <c:showVal val="0"/>
          <c:showCatName val="0"/>
          <c:showSerName val="0"/>
          <c:showPercent val="0"/>
          <c:showBubbleSize val="0"/>
        </c:dLbls>
        <c:marker val="1"/>
        <c:smooth val="0"/>
        <c:axId val="130513536"/>
        <c:axId val="130531712"/>
        <c:extLst/>
      </c:lineChart>
      <c:catAx>
        <c:axId val="13051353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531712"/>
        <c:crosses val="autoZero"/>
        <c:auto val="1"/>
        <c:lblAlgn val="ctr"/>
        <c:lblOffset val="100"/>
        <c:noMultiLvlLbl val="0"/>
      </c:catAx>
      <c:valAx>
        <c:axId val="130531712"/>
        <c:scaling>
          <c:orientation val="minMax"/>
          <c:max val="24"/>
          <c:min val="-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513536"/>
        <c:crosses val="autoZero"/>
        <c:crossBetween val="between"/>
        <c:majorUnit val="4"/>
      </c:valAx>
      <c:spPr>
        <a:ln>
          <a:solidFill>
            <a:schemeClr val="tx1"/>
          </a:solidFill>
        </a:ln>
      </c:spPr>
    </c:plotArea>
    <c:legend>
      <c:legendPos val="b"/>
      <c:layout>
        <c:manualLayout>
          <c:xMode val="edge"/>
          <c:yMode val="edge"/>
          <c:x val="5.6562816616008108E-2"/>
          <c:y val="0.87970674321738151"/>
          <c:w val="0.92175447483958117"/>
          <c:h val="0.109570527974783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58203189717562E-2"/>
          <c:y val="2.9569886214146503E-2"/>
          <c:w val="0.92637856314472322"/>
          <c:h val="0.73556653157716956"/>
        </c:manualLayout>
      </c:layout>
      <c:barChart>
        <c:barDir val="col"/>
        <c:grouping val="clustered"/>
        <c:varyColors val="0"/>
        <c:ser>
          <c:idx val="0"/>
          <c:order val="0"/>
          <c:tx>
            <c:strRef>
              <c:f>'Ceny 1'!$C$5</c:f>
              <c:strCache>
                <c:ptCount val="1"/>
                <c:pt idx="0">
                  <c:v>Realised prices of older flats, the CR</c:v>
                </c:pt>
              </c:strCache>
            </c:strRef>
          </c:tx>
          <c:spPr>
            <a:solidFill>
              <a:schemeClr val="bg1">
                <a:lumMod val="65000"/>
              </a:schemeClr>
            </a:solidFill>
            <a:ln w="19050">
              <a:noFill/>
            </a:ln>
          </c:spPr>
          <c:invertIfNegative val="0"/>
          <c:cat>
            <c:multiLvlStrRef>
              <c:f>'Ceny 1'!$A$26:$B$47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1'!$C$26:$C$47</c:f>
              <c:numCache>
                <c:formatCode>General</c:formatCode>
                <c:ptCount val="22"/>
                <c:pt idx="0">
                  <c:v>17.200000000000003</c:v>
                </c:pt>
                <c:pt idx="1">
                  <c:v>18.700000000000003</c:v>
                </c:pt>
                <c:pt idx="2">
                  <c:v>15.799999999999997</c:v>
                </c:pt>
                <c:pt idx="3">
                  <c:v>12</c:v>
                </c:pt>
                <c:pt idx="4">
                  <c:v>9.2000000000000028</c:v>
                </c:pt>
                <c:pt idx="5">
                  <c:v>8</c:v>
                </c:pt>
                <c:pt idx="6">
                  <c:v>9.4000000000000057</c:v>
                </c:pt>
                <c:pt idx="7">
                  <c:v>11.400000000000006</c:v>
                </c:pt>
                <c:pt idx="8">
                  <c:v>11.299999999999997</c:v>
                </c:pt>
                <c:pt idx="9">
                  <c:v>10.599999999999994</c:v>
                </c:pt>
                <c:pt idx="10">
                  <c:v>9.5</c:v>
                </c:pt>
                <c:pt idx="11">
                  <c:v>9.4000000000000057</c:v>
                </c:pt>
                <c:pt idx="12">
                  <c:v>10.599999999999994</c:v>
                </c:pt>
                <c:pt idx="13">
                  <c:v>10.200000000000003</c:v>
                </c:pt>
                <c:pt idx="14">
                  <c:v>11.200000000000003</c:v>
                </c:pt>
                <c:pt idx="15">
                  <c:v>13.299999999999997</c:v>
                </c:pt>
                <c:pt idx="16">
                  <c:v>15.200000000000003</c:v>
                </c:pt>
                <c:pt idx="17">
                  <c:v>17.900000000000006</c:v>
                </c:pt>
                <c:pt idx="18">
                  <c:v>21.299999999999997</c:v>
                </c:pt>
                <c:pt idx="19">
                  <c:v>25.200000000000003</c:v>
                </c:pt>
                <c:pt idx="20">
                  <c:v>27.299999999999997</c:v>
                </c:pt>
                <c:pt idx="21">
                  <c:v>27.599999999999994</c:v>
                </c:pt>
              </c:numCache>
            </c:numRef>
          </c:val>
          <c:extLst>
            <c:ext xmlns:c16="http://schemas.microsoft.com/office/drawing/2014/chart" uri="{C3380CC4-5D6E-409C-BE32-E72D297353CC}">
              <c16:uniqueId val="{00000000-B0FD-4E5A-8984-3673FDED0263}"/>
            </c:ext>
          </c:extLst>
        </c:ser>
        <c:ser>
          <c:idx val="1"/>
          <c:order val="1"/>
          <c:tx>
            <c:strRef>
              <c:f>'Ceny 1'!$D$5</c:f>
              <c:strCache>
                <c:ptCount val="1"/>
                <c:pt idx="0">
                  <c:v>Realised prices of older flats, Prague</c:v>
                </c:pt>
              </c:strCache>
            </c:strRef>
          </c:tx>
          <c:spPr>
            <a:solidFill>
              <a:prstClr val="black">
                <a:lumMod val="50000"/>
                <a:lumOff val="50000"/>
              </a:prstClr>
            </a:solidFill>
            <a:ln w="19050">
              <a:noFill/>
            </a:ln>
          </c:spPr>
          <c:invertIfNegative val="0"/>
          <c:cat>
            <c:multiLvlStrRef>
              <c:f>'Ceny 1'!$A$26:$B$47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1'!$D$26:$D$47</c:f>
              <c:numCache>
                <c:formatCode>General</c:formatCode>
                <c:ptCount val="22"/>
                <c:pt idx="0">
                  <c:v>16.200000000000003</c:v>
                </c:pt>
                <c:pt idx="1">
                  <c:v>19</c:v>
                </c:pt>
                <c:pt idx="2">
                  <c:v>16.400000000000006</c:v>
                </c:pt>
                <c:pt idx="3">
                  <c:v>11.099999999999994</c:v>
                </c:pt>
                <c:pt idx="4">
                  <c:v>8.2999999999999972</c:v>
                </c:pt>
                <c:pt idx="5">
                  <c:v>4</c:v>
                </c:pt>
                <c:pt idx="6">
                  <c:v>6</c:v>
                </c:pt>
                <c:pt idx="7">
                  <c:v>8.7000000000000028</c:v>
                </c:pt>
                <c:pt idx="8">
                  <c:v>9.4000000000000057</c:v>
                </c:pt>
                <c:pt idx="9">
                  <c:v>8.7000000000000028</c:v>
                </c:pt>
                <c:pt idx="10">
                  <c:v>6.5</c:v>
                </c:pt>
                <c:pt idx="11">
                  <c:v>7.0999999999999943</c:v>
                </c:pt>
                <c:pt idx="12">
                  <c:v>6.2000000000000028</c:v>
                </c:pt>
                <c:pt idx="13">
                  <c:v>8</c:v>
                </c:pt>
                <c:pt idx="14">
                  <c:v>9.4000000000000057</c:v>
                </c:pt>
                <c:pt idx="15">
                  <c:v>10.599999999999994</c:v>
                </c:pt>
                <c:pt idx="16">
                  <c:v>14.299999999999997</c:v>
                </c:pt>
                <c:pt idx="17">
                  <c:v>15.799999999999997</c:v>
                </c:pt>
                <c:pt idx="18">
                  <c:v>16.599999999999994</c:v>
                </c:pt>
                <c:pt idx="19">
                  <c:v>20</c:v>
                </c:pt>
                <c:pt idx="20">
                  <c:v>19</c:v>
                </c:pt>
                <c:pt idx="21">
                  <c:v>16.700000000000003</c:v>
                </c:pt>
              </c:numCache>
            </c:numRef>
          </c:val>
          <c:extLst>
            <c:ext xmlns:c16="http://schemas.microsoft.com/office/drawing/2014/chart" uri="{C3380CC4-5D6E-409C-BE32-E72D297353CC}">
              <c16:uniqueId val="{00000001-B0FD-4E5A-8984-3673FDED0263}"/>
            </c:ext>
          </c:extLst>
        </c:ser>
        <c:dLbls>
          <c:showLegendKey val="0"/>
          <c:showVal val="0"/>
          <c:showCatName val="0"/>
          <c:showSerName val="0"/>
          <c:showPercent val="0"/>
          <c:showBubbleSize val="0"/>
        </c:dLbls>
        <c:gapWidth val="95"/>
        <c:axId val="130418560"/>
        <c:axId val="130420096"/>
      </c:barChart>
      <c:lineChart>
        <c:grouping val="standard"/>
        <c:varyColors val="0"/>
        <c:ser>
          <c:idx val="2"/>
          <c:order val="2"/>
          <c:tx>
            <c:strRef>
              <c:f>'Ceny 1'!$E$5</c:f>
              <c:strCache>
                <c:ptCount val="1"/>
                <c:pt idx="0">
                  <c:v>Catalogue prices of flats, the CR</c:v>
                </c:pt>
              </c:strCache>
            </c:strRef>
          </c:tx>
          <c:spPr>
            <a:ln w="19050">
              <a:solidFill>
                <a:schemeClr val="accent2"/>
              </a:solidFill>
            </a:ln>
          </c:spPr>
          <c:marker>
            <c:symbol val="none"/>
          </c:marker>
          <c:cat>
            <c:multiLvlStrRef>
              <c:f>'Ceny 1'!$A$26:$B$47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1'!$E$26:$E$47</c:f>
              <c:numCache>
                <c:formatCode>General</c:formatCode>
                <c:ptCount val="22"/>
                <c:pt idx="0" formatCode="0.0">
                  <c:v>9.5238095238095184</c:v>
                </c:pt>
                <c:pt idx="1">
                  <c:v>9.5278969957081472</c:v>
                </c:pt>
                <c:pt idx="2">
                  <c:v>12.542087542087543</c:v>
                </c:pt>
                <c:pt idx="3">
                  <c:v>12.469237079573418</c:v>
                </c:pt>
                <c:pt idx="4">
                  <c:v>12.801932367149746</c:v>
                </c:pt>
                <c:pt idx="5">
                  <c:v>12.225705329153584</c:v>
                </c:pt>
                <c:pt idx="6">
                  <c:v>9.498878085265531</c:v>
                </c:pt>
                <c:pt idx="7">
                  <c:v>8.4609773887673185</c:v>
                </c:pt>
                <c:pt idx="8">
                  <c:v>7.4232690935046435</c:v>
                </c:pt>
                <c:pt idx="9">
                  <c:v>5.7262569832402335</c:v>
                </c:pt>
                <c:pt idx="10">
                  <c:v>5.1912568306010911</c:v>
                </c:pt>
                <c:pt idx="11">
                  <c:v>5.5144586415601964</c:v>
                </c:pt>
                <c:pt idx="12">
                  <c:v>6.0465116279069662</c:v>
                </c:pt>
                <c:pt idx="13">
                  <c:v>7.1334214002641829</c:v>
                </c:pt>
                <c:pt idx="14">
                  <c:v>7.9870129870129887</c:v>
                </c:pt>
                <c:pt idx="15">
                  <c:v>7.6481835564053569</c:v>
                </c:pt>
                <c:pt idx="16">
                  <c:v>7.6441102756892292</c:v>
                </c:pt>
                <c:pt idx="17">
                  <c:v>7.9531442663378584</c:v>
                </c:pt>
                <c:pt idx="18">
                  <c:v>9.3205051112447421</c:v>
                </c:pt>
                <c:pt idx="19">
                  <c:v>12.433392539964473</c:v>
                </c:pt>
                <c:pt idx="20">
                  <c:v>16.880093131548307</c:v>
                </c:pt>
                <c:pt idx="21">
                  <c:v>24.671616219303274</c:v>
                </c:pt>
              </c:numCache>
            </c:numRef>
          </c:val>
          <c:smooth val="0"/>
          <c:extLst>
            <c:ext xmlns:c16="http://schemas.microsoft.com/office/drawing/2014/chart" uri="{C3380CC4-5D6E-409C-BE32-E72D297353CC}">
              <c16:uniqueId val="{00000002-B0FD-4E5A-8984-3673FDED0263}"/>
            </c:ext>
          </c:extLst>
        </c:ser>
        <c:ser>
          <c:idx val="3"/>
          <c:order val="3"/>
          <c:tx>
            <c:strRef>
              <c:f>'Ceny 1'!$F$5</c:f>
              <c:strCache>
                <c:ptCount val="1"/>
                <c:pt idx="0">
                  <c:v>Catalogue prices of flats, Prague</c:v>
                </c:pt>
              </c:strCache>
            </c:strRef>
          </c:tx>
          <c:spPr>
            <a:ln>
              <a:solidFill>
                <a:schemeClr val="accent1"/>
              </a:solidFill>
            </a:ln>
          </c:spPr>
          <c:marker>
            <c:symbol val="none"/>
          </c:marker>
          <c:cat>
            <c:multiLvlStrRef>
              <c:f>'Ceny 1'!$A$26:$B$47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'Ceny 1'!$F$26:$F$47</c:f>
              <c:numCache>
                <c:formatCode>General</c:formatCode>
                <c:ptCount val="22"/>
                <c:pt idx="0" formatCode="0.0">
                  <c:v>13.636363636363626</c:v>
                </c:pt>
                <c:pt idx="1">
                  <c:v>14.589905362776051</c:v>
                </c:pt>
                <c:pt idx="2">
                  <c:v>18.266253869969049</c:v>
                </c:pt>
                <c:pt idx="3">
                  <c:v>18.773373223635019</c:v>
                </c:pt>
                <c:pt idx="4">
                  <c:v>15.071428571428555</c:v>
                </c:pt>
                <c:pt idx="5">
                  <c:v>14.24638678596007</c:v>
                </c:pt>
                <c:pt idx="6">
                  <c:v>10.732984293193695</c:v>
                </c:pt>
                <c:pt idx="7">
                  <c:v>8.7531486146095574</c:v>
                </c:pt>
                <c:pt idx="8">
                  <c:v>8.3178150217256359</c:v>
                </c:pt>
                <c:pt idx="9">
                  <c:v>4.9397590361445651</c:v>
                </c:pt>
                <c:pt idx="10">
                  <c:v>3.3096926713947994</c:v>
                </c:pt>
                <c:pt idx="11">
                  <c:v>2.9530978575564575</c:v>
                </c:pt>
                <c:pt idx="12">
                  <c:v>3.5530085959885298</c:v>
                </c:pt>
                <c:pt idx="13">
                  <c:v>5.2812858783008068</c:v>
                </c:pt>
                <c:pt idx="14">
                  <c:v>6.2356979405034281</c:v>
                </c:pt>
                <c:pt idx="15">
                  <c:v>5.1743532058492718</c:v>
                </c:pt>
                <c:pt idx="16">
                  <c:v>4.759269507470961</c:v>
                </c:pt>
                <c:pt idx="17">
                  <c:v>4.5256270447110012</c:v>
                </c:pt>
                <c:pt idx="18">
                  <c:v>6.2466343564889826</c:v>
                </c:pt>
                <c:pt idx="19">
                  <c:v>9.1443850267379503</c:v>
                </c:pt>
                <c:pt idx="20">
                  <c:v>12.255678816693077</c:v>
                </c:pt>
                <c:pt idx="21">
                  <c:v>19.718309859154942</c:v>
                </c:pt>
              </c:numCache>
            </c:numRef>
          </c:val>
          <c:smooth val="0"/>
          <c:extLst>
            <c:ext xmlns:c16="http://schemas.microsoft.com/office/drawing/2014/chart" uri="{C3380CC4-5D6E-409C-BE32-E72D297353CC}">
              <c16:uniqueId val="{00000003-B0FD-4E5A-8984-3673FDED0263}"/>
            </c:ext>
          </c:extLst>
        </c:ser>
        <c:dLbls>
          <c:showLegendKey val="0"/>
          <c:showVal val="0"/>
          <c:showCatName val="0"/>
          <c:showSerName val="0"/>
          <c:showPercent val="0"/>
          <c:showBubbleSize val="0"/>
        </c:dLbls>
        <c:marker val="1"/>
        <c:smooth val="0"/>
        <c:axId val="130418560"/>
        <c:axId val="130420096"/>
      </c:lineChart>
      <c:catAx>
        <c:axId val="13041856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420096"/>
        <c:crosses val="autoZero"/>
        <c:auto val="1"/>
        <c:lblAlgn val="ctr"/>
        <c:lblOffset val="100"/>
        <c:noMultiLvlLbl val="0"/>
      </c:catAx>
      <c:valAx>
        <c:axId val="130420096"/>
        <c:scaling>
          <c:orientation val="minMax"/>
          <c:max val="28"/>
          <c:min val="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418560"/>
        <c:crosses val="autoZero"/>
        <c:crossBetween val="between"/>
        <c:majorUnit val="4"/>
      </c:valAx>
      <c:spPr>
        <a:ln>
          <a:solidFill>
            <a:schemeClr val="tx1"/>
          </a:solidFill>
        </a:ln>
      </c:spPr>
    </c:plotArea>
    <c:legend>
      <c:legendPos val="b"/>
      <c:layout>
        <c:manualLayout>
          <c:xMode val="edge"/>
          <c:yMode val="edge"/>
          <c:x val="4.6528021206651497E-2"/>
          <c:y val="0.88817854328492629"/>
          <c:w val="0.9267997314289258"/>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19993E-2"/>
          <c:w val="0.89142432050272657"/>
          <c:h val="0.71663233141956562"/>
        </c:manualLayout>
      </c:layout>
      <c:barChart>
        <c:barDir val="col"/>
        <c:grouping val="clustered"/>
        <c:varyColors val="0"/>
        <c:ser>
          <c:idx val="0"/>
          <c:order val="0"/>
          <c:tx>
            <c:strRef>
              <c:f>'Ceny 4'!$C$5</c:f>
              <c:strCache>
                <c:ptCount val="1"/>
                <c:pt idx="0">
                  <c:v>Total</c:v>
                </c:pt>
              </c:strCache>
            </c:strRef>
          </c:tx>
          <c:spPr>
            <a:solidFill>
              <a:schemeClr val="bg1">
                <a:lumMod val="65000"/>
              </a:schemeClr>
            </a:solidFill>
            <a:ln w="19050">
              <a:noFill/>
            </a:ln>
          </c:spPr>
          <c:invertIfNegative val="0"/>
          <c:cat>
            <c:multiLvlStrRef>
              <c:f>'Ceny 4'!$A$54:$B$119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'Ceny 4'!$C$54:$C$119</c:f>
              <c:numCache>
                <c:formatCode>General</c:formatCode>
                <c:ptCount val="66"/>
                <c:pt idx="0">
                  <c:v>2.0999999999999943</c:v>
                </c:pt>
                <c:pt idx="1">
                  <c:v>3.0999999999999943</c:v>
                </c:pt>
                <c:pt idx="2" formatCode="0.0">
                  <c:v>3</c:v>
                </c:pt>
                <c:pt idx="3" formatCode="0.0">
                  <c:v>3.2000000000000028</c:v>
                </c:pt>
                <c:pt idx="4">
                  <c:v>2.2999999999999972</c:v>
                </c:pt>
                <c:pt idx="5">
                  <c:v>1.2999999999999972</c:v>
                </c:pt>
                <c:pt idx="6">
                  <c:v>1.1000000000000001</c:v>
                </c:pt>
                <c:pt idx="7">
                  <c:v>1.4</c:v>
                </c:pt>
                <c:pt idx="8">
                  <c:v>1.7</c:v>
                </c:pt>
                <c:pt idx="9">
                  <c:v>1.1000000000000001</c:v>
                </c:pt>
                <c:pt idx="10">
                  <c:v>0.9</c:v>
                </c:pt>
                <c:pt idx="11">
                  <c:v>0.7</c:v>
                </c:pt>
                <c:pt idx="12">
                  <c:v>0.5</c:v>
                </c:pt>
                <c:pt idx="13">
                  <c:v>-0.3</c:v>
                </c:pt>
                <c:pt idx="14">
                  <c:v>0.1</c:v>
                </c:pt>
                <c:pt idx="15">
                  <c:v>0</c:v>
                </c:pt>
                <c:pt idx="16">
                  <c:v>1.5</c:v>
                </c:pt>
                <c:pt idx="17">
                  <c:v>2.9</c:v>
                </c:pt>
                <c:pt idx="18">
                  <c:v>3.4</c:v>
                </c:pt>
                <c:pt idx="19">
                  <c:v>3.3</c:v>
                </c:pt>
                <c:pt idx="20">
                  <c:v>3.2</c:v>
                </c:pt>
                <c:pt idx="21">
                  <c:v>3.9</c:v>
                </c:pt>
                <c:pt idx="22">
                  <c:v>3.9</c:v>
                </c:pt>
                <c:pt idx="23">
                  <c:v>2.4</c:v>
                </c:pt>
                <c:pt idx="24">
                  <c:v>2.9</c:v>
                </c:pt>
                <c:pt idx="25">
                  <c:v>3.6</c:v>
                </c:pt>
                <c:pt idx="26">
                  <c:v>3.8</c:v>
                </c:pt>
                <c:pt idx="27">
                  <c:v>4.3</c:v>
                </c:pt>
                <c:pt idx="28">
                  <c:v>3.8</c:v>
                </c:pt>
                <c:pt idx="29">
                  <c:v>2.5</c:v>
                </c:pt>
                <c:pt idx="30">
                  <c:v>2.1</c:v>
                </c:pt>
                <c:pt idx="31">
                  <c:v>2.1</c:v>
                </c:pt>
                <c:pt idx="32">
                  <c:v>1.9</c:v>
                </c:pt>
                <c:pt idx="33">
                  <c:v>0.9</c:v>
                </c:pt>
                <c:pt idx="34">
                  <c:v>0.9</c:v>
                </c:pt>
                <c:pt idx="35">
                  <c:v>2.1</c:v>
                </c:pt>
                <c:pt idx="36">
                  <c:v>2.4</c:v>
                </c:pt>
                <c:pt idx="37">
                  <c:v>1.4</c:v>
                </c:pt>
                <c:pt idx="38">
                  <c:v>0.4</c:v>
                </c:pt>
                <c:pt idx="39">
                  <c:v>-0.8</c:v>
                </c:pt>
                <c:pt idx="40">
                  <c:v>-0.9</c:v>
                </c:pt>
                <c:pt idx="41">
                  <c:v>-0.3</c:v>
                </c:pt>
                <c:pt idx="42">
                  <c:v>-0.1</c:v>
                </c:pt>
                <c:pt idx="43">
                  <c:v>-0.5</c:v>
                </c:pt>
                <c:pt idx="44">
                  <c:v>-0.4</c:v>
                </c:pt>
                <c:pt idx="45">
                  <c:v>0.3</c:v>
                </c:pt>
                <c:pt idx="46">
                  <c:v>-0.1</c:v>
                </c:pt>
                <c:pt idx="47">
                  <c:v>0</c:v>
                </c:pt>
                <c:pt idx="48">
                  <c:v>0</c:v>
                </c:pt>
                <c:pt idx="49">
                  <c:v>1.4</c:v>
                </c:pt>
                <c:pt idx="50">
                  <c:v>3.3</c:v>
                </c:pt>
                <c:pt idx="51">
                  <c:v>4.5999999999999996</c:v>
                </c:pt>
                <c:pt idx="52">
                  <c:v>5.0999999999999996</c:v>
                </c:pt>
                <c:pt idx="53">
                  <c:v>6.1</c:v>
                </c:pt>
                <c:pt idx="54">
                  <c:v>7.8</c:v>
                </c:pt>
                <c:pt idx="55">
                  <c:v>9.3000000000000007</c:v>
                </c:pt>
                <c:pt idx="56">
                  <c:v>9.9</c:v>
                </c:pt>
                <c:pt idx="57">
                  <c:v>11.6</c:v>
                </c:pt>
                <c:pt idx="58">
                  <c:v>13.5</c:v>
                </c:pt>
                <c:pt idx="59">
                  <c:v>13.2</c:v>
                </c:pt>
                <c:pt idx="60">
                  <c:v>19.399999999999999</c:v>
                </c:pt>
                <c:pt idx="61">
                  <c:v>21.3</c:v>
                </c:pt>
                <c:pt idx="62">
                  <c:v>24.7</c:v>
                </c:pt>
                <c:pt idx="63">
                  <c:v>26.6</c:v>
                </c:pt>
                <c:pt idx="64">
                  <c:v>27.9</c:v>
                </c:pt>
                <c:pt idx="65">
                  <c:v>28.5</c:v>
                </c:pt>
              </c:numCache>
            </c:numRef>
          </c:val>
          <c:extLst>
            <c:ext xmlns:c16="http://schemas.microsoft.com/office/drawing/2014/chart" uri="{C3380CC4-5D6E-409C-BE32-E72D297353CC}">
              <c16:uniqueId val="{00000000-03FA-4DA4-A3CD-C7A189574B75}"/>
            </c:ext>
          </c:extLst>
        </c:ser>
        <c:dLbls>
          <c:showLegendKey val="0"/>
          <c:showVal val="0"/>
          <c:showCatName val="0"/>
          <c:showSerName val="0"/>
          <c:showPercent val="0"/>
          <c:showBubbleSize val="0"/>
        </c:dLbls>
        <c:gapWidth val="96"/>
        <c:axId val="119381376"/>
        <c:axId val="130745472"/>
      </c:barChart>
      <c:lineChart>
        <c:grouping val="standard"/>
        <c:varyColors val="0"/>
        <c:ser>
          <c:idx val="1"/>
          <c:order val="1"/>
          <c:tx>
            <c:strRef>
              <c:f>'Ceny 4'!$D$5</c:f>
              <c:strCache>
                <c:ptCount val="1"/>
                <c:pt idx="0">
                  <c:v>Mining and quarrying,</c:v>
                </c:pt>
              </c:strCache>
            </c:strRef>
          </c:tx>
          <c:spPr>
            <a:ln w="19050">
              <a:solidFill>
                <a:srgbClr val="7DBB2D"/>
              </a:solidFill>
            </a:ln>
          </c:spPr>
          <c:marker>
            <c:symbol val="none"/>
          </c:marker>
          <c:cat>
            <c:multiLvlStrRef>
              <c:f>'Ceny 4'!$A$54:$B$119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'Ceny 4'!$D$54:$D$119</c:f>
              <c:numCache>
                <c:formatCode>General</c:formatCode>
                <c:ptCount val="66"/>
                <c:pt idx="0">
                  <c:v>2.2999999999999972</c:v>
                </c:pt>
                <c:pt idx="1">
                  <c:v>5.7999999999999972</c:v>
                </c:pt>
                <c:pt idx="2" formatCode="0.0">
                  <c:v>6.2000000000000028</c:v>
                </c:pt>
                <c:pt idx="3" formatCode="0.0">
                  <c:v>6.4000000000000057</c:v>
                </c:pt>
                <c:pt idx="4">
                  <c:v>4.2999999999999972</c:v>
                </c:pt>
                <c:pt idx="5">
                  <c:v>4.0999999999999943</c:v>
                </c:pt>
                <c:pt idx="6">
                  <c:v>2.9</c:v>
                </c:pt>
                <c:pt idx="7">
                  <c:v>1.7</c:v>
                </c:pt>
                <c:pt idx="8">
                  <c:v>1.9</c:v>
                </c:pt>
                <c:pt idx="9">
                  <c:v>3.4</c:v>
                </c:pt>
                <c:pt idx="10">
                  <c:v>3.3</c:v>
                </c:pt>
                <c:pt idx="11">
                  <c:v>3.6</c:v>
                </c:pt>
                <c:pt idx="12">
                  <c:v>6.7</c:v>
                </c:pt>
                <c:pt idx="13">
                  <c:v>5</c:v>
                </c:pt>
                <c:pt idx="14">
                  <c:v>4.3</c:v>
                </c:pt>
                <c:pt idx="15">
                  <c:v>4.5999999999999996</c:v>
                </c:pt>
                <c:pt idx="16">
                  <c:v>7.4</c:v>
                </c:pt>
                <c:pt idx="17">
                  <c:v>8</c:v>
                </c:pt>
                <c:pt idx="18">
                  <c:v>8.4</c:v>
                </c:pt>
                <c:pt idx="19">
                  <c:v>10.1</c:v>
                </c:pt>
                <c:pt idx="20">
                  <c:v>9.9</c:v>
                </c:pt>
                <c:pt idx="21">
                  <c:v>9</c:v>
                </c:pt>
                <c:pt idx="22">
                  <c:v>9.1999999999999993</c:v>
                </c:pt>
                <c:pt idx="23">
                  <c:v>8.3000000000000007</c:v>
                </c:pt>
                <c:pt idx="24">
                  <c:v>7.9</c:v>
                </c:pt>
                <c:pt idx="25">
                  <c:v>7.4</c:v>
                </c:pt>
                <c:pt idx="26">
                  <c:v>8</c:v>
                </c:pt>
                <c:pt idx="27">
                  <c:v>8.4</c:v>
                </c:pt>
                <c:pt idx="28">
                  <c:v>7.5</c:v>
                </c:pt>
                <c:pt idx="29">
                  <c:v>7.1</c:v>
                </c:pt>
                <c:pt idx="30">
                  <c:v>6.9</c:v>
                </c:pt>
                <c:pt idx="31">
                  <c:v>6.8</c:v>
                </c:pt>
                <c:pt idx="32">
                  <c:v>6.6</c:v>
                </c:pt>
                <c:pt idx="33">
                  <c:v>3.6</c:v>
                </c:pt>
                <c:pt idx="34">
                  <c:v>3.2</c:v>
                </c:pt>
                <c:pt idx="35">
                  <c:v>4.3</c:v>
                </c:pt>
                <c:pt idx="36">
                  <c:v>-2.1</c:v>
                </c:pt>
                <c:pt idx="37">
                  <c:v>-1.8</c:v>
                </c:pt>
                <c:pt idx="38">
                  <c:v>-2.6</c:v>
                </c:pt>
                <c:pt idx="39">
                  <c:v>-3.7</c:v>
                </c:pt>
                <c:pt idx="40">
                  <c:v>-3.1</c:v>
                </c:pt>
                <c:pt idx="41">
                  <c:v>-3.6</c:v>
                </c:pt>
                <c:pt idx="42">
                  <c:v>-3.5</c:v>
                </c:pt>
                <c:pt idx="43">
                  <c:v>-3.5</c:v>
                </c:pt>
                <c:pt idx="44">
                  <c:v>-3.7</c:v>
                </c:pt>
                <c:pt idx="45">
                  <c:v>-1.9</c:v>
                </c:pt>
                <c:pt idx="46">
                  <c:v>-1.8</c:v>
                </c:pt>
                <c:pt idx="47">
                  <c:v>-2.2000000000000002</c:v>
                </c:pt>
                <c:pt idx="48">
                  <c:v>-0.3</c:v>
                </c:pt>
                <c:pt idx="49">
                  <c:v>-0.8</c:v>
                </c:pt>
                <c:pt idx="50">
                  <c:v>-0.3</c:v>
                </c:pt>
                <c:pt idx="51">
                  <c:v>1</c:v>
                </c:pt>
                <c:pt idx="52">
                  <c:v>0.3</c:v>
                </c:pt>
                <c:pt idx="53">
                  <c:v>1.1000000000000001</c:v>
                </c:pt>
                <c:pt idx="54">
                  <c:v>2</c:v>
                </c:pt>
                <c:pt idx="55">
                  <c:v>3.6</c:v>
                </c:pt>
                <c:pt idx="56">
                  <c:v>4.3</c:v>
                </c:pt>
                <c:pt idx="57">
                  <c:v>12.7</c:v>
                </c:pt>
                <c:pt idx="58">
                  <c:v>14</c:v>
                </c:pt>
                <c:pt idx="59">
                  <c:v>14.6</c:v>
                </c:pt>
                <c:pt idx="60">
                  <c:v>24.2</c:v>
                </c:pt>
                <c:pt idx="61">
                  <c:v>25.1</c:v>
                </c:pt>
                <c:pt idx="62">
                  <c:v>26.3</c:v>
                </c:pt>
                <c:pt idx="63">
                  <c:v>28.3</c:v>
                </c:pt>
                <c:pt idx="64">
                  <c:v>34</c:v>
                </c:pt>
                <c:pt idx="65">
                  <c:v>33.299999999999997</c:v>
                </c:pt>
              </c:numCache>
            </c:numRef>
          </c:val>
          <c:smooth val="0"/>
          <c:extLst>
            <c:ext xmlns:c16="http://schemas.microsoft.com/office/drawing/2014/chart" uri="{C3380CC4-5D6E-409C-BE32-E72D297353CC}">
              <c16:uniqueId val="{00000001-03FA-4DA4-A3CD-C7A189574B75}"/>
            </c:ext>
          </c:extLst>
        </c:ser>
        <c:ser>
          <c:idx val="2"/>
          <c:order val="2"/>
          <c:tx>
            <c:strRef>
              <c:f>'Ceny 4'!$E$5</c:f>
              <c:strCache>
                <c:ptCount val="1"/>
                <c:pt idx="0">
                  <c:v>Manufacturing</c:v>
                </c:pt>
              </c:strCache>
            </c:strRef>
          </c:tx>
          <c:spPr>
            <a:ln w="19050">
              <a:solidFill>
                <a:srgbClr val="BD1B21"/>
              </a:solidFill>
            </a:ln>
          </c:spPr>
          <c:marker>
            <c:symbol val="none"/>
          </c:marker>
          <c:cat>
            <c:multiLvlStrRef>
              <c:f>'Ceny 4'!$A$54:$B$119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'Ceny 4'!$E$54:$E$119</c:f>
              <c:numCache>
                <c:formatCode>General</c:formatCode>
                <c:ptCount val="66"/>
                <c:pt idx="0">
                  <c:v>2.5999999999999943</c:v>
                </c:pt>
                <c:pt idx="1">
                  <c:v>4</c:v>
                </c:pt>
                <c:pt idx="2" formatCode="0.0">
                  <c:v>3.7999999999999972</c:v>
                </c:pt>
                <c:pt idx="3" formatCode="0.0">
                  <c:v>4</c:v>
                </c:pt>
                <c:pt idx="4">
                  <c:v>2.7999999999999972</c:v>
                </c:pt>
                <c:pt idx="5">
                  <c:v>1.5</c:v>
                </c:pt>
                <c:pt idx="6">
                  <c:v>1.4</c:v>
                </c:pt>
                <c:pt idx="7">
                  <c:v>2</c:v>
                </c:pt>
                <c:pt idx="8">
                  <c:v>2.1</c:v>
                </c:pt>
                <c:pt idx="9">
                  <c:v>1.4</c:v>
                </c:pt>
                <c:pt idx="10">
                  <c:v>1.1000000000000001</c:v>
                </c:pt>
                <c:pt idx="11">
                  <c:v>0.9</c:v>
                </c:pt>
                <c:pt idx="12">
                  <c:v>0.2</c:v>
                </c:pt>
                <c:pt idx="13">
                  <c:v>-0.9</c:v>
                </c:pt>
                <c:pt idx="14">
                  <c:v>-0.5</c:v>
                </c:pt>
                <c:pt idx="15">
                  <c:v>-0.5</c:v>
                </c:pt>
                <c:pt idx="16">
                  <c:v>1.3</c:v>
                </c:pt>
                <c:pt idx="17">
                  <c:v>2.8</c:v>
                </c:pt>
                <c:pt idx="18">
                  <c:v>3.4</c:v>
                </c:pt>
                <c:pt idx="19">
                  <c:v>3.2</c:v>
                </c:pt>
                <c:pt idx="20">
                  <c:v>3</c:v>
                </c:pt>
                <c:pt idx="21">
                  <c:v>3.8</c:v>
                </c:pt>
                <c:pt idx="22">
                  <c:v>3.9</c:v>
                </c:pt>
                <c:pt idx="23">
                  <c:v>2.2000000000000002</c:v>
                </c:pt>
                <c:pt idx="24">
                  <c:v>1.9</c:v>
                </c:pt>
                <c:pt idx="25">
                  <c:v>2.9</c:v>
                </c:pt>
                <c:pt idx="26">
                  <c:v>3</c:v>
                </c:pt>
                <c:pt idx="27">
                  <c:v>3.5</c:v>
                </c:pt>
                <c:pt idx="28">
                  <c:v>2.9</c:v>
                </c:pt>
                <c:pt idx="29">
                  <c:v>1.4</c:v>
                </c:pt>
                <c:pt idx="30">
                  <c:v>0.9</c:v>
                </c:pt>
                <c:pt idx="31">
                  <c:v>0.8</c:v>
                </c:pt>
                <c:pt idx="32">
                  <c:v>0.7</c:v>
                </c:pt>
                <c:pt idx="33">
                  <c:v>-0.4</c:v>
                </c:pt>
                <c:pt idx="34">
                  <c:v>-0.7</c:v>
                </c:pt>
                <c:pt idx="35">
                  <c:v>0.8</c:v>
                </c:pt>
                <c:pt idx="36">
                  <c:v>1.2</c:v>
                </c:pt>
                <c:pt idx="37">
                  <c:v>-0.1</c:v>
                </c:pt>
                <c:pt idx="38">
                  <c:v>-1.2</c:v>
                </c:pt>
                <c:pt idx="39">
                  <c:v>-2.5</c:v>
                </c:pt>
                <c:pt idx="40">
                  <c:v>-2.6</c:v>
                </c:pt>
                <c:pt idx="41">
                  <c:v>-1.9</c:v>
                </c:pt>
                <c:pt idx="42">
                  <c:v>-1.6</c:v>
                </c:pt>
                <c:pt idx="43">
                  <c:v>-2</c:v>
                </c:pt>
                <c:pt idx="44">
                  <c:v>-1.9</c:v>
                </c:pt>
                <c:pt idx="45">
                  <c:v>-1.1000000000000001</c:v>
                </c:pt>
                <c:pt idx="46">
                  <c:v>-1.4</c:v>
                </c:pt>
                <c:pt idx="47">
                  <c:v>-1.2</c:v>
                </c:pt>
                <c:pt idx="48">
                  <c:v>-0.3</c:v>
                </c:pt>
                <c:pt idx="49">
                  <c:v>1.6</c:v>
                </c:pt>
                <c:pt idx="50">
                  <c:v>4.0999999999999996</c:v>
                </c:pt>
                <c:pt idx="51">
                  <c:v>5.6</c:v>
                </c:pt>
                <c:pt idx="52">
                  <c:v>6.3</c:v>
                </c:pt>
                <c:pt idx="53">
                  <c:v>7.4</c:v>
                </c:pt>
                <c:pt idx="54">
                  <c:v>9.5</c:v>
                </c:pt>
                <c:pt idx="55">
                  <c:v>11.4</c:v>
                </c:pt>
                <c:pt idx="56">
                  <c:v>12</c:v>
                </c:pt>
                <c:pt idx="57">
                  <c:v>13.4</c:v>
                </c:pt>
                <c:pt idx="58">
                  <c:v>15.4</c:v>
                </c:pt>
                <c:pt idx="59">
                  <c:v>14.7</c:v>
                </c:pt>
                <c:pt idx="60">
                  <c:v>15.5</c:v>
                </c:pt>
                <c:pt idx="61">
                  <c:v>16.600000000000001</c:v>
                </c:pt>
                <c:pt idx="62">
                  <c:v>20.3</c:v>
                </c:pt>
                <c:pt idx="63">
                  <c:v>22.3</c:v>
                </c:pt>
                <c:pt idx="64">
                  <c:v>24.6</c:v>
                </c:pt>
                <c:pt idx="65">
                  <c:v>25.8</c:v>
                </c:pt>
              </c:numCache>
            </c:numRef>
          </c:val>
          <c:smooth val="0"/>
          <c:extLst>
            <c:ext xmlns:c16="http://schemas.microsoft.com/office/drawing/2014/chart" uri="{C3380CC4-5D6E-409C-BE32-E72D297353CC}">
              <c16:uniqueId val="{00000002-03FA-4DA4-A3CD-C7A189574B75}"/>
            </c:ext>
          </c:extLst>
        </c:ser>
        <c:ser>
          <c:idx val="3"/>
          <c:order val="3"/>
          <c:tx>
            <c:strRef>
              <c:f>'Ceny 4'!$F$5</c:f>
              <c:strCache>
                <c:ptCount val="1"/>
                <c:pt idx="0">
                  <c:v>Electricity, gas, steam and air conditioning supply</c:v>
                </c:pt>
              </c:strCache>
            </c:strRef>
          </c:tx>
          <c:spPr>
            <a:ln w="19050">
              <a:solidFill>
                <a:srgbClr val="F8A124"/>
              </a:solidFill>
            </a:ln>
          </c:spPr>
          <c:marker>
            <c:symbol val="none"/>
          </c:marker>
          <c:cat>
            <c:multiLvlStrRef>
              <c:f>'Ceny 4'!$A$54:$B$119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'Ceny 4'!$F$54:$F$119</c:f>
              <c:numCache>
                <c:formatCode>General</c:formatCode>
                <c:ptCount val="66"/>
                <c:pt idx="0">
                  <c:v>-1.0999999999999943</c:v>
                </c:pt>
                <c:pt idx="1">
                  <c:v>-1.2000000000000028</c:v>
                </c:pt>
                <c:pt idx="2" formatCode="0.0">
                  <c:v>-1.2000000000000028</c:v>
                </c:pt>
                <c:pt idx="3" formatCode="0.0">
                  <c:v>-1.4000000000000057</c:v>
                </c:pt>
                <c:pt idx="4">
                  <c:v>-1.2999999999999972</c:v>
                </c:pt>
                <c:pt idx="5">
                  <c:v>-1.0999999999999943</c:v>
                </c:pt>
                <c:pt idx="6">
                  <c:v>-1.1000000000000001</c:v>
                </c:pt>
                <c:pt idx="7">
                  <c:v>-1.3</c:v>
                </c:pt>
                <c:pt idx="8">
                  <c:v>-1.1000000000000001</c:v>
                </c:pt>
                <c:pt idx="9">
                  <c:v>-1.1000000000000001</c:v>
                </c:pt>
                <c:pt idx="10">
                  <c:v>-1.1000000000000001</c:v>
                </c:pt>
                <c:pt idx="11">
                  <c:v>-1.1000000000000001</c:v>
                </c:pt>
                <c:pt idx="12">
                  <c:v>1.5</c:v>
                </c:pt>
                <c:pt idx="13">
                  <c:v>1.6</c:v>
                </c:pt>
                <c:pt idx="14">
                  <c:v>1.6</c:v>
                </c:pt>
                <c:pt idx="15">
                  <c:v>1.7</c:v>
                </c:pt>
                <c:pt idx="16">
                  <c:v>1.7</c:v>
                </c:pt>
                <c:pt idx="17">
                  <c:v>2.2999999999999998</c:v>
                </c:pt>
                <c:pt idx="18">
                  <c:v>2.2999999999999998</c:v>
                </c:pt>
                <c:pt idx="19">
                  <c:v>2.6</c:v>
                </c:pt>
                <c:pt idx="20">
                  <c:v>2.7</c:v>
                </c:pt>
                <c:pt idx="21">
                  <c:v>2.8</c:v>
                </c:pt>
                <c:pt idx="22">
                  <c:v>2.8</c:v>
                </c:pt>
                <c:pt idx="23">
                  <c:v>2.8</c:v>
                </c:pt>
                <c:pt idx="24">
                  <c:v>7.2</c:v>
                </c:pt>
                <c:pt idx="25">
                  <c:v>7.5</c:v>
                </c:pt>
                <c:pt idx="26">
                  <c:v>8.4</c:v>
                </c:pt>
                <c:pt idx="27">
                  <c:v>8.1999999999999993</c:v>
                </c:pt>
                <c:pt idx="28">
                  <c:v>8.6</c:v>
                </c:pt>
                <c:pt idx="29">
                  <c:v>7.9</c:v>
                </c:pt>
                <c:pt idx="30">
                  <c:v>8</c:v>
                </c:pt>
                <c:pt idx="31">
                  <c:v>7.7</c:v>
                </c:pt>
                <c:pt idx="32">
                  <c:v>7.7</c:v>
                </c:pt>
                <c:pt idx="33">
                  <c:v>7.5</c:v>
                </c:pt>
                <c:pt idx="34">
                  <c:v>8.6999999999999993</c:v>
                </c:pt>
                <c:pt idx="35">
                  <c:v>8.8000000000000007</c:v>
                </c:pt>
                <c:pt idx="36">
                  <c:v>9.3000000000000007</c:v>
                </c:pt>
                <c:pt idx="37">
                  <c:v>9</c:v>
                </c:pt>
                <c:pt idx="38">
                  <c:v>8.3000000000000007</c:v>
                </c:pt>
                <c:pt idx="39">
                  <c:v>8.6</c:v>
                </c:pt>
                <c:pt idx="40">
                  <c:v>8</c:v>
                </c:pt>
                <c:pt idx="41">
                  <c:v>8</c:v>
                </c:pt>
                <c:pt idx="42">
                  <c:v>7.7</c:v>
                </c:pt>
                <c:pt idx="43">
                  <c:v>7.9</c:v>
                </c:pt>
                <c:pt idx="44">
                  <c:v>7.7</c:v>
                </c:pt>
                <c:pt idx="45">
                  <c:v>7</c:v>
                </c:pt>
                <c:pt idx="46">
                  <c:v>5.8</c:v>
                </c:pt>
                <c:pt idx="47">
                  <c:v>5.6</c:v>
                </c:pt>
                <c:pt idx="48">
                  <c:v>0.4</c:v>
                </c:pt>
                <c:pt idx="49">
                  <c:v>0.4</c:v>
                </c:pt>
                <c:pt idx="50">
                  <c:v>0.1</c:v>
                </c:pt>
                <c:pt idx="51">
                  <c:v>-0.1</c:v>
                </c:pt>
                <c:pt idx="52">
                  <c:v>0.2</c:v>
                </c:pt>
                <c:pt idx="53">
                  <c:v>0.2</c:v>
                </c:pt>
                <c:pt idx="54">
                  <c:v>0.5</c:v>
                </c:pt>
                <c:pt idx="55">
                  <c:v>0.7</c:v>
                </c:pt>
                <c:pt idx="56">
                  <c:v>1.2</c:v>
                </c:pt>
                <c:pt idx="57">
                  <c:v>3.7</c:v>
                </c:pt>
                <c:pt idx="58">
                  <c:v>5.6</c:v>
                </c:pt>
                <c:pt idx="59">
                  <c:v>7.1</c:v>
                </c:pt>
                <c:pt idx="60">
                  <c:v>40.6</c:v>
                </c:pt>
                <c:pt idx="61">
                  <c:v>45.5</c:v>
                </c:pt>
                <c:pt idx="62">
                  <c:v>48.9</c:v>
                </c:pt>
                <c:pt idx="63">
                  <c:v>51.4</c:v>
                </c:pt>
                <c:pt idx="64">
                  <c:v>45.8</c:v>
                </c:pt>
                <c:pt idx="65">
                  <c:v>44.6</c:v>
                </c:pt>
              </c:numCache>
            </c:numRef>
          </c:val>
          <c:smooth val="0"/>
          <c:extLst>
            <c:ext xmlns:c16="http://schemas.microsoft.com/office/drawing/2014/chart" uri="{C3380CC4-5D6E-409C-BE32-E72D297353CC}">
              <c16:uniqueId val="{00000003-03FA-4DA4-A3CD-C7A189574B75}"/>
            </c:ext>
          </c:extLst>
        </c:ser>
        <c:ser>
          <c:idx val="4"/>
          <c:order val="4"/>
          <c:tx>
            <c:strRef>
              <c:f>'Ceny 4'!$G$5</c:f>
              <c:strCache>
                <c:ptCount val="1"/>
                <c:pt idx="0">
                  <c:v>Water supply, sewerage</c:v>
                </c:pt>
              </c:strCache>
            </c:strRef>
          </c:tx>
          <c:spPr>
            <a:ln w="19050">
              <a:solidFill>
                <a:schemeClr val="accent1"/>
              </a:solidFill>
            </a:ln>
          </c:spPr>
          <c:marker>
            <c:symbol val="none"/>
          </c:marker>
          <c:cat>
            <c:multiLvlStrRef>
              <c:f>'Ceny 4'!$A$54:$B$119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'Ceny 4'!$G$54:$G$119</c:f>
              <c:numCache>
                <c:formatCode>General</c:formatCode>
                <c:ptCount val="66"/>
                <c:pt idx="0">
                  <c:v>2.0999999999999943</c:v>
                </c:pt>
                <c:pt idx="1">
                  <c:v>2.0999999999999943</c:v>
                </c:pt>
                <c:pt idx="2" formatCode="0.0">
                  <c:v>2.0999999999999943</c:v>
                </c:pt>
                <c:pt idx="3" formatCode="0.0">
                  <c:v>1</c:v>
                </c:pt>
                <c:pt idx="4">
                  <c:v>1</c:v>
                </c:pt>
                <c:pt idx="5">
                  <c:v>1</c:v>
                </c:pt>
                <c:pt idx="6">
                  <c:v>1</c:v>
                </c:pt>
                <c:pt idx="7">
                  <c:v>1</c:v>
                </c:pt>
                <c:pt idx="8">
                  <c:v>1</c:v>
                </c:pt>
                <c:pt idx="9">
                  <c:v>1</c:v>
                </c:pt>
                <c:pt idx="10">
                  <c:v>1</c:v>
                </c:pt>
                <c:pt idx="11">
                  <c:v>1</c:v>
                </c:pt>
                <c:pt idx="12">
                  <c:v>1.9</c:v>
                </c:pt>
                <c:pt idx="13">
                  <c:v>1.9</c:v>
                </c:pt>
                <c:pt idx="14">
                  <c:v>1.9</c:v>
                </c:pt>
                <c:pt idx="15">
                  <c:v>1.9</c:v>
                </c:pt>
                <c:pt idx="16">
                  <c:v>1.9</c:v>
                </c:pt>
                <c:pt idx="17">
                  <c:v>1.9</c:v>
                </c:pt>
                <c:pt idx="18">
                  <c:v>1.9</c:v>
                </c:pt>
                <c:pt idx="19">
                  <c:v>1.9</c:v>
                </c:pt>
                <c:pt idx="20">
                  <c:v>1.9</c:v>
                </c:pt>
                <c:pt idx="21">
                  <c:v>1.9</c:v>
                </c:pt>
                <c:pt idx="22">
                  <c:v>1.9</c:v>
                </c:pt>
                <c:pt idx="23">
                  <c:v>1.9</c:v>
                </c:pt>
                <c:pt idx="24">
                  <c:v>2.9</c:v>
                </c:pt>
                <c:pt idx="25">
                  <c:v>2.9</c:v>
                </c:pt>
                <c:pt idx="26">
                  <c:v>2.9</c:v>
                </c:pt>
                <c:pt idx="27">
                  <c:v>2.9</c:v>
                </c:pt>
                <c:pt idx="28">
                  <c:v>2.9</c:v>
                </c:pt>
                <c:pt idx="29">
                  <c:v>2.9</c:v>
                </c:pt>
                <c:pt idx="30">
                  <c:v>2.9</c:v>
                </c:pt>
                <c:pt idx="31">
                  <c:v>2.9</c:v>
                </c:pt>
                <c:pt idx="32">
                  <c:v>2.9</c:v>
                </c:pt>
                <c:pt idx="33">
                  <c:v>2.9</c:v>
                </c:pt>
                <c:pt idx="34">
                  <c:v>2.9</c:v>
                </c:pt>
                <c:pt idx="35">
                  <c:v>2.9</c:v>
                </c:pt>
                <c:pt idx="36">
                  <c:v>5.4</c:v>
                </c:pt>
                <c:pt idx="37">
                  <c:v>5.4</c:v>
                </c:pt>
                <c:pt idx="38">
                  <c:v>5.4</c:v>
                </c:pt>
                <c:pt idx="39">
                  <c:v>5.4</c:v>
                </c:pt>
                <c:pt idx="40">
                  <c:v>6.4</c:v>
                </c:pt>
                <c:pt idx="41">
                  <c:v>6.4</c:v>
                </c:pt>
                <c:pt idx="42">
                  <c:v>6.4</c:v>
                </c:pt>
                <c:pt idx="43">
                  <c:v>6.4</c:v>
                </c:pt>
                <c:pt idx="44">
                  <c:v>6.4</c:v>
                </c:pt>
                <c:pt idx="45">
                  <c:v>6.4</c:v>
                </c:pt>
                <c:pt idx="46">
                  <c:v>6.4</c:v>
                </c:pt>
                <c:pt idx="47">
                  <c:v>6.4</c:v>
                </c:pt>
                <c:pt idx="48">
                  <c:v>6.9</c:v>
                </c:pt>
                <c:pt idx="49">
                  <c:v>6.9</c:v>
                </c:pt>
                <c:pt idx="50">
                  <c:v>6.9</c:v>
                </c:pt>
                <c:pt idx="51">
                  <c:v>6.9</c:v>
                </c:pt>
                <c:pt idx="52">
                  <c:v>5.9</c:v>
                </c:pt>
                <c:pt idx="53">
                  <c:v>5.9</c:v>
                </c:pt>
                <c:pt idx="54">
                  <c:v>5.9</c:v>
                </c:pt>
                <c:pt idx="55">
                  <c:v>5.9</c:v>
                </c:pt>
                <c:pt idx="56">
                  <c:v>5.9</c:v>
                </c:pt>
                <c:pt idx="57">
                  <c:v>5.9</c:v>
                </c:pt>
                <c:pt idx="58">
                  <c:v>5.9</c:v>
                </c:pt>
                <c:pt idx="59">
                  <c:v>5.9</c:v>
                </c:pt>
                <c:pt idx="60">
                  <c:v>5.3</c:v>
                </c:pt>
                <c:pt idx="61">
                  <c:v>5.3</c:v>
                </c:pt>
                <c:pt idx="62">
                  <c:v>5.3</c:v>
                </c:pt>
                <c:pt idx="63">
                  <c:v>5.3</c:v>
                </c:pt>
                <c:pt idx="64">
                  <c:v>5.3</c:v>
                </c:pt>
                <c:pt idx="65">
                  <c:v>5.3</c:v>
                </c:pt>
              </c:numCache>
            </c:numRef>
          </c:val>
          <c:smooth val="0"/>
          <c:extLst>
            <c:ext xmlns:c16="http://schemas.microsoft.com/office/drawing/2014/chart" uri="{C3380CC4-5D6E-409C-BE32-E72D297353CC}">
              <c16:uniqueId val="{00000004-03FA-4DA4-A3CD-C7A189574B75}"/>
            </c:ext>
          </c:extLst>
        </c:ser>
        <c:dLbls>
          <c:showLegendKey val="0"/>
          <c:showVal val="0"/>
          <c:showCatName val="0"/>
          <c:showSerName val="0"/>
          <c:showPercent val="0"/>
          <c:showBubbleSize val="0"/>
        </c:dLbls>
        <c:marker val="1"/>
        <c:smooth val="0"/>
        <c:axId val="119381376"/>
        <c:axId val="130745472"/>
      </c:lineChart>
      <c:catAx>
        <c:axId val="119381376"/>
        <c:scaling>
          <c:orientation val="minMax"/>
        </c:scaling>
        <c:delete val="0"/>
        <c:axPos val="b"/>
        <c:numFmt formatCode="General" sourceLinked="0"/>
        <c:majorTickMark val="out"/>
        <c:minorTickMark val="none"/>
        <c:tickLblPos val="low"/>
        <c:spPr>
          <a:ln>
            <a:solidFill>
              <a:schemeClr val="tx1"/>
            </a:solidFill>
          </a:ln>
        </c:spPr>
        <c:crossAx val="130745472"/>
        <c:crosses val="autoZero"/>
        <c:auto val="1"/>
        <c:lblAlgn val="ctr"/>
        <c:lblOffset val="100"/>
        <c:noMultiLvlLbl val="0"/>
      </c:catAx>
      <c:valAx>
        <c:axId val="130745472"/>
        <c:scaling>
          <c:orientation val="minMax"/>
          <c:max val="55"/>
          <c:min val="-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81376"/>
        <c:crosses val="autoZero"/>
        <c:crossBetween val="between"/>
        <c:majorUnit val="5"/>
      </c:valAx>
      <c:spPr>
        <a:ln>
          <a:solidFill>
            <a:schemeClr val="tx1"/>
          </a:solidFill>
        </a:ln>
      </c:spPr>
    </c:plotArea>
    <c:legend>
      <c:legendPos val="b"/>
      <c:layout>
        <c:manualLayout>
          <c:xMode val="edge"/>
          <c:yMode val="edge"/>
          <c:x val="5.0596282132642133E-2"/>
          <c:y val="0.84079393223010246"/>
          <c:w val="0.89560705842620769"/>
          <c:h val="0.1425394011032308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4495121574960907"/>
          <c:h val="0.67557130739459548"/>
        </c:manualLayout>
      </c:layout>
      <c:barChart>
        <c:barDir val="col"/>
        <c:grouping val="stacked"/>
        <c:varyColors val="0"/>
        <c:ser>
          <c:idx val="0"/>
          <c:order val="0"/>
          <c:tx>
            <c:strRef>
              <c:f>'Trh práce 1-SNÚ'!$AC$7</c:f>
              <c:strCache>
                <c:ptCount val="1"/>
                <c:pt idx="0">
                  <c:v>Agriculture, forestry and fishing</c:v>
                </c:pt>
              </c:strCache>
            </c:strRef>
          </c:tx>
          <c:spPr>
            <a:solidFill>
              <a:srgbClr val="7DBB2D"/>
            </a:solidFill>
            <a:ln>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1-SNÚ'!$AC$28:$AC$58</c:f>
              <c:numCache>
                <c:formatCode>#\ ##0.0</c:formatCode>
                <c:ptCount val="31"/>
                <c:pt idx="0">
                  <c:v>-5.6991893197978323E-2</c:v>
                </c:pt>
                <c:pt idx="1">
                  <c:v>-5.3077004431979151E-2</c:v>
                </c:pt>
                <c:pt idx="2">
                  <c:v>-6.9683605158033346E-2</c:v>
                </c:pt>
                <c:pt idx="3">
                  <c:v>-0.13993931548915456</c:v>
                </c:pt>
                <c:pt idx="4">
                  <c:v>-0.12488466174466099</c:v>
                </c:pt>
                <c:pt idx="5">
                  <c:v>-3.2025271621926824E-2</c:v>
                </c:pt>
                <c:pt idx="6">
                  <c:v>-4.5209168072263314E-2</c:v>
                </c:pt>
                <c:pt idx="7">
                  <c:v>5.8178231424048252E-2</c:v>
                </c:pt>
                <c:pt idx="8">
                  <c:v>9.8473168738459127E-2</c:v>
                </c:pt>
                <c:pt idx="9">
                  <c:v>3.5827695758654118E-2</c:v>
                </c:pt>
                <c:pt idx="10">
                  <c:v>1.9597324357556144E-2</c:v>
                </c:pt>
                <c:pt idx="11">
                  <c:v>-9.3256093124704398E-2</c:v>
                </c:pt>
                <c:pt idx="12">
                  <c:v>2.8281779223500534E-2</c:v>
                </c:pt>
                <c:pt idx="13">
                  <c:v>3.1385538570036599E-2</c:v>
                </c:pt>
                <c:pt idx="14">
                  <c:v>1.6521075080556488E-2</c:v>
                </c:pt>
                <c:pt idx="15">
                  <c:v>8.3398360204895924E-2</c:v>
                </c:pt>
                <c:pt idx="16">
                  <c:v>-3.2066957439228133E-2</c:v>
                </c:pt>
                <c:pt idx="17">
                  <c:v>-9.1886912097250681E-2</c:v>
                </c:pt>
                <c:pt idx="18">
                  <c:v>-0.12544281535318705</c:v>
                </c:pt>
                <c:pt idx="19">
                  <c:v>-0.13296546528421765</c:v>
                </c:pt>
                <c:pt idx="20">
                  <c:v>-8.0149764825409767E-2</c:v>
                </c:pt>
                <c:pt idx="21">
                  <c:v>1.2847127079559917E-4</c:v>
                </c:pt>
                <c:pt idx="22">
                  <c:v>9.2281662728676842E-2</c:v>
                </c:pt>
                <c:pt idx="23">
                  <c:v>7.8785121950452425E-2</c:v>
                </c:pt>
                <c:pt idx="24">
                  <c:v>4.159840143550618E-2</c:v>
                </c:pt>
                <c:pt idx="25">
                  <c:v>-3.2565664084423782E-2</c:v>
                </c:pt>
                <c:pt idx="26">
                  <c:v>-6.3926765857289528E-2</c:v>
                </c:pt>
                <c:pt idx="27">
                  <c:v>-1.9048828497047476E-2</c:v>
                </c:pt>
                <c:pt idx="28">
                  <c:v>-2.2904557386353185E-2</c:v>
                </c:pt>
                <c:pt idx="29">
                  <c:v>8.8702864459856007E-2</c:v>
                </c:pt>
              </c:numCache>
            </c:numRef>
          </c:val>
          <c:extLst>
            <c:ext xmlns:c16="http://schemas.microsoft.com/office/drawing/2014/chart" uri="{C3380CC4-5D6E-409C-BE32-E72D297353CC}">
              <c16:uniqueId val="{00000000-C2A4-44C5-A749-22A7D12221F9}"/>
            </c:ext>
          </c:extLst>
        </c:ser>
        <c:ser>
          <c:idx val="1"/>
          <c:order val="1"/>
          <c:tx>
            <c:strRef>
              <c:f>'Trh práce 1-SNÚ'!$AD$7</c:f>
              <c:strCache>
                <c:ptCount val="1"/>
                <c:pt idx="0">
                  <c:v>Manufacturing </c:v>
                </c:pt>
              </c:strCache>
            </c:strRef>
          </c:tx>
          <c:spPr>
            <a:solidFill>
              <a:srgbClr val="A6CDE8"/>
            </a:solidFill>
            <a:ln>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1-SNÚ'!$AD$28:$AD$58</c:f>
              <c:numCache>
                <c:formatCode>#\ ##0.0</c:formatCode>
                <c:ptCount val="31"/>
                <c:pt idx="0">
                  <c:v>0.88197902580416176</c:v>
                </c:pt>
                <c:pt idx="1">
                  <c:v>0.93619594656509764</c:v>
                </c:pt>
                <c:pt idx="2">
                  <c:v>0.79380670100221373</c:v>
                </c:pt>
                <c:pt idx="3">
                  <c:v>0.92941048859384778</c:v>
                </c:pt>
                <c:pt idx="4">
                  <c:v>0.86436958871149239</c:v>
                </c:pt>
                <c:pt idx="5">
                  <c:v>0.64306976785438008</c:v>
                </c:pt>
                <c:pt idx="6">
                  <c:v>0.67102358376255722</c:v>
                </c:pt>
                <c:pt idx="7">
                  <c:v>0.51768439491468099</c:v>
                </c:pt>
                <c:pt idx="8">
                  <c:v>0.27352595704925392</c:v>
                </c:pt>
                <c:pt idx="9">
                  <c:v>0.40495174469100209</c:v>
                </c:pt>
                <c:pt idx="10">
                  <c:v>0.48296390541252465</c:v>
                </c:pt>
                <c:pt idx="11">
                  <c:v>0.47073561501166572</c:v>
                </c:pt>
                <c:pt idx="12">
                  <c:v>0.35993792705298522</c:v>
                </c:pt>
                <c:pt idx="13">
                  <c:v>0.28632749685910475</c:v>
                </c:pt>
                <c:pt idx="14">
                  <c:v>9.3203449496172111E-2</c:v>
                </c:pt>
                <c:pt idx="15">
                  <c:v>8.6360902490994762E-2</c:v>
                </c:pt>
                <c:pt idx="16">
                  <c:v>0.14709256185686426</c:v>
                </c:pt>
                <c:pt idx="17">
                  <c:v>-2.0854942188738988E-2</c:v>
                </c:pt>
                <c:pt idx="18">
                  <c:v>-0.16258097669671445</c:v>
                </c:pt>
                <c:pt idx="19">
                  <c:v>-0.55102805433099211</c:v>
                </c:pt>
                <c:pt idx="20">
                  <c:v>-0.82136508594643176</c:v>
                </c:pt>
                <c:pt idx="21">
                  <c:v>-1.0952359365711679</c:v>
                </c:pt>
                <c:pt idx="22">
                  <c:v>-1.0796051443294794</c:v>
                </c:pt>
                <c:pt idx="23">
                  <c:v>-0.91314157662366346</c:v>
                </c:pt>
                <c:pt idx="24">
                  <c:v>-0.48276380890898796</c:v>
                </c:pt>
                <c:pt idx="25">
                  <c:v>-6.9783565895193814E-2</c:v>
                </c:pt>
                <c:pt idx="26">
                  <c:v>0.17800799169008091</c:v>
                </c:pt>
                <c:pt idx="27">
                  <c:v>0.30784267481835653</c:v>
                </c:pt>
                <c:pt idx="28">
                  <c:v>7.582198307206571E-2</c:v>
                </c:pt>
                <c:pt idx="29">
                  <c:v>0.41229644392682435</c:v>
                </c:pt>
              </c:numCache>
            </c:numRef>
          </c:val>
          <c:extLst>
            <c:ext xmlns:c16="http://schemas.microsoft.com/office/drawing/2014/chart" uri="{C3380CC4-5D6E-409C-BE32-E72D297353CC}">
              <c16:uniqueId val="{00000001-C2A4-44C5-A749-22A7D12221F9}"/>
            </c:ext>
          </c:extLst>
        </c:ser>
        <c:ser>
          <c:idx val="2"/>
          <c:order val="2"/>
          <c:tx>
            <c:strRef>
              <c:f>'Trh práce 1-SNÚ'!$AE$7</c:f>
              <c:strCache>
                <c:ptCount val="1"/>
                <c:pt idx="0">
                  <c:v>Construction</c:v>
                </c:pt>
              </c:strCache>
            </c:strRef>
          </c:tx>
          <c:spPr>
            <a:solidFill>
              <a:srgbClr val="48AEE7"/>
            </a:solidFill>
            <a:ln w="19050">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1-SNÚ'!$AE$28:$AE$58</c:f>
              <c:numCache>
                <c:formatCode>#\ ##0.0</c:formatCode>
                <c:ptCount val="31"/>
                <c:pt idx="0">
                  <c:v>-0.11535945278349405</c:v>
                </c:pt>
                <c:pt idx="1">
                  <c:v>-0.10277905701098218</c:v>
                </c:pt>
                <c:pt idx="2">
                  <c:v>-0.15744780912986214</c:v>
                </c:pt>
                <c:pt idx="3">
                  <c:v>-0.17964656072744931</c:v>
                </c:pt>
                <c:pt idx="4">
                  <c:v>-0.11205258317894969</c:v>
                </c:pt>
                <c:pt idx="5">
                  <c:v>-0.12466911878830755</c:v>
                </c:pt>
                <c:pt idx="6">
                  <c:v>-2.5910926178730021E-2</c:v>
                </c:pt>
                <c:pt idx="7">
                  <c:v>9.6483224892210846E-3</c:v>
                </c:pt>
                <c:pt idx="8">
                  <c:v>-9.8473168738459124E-3</c:v>
                </c:pt>
                <c:pt idx="9">
                  <c:v>1.9091640634913781E-2</c:v>
                </c:pt>
                <c:pt idx="10">
                  <c:v>7.2407555983877492E-2</c:v>
                </c:pt>
                <c:pt idx="11">
                  <c:v>-7.2320666550757598E-2</c:v>
                </c:pt>
                <c:pt idx="12">
                  <c:v>0.10670200915568524</c:v>
                </c:pt>
                <c:pt idx="13">
                  <c:v>7.102944379245156E-2</c:v>
                </c:pt>
                <c:pt idx="14">
                  <c:v>5.9006500400454305E-2</c:v>
                </c:pt>
                <c:pt idx="15">
                  <c:v>0.11179404853203206</c:v>
                </c:pt>
                <c:pt idx="16">
                  <c:v>3.5683531586509498E-2</c:v>
                </c:pt>
                <c:pt idx="17">
                  <c:v>8.4487365089419189E-2</c:v>
                </c:pt>
                <c:pt idx="18">
                  <c:v>9.86228608640492E-2</c:v>
                </c:pt>
                <c:pt idx="19">
                  <c:v>0.12706817507064183</c:v>
                </c:pt>
                <c:pt idx="20">
                  <c:v>1.7073866434947418E-2</c:v>
                </c:pt>
                <c:pt idx="21">
                  <c:v>-0.21562985151107064</c:v>
                </c:pt>
                <c:pt idx="22">
                  <c:v>-0.10234473200166617</c:v>
                </c:pt>
                <c:pt idx="23">
                  <c:v>-5.2591242475965305E-2</c:v>
                </c:pt>
                <c:pt idx="24">
                  <c:v>-5.8182173945429586E-2</c:v>
                </c:pt>
                <c:pt idx="25">
                  <c:v>0.13802889189699893</c:v>
                </c:pt>
                <c:pt idx="26">
                  <c:v>-3.0171482095251407E-2</c:v>
                </c:pt>
                <c:pt idx="27">
                  <c:v>6.6122867967429694E-2</c:v>
                </c:pt>
                <c:pt idx="28">
                  <c:v>0.25181849586260718</c:v>
                </c:pt>
                <c:pt idx="29">
                  <c:v>0.28916237070548678</c:v>
                </c:pt>
              </c:numCache>
            </c:numRef>
          </c:val>
          <c:extLst>
            <c:ext xmlns:c16="http://schemas.microsoft.com/office/drawing/2014/chart" uri="{C3380CC4-5D6E-409C-BE32-E72D297353CC}">
              <c16:uniqueId val="{00000002-C2A4-44C5-A749-22A7D12221F9}"/>
            </c:ext>
          </c:extLst>
        </c:ser>
        <c:ser>
          <c:idx val="3"/>
          <c:order val="3"/>
          <c:tx>
            <c:strRef>
              <c:f>'Trh práce 1-SNÚ'!$AF$7</c:f>
              <c:strCache>
                <c:ptCount val="1"/>
                <c:pt idx="0">
                  <c:v>Trade, transport., accommod.&amp; food service</c:v>
                </c:pt>
              </c:strCache>
            </c:strRef>
          </c:tx>
          <c:spPr>
            <a:solidFill>
              <a:srgbClr val="FDDEB3"/>
            </a:solidFill>
            <a:ln w="19050">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1-SNÚ'!$AF$28:$AF$58</c:f>
              <c:numCache>
                <c:formatCode>#\ ##0.0</c:formatCode>
                <c:ptCount val="31"/>
                <c:pt idx="0">
                  <c:v>0.23291997178704796</c:v>
                </c:pt>
                <c:pt idx="1">
                  <c:v>0.49484250453607476</c:v>
                </c:pt>
                <c:pt idx="2">
                  <c:v>0.32328110679066302</c:v>
                </c:pt>
                <c:pt idx="3">
                  <c:v>0.16315218273979085</c:v>
                </c:pt>
                <c:pt idx="4">
                  <c:v>8.7514387555562234E-2</c:v>
                </c:pt>
                <c:pt idx="5">
                  <c:v>0.23539827888748016</c:v>
                </c:pt>
                <c:pt idx="6">
                  <c:v>-1.0121455538566413E-2</c:v>
                </c:pt>
                <c:pt idx="7">
                  <c:v>6.4501534410011871E-2</c:v>
                </c:pt>
                <c:pt idx="8">
                  <c:v>0.17491894128532504</c:v>
                </c:pt>
                <c:pt idx="9">
                  <c:v>5.376054029532935E-3</c:v>
                </c:pt>
                <c:pt idx="10">
                  <c:v>0.3554863488114835</c:v>
                </c:pt>
                <c:pt idx="11">
                  <c:v>0.17830036428397431</c:v>
                </c:pt>
                <c:pt idx="12">
                  <c:v>0.15887539134747272</c:v>
                </c:pt>
                <c:pt idx="13">
                  <c:v>0.40293713210708682</c:v>
                </c:pt>
                <c:pt idx="14">
                  <c:v>0.21063905082977827</c:v>
                </c:pt>
                <c:pt idx="15">
                  <c:v>0.22355083238122012</c:v>
                </c:pt>
                <c:pt idx="16">
                  <c:v>0.43914483415040123</c:v>
                </c:pt>
                <c:pt idx="17">
                  <c:v>0.11318361828645723</c:v>
                </c:pt>
                <c:pt idx="18">
                  <c:v>-1.4877414534236133E-2</c:v>
                </c:pt>
                <c:pt idx="19">
                  <c:v>-4.6754453974505915E-2</c:v>
                </c:pt>
                <c:pt idx="20">
                  <c:v>-0.11596996469808202</c:v>
                </c:pt>
                <c:pt idx="21">
                  <c:v>-0.57289010255494677</c:v>
                </c:pt>
                <c:pt idx="22">
                  <c:v>-0.41512925330551576</c:v>
                </c:pt>
                <c:pt idx="23">
                  <c:v>-0.99009534683119627</c:v>
                </c:pt>
                <c:pt idx="24">
                  <c:v>-0.85525942764305507</c:v>
                </c:pt>
                <c:pt idx="25">
                  <c:v>-0.16068979178984685</c:v>
                </c:pt>
                <c:pt idx="26">
                  <c:v>0.24223497129956198</c:v>
                </c:pt>
                <c:pt idx="27">
                  <c:v>0.73670588306438378</c:v>
                </c:pt>
                <c:pt idx="28">
                  <c:v>0.4419940203685101</c:v>
                </c:pt>
                <c:pt idx="29">
                  <c:v>0.93220209157916911</c:v>
                </c:pt>
              </c:numCache>
            </c:numRef>
          </c:val>
          <c:extLst>
            <c:ext xmlns:c16="http://schemas.microsoft.com/office/drawing/2014/chart" uri="{C3380CC4-5D6E-409C-BE32-E72D297353CC}">
              <c16:uniqueId val="{00000003-C2A4-44C5-A749-22A7D12221F9}"/>
            </c:ext>
          </c:extLst>
        </c:ser>
        <c:ser>
          <c:idx val="4"/>
          <c:order val="4"/>
          <c:tx>
            <c:strRef>
              <c:f>'Trh práce 1-SNÚ'!$AG$7</c:f>
              <c:strCache>
                <c:ptCount val="1"/>
                <c:pt idx="0">
                  <c:v>Information and communication</c:v>
                </c:pt>
              </c:strCache>
            </c:strRef>
          </c:tx>
          <c:spPr>
            <a:solidFill>
              <a:srgbClr val="F8A124"/>
            </a:solidFill>
            <a:ln w="19050">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1-SNÚ'!$AG$28:$AG$58</c:f>
              <c:numCache>
                <c:formatCode>#\ ##0.0</c:formatCode>
                <c:ptCount val="31"/>
                <c:pt idx="0">
                  <c:v>1.2223778472118108E-2</c:v>
                </c:pt>
                <c:pt idx="1">
                  <c:v>6.0238966213004064E-2</c:v>
                </c:pt>
                <c:pt idx="2">
                  <c:v>7.0191816584150843E-2</c:v>
                </c:pt>
                <c:pt idx="3">
                  <c:v>9.7973099947945536E-2</c:v>
                </c:pt>
                <c:pt idx="4">
                  <c:v>0.11574107777423734</c:v>
                </c:pt>
                <c:pt idx="5">
                  <c:v>0.11485523362541727</c:v>
                </c:pt>
                <c:pt idx="6">
                  <c:v>0.13512625118059429</c:v>
                </c:pt>
                <c:pt idx="7">
                  <c:v>0.16390616372126973</c:v>
                </c:pt>
                <c:pt idx="8">
                  <c:v>0.13639011895367553</c:v>
                </c:pt>
                <c:pt idx="9">
                  <c:v>0.13690890950828222</c:v>
                </c:pt>
                <c:pt idx="10">
                  <c:v>0.13784590844137601</c:v>
                </c:pt>
                <c:pt idx="11">
                  <c:v>0.11872218009337367</c:v>
                </c:pt>
                <c:pt idx="12">
                  <c:v>0.12284956731327347</c:v>
                </c:pt>
                <c:pt idx="13">
                  <c:v>0.1377705293912645</c:v>
                </c:pt>
                <c:pt idx="14">
                  <c:v>0.12183128760081174</c:v>
                </c:pt>
                <c:pt idx="15">
                  <c:v>0.14710233552673219</c:v>
                </c:pt>
                <c:pt idx="16">
                  <c:v>0.15146954390177916</c:v>
                </c:pt>
                <c:pt idx="17">
                  <c:v>8.5481334090471192E-2</c:v>
                </c:pt>
                <c:pt idx="18">
                  <c:v>0.13044502296953692</c:v>
                </c:pt>
                <c:pt idx="19">
                  <c:v>0.14053979740227912</c:v>
                </c:pt>
                <c:pt idx="20">
                  <c:v>0.12892698928003887</c:v>
                </c:pt>
                <c:pt idx="21">
                  <c:v>8.7929408340245083E-2</c:v>
                </c:pt>
                <c:pt idx="22">
                  <c:v>0.10800290465149717</c:v>
                </c:pt>
                <c:pt idx="23">
                  <c:v>7.2310646091645572E-2</c:v>
                </c:pt>
                <c:pt idx="24">
                  <c:v>7.0059490346391487E-2</c:v>
                </c:pt>
                <c:pt idx="25">
                  <c:v>0.12448487722594251</c:v>
                </c:pt>
                <c:pt idx="26">
                  <c:v>9.582447702764238E-2</c:v>
                </c:pt>
                <c:pt idx="27">
                  <c:v>2.9990566294458676E-2</c:v>
                </c:pt>
                <c:pt idx="28">
                  <c:v>0.11495530320425043</c:v>
                </c:pt>
                <c:pt idx="29">
                  <c:v>0.10663773174744272</c:v>
                </c:pt>
              </c:numCache>
            </c:numRef>
          </c:val>
          <c:extLst>
            <c:ext xmlns:c16="http://schemas.microsoft.com/office/drawing/2014/chart" uri="{C3380CC4-5D6E-409C-BE32-E72D297353CC}">
              <c16:uniqueId val="{00000004-C2A4-44C5-A749-22A7D12221F9}"/>
            </c:ext>
          </c:extLst>
        </c:ser>
        <c:ser>
          <c:idx val="5"/>
          <c:order val="5"/>
          <c:tx>
            <c:strRef>
              <c:f>'Trh práce 1-SNÚ'!$AH$7</c:f>
              <c:strCache>
                <c:ptCount val="1"/>
                <c:pt idx="0">
                  <c:v>Professional, scientific, technic.&amp; admin.act.</c:v>
                </c:pt>
              </c:strCache>
            </c:strRef>
          </c:tx>
          <c:spPr>
            <a:solidFill>
              <a:srgbClr val="E8C0BE"/>
            </a:solidFill>
            <a:ln w="19050">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1-SNÚ'!$AH$28:$AH$58</c:f>
              <c:numCache>
                <c:formatCode>#\ ##0.0</c:formatCode>
                <c:ptCount val="31"/>
                <c:pt idx="0">
                  <c:v>0.10850077322277182</c:v>
                </c:pt>
                <c:pt idx="1">
                  <c:v>0.12304838994193759</c:v>
                </c:pt>
                <c:pt idx="2">
                  <c:v>0.25299155723995104</c:v>
                </c:pt>
                <c:pt idx="3">
                  <c:v>0.35101672163818687</c:v>
                </c:pt>
                <c:pt idx="4">
                  <c:v>0.2419070060625246</c:v>
                </c:pt>
                <c:pt idx="5">
                  <c:v>0.24438309320163906</c:v>
                </c:pt>
                <c:pt idx="6">
                  <c:v>0.25066507602369625</c:v>
                </c:pt>
                <c:pt idx="7">
                  <c:v>0.26288795818240235</c:v>
                </c:pt>
                <c:pt idx="8">
                  <c:v>0.40909387284647242</c:v>
                </c:pt>
                <c:pt idx="9">
                  <c:v>0.3560353520194568</c:v>
                </c:pt>
                <c:pt idx="10">
                  <c:v>0.31414586903784036</c:v>
                </c:pt>
                <c:pt idx="11">
                  <c:v>0.14060149424955432</c:v>
                </c:pt>
                <c:pt idx="12">
                  <c:v>0.17385474809809426</c:v>
                </c:pt>
                <c:pt idx="13">
                  <c:v>0.14777045635809</c:v>
                </c:pt>
                <c:pt idx="14">
                  <c:v>9.3482836335189431E-2</c:v>
                </c:pt>
                <c:pt idx="15">
                  <c:v>0.18868972158064815</c:v>
                </c:pt>
                <c:pt idx="16">
                  <c:v>-9.607104657906403E-3</c:v>
                </c:pt>
                <c:pt idx="17">
                  <c:v>-3.2359213034248137E-2</c:v>
                </c:pt>
                <c:pt idx="18">
                  <c:v>-2.9422579116094784E-2</c:v>
                </c:pt>
                <c:pt idx="19">
                  <c:v>-0.20393566719821937</c:v>
                </c:pt>
                <c:pt idx="20">
                  <c:v>-0.16053845350835916</c:v>
                </c:pt>
                <c:pt idx="21">
                  <c:v>-0.28764717531134654</c:v>
                </c:pt>
                <c:pt idx="22">
                  <c:v>-0.41553472496120397</c:v>
                </c:pt>
                <c:pt idx="23">
                  <c:v>-0.1922734345041095</c:v>
                </c:pt>
                <c:pt idx="24">
                  <c:v>-0.18494148985647538</c:v>
                </c:pt>
                <c:pt idx="25">
                  <c:v>8.2989918150628353E-2</c:v>
                </c:pt>
                <c:pt idx="26">
                  <c:v>0.18710822105338745</c:v>
                </c:pt>
                <c:pt idx="27">
                  <c:v>8.3338624674582709E-2</c:v>
                </c:pt>
                <c:pt idx="28">
                  <c:v>7.8003369489813637E-2</c:v>
                </c:pt>
                <c:pt idx="29">
                  <c:v>4.6387786953206084E-2</c:v>
                </c:pt>
              </c:numCache>
            </c:numRef>
          </c:val>
          <c:extLst>
            <c:ext xmlns:c16="http://schemas.microsoft.com/office/drawing/2014/chart" uri="{C3380CC4-5D6E-409C-BE32-E72D297353CC}">
              <c16:uniqueId val="{00000005-C2A4-44C5-A749-22A7D12221F9}"/>
            </c:ext>
          </c:extLst>
        </c:ser>
        <c:ser>
          <c:idx val="6"/>
          <c:order val="6"/>
          <c:tx>
            <c:strRef>
              <c:f>'Trh práce 1-SNÚ'!$AI$7</c:f>
              <c:strCache>
                <c:ptCount val="1"/>
                <c:pt idx="0">
                  <c:v>Public admin, education, health &amp; soc.work</c:v>
                </c:pt>
              </c:strCache>
            </c:strRef>
          </c:tx>
          <c:spPr>
            <a:solidFill>
              <a:srgbClr val="D58D8B"/>
            </a:solidFill>
            <a:ln>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1-SNÚ'!$AI$28:$AI$58</c:f>
              <c:numCache>
                <c:formatCode>#\ ##0.0</c:formatCode>
                <c:ptCount val="31"/>
                <c:pt idx="0">
                  <c:v>0.22356544035179357</c:v>
                </c:pt>
                <c:pt idx="1">
                  <c:v>0.22121632087472565</c:v>
                </c:pt>
                <c:pt idx="2">
                  <c:v>0.12507865060484022</c:v>
                </c:pt>
                <c:pt idx="3">
                  <c:v>0.12632707202590393</c:v>
                </c:pt>
                <c:pt idx="4">
                  <c:v>0.32907195728800698</c:v>
                </c:pt>
                <c:pt idx="5">
                  <c:v>0.33515671077902104</c:v>
                </c:pt>
                <c:pt idx="6">
                  <c:v>0.44146897214787112</c:v>
                </c:pt>
                <c:pt idx="7">
                  <c:v>0.55904533116329413</c:v>
                </c:pt>
                <c:pt idx="8">
                  <c:v>0.45377965834973044</c:v>
                </c:pt>
                <c:pt idx="9">
                  <c:v>0.48758720415555434</c:v>
                </c:pt>
                <c:pt idx="10">
                  <c:v>0.52434236449693816</c:v>
                </c:pt>
                <c:pt idx="11">
                  <c:v>0.53403271627626769</c:v>
                </c:pt>
                <c:pt idx="12">
                  <c:v>0.4379247919471016</c:v>
                </c:pt>
                <c:pt idx="13">
                  <c:v>0.46550221824222543</c:v>
                </c:pt>
                <c:pt idx="14">
                  <c:v>0.29622455251541197</c:v>
                </c:pt>
                <c:pt idx="15">
                  <c:v>0.24393461389689397</c:v>
                </c:pt>
                <c:pt idx="16">
                  <c:v>0.20792519366754575</c:v>
                </c:pt>
                <c:pt idx="17">
                  <c:v>0.13389130580837372</c:v>
                </c:pt>
                <c:pt idx="18">
                  <c:v>0.14884797866511187</c:v>
                </c:pt>
                <c:pt idx="19">
                  <c:v>0.16857035494868175</c:v>
                </c:pt>
                <c:pt idx="20">
                  <c:v>0.34228599406292859</c:v>
                </c:pt>
                <c:pt idx="21">
                  <c:v>0.27122120568819491</c:v>
                </c:pt>
                <c:pt idx="22">
                  <c:v>0.38125393952574577</c:v>
                </c:pt>
                <c:pt idx="23">
                  <c:v>0.32350181091089736</c:v>
                </c:pt>
                <c:pt idx="24">
                  <c:v>0.17065535733675366</c:v>
                </c:pt>
                <c:pt idx="25">
                  <c:v>0.2872569205787911</c:v>
                </c:pt>
                <c:pt idx="26">
                  <c:v>0.28479027067271512</c:v>
                </c:pt>
                <c:pt idx="27">
                  <c:v>0.33911828113047315</c:v>
                </c:pt>
                <c:pt idx="28">
                  <c:v>0.42800305920640269</c:v>
                </c:pt>
                <c:pt idx="29">
                  <c:v>0.39256808991047898</c:v>
                </c:pt>
              </c:numCache>
            </c:numRef>
          </c:val>
          <c:extLst>
            <c:ext xmlns:c16="http://schemas.microsoft.com/office/drawing/2014/chart" uri="{C3380CC4-5D6E-409C-BE32-E72D297353CC}">
              <c16:uniqueId val="{00000006-C2A4-44C5-A749-22A7D12221F9}"/>
            </c:ext>
          </c:extLst>
        </c:ser>
        <c:ser>
          <c:idx val="7"/>
          <c:order val="7"/>
          <c:tx>
            <c:strRef>
              <c:f>'Trh práce 1-SNÚ'!$AJ$7</c:f>
              <c:strCache>
                <c:ptCount val="1"/>
                <c:pt idx="0">
                  <c:v>Other branches*</c:v>
                </c:pt>
              </c:strCache>
            </c:strRef>
          </c:tx>
          <c:spPr>
            <a:solidFill>
              <a:schemeClr val="bg1">
                <a:lumMod val="85000"/>
              </a:schemeClr>
            </a:solidFill>
            <a:ln>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1-SNÚ'!$AJ$28:$AJ$58</c:f>
              <c:numCache>
                <c:formatCode>#\ ##0.0</c:formatCode>
                <c:ptCount val="31"/>
                <c:pt idx="0">
                  <c:v>-5.4437084192551728E-2</c:v>
                </c:pt>
                <c:pt idx="1">
                  <c:v>8.941660229076856E-2</c:v>
                </c:pt>
                <c:pt idx="2">
                  <c:v>4.9980639099324334E-2</c:v>
                </c:pt>
                <c:pt idx="3">
                  <c:v>-2.6133949538887476E-2</c:v>
                </c:pt>
                <c:pt idx="4">
                  <c:v>0.12610768889994062</c:v>
                </c:pt>
                <c:pt idx="5">
                  <c:v>7.9147344977730044E-2</c:v>
                </c:pt>
                <c:pt idx="6">
                  <c:v>0.10645843330278808</c:v>
                </c:pt>
                <c:pt idx="7">
                  <c:v>0.17588007788617954</c:v>
                </c:pt>
                <c:pt idx="8">
                  <c:v>-5.5355305533561008E-2</c:v>
                </c:pt>
                <c:pt idx="9">
                  <c:v>-2.887491916922294E-3</c:v>
                </c:pt>
                <c:pt idx="10">
                  <c:v>4.6771521213818591E-2</c:v>
                </c:pt>
                <c:pt idx="11">
                  <c:v>4.0303999761385406E-2</c:v>
                </c:pt>
                <c:pt idx="12">
                  <c:v>0.20445408817735128</c:v>
                </c:pt>
                <c:pt idx="13">
                  <c:v>0.19370645045850754</c:v>
                </c:pt>
                <c:pt idx="14">
                  <c:v>1.6316191398610472E-2</c:v>
                </c:pt>
                <c:pt idx="15">
                  <c:v>1.837148864209727E-2</c:v>
                </c:pt>
                <c:pt idx="16">
                  <c:v>-2.6762648689882127E-2</c:v>
                </c:pt>
                <c:pt idx="17">
                  <c:v>2.1167858355736847E-2</c:v>
                </c:pt>
                <c:pt idx="18">
                  <c:v>0.1052494015809112</c:v>
                </c:pt>
                <c:pt idx="19">
                  <c:v>0.12295850095305616</c:v>
                </c:pt>
                <c:pt idx="20">
                  <c:v>-0.12300902911636498</c:v>
                </c:pt>
                <c:pt idx="21">
                  <c:v>-0.35208469413468202</c:v>
                </c:pt>
                <c:pt idx="22">
                  <c:v>-0.34275256276516941</c:v>
                </c:pt>
                <c:pt idx="23">
                  <c:v>-0.43863649018293677</c:v>
                </c:pt>
                <c:pt idx="24">
                  <c:v>-0.16726448541573019</c:v>
                </c:pt>
                <c:pt idx="25">
                  <c:v>4.1738826375485566E-2</c:v>
                </c:pt>
                <c:pt idx="26">
                  <c:v>-1.3959939476907393E-2</c:v>
                </c:pt>
                <c:pt idx="27">
                  <c:v>0.11555911335262434</c:v>
                </c:pt>
                <c:pt idx="28">
                  <c:v>0.10577843620544883</c:v>
                </c:pt>
                <c:pt idx="29">
                  <c:v>0.1911931581470443</c:v>
                </c:pt>
              </c:numCache>
            </c:numRef>
          </c:val>
          <c:extLst>
            <c:ext xmlns:c16="http://schemas.microsoft.com/office/drawing/2014/chart" uri="{C3380CC4-5D6E-409C-BE32-E72D297353CC}">
              <c16:uniqueId val="{00000007-C2A4-44C5-A749-22A7D12221F9}"/>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1-SNÚ'!$AK$7</c:f>
              <c:strCache>
                <c:ptCount val="1"/>
                <c:pt idx="0">
                  <c:v>Total employment growth</c:v>
                </c:pt>
              </c:strCache>
            </c:strRef>
          </c:tx>
          <c:spPr>
            <a:ln w="19050">
              <a:solidFill>
                <a:schemeClr val="tx1">
                  <a:lumMod val="95000"/>
                  <a:lumOff val="5000"/>
                </a:schemeClr>
              </a:solidFill>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1-SNÚ'!$AK$28:$AK$58</c:f>
              <c:numCache>
                <c:formatCode>#\ ##0.0</c:formatCode>
                <c:ptCount val="31"/>
                <c:pt idx="0">
                  <c:v>1.2324005594638692</c:v>
                </c:pt>
                <c:pt idx="1">
                  <c:v>1.7691026689786469</c:v>
                </c:pt>
                <c:pt idx="2">
                  <c:v>1.3881990570332476</c:v>
                </c:pt>
                <c:pt idx="3">
                  <c:v>1.3221597391901838</c:v>
                </c:pt>
                <c:pt idx="4">
                  <c:v>1.5277744613681534</c:v>
                </c:pt>
                <c:pt idx="5">
                  <c:v>1.4953160389154334</c:v>
                </c:pt>
                <c:pt idx="6">
                  <c:v>1.5235007666279472</c:v>
                </c:pt>
                <c:pt idx="7">
                  <c:v>1.811732014191108</c:v>
                </c:pt>
                <c:pt idx="8">
                  <c:v>1.4809790948155097</c:v>
                </c:pt>
                <c:pt idx="9">
                  <c:v>1.4428911088804739</c:v>
                </c:pt>
                <c:pt idx="10">
                  <c:v>1.953560797755415</c:v>
                </c:pt>
                <c:pt idx="11">
                  <c:v>1.3171196100007592</c:v>
                </c:pt>
                <c:pt idx="12">
                  <c:v>1.5928803023154643</c:v>
                </c:pt>
                <c:pt idx="13">
                  <c:v>1.7364292657787672</c:v>
                </c:pt>
                <c:pt idx="14">
                  <c:v>0.90722494365698481</c:v>
                </c:pt>
                <c:pt idx="15">
                  <c:v>1.1032023032555145</c:v>
                </c:pt>
                <c:pt idx="16">
                  <c:v>0.91287895437608313</c:v>
                </c:pt>
                <c:pt idx="17">
                  <c:v>0.29311041431022034</c:v>
                </c:pt>
                <c:pt idx="18">
                  <c:v>0.15084147837937678</c:v>
                </c:pt>
                <c:pt idx="19">
                  <c:v>-0.37554681241327614</c:v>
                </c:pt>
                <c:pt idx="20">
                  <c:v>-0.81274544831673268</c:v>
                </c:pt>
                <c:pt idx="21">
                  <c:v>-2.1642086747839784</c:v>
                </c:pt>
                <c:pt idx="22">
                  <c:v>-1.7738279104571149</c:v>
                </c:pt>
                <c:pt idx="23">
                  <c:v>-2.1121405116648759</c:v>
                </c:pt>
                <c:pt idx="24">
                  <c:v>-1.4660981366510271</c:v>
                </c:pt>
                <c:pt idx="25">
                  <c:v>0.41146041245838205</c:v>
                </c:pt>
                <c:pt idx="26">
                  <c:v>0.87990774431393959</c:v>
                </c:pt>
                <c:pt idx="27">
                  <c:v>1.6596291828052614</c:v>
                </c:pt>
                <c:pt idx="28">
                  <c:v>1.4734701100227454</c:v>
                </c:pt>
                <c:pt idx="29">
                  <c:v>2.4591505374295082</c:v>
                </c:pt>
              </c:numCache>
            </c:numRef>
          </c:val>
          <c:smooth val="0"/>
          <c:extLst>
            <c:ext xmlns:c16="http://schemas.microsoft.com/office/drawing/2014/chart" uri="{C3380CC4-5D6E-409C-BE32-E72D297353CC}">
              <c16:uniqueId val="{00000008-C2A4-44C5-A749-22A7D12221F9}"/>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1-SNÚ'!$AL$7</c:f>
              <c:strCache>
                <c:ptCount val="1"/>
              </c:strCache>
            </c:strRef>
          </c:tx>
          <c:spPr>
            <a:ln>
              <a:noFill/>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1-SNÚ'!$AL$28:$AL$58</c:f>
              <c:numCache>
                <c:formatCode>General</c:formatCode>
                <c:ptCount val="31"/>
              </c:numCache>
            </c:numRef>
          </c:val>
          <c:smooth val="0"/>
          <c:extLst>
            <c:ext xmlns:c16="http://schemas.microsoft.com/office/drawing/2014/chart" uri="{C3380CC4-5D6E-409C-BE32-E72D297353CC}">
              <c16:uniqueId val="{00000009-C2A4-44C5-A749-22A7D12221F9}"/>
            </c:ext>
          </c:extLst>
        </c:ser>
        <c:ser>
          <c:idx val="10"/>
          <c:order val="10"/>
          <c:tx>
            <c:strRef>
              <c:f>'Trh práce 1-SNÚ'!$AM$7</c:f>
              <c:strCache>
                <c:ptCount val="1"/>
                <c:pt idx="0">
                  <c:v>Employment expectations (industry)</c:v>
                </c:pt>
              </c:strCache>
            </c:strRef>
          </c:tx>
          <c:spPr>
            <a:ln w="15875">
              <a:solidFill>
                <a:schemeClr val="tx1">
                  <a:lumMod val="95000"/>
                  <a:lumOff val="5000"/>
                </a:schemeClr>
              </a:solidFill>
              <a:prstDash val="sysDot"/>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1-SNÚ'!$AM$28:$AM$58</c:f>
              <c:numCache>
                <c:formatCode>#\ ##0.0</c:formatCode>
                <c:ptCount val="31"/>
                <c:pt idx="0">
                  <c:v>-3</c:v>
                </c:pt>
                <c:pt idx="1">
                  <c:v>4.3</c:v>
                </c:pt>
                <c:pt idx="2">
                  <c:v>5.5</c:v>
                </c:pt>
                <c:pt idx="3">
                  <c:v>7.8</c:v>
                </c:pt>
                <c:pt idx="4">
                  <c:v>8.1999999999999993</c:v>
                </c:pt>
                <c:pt idx="5">
                  <c:v>9.9</c:v>
                </c:pt>
                <c:pt idx="6">
                  <c:v>3.8</c:v>
                </c:pt>
                <c:pt idx="7">
                  <c:v>9.5</c:v>
                </c:pt>
                <c:pt idx="8">
                  <c:v>11.1</c:v>
                </c:pt>
                <c:pt idx="9">
                  <c:v>5.7</c:v>
                </c:pt>
                <c:pt idx="10">
                  <c:v>8.1999999999999993</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numCache>
            </c:numRef>
          </c:val>
          <c:smooth val="0"/>
          <c:extLst>
            <c:ext xmlns:c16="http://schemas.microsoft.com/office/drawing/2014/chart" uri="{C3380CC4-5D6E-409C-BE32-E72D297353CC}">
              <c16:uniqueId val="{0000000A-C2A4-44C5-A749-22A7D12221F9}"/>
            </c:ext>
          </c:extLst>
        </c:ser>
        <c:ser>
          <c:idx val="11"/>
          <c:order val="11"/>
          <c:tx>
            <c:strRef>
              <c:f>'Trh práce 1-SNÚ'!$AN$7</c:f>
              <c:strCache>
                <c:ptCount val="1"/>
                <c:pt idx="0">
                  <c:v>Employment expectations (construction)</c:v>
                </c:pt>
              </c:strCache>
            </c:strRef>
          </c:tx>
          <c:spPr>
            <a:ln w="15875">
              <a:solidFill>
                <a:srgbClr val="00B0F0"/>
              </a:solidFill>
              <a:prstDash val="sysDot"/>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1-SNÚ'!$AN$28:$AN$58</c:f>
              <c:numCache>
                <c:formatCode>#\ ##0.0</c:formatCode>
                <c:ptCount val="31"/>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5.5</c:v>
                </c:pt>
                <c:pt idx="21">
                  <c:v>-4.2</c:v>
                </c:pt>
                <c:pt idx="22">
                  <c:v>1.1000000000000001</c:v>
                </c:pt>
                <c:pt idx="23">
                  <c:v>-1.3</c:v>
                </c:pt>
                <c:pt idx="24">
                  <c:v>3.1</c:v>
                </c:pt>
                <c:pt idx="25">
                  <c:v>3.9</c:v>
                </c:pt>
                <c:pt idx="26">
                  <c:v>4.4000000000000004</c:v>
                </c:pt>
                <c:pt idx="27">
                  <c:v>9.1999999999999993</c:v>
                </c:pt>
                <c:pt idx="28">
                  <c:v>8.9</c:v>
                </c:pt>
                <c:pt idx="29">
                  <c:v>6.8</c:v>
                </c:pt>
                <c:pt idx="30">
                  <c:v>1.7</c:v>
                </c:pt>
              </c:numCache>
            </c:numRef>
          </c:val>
          <c:smooth val="0"/>
          <c:extLst>
            <c:ext xmlns:c16="http://schemas.microsoft.com/office/drawing/2014/chart" uri="{C3380CC4-5D6E-409C-BE32-E72D297353CC}">
              <c16:uniqueId val="{0000000B-C2A4-44C5-A749-22A7D12221F9}"/>
            </c:ext>
          </c:extLst>
        </c:ser>
        <c:ser>
          <c:idx val="12"/>
          <c:order val="12"/>
          <c:tx>
            <c:strRef>
              <c:f>'Trh práce 1-SNÚ'!$AO$7</c:f>
              <c:strCache>
                <c:ptCount val="1"/>
                <c:pt idx="0">
                  <c:v>Employment expectations (trade)</c:v>
                </c:pt>
              </c:strCache>
            </c:strRef>
          </c:tx>
          <c:spPr>
            <a:ln w="15875">
              <a:solidFill>
                <a:schemeClr val="accent6">
                  <a:lumMod val="75000"/>
                </a:schemeClr>
              </a:solidFill>
              <a:prstDash val="sysDot"/>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1-SNÚ'!$AO$28:$AO$58</c:f>
              <c:numCache>
                <c:formatCode>#\ ##0.0</c:formatCode>
                <c:ptCount val="31"/>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c:v>
                </c:pt>
                <c:pt idx="24">
                  <c:v>5.6</c:v>
                </c:pt>
                <c:pt idx="25">
                  <c:v>13.3</c:v>
                </c:pt>
                <c:pt idx="26">
                  <c:v>10.8</c:v>
                </c:pt>
                <c:pt idx="27">
                  <c:v>9.5</c:v>
                </c:pt>
                <c:pt idx="28">
                  <c:v>10</c:v>
                </c:pt>
                <c:pt idx="29">
                  <c:v>3.1</c:v>
                </c:pt>
                <c:pt idx="30">
                  <c:v>5</c:v>
                </c:pt>
              </c:numCache>
            </c:numRef>
          </c:val>
          <c:smooth val="0"/>
          <c:extLst>
            <c:ext xmlns:c16="http://schemas.microsoft.com/office/drawing/2014/chart" uri="{C3380CC4-5D6E-409C-BE32-E72D297353CC}">
              <c16:uniqueId val="{0000000C-C2A4-44C5-A749-22A7D12221F9}"/>
            </c:ext>
          </c:extLst>
        </c:ser>
        <c:ser>
          <c:idx val="13"/>
          <c:order val="13"/>
          <c:tx>
            <c:strRef>
              <c:f>'Trh práce 1-SNÚ'!$AP$7</c:f>
              <c:strCache>
                <c:ptCount val="1"/>
                <c:pt idx="0">
                  <c:v>Employment expectations (select.services)</c:v>
                </c:pt>
              </c:strCache>
            </c:strRef>
          </c:tx>
          <c:spPr>
            <a:ln w="15875">
              <a:solidFill>
                <a:srgbClr val="C00000"/>
              </a:solidFill>
              <a:prstDash val="sysDot"/>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1-SNÚ'!$AP$28:$AP$58</c:f>
              <c:numCache>
                <c:formatCode>#\ ##0.0</c:formatCode>
                <c:ptCount val="31"/>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-32.299999999999997</c:v>
                </c:pt>
                <c:pt idx="22">
                  <c:v>-28.6</c:v>
                </c:pt>
                <c:pt idx="23">
                  <c:v>-30.1</c:v>
                </c:pt>
                <c:pt idx="24">
                  <c:v>-27</c:v>
                </c:pt>
                <c:pt idx="25">
                  <c:v>-27.7</c:v>
                </c:pt>
                <c:pt idx="26">
                  <c:v>-12.1</c:v>
                </c:pt>
                <c:pt idx="27">
                  <c:v>-15.8</c:v>
                </c:pt>
                <c:pt idx="28">
                  <c:v>-6.8</c:v>
                </c:pt>
                <c:pt idx="29">
                  <c:v>-3.5</c:v>
                </c:pt>
                <c:pt idx="30">
                  <c:v>-6.1</c:v>
                </c:pt>
              </c:numCache>
            </c:numRef>
          </c:val>
          <c:smooth val="0"/>
          <c:extLst>
            <c:ext xmlns:c16="http://schemas.microsoft.com/office/drawing/2014/chart" uri="{C3380CC4-5D6E-409C-BE32-E72D297353CC}">
              <c16:uniqueId val="{0000000D-C2A4-44C5-A749-22A7D12221F9}"/>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Contribution to the employment growth</a:t>
                </a:r>
              </a:p>
            </c:rich>
          </c:tx>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Expectations of the employment</a:t>
                </a:r>
              </a:p>
            </c:rich>
          </c:tx>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7.3375839479301848E-3"/>
          <c:y val="0.77992823117070742"/>
          <c:w val="0.98174977228850369"/>
          <c:h val="0.21194618315349945"/>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6113463718820862"/>
        </c:manualLayout>
      </c:layout>
      <c:barChart>
        <c:barDir val="col"/>
        <c:grouping val="clustered"/>
        <c:varyColors val="0"/>
        <c:ser>
          <c:idx val="0"/>
          <c:order val="0"/>
          <c:tx>
            <c:strRef>
              <c:f>'Trh práce-2b'!$A$30</c:f>
              <c:strCache>
                <c:ptCount val="1"/>
                <c:pt idx="0">
                  <c:v>Male unemployment rate</c:v>
                </c:pt>
              </c:strCache>
            </c:strRef>
          </c:tx>
          <c:spPr>
            <a:solidFill>
              <a:srgbClr val="BCBCBC"/>
            </a:solidFill>
          </c:spPr>
          <c:invertIfNegative val="0"/>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práce-2b'!$B$30:$AF$30</c:f>
              <c:numCache>
                <c:formatCode>0.0</c:formatCode>
                <c:ptCount val="31"/>
                <c:pt idx="0">
                  <c:v>5.015654048517181</c:v>
                </c:pt>
                <c:pt idx="1">
                  <c:v>4.3097576556402695</c:v>
                </c:pt>
                <c:pt idx="2">
                  <c:v>4.0655681201340759</c:v>
                </c:pt>
                <c:pt idx="3">
                  <c:v>3.79427398622953</c:v>
                </c:pt>
                <c:pt idx="4">
                  <c:v>3.6458927178551099</c:v>
                </c:pt>
                <c:pt idx="5">
                  <c:v>3.5600663439817914</c:v>
                </c:pt>
                <c:pt idx="6">
                  <c:v>3.3966819627238949</c:v>
                </c:pt>
                <c:pt idx="7">
                  <c:v>3.1583063409409937</c:v>
                </c:pt>
                <c:pt idx="8">
                  <c:v>2.6907735187377972</c:v>
                </c:pt>
                <c:pt idx="9">
                  <c:v>2.4844729762431417</c:v>
                </c:pt>
                <c:pt idx="10">
                  <c:v>2.2541146548508895</c:v>
                </c:pt>
                <c:pt idx="11">
                  <c:v>2.0844989615311071</c:v>
                </c:pt>
                <c:pt idx="12">
                  <c:v>1.8921664936774081</c:v>
                </c:pt>
                <c:pt idx="13">
                  <c:v>1.825304181170899</c:v>
                </c:pt>
                <c:pt idx="14">
                  <c:v>1.8923026100268112</c:v>
                </c:pt>
                <c:pt idx="15">
                  <c:v>1.6805633468354062</c:v>
                </c:pt>
                <c:pt idx="16">
                  <c:v>1.798143467322288</c:v>
                </c:pt>
                <c:pt idx="17">
                  <c:v>1.6709373739843822</c:v>
                </c:pt>
                <c:pt idx="18">
                  <c:v>1.7718707799478584</c:v>
                </c:pt>
                <c:pt idx="19">
                  <c:v>1.8586210130494658</c:v>
                </c:pt>
                <c:pt idx="20">
                  <c:v>1.8378192431811546</c:v>
                </c:pt>
                <c:pt idx="21">
                  <c:v>2.2740678125371305</c:v>
                </c:pt>
                <c:pt idx="22">
                  <c:v>2.5211333527129343</c:v>
                </c:pt>
                <c:pt idx="23">
                  <c:v>2.5659832731129097</c:v>
                </c:pt>
                <c:pt idx="24">
                  <c:v>2.6467614065388481</c:v>
                </c:pt>
                <c:pt idx="25">
                  <c:v>2.5439048372684447</c:v>
                </c:pt>
                <c:pt idx="26">
                  <c:v>2.2920203777413213</c:v>
                </c:pt>
                <c:pt idx="27">
                  <c:v>1.961409825676534</c:v>
                </c:pt>
                <c:pt idx="28">
                  <c:v>1.9688028992968987</c:v>
                </c:pt>
                <c:pt idx="29">
                  <c:v>1.8893890946399734</c:v>
                </c:pt>
              </c:numCache>
            </c:numRef>
          </c:val>
          <c:extLst>
            <c:ext xmlns:c16="http://schemas.microsoft.com/office/drawing/2014/chart" uri="{C3380CC4-5D6E-409C-BE32-E72D297353CC}">
              <c16:uniqueId val="{00000000-1F42-4984-B7A2-9DE4FB9689DA}"/>
            </c:ext>
          </c:extLst>
        </c:ser>
        <c:ser>
          <c:idx val="1"/>
          <c:order val="1"/>
          <c:tx>
            <c:strRef>
              <c:f>'Trh práce-2b'!$A$31</c:f>
              <c:strCache>
                <c:ptCount val="1"/>
                <c:pt idx="0">
                  <c:v>Female unemployment rate</c:v>
                </c:pt>
              </c:strCache>
            </c:strRef>
          </c:tx>
          <c:spPr>
            <a:solidFill>
              <a:schemeClr val="bg1">
                <a:lumMod val="95000"/>
              </a:schemeClr>
            </a:solidFill>
            <a:ln>
              <a:solidFill>
                <a:schemeClr val="bg1">
                  <a:lumMod val="65000"/>
                </a:schemeClr>
              </a:solidFill>
            </a:ln>
          </c:spPr>
          <c:invertIfNegative val="0"/>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práce-2b'!$B$31:$AF$31</c:f>
              <c:numCache>
                <c:formatCode>0.0</c:formatCode>
                <c:ptCount val="31"/>
                <c:pt idx="0">
                  <c:v>6.9307524048123526</c:v>
                </c:pt>
                <c:pt idx="1">
                  <c:v>6.170287809061648</c:v>
                </c:pt>
                <c:pt idx="2">
                  <c:v>5.9684614161324854</c:v>
                </c:pt>
                <c:pt idx="3">
                  <c:v>5.6750494734064985</c:v>
                </c:pt>
                <c:pt idx="4">
                  <c:v>5.0626344937886811</c:v>
                </c:pt>
                <c:pt idx="5">
                  <c:v>4.8137920103526461</c:v>
                </c:pt>
                <c:pt idx="6">
                  <c:v>4.7932172322640154</c:v>
                </c:pt>
                <c:pt idx="7">
                  <c:v>4.3581087136248824</c:v>
                </c:pt>
                <c:pt idx="8">
                  <c:v>4.2722649585445307</c:v>
                </c:pt>
                <c:pt idx="9">
                  <c:v>3.8986997207042671</c:v>
                </c:pt>
                <c:pt idx="10">
                  <c:v>3.3997973083172801</c:v>
                </c:pt>
                <c:pt idx="11">
                  <c:v>3.0210636946051381</c:v>
                </c:pt>
                <c:pt idx="12">
                  <c:v>2.9353495299400323</c:v>
                </c:pt>
                <c:pt idx="13">
                  <c:v>2.9016029826574883</c:v>
                </c:pt>
                <c:pt idx="14">
                  <c:v>2.8567684802621827</c:v>
                </c:pt>
                <c:pt idx="15">
                  <c:v>2.665208185427185</c:v>
                </c:pt>
                <c:pt idx="16">
                  <c:v>2.2535438463231396</c:v>
                </c:pt>
                <c:pt idx="17">
                  <c:v>2.4783929533714257</c:v>
                </c:pt>
                <c:pt idx="18">
                  <c:v>2.555615469635494</c:v>
                </c:pt>
                <c:pt idx="19">
                  <c:v>2.4620142655386039</c:v>
                </c:pt>
                <c:pt idx="20">
                  <c:v>2.0419389490922577</c:v>
                </c:pt>
                <c:pt idx="21">
                  <c:v>2.8214373755515005</c:v>
                </c:pt>
                <c:pt idx="22">
                  <c:v>3.3591614841367679</c:v>
                </c:pt>
                <c:pt idx="23">
                  <c:v>3.9035735007845154</c:v>
                </c:pt>
                <c:pt idx="24">
                  <c:v>4.1366528600647818</c:v>
                </c:pt>
                <c:pt idx="25">
                  <c:v>3.9150477411484572</c:v>
                </c:pt>
                <c:pt idx="26">
                  <c:v>3.2720348359242539</c:v>
                </c:pt>
                <c:pt idx="27">
                  <c:v>2.7114251000543859</c:v>
                </c:pt>
                <c:pt idx="28">
                  <c:v>3.0105924205944858</c:v>
                </c:pt>
                <c:pt idx="29">
                  <c:v>3.2171550315577093</c:v>
                </c:pt>
              </c:numCache>
            </c:numRef>
          </c:val>
          <c:extLst>
            <c:ext xmlns:c16="http://schemas.microsoft.com/office/drawing/2014/chart" uri="{C3380CC4-5D6E-409C-BE32-E72D297353CC}">
              <c16:uniqueId val="{00000001-1F42-4984-B7A2-9DE4FB9689DA}"/>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práce-2b'!$A$32</c:f>
              <c:strCache>
                <c:ptCount val="1"/>
                <c:pt idx="0">
                  <c:v>Rate of economic activity, males</c:v>
                </c:pt>
              </c:strCache>
            </c:strRef>
          </c:tx>
          <c:spPr>
            <a:ln w="19050">
              <a:solidFill>
                <a:srgbClr val="4FD1FF"/>
              </a:solidFill>
              <a:prstDash val="solid"/>
            </a:ln>
          </c:spPr>
          <c:marker>
            <c:symbol val="none"/>
          </c:marker>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práce-2b'!$B$32:$AF$32</c:f>
              <c:numCache>
                <c:formatCode>0.0</c:formatCode>
                <c:ptCount val="31"/>
                <c:pt idx="0">
                  <c:v>81.413481997639423</c:v>
                </c:pt>
                <c:pt idx="1">
                  <c:v>81.419110594189576</c:v>
                </c:pt>
                <c:pt idx="2">
                  <c:v>81.349582359517356</c:v>
                </c:pt>
                <c:pt idx="3">
                  <c:v>81.513665177863871</c:v>
                </c:pt>
                <c:pt idx="4">
                  <c:v>81.95464671816957</c:v>
                </c:pt>
                <c:pt idx="5">
                  <c:v>82.083249820800901</c:v>
                </c:pt>
                <c:pt idx="6">
                  <c:v>82.176405797492166</c:v>
                </c:pt>
                <c:pt idx="7">
                  <c:v>82.467848071365168</c:v>
                </c:pt>
                <c:pt idx="8">
                  <c:v>82.727860041774349</c:v>
                </c:pt>
                <c:pt idx="9">
                  <c:v>82.857472384057985</c:v>
                </c:pt>
                <c:pt idx="10">
                  <c:v>83.019684737731765</c:v>
                </c:pt>
                <c:pt idx="11">
                  <c:v>83.176217916024044</c:v>
                </c:pt>
                <c:pt idx="12">
                  <c:v>83.366789147231756</c:v>
                </c:pt>
                <c:pt idx="13">
                  <c:v>83.41277761607445</c:v>
                </c:pt>
                <c:pt idx="14">
                  <c:v>83.22791826411914</c:v>
                </c:pt>
                <c:pt idx="15">
                  <c:v>83.429606669855332</c:v>
                </c:pt>
                <c:pt idx="16">
                  <c:v>83.682240247092324</c:v>
                </c:pt>
                <c:pt idx="17">
                  <c:v>83.455854890894599</c:v>
                </c:pt>
                <c:pt idx="18">
                  <c:v>83.299122325687904</c:v>
                </c:pt>
                <c:pt idx="19">
                  <c:v>83.581723193428729</c:v>
                </c:pt>
                <c:pt idx="20">
                  <c:v>83.439582450321765</c:v>
                </c:pt>
                <c:pt idx="21">
                  <c:v>83.067870438412925</c:v>
                </c:pt>
                <c:pt idx="22">
                  <c:v>83.403417829033472</c:v>
                </c:pt>
                <c:pt idx="23">
                  <c:v>83.153717731021928</c:v>
                </c:pt>
                <c:pt idx="24">
                  <c:v>83.010063903932405</c:v>
                </c:pt>
                <c:pt idx="25">
                  <c:v>83.038079834738497</c:v>
                </c:pt>
                <c:pt idx="26">
                  <c:v>83.320133785020019</c:v>
                </c:pt>
                <c:pt idx="27">
                  <c:v>83.526405769654971</c:v>
                </c:pt>
                <c:pt idx="28">
                  <c:v>83.959192743558802</c:v>
                </c:pt>
                <c:pt idx="29">
                  <c:v>83.759674916867993</c:v>
                </c:pt>
              </c:numCache>
            </c:numRef>
          </c:val>
          <c:smooth val="0"/>
          <c:extLst>
            <c:ext xmlns:c16="http://schemas.microsoft.com/office/drawing/2014/chart" uri="{C3380CC4-5D6E-409C-BE32-E72D297353CC}">
              <c16:uniqueId val="{00000002-1F42-4984-B7A2-9DE4FB9689DA}"/>
            </c:ext>
          </c:extLst>
        </c:ser>
        <c:ser>
          <c:idx val="3"/>
          <c:order val="3"/>
          <c:tx>
            <c:strRef>
              <c:f>'Trh práce-2b'!$A$33</c:f>
              <c:strCache>
                <c:ptCount val="1"/>
                <c:pt idx="0">
                  <c:v>Rate of economic activity, females</c:v>
                </c:pt>
              </c:strCache>
            </c:strRef>
          </c:tx>
          <c:spPr>
            <a:ln w="19050">
              <a:solidFill>
                <a:schemeClr val="accent2">
                  <a:lumMod val="60000"/>
                  <a:lumOff val="40000"/>
                </a:schemeClr>
              </a:solidFill>
              <a:prstDash val="solid"/>
            </a:ln>
          </c:spPr>
          <c:marker>
            <c:symbol val="none"/>
          </c:marker>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práce-2b'!$B$33:$AF$33</c:f>
              <c:numCache>
                <c:formatCode>0.0</c:formatCode>
                <c:ptCount val="31"/>
                <c:pt idx="0">
                  <c:v>66.54252814007161</c:v>
                </c:pt>
                <c:pt idx="1">
                  <c:v>66.666431768491464</c:v>
                </c:pt>
                <c:pt idx="2">
                  <c:v>66.654792914968979</c:v>
                </c:pt>
                <c:pt idx="3">
                  <c:v>66.418889866464653</c:v>
                </c:pt>
                <c:pt idx="4">
                  <c:v>67.04627543928467</c:v>
                </c:pt>
                <c:pt idx="5">
                  <c:v>67.7106216149934</c:v>
                </c:pt>
                <c:pt idx="6">
                  <c:v>67.837768163348059</c:v>
                </c:pt>
                <c:pt idx="7">
                  <c:v>68.456265295297257</c:v>
                </c:pt>
                <c:pt idx="8">
                  <c:v>68.697468612411953</c:v>
                </c:pt>
                <c:pt idx="9">
                  <c:v>68.713756307271595</c:v>
                </c:pt>
                <c:pt idx="10">
                  <c:v>69.103189641889657</c:v>
                </c:pt>
                <c:pt idx="11">
                  <c:v>68.910813934937678</c:v>
                </c:pt>
                <c:pt idx="12">
                  <c:v>69.34051694184366</c:v>
                </c:pt>
                <c:pt idx="13">
                  <c:v>69.813848571477024</c:v>
                </c:pt>
                <c:pt idx="14">
                  <c:v>69.950002702371691</c:v>
                </c:pt>
                <c:pt idx="15">
                  <c:v>70.044975969350247</c:v>
                </c:pt>
                <c:pt idx="16">
                  <c:v>70.049718587143374</c:v>
                </c:pt>
                <c:pt idx="17">
                  <c:v>69.833313596022066</c:v>
                </c:pt>
                <c:pt idx="18">
                  <c:v>69.925958459528331</c:v>
                </c:pt>
                <c:pt idx="19">
                  <c:v>69.668015731742159</c:v>
                </c:pt>
                <c:pt idx="20">
                  <c:v>69.333922930053191</c:v>
                </c:pt>
                <c:pt idx="21">
                  <c:v>68.928487762383369</c:v>
                </c:pt>
                <c:pt idx="22">
                  <c:v>68.946784735681547</c:v>
                </c:pt>
                <c:pt idx="23">
                  <c:v>69.349546510975927</c:v>
                </c:pt>
                <c:pt idx="24">
                  <c:v>69.435569826158229</c:v>
                </c:pt>
                <c:pt idx="25">
                  <c:v>69.026293063886072</c:v>
                </c:pt>
                <c:pt idx="26">
                  <c:v>69.917521283014082</c:v>
                </c:pt>
                <c:pt idx="27">
                  <c:v>69.887382577566598</c:v>
                </c:pt>
                <c:pt idx="28">
                  <c:v>70.217922267773432</c:v>
                </c:pt>
                <c:pt idx="29">
                  <c:v>70.575580111173409</c:v>
                </c:pt>
              </c:numCache>
            </c:numRef>
          </c:val>
          <c:smooth val="0"/>
          <c:extLst>
            <c:ext xmlns:c16="http://schemas.microsoft.com/office/drawing/2014/chart" uri="{C3380CC4-5D6E-409C-BE32-E72D297353CC}">
              <c16:uniqueId val="{00000003-1F42-4984-B7A2-9DE4FB9689DA}"/>
            </c:ext>
          </c:extLst>
        </c:ser>
        <c:ser>
          <c:idx val="4"/>
          <c:order val="4"/>
          <c:tx>
            <c:strRef>
              <c:f>'Trh práce-2b'!$A$34</c:f>
              <c:strCache>
                <c:ptCount val="1"/>
                <c:pt idx="0">
                  <c:v>Economically inactive seeking empl.</c:v>
                </c:pt>
              </c:strCache>
            </c:strRef>
          </c:tx>
          <c:spPr>
            <a:ln w="19050">
              <a:solidFill>
                <a:schemeClr val="bg2">
                  <a:lumMod val="50000"/>
                </a:schemeClr>
              </a:solidFill>
              <a:prstDash val="sysDash"/>
            </a:ln>
          </c:spPr>
          <c:marker>
            <c:symbol val="none"/>
          </c:marker>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práce-2b'!$B$34:$AF$34</c:f>
              <c:numCache>
                <c:formatCode>0.0</c:formatCode>
                <c:ptCount val="31"/>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113.5</c:v>
                </c:pt>
                <c:pt idx="26">
                  <c:v>66</c:v>
                </c:pt>
                <c:pt idx="27">
                  <c:v>64.5</c:v>
                </c:pt>
                <c:pt idx="28">
                  <c:v>67</c:v>
                </c:pt>
                <c:pt idx="29">
                  <c:v>58.7</c:v>
                </c:pt>
              </c:numCache>
            </c:numRef>
          </c:val>
          <c:smooth val="0"/>
          <c:extLst>
            <c:ext xmlns:c16="http://schemas.microsoft.com/office/drawing/2014/chart" uri="{C3380CC4-5D6E-409C-BE32-E72D297353CC}">
              <c16:uniqueId val="{00000004-1F42-4984-B7A2-9DE4FB9689DA}"/>
            </c:ext>
          </c:extLst>
        </c:ser>
        <c:ser>
          <c:idx val="5"/>
          <c:order val="5"/>
          <c:tx>
            <c:strRef>
              <c:f>'Trh práce-2b'!$A$35</c:f>
              <c:strCache>
                <c:ptCount val="1"/>
                <c:pt idx="0">
                  <c:v>Unemployment expectations</c:v>
                </c:pt>
              </c:strCache>
            </c:strRef>
          </c:tx>
          <c:spPr>
            <a:ln w="15875">
              <a:solidFill>
                <a:srgbClr val="FFC000"/>
              </a:solidFill>
              <a:prstDash val="sysDot"/>
            </a:ln>
          </c:spPr>
          <c:marker>
            <c:symbol val="diamond"/>
            <c:size val="5"/>
            <c:spPr>
              <a:ln>
                <a:noFill/>
              </a:ln>
            </c:spPr>
          </c:marker>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práce-2b'!$B$35:$AF$35</c:f>
              <c:numCache>
                <c:formatCode>0.0</c:formatCode>
                <c:ptCount val="31"/>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numCache>
            </c:numRef>
          </c:val>
          <c:smooth val="0"/>
          <c:extLst>
            <c:ext xmlns:c16="http://schemas.microsoft.com/office/drawing/2014/chart" uri="{C3380CC4-5D6E-409C-BE32-E72D297353CC}">
              <c16:uniqueId val="{00000005-1F42-4984-B7A2-9DE4FB9689DA}"/>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Unemployment rate</a:t>
                </a:r>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a:t>Eonomic activity rate, Ec. inactive, Unemployment expectations</a:t>
                </a:r>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7.770783700011194E-2"/>
          <c:y val="0.87752510684139284"/>
          <c:w val="0.83964940085847328"/>
          <c:h val="0.11487898396138826"/>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32E-2"/>
          <c:y val="2.0203894786331125E-2"/>
          <c:w val="0.94100987714831696"/>
          <c:h val="0.76395209750566906"/>
        </c:manualLayout>
      </c:layout>
      <c:barChart>
        <c:barDir val="col"/>
        <c:grouping val="clustered"/>
        <c:varyColors val="0"/>
        <c:ser>
          <c:idx val="4"/>
          <c:order val="1"/>
          <c:tx>
            <c:strRef>
              <c:f>'Trh práce 3'!$D$8</c:f>
              <c:strCache>
                <c:ptCount val="1"/>
                <c:pt idx="0">
                  <c:v>Total wage (real growth)</c:v>
                </c:pt>
              </c:strCache>
            </c:strRef>
          </c:tx>
          <c:spPr>
            <a:solidFill>
              <a:srgbClr val="DBDBDB"/>
            </a:solidFill>
            <a:ln w="19050">
              <a:noFill/>
            </a:ln>
          </c:spPr>
          <c:invertIfNegative val="0"/>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3'!$D$29:$D$58</c:f>
              <c:numCache>
                <c:formatCode>#\ ##0.0</c:formatCode>
                <c:ptCount val="30"/>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1.7999999999999972</c:v>
                </c:pt>
                <c:pt idx="21">
                  <c:v>-2.0999999999999943</c:v>
                </c:pt>
                <c:pt idx="22">
                  <c:v>2</c:v>
                </c:pt>
                <c:pt idx="23">
                  <c:v>4</c:v>
                </c:pt>
                <c:pt idx="24">
                  <c:v>-0.40000000000000568</c:v>
                </c:pt>
                <c:pt idx="25">
                  <c:v>7</c:v>
                </c:pt>
                <c:pt idx="26">
                  <c:v>0.29999999999999716</c:v>
                </c:pt>
                <c:pt idx="27">
                  <c:v>-3</c:v>
                </c:pt>
                <c:pt idx="28">
                  <c:v>-3.5</c:v>
                </c:pt>
                <c:pt idx="29">
                  <c:v>-9.7999999999999972</c:v>
                </c:pt>
              </c:numCache>
            </c:numRef>
          </c:val>
          <c:extLst>
            <c:ext xmlns:c16="http://schemas.microsoft.com/office/drawing/2014/chart" uri="{C3380CC4-5D6E-409C-BE32-E72D297353CC}">
              <c16:uniqueId val="{00000000-FD37-4531-8F5D-B27CD03282EE}"/>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Total wage (nominal growth)</c:v>
                </c:pt>
              </c:strCache>
            </c:strRef>
          </c:tx>
          <c:spPr>
            <a:ln w="19050">
              <a:solidFill>
                <a:schemeClr val="tx1">
                  <a:lumMod val="95000"/>
                  <a:lumOff val="5000"/>
                </a:schemeClr>
              </a:solidFill>
              <a:prstDash val="sysDash"/>
            </a:ln>
          </c:spPr>
          <c:marker>
            <c:symbol val="none"/>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3'!$C$29:$C$58</c:f>
              <c:numCache>
                <c:formatCode>0.0</c:formatCode>
                <c:ptCount val="30"/>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8.2999999999999972</c:v>
                </c:pt>
                <c:pt idx="17">
                  <c:v>8</c:v>
                </c:pt>
                <c:pt idx="18">
                  <c:v>7.7000000000000028</c:v>
                </c:pt>
                <c:pt idx="19">
                  <c:v>7.5999999999999943</c:v>
                </c:pt>
                <c:pt idx="20">
                  <c:v>5.5</c:v>
                </c:pt>
                <c:pt idx="21">
                  <c:v>0.90000000000000568</c:v>
                </c:pt>
                <c:pt idx="22">
                  <c:v>5.4000000000000057</c:v>
                </c:pt>
                <c:pt idx="23">
                  <c:v>6.7000000000000028</c:v>
                </c:pt>
                <c:pt idx="24">
                  <c:v>1.7999999999999972</c:v>
                </c:pt>
                <c:pt idx="25">
                  <c:v>10.099999999999994</c:v>
                </c:pt>
                <c:pt idx="26">
                  <c:v>4.4000000000000057</c:v>
                </c:pt>
                <c:pt idx="27">
                  <c:v>2.9000000000000057</c:v>
                </c:pt>
                <c:pt idx="28">
                  <c:v>7.2999999999999972</c:v>
                </c:pt>
                <c:pt idx="29">
                  <c:v>4.4000000000000057</c:v>
                </c:pt>
              </c:numCache>
            </c:numRef>
          </c:val>
          <c:smooth val="0"/>
          <c:extLst>
            <c:ext xmlns:c16="http://schemas.microsoft.com/office/drawing/2014/chart" uri="{C3380CC4-5D6E-409C-BE32-E72D297353CC}">
              <c16:uniqueId val="{00000001-FD37-4531-8F5D-B27CD03282EE}"/>
            </c:ext>
          </c:extLst>
        </c:ser>
        <c:ser>
          <c:idx val="5"/>
          <c:order val="2"/>
          <c:tx>
            <c:strRef>
              <c:f>'Trh práce 3'!$E$8</c:f>
              <c:strCache>
                <c:ptCount val="1"/>
                <c:pt idx="0">
                  <c:v>Wage in industry (nominal growth)</c:v>
                </c:pt>
              </c:strCache>
            </c:strRef>
          </c:tx>
          <c:spPr>
            <a:ln w="9525">
              <a:solidFill>
                <a:srgbClr val="C00000"/>
              </a:solidFill>
              <a:prstDash val="solid"/>
            </a:ln>
          </c:spPr>
          <c:marker>
            <c:symbol val="none"/>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3'!$E$29:$E$58</c:f>
              <c:numCache>
                <c:formatCode>0.0</c:formatCode>
                <c:ptCount val="30"/>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4.8529141948504844</c:v>
                </c:pt>
                <c:pt idx="21">
                  <c:v>-3.4830979888746327</c:v>
                </c:pt>
                <c:pt idx="22">
                  <c:v>2.956413004644503</c:v>
                </c:pt>
                <c:pt idx="23">
                  <c:v>4.0067563825663086</c:v>
                </c:pt>
                <c:pt idx="24">
                  <c:v>0.94782583335764059</c:v>
                </c:pt>
                <c:pt idx="25">
                  <c:v>9.1091801146775424</c:v>
                </c:pt>
                <c:pt idx="26">
                  <c:v>3.7361556924322628</c:v>
                </c:pt>
                <c:pt idx="27">
                  <c:v>2.7581800271558166</c:v>
                </c:pt>
                <c:pt idx="28">
                  <c:v>6.85849656208471</c:v>
                </c:pt>
                <c:pt idx="29">
                  <c:v>7.850254632137819</c:v>
                </c:pt>
              </c:numCache>
            </c:numRef>
          </c:val>
          <c:smooth val="0"/>
          <c:extLst>
            <c:ext xmlns:c16="http://schemas.microsoft.com/office/drawing/2014/chart" uri="{C3380CC4-5D6E-409C-BE32-E72D297353CC}">
              <c16:uniqueId val="{00000002-FD37-4531-8F5D-B27CD03282EE}"/>
            </c:ext>
          </c:extLst>
        </c:ser>
        <c:ser>
          <c:idx val="1"/>
          <c:order val="3"/>
          <c:tx>
            <c:strRef>
              <c:f>'Trh práce 3'!$F$8</c:f>
              <c:strCache>
                <c:ptCount val="1"/>
                <c:pt idx="0">
                  <c:v>Wage in trade (nominal growth)</c:v>
                </c:pt>
              </c:strCache>
            </c:strRef>
          </c:tx>
          <c:spPr>
            <a:ln w="9525">
              <a:solidFill>
                <a:srgbClr val="0070C0"/>
              </a:solidFill>
              <a:prstDash val="solid"/>
            </a:ln>
          </c:spPr>
          <c:marker>
            <c:symbol val="none"/>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3'!$F$29:$F$58</c:f>
              <c:numCache>
                <c:formatCode>0.0</c:formatCode>
                <c:ptCount val="30"/>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6.3685550604710528</c:v>
                </c:pt>
                <c:pt idx="21">
                  <c:v>0.91357172008916621</c:v>
                </c:pt>
                <c:pt idx="22">
                  <c:v>4.7389533256631182</c:v>
                </c:pt>
                <c:pt idx="23">
                  <c:v>2.446953129617583</c:v>
                </c:pt>
                <c:pt idx="24">
                  <c:v>-1.1848837557224527</c:v>
                </c:pt>
                <c:pt idx="25">
                  <c:v>6.5299900447984101</c:v>
                </c:pt>
                <c:pt idx="26">
                  <c:v>3.4349671941335487</c:v>
                </c:pt>
                <c:pt idx="27">
                  <c:v>5.2414469509028976</c:v>
                </c:pt>
                <c:pt idx="28">
                  <c:v>9.5200605601816903</c:v>
                </c:pt>
                <c:pt idx="29">
                  <c:v>8.8251613468446095</c:v>
                </c:pt>
              </c:numCache>
            </c:numRef>
          </c:val>
          <c:smooth val="0"/>
          <c:extLst>
            <c:ext xmlns:c16="http://schemas.microsoft.com/office/drawing/2014/chart" uri="{C3380CC4-5D6E-409C-BE32-E72D297353CC}">
              <c16:uniqueId val="{00000003-FD37-4531-8F5D-B27CD03282EE}"/>
            </c:ext>
          </c:extLst>
        </c:ser>
        <c:ser>
          <c:idx val="2"/>
          <c:order val="4"/>
          <c:tx>
            <c:strRef>
              <c:f>'Trh práce 3'!$G$8</c:f>
              <c:strCache>
                <c:ptCount val="1"/>
                <c:pt idx="0">
                  <c:v>Wage in public services (nominal growth)*</c:v>
                </c:pt>
              </c:strCache>
            </c:strRef>
          </c:tx>
          <c:spPr>
            <a:ln w="9525">
              <a:solidFill>
                <a:srgbClr val="00B050"/>
              </a:solidFill>
              <a:prstDash val="solid"/>
            </a:ln>
          </c:spPr>
          <c:marker>
            <c:symbol val="none"/>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3'!$G$29:$G$58</c:f>
              <c:numCache>
                <c:formatCode>0.0</c:formatCode>
                <c:ptCount val="30"/>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5.2296117021426483</c:v>
                </c:pt>
                <c:pt idx="21">
                  <c:v>4.9937922145909539</c:v>
                </c:pt>
                <c:pt idx="22">
                  <c:v>8.8109946466096574</c:v>
                </c:pt>
                <c:pt idx="23">
                  <c:v>13.948630451066606</c:v>
                </c:pt>
                <c:pt idx="24">
                  <c:v>4.0872778537601135</c:v>
                </c:pt>
                <c:pt idx="25">
                  <c:v>17.040292202235747</c:v>
                </c:pt>
                <c:pt idx="26">
                  <c:v>4.7904697566185916</c:v>
                </c:pt>
                <c:pt idx="27">
                  <c:v>-0.87797314296285833</c:v>
                </c:pt>
                <c:pt idx="28">
                  <c:v>3.1253897754685482</c:v>
                </c:pt>
                <c:pt idx="29">
                  <c:v>-6.1224533763952564</c:v>
                </c:pt>
              </c:numCache>
            </c:numRef>
          </c:val>
          <c:smooth val="0"/>
          <c:extLst>
            <c:ext xmlns:c16="http://schemas.microsoft.com/office/drawing/2014/chart" uri="{C3380CC4-5D6E-409C-BE32-E72D297353CC}">
              <c16:uniqueId val="{00000004-FD37-4531-8F5D-B27CD03282EE}"/>
            </c:ext>
          </c:extLst>
        </c:ser>
        <c:ser>
          <c:idx val="3"/>
          <c:order val="5"/>
          <c:tx>
            <c:strRef>
              <c:f>'Trh práce 3'!$H$8</c:f>
              <c:strCache>
                <c:ptCount val="1"/>
                <c:pt idx="0">
                  <c:v>Total median wage (nominal growth)</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3'!$H$29:$H$58</c:f>
              <c:numCache>
                <c:formatCode>0.0</c:formatCode>
                <c:ptCount val="30"/>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7.2000000000000028</c:v>
                </c:pt>
                <c:pt idx="17">
                  <c:v>6.4000000000000057</c:v>
                </c:pt>
                <c:pt idx="18">
                  <c:v>7.2999999999999972</c:v>
                </c:pt>
                <c:pt idx="19">
                  <c:v>6.4000000000000057</c:v>
                </c:pt>
                <c:pt idx="20">
                  <c:v>7</c:v>
                </c:pt>
                <c:pt idx="21">
                  <c:v>1.4000000000000057</c:v>
                </c:pt>
                <c:pt idx="22">
                  <c:v>6.7000000000000028</c:v>
                </c:pt>
                <c:pt idx="23">
                  <c:v>6.7000000000000028</c:v>
                </c:pt>
                <c:pt idx="24">
                  <c:v>0.79999999999999716</c:v>
                </c:pt>
                <c:pt idx="25">
                  <c:v>9.7000000000000028</c:v>
                </c:pt>
                <c:pt idx="26">
                  <c:v>4.2000000000000028</c:v>
                </c:pt>
                <c:pt idx="27">
                  <c:v>3.5999999999999943</c:v>
                </c:pt>
                <c:pt idx="28">
                  <c:v>6.7000000000000028</c:v>
                </c:pt>
                <c:pt idx="29">
                  <c:v>5.2999999999999972</c:v>
                </c:pt>
              </c:numCache>
            </c:numRef>
          </c:val>
          <c:smooth val="0"/>
          <c:extLst>
            <c:ext xmlns:c16="http://schemas.microsoft.com/office/drawing/2014/chart" uri="{C3380CC4-5D6E-409C-BE32-E72D297353CC}">
              <c16:uniqueId val="{00000005-FD37-4531-8F5D-B27CD03282EE}"/>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8"/>
          <c:min val="-10"/>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9.1291858669558714E-3"/>
          <c:y val="0.87578174603174608"/>
          <c:w val="0.9774444484255399"/>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'Měnové podmínky 1'!$C$5</c:f>
              <c:strCache>
                <c:ptCount val="1"/>
                <c:pt idx="0">
                  <c:v>2W repo rate</c:v>
                </c:pt>
              </c:strCache>
            </c:strRef>
          </c:tx>
          <c:spPr>
            <a:solidFill>
              <a:schemeClr val="bg1">
                <a:lumMod val="65000"/>
              </a:schemeClr>
            </a:solidFill>
          </c:spPr>
          <c:invertIfNegative val="0"/>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1'!$C$66:$C$131</c:f>
              <c:numCache>
                <c:formatCode>General</c:formatCode>
                <c:ptCount val="66"/>
                <c:pt idx="0">
                  <c:v>0.05</c:v>
                </c:pt>
                <c:pt idx="1">
                  <c:v>0.05</c:v>
                </c:pt>
                <c:pt idx="2">
                  <c:v>0.05</c:v>
                </c:pt>
                <c:pt idx="3">
                  <c:v>0.05</c:v>
                </c:pt>
                <c:pt idx="4">
                  <c:v>0.05</c:v>
                </c:pt>
                <c:pt idx="5">
                  <c:v>0.05</c:v>
                </c:pt>
                <c:pt idx="6">
                  <c:v>0.05</c:v>
                </c:pt>
                <c:pt idx="7">
                  <c:v>0.25</c:v>
                </c:pt>
                <c:pt idx="8">
                  <c:v>0.25</c:v>
                </c:pt>
                <c:pt idx="9">
                  <c:v>0.25</c:v>
                </c:pt>
                <c:pt idx="10">
                  <c:v>0.5</c:v>
                </c:pt>
                <c:pt idx="11">
                  <c:v>0.5</c:v>
                </c:pt>
                <c:pt idx="12">
                  <c:v>0.5</c:v>
                </c:pt>
                <c:pt idx="13">
                  <c:v>0.75</c:v>
                </c:pt>
                <c:pt idx="14">
                  <c:v>0.75</c:v>
                </c:pt>
                <c:pt idx="15">
                  <c:v>0.75</c:v>
                </c:pt>
                <c:pt idx="16">
                  <c:v>0.75</c:v>
                </c:pt>
                <c:pt idx="17">
                  <c:v>1</c:v>
                </c:pt>
                <c:pt idx="18">
                  <c:v>1</c:v>
                </c:pt>
                <c:pt idx="19">
                  <c:v>1.25</c:v>
                </c:pt>
                <c:pt idx="20">
                  <c:v>1.5</c:v>
                </c:pt>
                <c:pt idx="21">
                  <c:v>1.5</c:v>
                </c:pt>
                <c:pt idx="22">
                  <c:v>1.75</c:v>
                </c:pt>
                <c:pt idx="23">
                  <c:v>1.75</c:v>
                </c:pt>
                <c:pt idx="24">
                  <c:v>1.75</c:v>
                </c:pt>
                <c:pt idx="25">
                  <c:v>1.75</c:v>
                </c:pt>
                <c:pt idx="26">
                  <c:v>1.75</c:v>
                </c:pt>
                <c:pt idx="27">
                  <c:v>1.75</c:v>
                </c:pt>
                <c:pt idx="28">
                  <c:v>2</c:v>
                </c:pt>
                <c:pt idx="29">
                  <c:v>2</c:v>
                </c:pt>
                <c:pt idx="30">
                  <c:v>2</c:v>
                </c:pt>
                <c:pt idx="31">
                  <c:v>2</c:v>
                </c:pt>
                <c:pt idx="32">
                  <c:v>2</c:v>
                </c:pt>
                <c:pt idx="33">
                  <c:v>2</c:v>
                </c:pt>
                <c:pt idx="34">
                  <c:v>2</c:v>
                </c:pt>
                <c:pt idx="35">
                  <c:v>2</c:v>
                </c:pt>
                <c:pt idx="36">
                  <c:v>2</c:v>
                </c:pt>
                <c:pt idx="37">
                  <c:v>2.25</c:v>
                </c:pt>
                <c:pt idx="38">
                  <c:v>1</c:v>
                </c:pt>
                <c:pt idx="39">
                  <c:v>1</c:v>
                </c:pt>
                <c:pt idx="40">
                  <c:v>0.25</c:v>
                </c:pt>
                <c:pt idx="41">
                  <c:v>0.25</c:v>
                </c:pt>
                <c:pt idx="42">
                  <c:v>0.25</c:v>
                </c:pt>
                <c:pt idx="43">
                  <c:v>0.25</c:v>
                </c:pt>
                <c:pt idx="44">
                  <c:v>0.25</c:v>
                </c:pt>
                <c:pt idx="45">
                  <c:v>0.25</c:v>
                </c:pt>
                <c:pt idx="46">
                  <c:v>0.25</c:v>
                </c:pt>
                <c:pt idx="47">
                  <c:v>0.25</c:v>
                </c:pt>
                <c:pt idx="48">
                  <c:v>0.25</c:v>
                </c:pt>
                <c:pt idx="49">
                  <c:v>0.25</c:v>
                </c:pt>
                <c:pt idx="50">
                  <c:v>0.25</c:v>
                </c:pt>
                <c:pt idx="51">
                  <c:v>0.25</c:v>
                </c:pt>
                <c:pt idx="52">
                  <c:v>0.25</c:v>
                </c:pt>
                <c:pt idx="53">
                  <c:v>0.5</c:v>
                </c:pt>
                <c:pt idx="54">
                  <c:v>0.5</c:v>
                </c:pt>
                <c:pt idx="55">
                  <c:v>0.75</c:v>
                </c:pt>
                <c:pt idx="56">
                  <c:v>0.75</c:v>
                </c:pt>
                <c:pt idx="57">
                  <c:v>1.5</c:v>
                </c:pt>
                <c:pt idx="58">
                  <c:v>2.75</c:v>
                </c:pt>
                <c:pt idx="59">
                  <c:v>3.75</c:v>
                </c:pt>
                <c:pt idx="60">
                  <c:v>3.75</c:v>
                </c:pt>
                <c:pt idx="61">
                  <c:v>4.5</c:v>
                </c:pt>
                <c:pt idx="62">
                  <c:v>4.5</c:v>
                </c:pt>
                <c:pt idx="63">
                  <c:v>5</c:v>
                </c:pt>
                <c:pt idx="64">
                  <c:v>5.75</c:v>
                </c:pt>
                <c:pt idx="65">
                  <c:v>7</c:v>
                </c:pt>
              </c:numCache>
            </c:numRef>
          </c:val>
          <c:extLst>
            <c:ext xmlns:c16="http://schemas.microsoft.com/office/drawing/2014/chart" uri="{C3380CC4-5D6E-409C-BE32-E72D297353CC}">
              <c16:uniqueId val="{00000000-B66A-4895-8515-673EB758BE76}"/>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1'!$F$66:$F$131</c:f>
              <c:numCache>
                <c:formatCode>General</c:formatCode>
                <c:ptCount val="66"/>
                <c:pt idx="0">
                  <c:v>-0.88</c:v>
                </c:pt>
                <c:pt idx="1">
                  <c:v>-0.53</c:v>
                </c:pt>
                <c:pt idx="2">
                  <c:v>-0.44</c:v>
                </c:pt>
                <c:pt idx="3">
                  <c:v>-0.23</c:v>
                </c:pt>
                <c:pt idx="4">
                  <c:v>-0.24</c:v>
                </c:pt>
                <c:pt idx="5">
                  <c:v>-0.25</c:v>
                </c:pt>
                <c:pt idx="6">
                  <c:v>-0.28999999999999998</c:v>
                </c:pt>
                <c:pt idx="7">
                  <c:v>-0.33</c:v>
                </c:pt>
                <c:pt idx="8">
                  <c:v>-0.28999999999999998</c:v>
                </c:pt>
                <c:pt idx="9">
                  <c:v>0.12</c:v>
                </c:pt>
                <c:pt idx="10">
                  <c:v>0.31</c:v>
                </c:pt>
                <c:pt idx="11">
                  <c:v>0.19</c:v>
                </c:pt>
                <c:pt idx="12">
                  <c:v>0.46</c:v>
                </c:pt>
                <c:pt idx="13">
                  <c:v>0.55000000000000004</c:v>
                </c:pt>
                <c:pt idx="14">
                  <c:v>0.62</c:v>
                </c:pt>
                <c:pt idx="15">
                  <c:v>0.6</c:v>
                </c:pt>
                <c:pt idx="16">
                  <c:v>0.7</c:v>
                </c:pt>
                <c:pt idx="17">
                  <c:v>0.89</c:v>
                </c:pt>
                <c:pt idx="18">
                  <c:v>1.0900000000000001</c:v>
                </c:pt>
                <c:pt idx="19">
                  <c:v>1.26</c:v>
                </c:pt>
                <c:pt idx="20">
                  <c:v>1.34</c:v>
                </c:pt>
                <c:pt idx="21">
                  <c:v>1.44</c:v>
                </c:pt>
                <c:pt idx="22">
                  <c:v>1.49</c:v>
                </c:pt>
                <c:pt idx="23">
                  <c:v>1.52</c:v>
                </c:pt>
                <c:pt idx="24">
                  <c:v>1.66</c:v>
                </c:pt>
                <c:pt idx="25">
                  <c:v>1.74</c:v>
                </c:pt>
                <c:pt idx="26">
                  <c:v>1.71</c:v>
                </c:pt>
                <c:pt idx="27">
                  <c:v>1.63</c:v>
                </c:pt>
                <c:pt idx="28">
                  <c:v>1.62</c:v>
                </c:pt>
                <c:pt idx="29">
                  <c:v>1.52</c:v>
                </c:pt>
                <c:pt idx="30">
                  <c:v>1.35</c:v>
                </c:pt>
                <c:pt idx="31">
                  <c:v>0.85</c:v>
                </c:pt>
                <c:pt idx="32">
                  <c:v>1.07</c:v>
                </c:pt>
                <c:pt idx="33">
                  <c:v>1.17</c:v>
                </c:pt>
                <c:pt idx="34">
                  <c:v>1.33</c:v>
                </c:pt>
                <c:pt idx="35">
                  <c:v>1.36</c:v>
                </c:pt>
                <c:pt idx="36">
                  <c:v>1.55</c:v>
                </c:pt>
                <c:pt idx="37">
                  <c:v>1.57</c:v>
                </c:pt>
                <c:pt idx="38">
                  <c:v>1.27</c:v>
                </c:pt>
                <c:pt idx="39">
                  <c:v>0.71</c:v>
                </c:pt>
                <c:pt idx="40">
                  <c:v>0.13</c:v>
                </c:pt>
                <c:pt idx="41">
                  <c:v>0.08</c:v>
                </c:pt>
                <c:pt idx="42">
                  <c:v>0.02</c:v>
                </c:pt>
                <c:pt idx="43">
                  <c:v>0.04</c:v>
                </c:pt>
                <c:pt idx="44">
                  <c:v>0.05</c:v>
                </c:pt>
                <c:pt idx="45">
                  <c:v>0</c:v>
                </c:pt>
                <c:pt idx="46">
                  <c:v>0.06</c:v>
                </c:pt>
                <c:pt idx="47">
                  <c:v>0.16</c:v>
                </c:pt>
                <c:pt idx="48">
                  <c:v>0.26</c:v>
                </c:pt>
                <c:pt idx="49">
                  <c:v>0.45</c:v>
                </c:pt>
                <c:pt idx="50">
                  <c:v>0.75</c:v>
                </c:pt>
                <c:pt idx="51">
                  <c:v>0.76</c:v>
                </c:pt>
                <c:pt idx="52">
                  <c:v>0.76</c:v>
                </c:pt>
                <c:pt idx="53">
                  <c:v>0.69</c:v>
                </c:pt>
                <c:pt idx="54">
                  <c:v>0.84</c:v>
                </c:pt>
                <c:pt idx="55">
                  <c:v>1.24</c:v>
                </c:pt>
                <c:pt idx="56">
                  <c:v>1.6</c:v>
                </c:pt>
                <c:pt idx="57">
                  <c:v>2.29</c:v>
                </c:pt>
                <c:pt idx="58">
                  <c:v>3</c:v>
                </c:pt>
                <c:pt idx="59">
                  <c:v>3.07</c:v>
                </c:pt>
                <c:pt idx="60">
                  <c:v>3.81</c:v>
                </c:pt>
                <c:pt idx="61">
                  <c:v>3.77</c:v>
                </c:pt>
                <c:pt idx="62">
                  <c:v>4.54</c:v>
                </c:pt>
                <c:pt idx="63">
                  <c:v>5.13</c:v>
                </c:pt>
                <c:pt idx="64">
                  <c:v>5.65</c:v>
                </c:pt>
                <c:pt idx="65">
                  <c:v>6.26</c:v>
                </c:pt>
              </c:numCache>
            </c:numRef>
          </c:val>
          <c:smooth val="0"/>
          <c:extLst>
            <c:ext xmlns:c16="http://schemas.microsoft.com/office/drawing/2014/chart" uri="{C3380CC4-5D6E-409C-BE32-E72D297353CC}">
              <c16:uniqueId val="{00000001-B66A-4895-8515-673EB758BE76}"/>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1'!$D$66:$D$131</c:f>
              <c:numCache>
                <c:formatCode>General</c:formatCode>
                <c:ptCount val="66"/>
                <c:pt idx="0">
                  <c:v>0.28000000000000003</c:v>
                </c:pt>
                <c:pt idx="1">
                  <c:v>0.28000000000000003</c:v>
                </c:pt>
                <c:pt idx="2">
                  <c:v>0.28000000000000003</c:v>
                </c:pt>
                <c:pt idx="3">
                  <c:v>0.28999999999999998</c:v>
                </c:pt>
                <c:pt idx="4">
                  <c:v>0.3</c:v>
                </c:pt>
                <c:pt idx="5">
                  <c:v>0.3</c:v>
                </c:pt>
                <c:pt idx="6">
                  <c:v>0.3</c:v>
                </c:pt>
                <c:pt idx="7">
                  <c:v>0.43</c:v>
                </c:pt>
                <c:pt idx="8">
                  <c:v>0.46</c:v>
                </c:pt>
                <c:pt idx="9">
                  <c:v>0.51</c:v>
                </c:pt>
                <c:pt idx="10">
                  <c:v>0.71</c:v>
                </c:pt>
                <c:pt idx="11">
                  <c:v>0.75</c:v>
                </c:pt>
                <c:pt idx="12">
                  <c:v>0.77</c:v>
                </c:pt>
                <c:pt idx="13">
                  <c:v>0.9</c:v>
                </c:pt>
                <c:pt idx="14">
                  <c:v>0.9</c:v>
                </c:pt>
                <c:pt idx="15">
                  <c:v>0.9</c:v>
                </c:pt>
                <c:pt idx="16">
                  <c:v>0.9</c:v>
                </c:pt>
                <c:pt idx="17">
                  <c:v>0.93</c:v>
                </c:pt>
                <c:pt idx="18">
                  <c:v>1.18</c:v>
                </c:pt>
                <c:pt idx="19">
                  <c:v>1.45</c:v>
                </c:pt>
                <c:pt idx="20">
                  <c:v>1.54</c:v>
                </c:pt>
                <c:pt idx="21">
                  <c:v>1.76</c:v>
                </c:pt>
                <c:pt idx="22">
                  <c:v>1.99</c:v>
                </c:pt>
                <c:pt idx="23">
                  <c:v>2.0099999999999998</c:v>
                </c:pt>
                <c:pt idx="24">
                  <c:v>2.0099999999999998</c:v>
                </c:pt>
                <c:pt idx="25">
                  <c:v>2.0099999999999998</c:v>
                </c:pt>
                <c:pt idx="26">
                  <c:v>2.0299999999999998</c:v>
                </c:pt>
                <c:pt idx="27">
                  <c:v>2.02</c:v>
                </c:pt>
                <c:pt idx="28">
                  <c:v>2.19</c:v>
                </c:pt>
                <c:pt idx="29">
                  <c:v>2.17</c:v>
                </c:pt>
                <c:pt idx="30">
                  <c:v>2.16</c:v>
                </c:pt>
                <c:pt idx="31">
                  <c:v>2.14</c:v>
                </c:pt>
                <c:pt idx="32">
                  <c:v>2.14</c:v>
                </c:pt>
                <c:pt idx="33">
                  <c:v>2.17</c:v>
                </c:pt>
                <c:pt idx="34">
                  <c:v>2.1800000000000002</c:v>
                </c:pt>
                <c:pt idx="35">
                  <c:v>2.1800000000000002</c:v>
                </c:pt>
                <c:pt idx="36">
                  <c:v>2.17</c:v>
                </c:pt>
                <c:pt idx="37">
                  <c:v>2.34</c:v>
                </c:pt>
                <c:pt idx="38">
                  <c:v>2</c:v>
                </c:pt>
                <c:pt idx="39">
                  <c:v>0.97</c:v>
                </c:pt>
                <c:pt idx="40">
                  <c:v>0.46</c:v>
                </c:pt>
                <c:pt idx="41">
                  <c:v>0.34</c:v>
                </c:pt>
                <c:pt idx="42">
                  <c:v>0.34</c:v>
                </c:pt>
                <c:pt idx="43">
                  <c:v>0.34</c:v>
                </c:pt>
                <c:pt idx="44">
                  <c:v>0.34</c:v>
                </c:pt>
                <c:pt idx="45">
                  <c:v>0.35</c:v>
                </c:pt>
                <c:pt idx="46">
                  <c:v>0.35</c:v>
                </c:pt>
                <c:pt idx="47">
                  <c:v>0.35</c:v>
                </c:pt>
                <c:pt idx="48">
                  <c:v>0.36</c:v>
                </c:pt>
                <c:pt idx="49">
                  <c:v>0.36</c:v>
                </c:pt>
                <c:pt idx="50">
                  <c:v>0.36</c:v>
                </c:pt>
                <c:pt idx="51">
                  <c:v>0.36</c:v>
                </c:pt>
                <c:pt idx="52">
                  <c:v>0.37</c:v>
                </c:pt>
                <c:pt idx="53">
                  <c:v>0.48</c:v>
                </c:pt>
                <c:pt idx="54">
                  <c:v>0.69</c:v>
                </c:pt>
                <c:pt idx="55">
                  <c:v>0.94</c:v>
                </c:pt>
                <c:pt idx="56">
                  <c:v>1.1100000000000001</c:v>
                </c:pt>
                <c:pt idx="57">
                  <c:v>2.02</c:v>
                </c:pt>
                <c:pt idx="58">
                  <c:v>2.97</c:v>
                </c:pt>
                <c:pt idx="59">
                  <c:v>3.5</c:v>
                </c:pt>
                <c:pt idx="60">
                  <c:v>4.21</c:v>
                </c:pt>
                <c:pt idx="61">
                  <c:v>4.6900000000000004</c:v>
                </c:pt>
                <c:pt idx="62">
                  <c:v>4.8600000000000003</c:v>
                </c:pt>
                <c:pt idx="63">
                  <c:v>5.36</c:v>
                </c:pt>
                <c:pt idx="64">
                  <c:v>5.97</c:v>
                </c:pt>
                <c:pt idx="65">
                  <c:v>6.64</c:v>
                </c:pt>
              </c:numCache>
            </c:numRef>
          </c:val>
          <c:smooth val="0"/>
          <c:extLst>
            <c:ext xmlns:c16="http://schemas.microsoft.com/office/drawing/2014/chart" uri="{C3380CC4-5D6E-409C-BE32-E72D297353CC}">
              <c16:uniqueId val="{00000002-B66A-4895-8515-673EB758BE76}"/>
            </c:ext>
          </c:extLst>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1'!$G$66:$G$131</c:f>
              <c:numCache>
                <c:formatCode>General</c:formatCode>
                <c:ptCount val="66"/>
                <c:pt idx="0">
                  <c:v>-0.22</c:v>
                </c:pt>
                <c:pt idx="1">
                  <c:v>0.09</c:v>
                </c:pt>
                <c:pt idx="2">
                  <c:v>0.1</c:v>
                </c:pt>
                <c:pt idx="3">
                  <c:v>0.16</c:v>
                </c:pt>
                <c:pt idx="4">
                  <c:v>0.04</c:v>
                </c:pt>
                <c:pt idx="5">
                  <c:v>-0.03</c:v>
                </c:pt>
                <c:pt idx="6">
                  <c:v>0.14000000000000001</c:v>
                </c:pt>
                <c:pt idx="7">
                  <c:v>0.09</c:v>
                </c:pt>
                <c:pt idx="8">
                  <c:v>0.1</c:v>
                </c:pt>
                <c:pt idx="9">
                  <c:v>0.63</c:v>
                </c:pt>
                <c:pt idx="10">
                  <c:v>0.87</c:v>
                </c:pt>
                <c:pt idx="11">
                  <c:v>0.68</c:v>
                </c:pt>
                <c:pt idx="12">
                  <c:v>0.99</c:v>
                </c:pt>
                <c:pt idx="13">
                  <c:v>1.07</c:v>
                </c:pt>
                <c:pt idx="14">
                  <c:v>1.0900000000000001</c:v>
                </c:pt>
                <c:pt idx="15">
                  <c:v>1.05</c:v>
                </c:pt>
                <c:pt idx="16">
                  <c:v>1.21</c:v>
                </c:pt>
                <c:pt idx="17">
                  <c:v>1.41</c:v>
                </c:pt>
                <c:pt idx="18">
                  <c:v>1.44</c:v>
                </c:pt>
                <c:pt idx="19">
                  <c:v>1.55</c:v>
                </c:pt>
                <c:pt idx="20">
                  <c:v>1.7</c:v>
                </c:pt>
                <c:pt idx="21">
                  <c:v>1.81</c:v>
                </c:pt>
                <c:pt idx="22">
                  <c:v>1.79</c:v>
                </c:pt>
                <c:pt idx="23">
                  <c:v>1.71</c:v>
                </c:pt>
                <c:pt idx="24">
                  <c:v>1.6</c:v>
                </c:pt>
                <c:pt idx="25">
                  <c:v>1.61</c:v>
                </c:pt>
                <c:pt idx="26">
                  <c:v>1.7</c:v>
                </c:pt>
                <c:pt idx="27">
                  <c:v>1.63</c:v>
                </c:pt>
                <c:pt idx="28">
                  <c:v>1.57</c:v>
                </c:pt>
                <c:pt idx="29">
                  <c:v>1.43</c:v>
                </c:pt>
                <c:pt idx="30">
                  <c:v>1.31</c:v>
                </c:pt>
                <c:pt idx="31">
                  <c:v>0.89</c:v>
                </c:pt>
                <c:pt idx="32">
                  <c:v>1.1299999999999999</c:v>
                </c:pt>
                <c:pt idx="33">
                  <c:v>1.23</c:v>
                </c:pt>
                <c:pt idx="34">
                  <c:v>1.32</c:v>
                </c:pt>
                <c:pt idx="35">
                  <c:v>1.31</c:v>
                </c:pt>
                <c:pt idx="36">
                  <c:v>1.51</c:v>
                </c:pt>
                <c:pt idx="37">
                  <c:v>1.52</c:v>
                </c:pt>
                <c:pt idx="38">
                  <c:v>1.23</c:v>
                </c:pt>
                <c:pt idx="39">
                  <c:v>1.06</c:v>
                </c:pt>
                <c:pt idx="40">
                  <c:v>0.56999999999999995</c:v>
                </c:pt>
                <c:pt idx="41">
                  <c:v>0.52</c:v>
                </c:pt>
                <c:pt idx="42">
                  <c:v>0.52</c:v>
                </c:pt>
                <c:pt idx="43">
                  <c:v>0.57999999999999996</c:v>
                </c:pt>
                <c:pt idx="44">
                  <c:v>0.57999999999999996</c:v>
                </c:pt>
                <c:pt idx="45">
                  <c:v>0.54</c:v>
                </c:pt>
                <c:pt idx="46">
                  <c:v>0.66</c:v>
                </c:pt>
                <c:pt idx="47">
                  <c:v>0.8</c:v>
                </c:pt>
                <c:pt idx="48">
                  <c:v>0.82</c:v>
                </c:pt>
                <c:pt idx="49">
                  <c:v>1.06</c:v>
                </c:pt>
                <c:pt idx="50">
                  <c:v>1.4</c:v>
                </c:pt>
                <c:pt idx="51">
                  <c:v>1.43</c:v>
                </c:pt>
                <c:pt idx="52">
                  <c:v>1.47</c:v>
                </c:pt>
                <c:pt idx="53">
                  <c:v>1.55</c:v>
                </c:pt>
                <c:pt idx="54">
                  <c:v>1.63</c:v>
                </c:pt>
                <c:pt idx="55">
                  <c:v>1.68</c:v>
                </c:pt>
                <c:pt idx="56">
                  <c:v>1.87</c:v>
                </c:pt>
                <c:pt idx="57">
                  <c:v>2.37</c:v>
                </c:pt>
                <c:pt idx="58">
                  <c:v>2.84</c:v>
                </c:pt>
                <c:pt idx="59">
                  <c:v>2.84</c:v>
                </c:pt>
                <c:pt idx="60">
                  <c:v>3.36</c:v>
                </c:pt>
                <c:pt idx="61">
                  <c:v>3.2</c:v>
                </c:pt>
                <c:pt idx="62">
                  <c:v>3.85</c:v>
                </c:pt>
                <c:pt idx="63">
                  <c:v>4.54</c:v>
                </c:pt>
                <c:pt idx="64">
                  <c:v>4.99</c:v>
                </c:pt>
                <c:pt idx="65">
                  <c:v>5.49</c:v>
                </c:pt>
              </c:numCache>
            </c:numRef>
          </c:val>
          <c:smooth val="0"/>
          <c:extLst>
            <c:ext xmlns:c16="http://schemas.microsoft.com/office/drawing/2014/chart" uri="{C3380CC4-5D6E-409C-BE32-E72D297353CC}">
              <c16:uniqueId val="{00000003-B66A-4895-8515-673EB758BE76}"/>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1'!$E$66:$E$131</c:f>
              <c:numCache>
                <c:formatCode>General</c:formatCode>
                <c:ptCount val="66"/>
                <c:pt idx="0">
                  <c:v>0.44</c:v>
                </c:pt>
                <c:pt idx="1">
                  <c:v>0.44</c:v>
                </c:pt>
                <c:pt idx="2">
                  <c:v>0.44</c:v>
                </c:pt>
                <c:pt idx="3">
                  <c:v>0.45</c:v>
                </c:pt>
                <c:pt idx="4">
                  <c:v>0.46</c:v>
                </c:pt>
                <c:pt idx="5">
                  <c:v>0.46</c:v>
                </c:pt>
                <c:pt idx="6">
                  <c:v>0.47</c:v>
                </c:pt>
                <c:pt idx="7">
                  <c:v>0.6</c:v>
                </c:pt>
                <c:pt idx="8">
                  <c:v>0.64</c:v>
                </c:pt>
                <c:pt idx="9">
                  <c:v>0.69</c:v>
                </c:pt>
                <c:pt idx="10">
                  <c:v>0.91</c:v>
                </c:pt>
                <c:pt idx="11">
                  <c:v>0.96</c:v>
                </c:pt>
                <c:pt idx="12">
                  <c:v>0.98</c:v>
                </c:pt>
                <c:pt idx="13">
                  <c:v>1.1100000000000001</c:v>
                </c:pt>
                <c:pt idx="14">
                  <c:v>1.1200000000000001</c:v>
                </c:pt>
                <c:pt idx="15">
                  <c:v>1.1200000000000001</c:v>
                </c:pt>
                <c:pt idx="16">
                  <c:v>1.1200000000000001</c:v>
                </c:pt>
                <c:pt idx="17">
                  <c:v>1.1499999999999999</c:v>
                </c:pt>
                <c:pt idx="18">
                  <c:v>1.39</c:v>
                </c:pt>
                <c:pt idx="19">
                  <c:v>1.67</c:v>
                </c:pt>
                <c:pt idx="20">
                  <c:v>1.79</c:v>
                </c:pt>
                <c:pt idx="21">
                  <c:v>1.95</c:v>
                </c:pt>
                <c:pt idx="22">
                  <c:v>2.1800000000000002</c:v>
                </c:pt>
                <c:pt idx="23">
                  <c:v>2.21</c:v>
                </c:pt>
                <c:pt idx="24">
                  <c:v>2.21</c:v>
                </c:pt>
                <c:pt idx="25">
                  <c:v>2.2000000000000002</c:v>
                </c:pt>
                <c:pt idx="26">
                  <c:v>2.2000000000000002</c:v>
                </c:pt>
                <c:pt idx="27">
                  <c:v>2.21</c:v>
                </c:pt>
                <c:pt idx="28">
                  <c:v>2.3199999999999998</c:v>
                </c:pt>
                <c:pt idx="29">
                  <c:v>2.29</c:v>
                </c:pt>
                <c:pt idx="30">
                  <c:v>2.2799999999999998</c:v>
                </c:pt>
                <c:pt idx="31">
                  <c:v>2.2200000000000002</c:v>
                </c:pt>
                <c:pt idx="32">
                  <c:v>2.2000000000000002</c:v>
                </c:pt>
                <c:pt idx="33">
                  <c:v>2.2799999999999998</c:v>
                </c:pt>
                <c:pt idx="34">
                  <c:v>2.2799999999999998</c:v>
                </c:pt>
                <c:pt idx="35">
                  <c:v>2.27</c:v>
                </c:pt>
                <c:pt idx="36">
                  <c:v>2.27</c:v>
                </c:pt>
                <c:pt idx="37">
                  <c:v>2.42</c:v>
                </c:pt>
                <c:pt idx="38">
                  <c:v>2.0099999999999998</c:v>
                </c:pt>
                <c:pt idx="39">
                  <c:v>0.92</c:v>
                </c:pt>
                <c:pt idx="40">
                  <c:v>0.51</c:v>
                </c:pt>
                <c:pt idx="41">
                  <c:v>0.43</c:v>
                </c:pt>
                <c:pt idx="42">
                  <c:v>0.43</c:v>
                </c:pt>
                <c:pt idx="43">
                  <c:v>0.43</c:v>
                </c:pt>
                <c:pt idx="44">
                  <c:v>0.44</c:v>
                </c:pt>
                <c:pt idx="45">
                  <c:v>0.43</c:v>
                </c:pt>
                <c:pt idx="46">
                  <c:v>0.44</c:v>
                </c:pt>
                <c:pt idx="47">
                  <c:v>0.49</c:v>
                </c:pt>
                <c:pt idx="48">
                  <c:v>0.49</c:v>
                </c:pt>
                <c:pt idx="49">
                  <c:v>0.54</c:v>
                </c:pt>
                <c:pt idx="50">
                  <c:v>0.56000000000000005</c:v>
                </c:pt>
                <c:pt idx="51">
                  <c:v>0.56000000000000005</c:v>
                </c:pt>
                <c:pt idx="52">
                  <c:v>0.67</c:v>
                </c:pt>
                <c:pt idx="53">
                  <c:v>0.78</c:v>
                </c:pt>
                <c:pt idx="54">
                  <c:v>1</c:v>
                </c:pt>
                <c:pt idx="55">
                  <c:v>1.3</c:v>
                </c:pt>
                <c:pt idx="56">
                  <c:v>1.52</c:v>
                </c:pt>
                <c:pt idx="57">
                  <c:v>2.44</c:v>
                </c:pt>
                <c:pt idx="58">
                  <c:v>3.5</c:v>
                </c:pt>
                <c:pt idx="59">
                  <c:v>3.96</c:v>
                </c:pt>
                <c:pt idx="60">
                  <c:v>4.55</c:v>
                </c:pt>
                <c:pt idx="61">
                  <c:v>4.87</c:v>
                </c:pt>
                <c:pt idx="62">
                  <c:v>5.12</c:v>
                </c:pt>
                <c:pt idx="63">
                  <c:v>5.74</c:v>
                </c:pt>
                <c:pt idx="64">
                  <c:v>6.33</c:v>
                </c:pt>
                <c:pt idx="65">
                  <c:v>7.02</c:v>
                </c:pt>
              </c:numCache>
            </c:numRef>
          </c:val>
          <c:smooth val="0"/>
          <c:extLst>
            <c:ext xmlns:c16="http://schemas.microsoft.com/office/drawing/2014/chart" uri="{C3380CC4-5D6E-409C-BE32-E72D297353CC}">
              <c16:uniqueId val="{00000004-B66A-4895-8515-673EB758BE76}"/>
            </c:ext>
          </c:extLst>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1'!$H$66:$H$131</c:f>
              <c:numCache>
                <c:formatCode>General</c:formatCode>
                <c:ptCount val="66"/>
                <c:pt idx="0">
                  <c:v>0.47</c:v>
                </c:pt>
                <c:pt idx="1">
                  <c:v>0.63</c:v>
                </c:pt>
                <c:pt idx="2">
                  <c:v>0.87</c:v>
                </c:pt>
                <c:pt idx="3">
                  <c:v>0.96</c:v>
                </c:pt>
                <c:pt idx="4">
                  <c:v>0.74</c:v>
                </c:pt>
                <c:pt idx="5">
                  <c:v>0.77</c:v>
                </c:pt>
                <c:pt idx="6">
                  <c:v>0.9</c:v>
                </c:pt>
                <c:pt idx="7">
                  <c:v>0.83</c:v>
                </c:pt>
                <c:pt idx="8">
                  <c:v>0.97</c:v>
                </c:pt>
                <c:pt idx="9">
                  <c:v>1.45</c:v>
                </c:pt>
                <c:pt idx="10">
                  <c:v>1.68</c:v>
                </c:pt>
                <c:pt idx="11">
                  <c:v>1.5</c:v>
                </c:pt>
                <c:pt idx="12">
                  <c:v>1.77</c:v>
                </c:pt>
                <c:pt idx="13">
                  <c:v>1.82</c:v>
                </c:pt>
                <c:pt idx="14">
                  <c:v>1.81</c:v>
                </c:pt>
                <c:pt idx="15">
                  <c:v>1.74</c:v>
                </c:pt>
                <c:pt idx="16">
                  <c:v>1.89</c:v>
                </c:pt>
                <c:pt idx="17">
                  <c:v>2.14</c:v>
                </c:pt>
                <c:pt idx="18">
                  <c:v>2.11</c:v>
                </c:pt>
                <c:pt idx="19">
                  <c:v>2.14</c:v>
                </c:pt>
                <c:pt idx="20">
                  <c:v>2.14</c:v>
                </c:pt>
                <c:pt idx="21">
                  <c:v>2.14</c:v>
                </c:pt>
                <c:pt idx="22">
                  <c:v>2.0699999999999998</c:v>
                </c:pt>
                <c:pt idx="23">
                  <c:v>2.0099999999999998</c:v>
                </c:pt>
                <c:pt idx="24">
                  <c:v>1.85</c:v>
                </c:pt>
                <c:pt idx="25">
                  <c:v>1.76</c:v>
                </c:pt>
                <c:pt idx="26">
                  <c:v>1.82</c:v>
                </c:pt>
                <c:pt idx="27">
                  <c:v>1.82</c:v>
                </c:pt>
                <c:pt idx="28">
                  <c:v>1.86</c:v>
                </c:pt>
                <c:pt idx="29">
                  <c:v>1.58</c:v>
                </c:pt>
                <c:pt idx="30">
                  <c:v>1.36</c:v>
                </c:pt>
                <c:pt idx="31">
                  <c:v>0.99</c:v>
                </c:pt>
                <c:pt idx="32">
                  <c:v>1.24</c:v>
                </c:pt>
                <c:pt idx="33">
                  <c:v>1.32</c:v>
                </c:pt>
                <c:pt idx="34">
                  <c:v>1.47</c:v>
                </c:pt>
                <c:pt idx="35">
                  <c:v>1.51</c:v>
                </c:pt>
                <c:pt idx="36">
                  <c:v>1.62</c:v>
                </c:pt>
                <c:pt idx="37">
                  <c:v>1.47</c:v>
                </c:pt>
                <c:pt idx="38">
                  <c:v>1.28</c:v>
                </c:pt>
                <c:pt idx="39">
                  <c:v>1.28</c:v>
                </c:pt>
                <c:pt idx="40">
                  <c:v>0.92</c:v>
                </c:pt>
                <c:pt idx="41">
                  <c:v>0.86</c:v>
                </c:pt>
                <c:pt idx="42">
                  <c:v>0.86</c:v>
                </c:pt>
                <c:pt idx="43">
                  <c:v>0.95</c:v>
                </c:pt>
                <c:pt idx="44">
                  <c:v>0.98</c:v>
                </c:pt>
                <c:pt idx="45">
                  <c:v>0.94</c:v>
                </c:pt>
                <c:pt idx="46">
                  <c:v>1.1200000000000001</c:v>
                </c:pt>
                <c:pt idx="47">
                  <c:v>1.26</c:v>
                </c:pt>
                <c:pt idx="48">
                  <c:v>1.28</c:v>
                </c:pt>
                <c:pt idx="49">
                  <c:v>1.49</c:v>
                </c:pt>
                <c:pt idx="50">
                  <c:v>1.87</c:v>
                </c:pt>
                <c:pt idx="51">
                  <c:v>1.86</c:v>
                </c:pt>
                <c:pt idx="52">
                  <c:v>1.74</c:v>
                </c:pt>
                <c:pt idx="53">
                  <c:v>1.67</c:v>
                </c:pt>
                <c:pt idx="54">
                  <c:v>1.72</c:v>
                </c:pt>
                <c:pt idx="55">
                  <c:v>1.74</c:v>
                </c:pt>
                <c:pt idx="56">
                  <c:v>1.9</c:v>
                </c:pt>
                <c:pt idx="57">
                  <c:v>2.34</c:v>
                </c:pt>
                <c:pt idx="58">
                  <c:v>2.62</c:v>
                </c:pt>
                <c:pt idx="59">
                  <c:v>2.62</c:v>
                </c:pt>
                <c:pt idx="60">
                  <c:v>3.12</c:v>
                </c:pt>
                <c:pt idx="61">
                  <c:v>3.03</c:v>
                </c:pt>
                <c:pt idx="62">
                  <c:v>3.53</c:v>
                </c:pt>
                <c:pt idx="63">
                  <c:v>4.01</c:v>
                </c:pt>
                <c:pt idx="64">
                  <c:v>4.6100000000000003</c:v>
                </c:pt>
                <c:pt idx="65">
                  <c:v>5.12</c:v>
                </c:pt>
              </c:numCache>
            </c:numRef>
          </c:val>
          <c:smooth val="0"/>
          <c:extLst>
            <c:ext xmlns:c16="http://schemas.microsoft.com/office/drawing/2014/chart" uri="{C3380CC4-5D6E-409C-BE32-E72D297353CC}">
              <c16:uniqueId val="{00000005-B66A-4895-8515-673EB758BE76}"/>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41807701508628E-2"/>
          <c:y val="1.7107238390107405E-2"/>
          <c:w val="0.84490897841708379"/>
          <c:h val="0.74168245309847347"/>
        </c:manualLayout>
      </c:layout>
      <c:barChart>
        <c:barDir val="col"/>
        <c:grouping val="stacked"/>
        <c:varyColors val="0"/>
        <c:ser>
          <c:idx val="1"/>
          <c:order val="1"/>
          <c:tx>
            <c:strRef>
              <c:f>'G1-Státní rozpočet-příjmy-2020'!$A$30</c:f>
              <c:strCache>
                <c:ptCount val="1"/>
                <c:pt idx="0">
                  <c:v>Other taxes and fees</c:v>
                </c:pt>
              </c:strCache>
            </c:strRef>
          </c:tx>
          <c:spPr>
            <a:solidFill>
              <a:schemeClr val="bg1">
                <a:lumMod val="75000"/>
              </a:schemeClr>
            </a:solidFill>
            <a:ln w="12700">
              <a:noFill/>
              <a:prstDash val="solid"/>
            </a:ln>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rozpočet-příjmy-2020'!$D$30:$S$30</c:f>
              <c:numCache>
                <c:formatCode>0.0</c:formatCode>
                <c:ptCount val="16"/>
                <c:pt idx="0">
                  <c:v>0.54595928439234964</c:v>
                </c:pt>
                <c:pt idx="1">
                  <c:v>0.46668473188209703</c:v>
                </c:pt>
                <c:pt idx="2">
                  <c:v>-0.46157268379491267</c:v>
                </c:pt>
                <c:pt idx="3">
                  <c:v>0.49531003312386968</c:v>
                </c:pt>
                <c:pt idx="4">
                  <c:v>1.0955064214410237</c:v>
                </c:pt>
                <c:pt idx="5">
                  <c:v>-0.43477551457132552</c:v>
                </c:pt>
                <c:pt idx="6">
                  <c:v>-8.2653412292815559E-2</c:v>
                </c:pt>
                <c:pt idx="7">
                  <c:v>0.17424975798643608</c:v>
                </c:pt>
                <c:pt idx="8">
                  <c:v>0.53125962426855389</c:v>
                </c:pt>
                <c:pt idx="9">
                  <c:v>0.44522675502175058</c:v>
                </c:pt>
                <c:pt idx="10">
                  <c:v>0.3176936390146764</c:v>
                </c:pt>
                <c:pt idx="11">
                  <c:v>0.37441716268589098</c:v>
                </c:pt>
                <c:pt idx="12">
                  <c:v>0.32332107581403891</c:v>
                </c:pt>
                <c:pt idx="13">
                  <c:v>0.37604522895516235</c:v>
                </c:pt>
                <c:pt idx="14">
                  <c:v>-0.58033296146059776</c:v>
                </c:pt>
                <c:pt idx="15">
                  <c:v>0.73043861302063806</c:v>
                </c:pt>
              </c:numCache>
            </c:numRef>
          </c:val>
          <c:extLst>
            <c:ext xmlns:c16="http://schemas.microsoft.com/office/drawing/2014/chart" uri="{C3380CC4-5D6E-409C-BE32-E72D297353CC}">
              <c16:uniqueId val="{00000000-112E-4907-B5FD-B837F71A3BD1}"/>
            </c:ext>
          </c:extLst>
        </c:ser>
        <c:ser>
          <c:idx val="3"/>
          <c:order val="2"/>
          <c:tx>
            <c:strRef>
              <c:f>'G1-Státní rozpočet-příjmy-2020'!$A$31</c:f>
              <c:strCache>
                <c:ptCount val="1"/>
                <c:pt idx="0">
                  <c:v>Income tax of natural persons (from employment)</c:v>
                </c:pt>
              </c:strCache>
            </c:strRef>
          </c:tx>
          <c:spPr>
            <a:solidFill>
              <a:srgbClr val="EA6C75"/>
            </a:solidFill>
            <a:ln w="19050">
              <a:noFill/>
              <a:prstDash val="sysDot"/>
            </a:ln>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rozpočet-příjmy-2020'!$D$31:$S$31</c:f>
              <c:numCache>
                <c:formatCode>0.0</c:formatCode>
                <c:ptCount val="16"/>
                <c:pt idx="0">
                  <c:v>1.3078346699568126</c:v>
                </c:pt>
                <c:pt idx="1">
                  <c:v>-0.37635865474362562</c:v>
                </c:pt>
                <c:pt idx="2">
                  <c:v>-2.6470915359804246</c:v>
                </c:pt>
                <c:pt idx="3">
                  <c:v>0.47364021917469173</c:v>
                </c:pt>
                <c:pt idx="4">
                  <c:v>-0.13443551385830171</c:v>
                </c:pt>
                <c:pt idx="5">
                  <c:v>0.76868928621709187</c:v>
                </c:pt>
                <c:pt idx="6">
                  <c:v>0.58399074131873729</c:v>
                </c:pt>
                <c:pt idx="7">
                  <c:v>1.3331489420550413</c:v>
                </c:pt>
                <c:pt idx="8">
                  <c:v>-0.27717893440098468</c:v>
                </c:pt>
                <c:pt idx="9">
                  <c:v>2.7153655001035406</c:v>
                </c:pt>
                <c:pt idx="10">
                  <c:v>2.0958296782759192</c:v>
                </c:pt>
                <c:pt idx="11">
                  <c:v>2.6381964014740937</c:v>
                </c:pt>
                <c:pt idx="12">
                  <c:v>2.8717758032576497</c:v>
                </c:pt>
                <c:pt idx="13">
                  <c:v>-3.7310659863948725</c:v>
                </c:pt>
                <c:pt idx="14">
                  <c:v>-4.8292639350837492</c:v>
                </c:pt>
                <c:pt idx="15">
                  <c:v>2.4982947677836331</c:v>
                </c:pt>
              </c:numCache>
            </c:numRef>
          </c:val>
          <c:extLst>
            <c:ext xmlns:c16="http://schemas.microsoft.com/office/drawing/2014/chart" uri="{C3380CC4-5D6E-409C-BE32-E72D297353CC}">
              <c16:uniqueId val="{00000001-112E-4907-B5FD-B837F71A3BD1}"/>
            </c:ext>
          </c:extLst>
        </c:ser>
        <c:ser>
          <c:idx val="4"/>
          <c:order val="3"/>
          <c:tx>
            <c:strRef>
              <c:f>'G1-Státní rozpočet-příjmy-2020'!$A$32</c:f>
              <c:strCache>
                <c:ptCount val="1"/>
                <c:pt idx="0">
                  <c:v>Income tax of legal persons (corporate tax)</c:v>
                </c:pt>
              </c:strCache>
            </c:strRef>
          </c:tx>
          <c:spPr>
            <a:solidFill>
              <a:schemeClr val="accent6">
                <a:lumMod val="60000"/>
                <a:lumOff val="40000"/>
              </a:schemeClr>
            </a:solidFill>
            <a:ln w="19050">
              <a:noFill/>
            </a:ln>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rozpočet-příjmy-2020'!$D$32:$S$32</c:f>
              <c:numCache>
                <c:formatCode>0.0</c:formatCode>
                <c:ptCount val="16"/>
                <c:pt idx="0">
                  <c:v>-0.32078963602714217</c:v>
                </c:pt>
                <c:pt idx="1">
                  <c:v>5.9133471833318252</c:v>
                </c:pt>
                <c:pt idx="2">
                  <c:v>-5.8002446891335788</c:v>
                </c:pt>
                <c:pt idx="3">
                  <c:v>2.28771321549082</c:v>
                </c:pt>
                <c:pt idx="4">
                  <c:v>-3.0948771488229725</c:v>
                </c:pt>
                <c:pt idx="5">
                  <c:v>-0.3519639588906085</c:v>
                </c:pt>
                <c:pt idx="6">
                  <c:v>-0.52038778929392293</c:v>
                </c:pt>
                <c:pt idx="7">
                  <c:v>1.5378232609597586</c:v>
                </c:pt>
                <c:pt idx="8">
                  <c:v>1.545015912124013</c:v>
                </c:pt>
                <c:pt idx="9">
                  <c:v>2.3012010768274993</c:v>
                </c:pt>
                <c:pt idx="10">
                  <c:v>1.5576471703928498</c:v>
                </c:pt>
                <c:pt idx="11">
                  <c:v>-1.5174506828525801E-2</c:v>
                </c:pt>
                <c:pt idx="12">
                  <c:v>1.1964034041960514</c:v>
                </c:pt>
                <c:pt idx="13">
                  <c:v>-4.7390510722411321</c:v>
                </c:pt>
                <c:pt idx="14">
                  <c:v>8.0545419061014734</c:v>
                </c:pt>
                <c:pt idx="15">
                  <c:v>3.4197627439298519</c:v>
                </c:pt>
              </c:numCache>
            </c:numRef>
          </c:val>
          <c:extLst>
            <c:ext xmlns:c16="http://schemas.microsoft.com/office/drawing/2014/chart" uri="{C3380CC4-5D6E-409C-BE32-E72D297353CC}">
              <c16:uniqueId val="{00000002-112E-4907-B5FD-B837F71A3BD1}"/>
            </c:ext>
          </c:extLst>
        </c:ser>
        <c:ser>
          <c:idx val="2"/>
          <c:order val="4"/>
          <c:tx>
            <c:strRef>
              <c:f>'G1-Státní rozpočet-příjmy-2020'!$A$33</c:f>
              <c:strCache>
                <c:ptCount val="1"/>
                <c:pt idx="0">
                  <c:v>Consumption tax</c:v>
                </c:pt>
              </c:strCache>
            </c:strRef>
          </c:tx>
          <c:spPr>
            <a:solidFill>
              <a:schemeClr val="accent5">
                <a:lumMod val="40000"/>
                <a:lumOff val="60000"/>
              </a:schemeClr>
            </a:solidFill>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rozpočet-příjmy-2020'!$D$33:$S$33</c:f>
              <c:numCache>
                <c:formatCode>0.0</c:formatCode>
                <c:ptCount val="16"/>
                <c:pt idx="0">
                  <c:v>-2.8439235040098723</c:v>
                </c:pt>
                <c:pt idx="1">
                  <c:v>0.59615210911390359</c:v>
                </c:pt>
                <c:pt idx="2">
                  <c:v>-0.7841174507841181</c:v>
                </c:pt>
                <c:pt idx="3">
                  <c:v>2.1855555211590265</c:v>
                </c:pt>
                <c:pt idx="4">
                  <c:v>1.2127799548067864</c:v>
                </c:pt>
                <c:pt idx="5">
                  <c:v>-0.51809094748697626</c:v>
                </c:pt>
                <c:pt idx="6">
                  <c:v>-0.60422804423572263</c:v>
                </c:pt>
                <c:pt idx="7">
                  <c:v>1.9416401604204097</c:v>
                </c:pt>
                <c:pt idx="8">
                  <c:v>-0.71604558053587719</c:v>
                </c:pt>
                <c:pt idx="9">
                  <c:v>1.4107475667840146</c:v>
                </c:pt>
                <c:pt idx="10">
                  <c:v>0.14462173119324545</c:v>
                </c:pt>
                <c:pt idx="11">
                  <c:v>0.15174506828528164</c:v>
                </c:pt>
                <c:pt idx="12">
                  <c:v>0.5951444531946295</c:v>
                </c:pt>
                <c:pt idx="13">
                  <c:v>-1.0191471511484216</c:v>
                </c:pt>
                <c:pt idx="14">
                  <c:v>-1.7143225663620509</c:v>
                </c:pt>
                <c:pt idx="15">
                  <c:v>2.2002268548922332</c:v>
                </c:pt>
              </c:numCache>
            </c:numRef>
          </c:val>
          <c:extLst>
            <c:ext xmlns:c16="http://schemas.microsoft.com/office/drawing/2014/chart" uri="{C3380CC4-5D6E-409C-BE32-E72D297353CC}">
              <c16:uniqueId val="{00000003-112E-4907-B5FD-B837F71A3BD1}"/>
            </c:ext>
          </c:extLst>
        </c:ser>
        <c:ser>
          <c:idx val="5"/>
          <c:order val="5"/>
          <c:tx>
            <c:strRef>
              <c:f>'G1-Státní rozpočet-příjmy-2020'!$A$34</c:f>
              <c:strCache>
                <c:ptCount val="1"/>
                <c:pt idx="0">
                  <c:v>VAT</c:v>
                </c:pt>
              </c:strCache>
            </c:strRef>
          </c:tx>
          <c:spPr>
            <a:solidFill>
              <a:srgbClr val="92D050"/>
            </a:solidFill>
            <a:ln>
              <a:noFill/>
            </a:ln>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rozpočet-příjmy-2020'!$D$34:$S$34</c:f>
              <c:numCache>
                <c:formatCode>0.0</c:formatCode>
                <c:ptCount val="16"/>
                <c:pt idx="0">
                  <c:v>3.756940160394818</c:v>
                </c:pt>
                <c:pt idx="1">
                  <c:v>1.6830759040134915</c:v>
                </c:pt>
                <c:pt idx="2">
                  <c:v>-0.48659770881993442</c:v>
                </c:pt>
                <c:pt idx="3">
                  <c:v>2.7861189363217047</c:v>
                </c:pt>
                <c:pt idx="4">
                  <c:v>2.5056491519121336</c:v>
                </c:pt>
                <c:pt idx="5">
                  <c:v>-2.0695480782767839</c:v>
                </c:pt>
                <c:pt idx="6">
                  <c:v>5.1489480707359876</c:v>
                </c:pt>
                <c:pt idx="7">
                  <c:v>2.7824643894343817</c:v>
                </c:pt>
                <c:pt idx="8">
                  <c:v>-1.9351195975772471</c:v>
                </c:pt>
                <c:pt idx="9">
                  <c:v>2.3089666597639282</c:v>
                </c:pt>
                <c:pt idx="10">
                  <c:v>5.2514284359515448</c:v>
                </c:pt>
                <c:pt idx="11">
                  <c:v>3.210492087578587</c:v>
                </c:pt>
                <c:pt idx="12">
                  <c:v>1.1536019195484959</c:v>
                </c:pt>
                <c:pt idx="13">
                  <c:v>-2.3369375494227094</c:v>
                </c:pt>
                <c:pt idx="14">
                  <c:v>3.708391215298168</c:v>
                </c:pt>
                <c:pt idx="15">
                  <c:v>9.7532876810479028</c:v>
                </c:pt>
              </c:numCache>
            </c:numRef>
          </c:val>
          <c:extLst>
            <c:ext xmlns:c16="http://schemas.microsoft.com/office/drawing/2014/chart" uri="{C3380CC4-5D6E-409C-BE32-E72D297353CC}">
              <c16:uniqueId val="{00000004-112E-4907-B5FD-B837F71A3BD1}"/>
            </c:ext>
          </c:extLst>
        </c:ser>
        <c:dLbls>
          <c:showLegendKey val="0"/>
          <c:showVal val="0"/>
          <c:showCatName val="0"/>
          <c:showSerName val="0"/>
          <c:showPercent val="0"/>
          <c:showBubbleSize val="0"/>
        </c:dLbls>
        <c:gapWidth val="105"/>
        <c:overlap val="100"/>
        <c:axId val="194467712"/>
        <c:axId val="194473984"/>
      </c:barChart>
      <c:lineChart>
        <c:grouping val="standard"/>
        <c:varyColors val="0"/>
        <c:ser>
          <c:idx val="0"/>
          <c:order val="0"/>
          <c:tx>
            <c:strRef>
              <c:f>'G1-Státní rozpočet-příjmy-2020'!$A$29</c:f>
              <c:strCache>
                <c:ptCount val="1"/>
                <c:pt idx="0">
                  <c:v>Total tax income (excluding social security insurance)</c:v>
                </c:pt>
              </c:strCache>
            </c:strRef>
          </c:tx>
          <c:spPr>
            <a:ln w="19050">
              <a:noFill/>
            </a:ln>
          </c:spPr>
          <c:marker>
            <c:symbol val="circle"/>
            <c:size val="6"/>
            <c:spPr>
              <a:solidFill>
                <a:schemeClr val="bg1"/>
              </a:solidFill>
              <a:ln>
                <a:solidFill>
                  <a:schemeClr val="tx1">
                    <a:lumMod val="95000"/>
                    <a:lumOff val="5000"/>
                  </a:schemeClr>
                </a:solidFill>
              </a:ln>
            </c:spPr>
          </c:marker>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rozpočet-příjmy-2020'!$D$29:$S$29</c:f>
              <c:numCache>
                <c:formatCode>0.0</c:formatCode>
                <c:ptCount val="16"/>
                <c:pt idx="0">
                  <c:v>2.4460209747069683</c:v>
                </c:pt>
                <c:pt idx="1">
                  <c:v>8.2829012735976733</c:v>
                </c:pt>
                <c:pt idx="2">
                  <c:v>-10.179624068512965</c:v>
                </c:pt>
                <c:pt idx="3">
                  <c:v>8.228337925270111</c:v>
                </c:pt>
                <c:pt idx="4">
                  <c:v>1.5846228654786643</c:v>
                </c:pt>
                <c:pt idx="5">
                  <c:v>-2.6056892130086027</c:v>
                </c:pt>
                <c:pt idx="6">
                  <c:v>4.525669566232267</c:v>
                </c:pt>
                <c:pt idx="7">
                  <c:v>7.7693265108560183</c:v>
                </c:pt>
                <c:pt idx="8">
                  <c:v>-0.85206857612153897</c:v>
                </c:pt>
                <c:pt idx="9">
                  <c:v>9.1815075585007406</c:v>
                </c:pt>
                <c:pt idx="10">
                  <c:v>9.3672206548282304</c:v>
                </c:pt>
                <c:pt idx="11">
                  <c:v>6.3596762131953142</c:v>
                </c:pt>
                <c:pt idx="12">
                  <c:v>6.1402466560108451</c:v>
                </c:pt>
                <c:pt idx="13">
                  <c:v>-11.450156530251959</c:v>
                </c:pt>
                <c:pt idx="14">
                  <c:v>4.6390136584932407</c:v>
                </c:pt>
                <c:pt idx="15">
                  <c:v>18.602010660674281</c:v>
                </c:pt>
              </c:numCache>
            </c:numRef>
          </c:val>
          <c:smooth val="0"/>
          <c:extLst>
            <c:ext xmlns:c16="http://schemas.microsoft.com/office/drawing/2014/chart" uri="{C3380CC4-5D6E-409C-BE32-E72D297353CC}">
              <c16:uniqueId val="{00000005-112E-4907-B5FD-B837F71A3BD1}"/>
            </c:ext>
          </c:extLst>
        </c:ser>
        <c:dLbls>
          <c:showLegendKey val="0"/>
          <c:showVal val="0"/>
          <c:showCatName val="0"/>
          <c:showSerName val="0"/>
          <c:showPercent val="0"/>
          <c:showBubbleSize val="0"/>
        </c:dLbls>
        <c:marker val="1"/>
        <c:smooth val="0"/>
        <c:axId val="194467712"/>
        <c:axId val="194473984"/>
      </c:lineChart>
      <c:lineChart>
        <c:grouping val="standard"/>
        <c:varyColors val="0"/>
        <c:ser>
          <c:idx val="6"/>
          <c:order val="6"/>
          <c:tx>
            <c:strRef>
              <c:f>'G1-Státní rozpočet-příjmy-2020'!$A$35</c:f>
              <c:strCache>
                <c:ptCount val="1"/>
                <c:pt idx="0">
                  <c:v>State budget balance (SB, right axis)</c:v>
                </c:pt>
              </c:strCache>
            </c:strRef>
          </c:tx>
          <c:spPr>
            <a:ln w="19050">
              <a:solidFill>
                <a:schemeClr val="tx1">
                  <a:lumMod val="95000"/>
                  <a:lumOff val="5000"/>
                </a:schemeClr>
              </a:solidFill>
            </a:ln>
          </c:spPr>
          <c:marker>
            <c:symbol val="none"/>
          </c:marker>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rozpočet-příjmy-2020'!$D$35:$S$35</c:f>
              <c:numCache>
                <c:formatCode>#\ ##0.0</c:formatCode>
                <c:ptCount val="16"/>
                <c:pt idx="0">
                  <c:v>1.2749999999999999</c:v>
                </c:pt>
                <c:pt idx="1">
                  <c:v>-5.6520000000000001</c:v>
                </c:pt>
                <c:pt idx="2">
                  <c:v>-68.259</c:v>
                </c:pt>
                <c:pt idx="3">
                  <c:v>-75.662000000000006</c:v>
                </c:pt>
                <c:pt idx="4">
                  <c:v>-62.856000000000002</c:v>
                </c:pt>
                <c:pt idx="5">
                  <c:v>-71.721999999999994</c:v>
                </c:pt>
                <c:pt idx="6">
                  <c:v>-31.52</c:v>
                </c:pt>
                <c:pt idx="7">
                  <c:v>1.45</c:v>
                </c:pt>
                <c:pt idx="8">
                  <c:v>22.65</c:v>
                </c:pt>
                <c:pt idx="9">
                  <c:v>40.65</c:v>
                </c:pt>
                <c:pt idx="10">
                  <c:v>4.62</c:v>
                </c:pt>
                <c:pt idx="11">
                  <c:v>-5.88</c:v>
                </c:pt>
                <c:pt idx="12">
                  <c:v>-20.68</c:v>
                </c:pt>
                <c:pt idx="13">
                  <c:v>-195.24722774568022</c:v>
                </c:pt>
                <c:pt idx="14">
                  <c:v>-265.05468517270992</c:v>
                </c:pt>
                <c:pt idx="15">
                  <c:v>-182.95611616665997</c:v>
                </c:pt>
              </c:numCache>
            </c:numRef>
          </c:val>
          <c:smooth val="0"/>
          <c:extLst>
            <c:ext xmlns:c16="http://schemas.microsoft.com/office/drawing/2014/chart" uri="{C3380CC4-5D6E-409C-BE32-E72D297353CC}">
              <c16:uniqueId val="{00000006-112E-4907-B5FD-B837F71A3BD1}"/>
            </c:ext>
          </c:extLst>
        </c:ser>
        <c:dLbls>
          <c:showLegendKey val="0"/>
          <c:showVal val="0"/>
          <c:showCatName val="0"/>
          <c:showSerName val="0"/>
          <c:showPercent val="0"/>
          <c:showBubbleSize val="0"/>
        </c:dLbls>
        <c:marker val="1"/>
        <c:smooth val="0"/>
        <c:axId val="539204576"/>
        <c:axId val="556140592"/>
      </c:lineChart>
      <c:catAx>
        <c:axId val="194467712"/>
        <c:scaling>
          <c:orientation val="minMax"/>
        </c:scaling>
        <c:delete val="0"/>
        <c:axPos val="b"/>
        <c:numFmt formatCode="General" sourceLinked="1"/>
        <c:majorTickMark val="out"/>
        <c:minorTickMark val="none"/>
        <c:tickLblPos val="low"/>
        <c:spPr>
          <a:ln w="6350">
            <a:solidFill>
              <a:schemeClr val="tx1"/>
            </a:solidFill>
          </a:ln>
        </c:spPr>
        <c:txPr>
          <a:bodyPr/>
          <a:lstStyle/>
          <a:p>
            <a:pPr>
              <a:defRPr sz="800" b="0" i="0"/>
            </a:pPr>
            <a:endParaRPr lang="cs-CZ"/>
          </a:p>
        </c:txPr>
        <c:crossAx val="194473984"/>
        <c:crosses val="autoZero"/>
        <c:auto val="1"/>
        <c:lblAlgn val="ctr"/>
        <c:lblOffset val="0"/>
        <c:noMultiLvlLbl val="0"/>
      </c:catAx>
      <c:valAx>
        <c:axId val="194473984"/>
        <c:scaling>
          <c:orientation val="minMax"/>
          <c:max val="20"/>
          <c:min val="-24"/>
        </c:scaling>
        <c:delete val="0"/>
        <c:axPos val="l"/>
        <c:majorGridlines>
          <c:spPr>
            <a:ln w="6350">
              <a:solidFill>
                <a:schemeClr val="bg1">
                  <a:lumMod val="75000"/>
                </a:schemeClr>
              </a:solidFill>
            </a:ln>
          </c:spPr>
        </c:majorGridlines>
        <c:title>
          <c:tx>
            <c:rich>
              <a:bodyPr/>
              <a:lstStyle/>
              <a:p>
                <a:pPr>
                  <a:defRPr b="0"/>
                </a:pPr>
                <a:r>
                  <a:rPr lang="cs-CZ" b="0"/>
                  <a:t>Contribution to the growth of total tax income</a:t>
                </a:r>
              </a:p>
            </c:rich>
          </c:tx>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94467712"/>
        <c:crosses val="autoZero"/>
        <c:crossBetween val="between"/>
        <c:majorUnit val="4"/>
      </c:valAx>
      <c:valAx>
        <c:axId val="556140592"/>
        <c:scaling>
          <c:orientation val="minMax"/>
          <c:max val="250"/>
          <c:min val="-300"/>
        </c:scaling>
        <c:delete val="0"/>
        <c:axPos val="r"/>
        <c:title>
          <c:tx>
            <c:rich>
              <a:bodyPr/>
              <a:lstStyle/>
              <a:p>
                <a:pPr>
                  <a:defRPr b="0"/>
                </a:pPr>
                <a:r>
                  <a:rPr lang="cs-CZ" b="0"/>
                  <a:t>State budget balance</a:t>
                </a:r>
              </a:p>
            </c:rich>
          </c:tx>
          <c:layout>
            <c:manualLayout>
              <c:xMode val="edge"/>
              <c:yMode val="edge"/>
              <c:x val="0.9703665147000754"/>
              <c:y val="0.22250335132006971"/>
            </c:manualLayout>
          </c:layout>
          <c:overlay val="0"/>
        </c:title>
        <c:numFmt formatCode="#,##0" sourceLinked="0"/>
        <c:majorTickMark val="out"/>
        <c:minorTickMark val="none"/>
        <c:tickLblPos val="nextTo"/>
        <c:txPr>
          <a:bodyPr/>
          <a:lstStyle/>
          <a:p>
            <a:pPr>
              <a:defRPr sz="800" b="0" i="0"/>
            </a:pPr>
            <a:endParaRPr lang="cs-CZ"/>
          </a:p>
        </c:txPr>
        <c:crossAx val="539204576"/>
        <c:crosses val="max"/>
        <c:crossBetween val="between"/>
        <c:majorUnit val="50"/>
      </c:valAx>
      <c:catAx>
        <c:axId val="539204576"/>
        <c:scaling>
          <c:orientation val="minMax"/>
        </c:scaling>
        <c:delete val="1"/>
        <c:axPos val="b"/>
        <c:numFmt formatCode="General" sourceLinked="1"/>
        <c:majorTickMark val="out"/>
        <c:minorTickMark val="none"/>
        <c:tickLblPos val="nextTo"/>
        <c:crossAx val="556140592"/>
        <c:crosses val="autoZero"/>
        <c:auto val="1"/>
        <c:lblAlgn val="ctr"/>
        <c:lblOffset val="100"/>
        <c:noMultiLvlLbl val="0"/>
      </c:catAx>
      <c:spPr>
        <a:ln w="6350">
          <a:solidFill>
            <a:schemeClr val="tx1"/>
          </a:solidFill>
        </a:ln>
      </c:spPr>
    </c:plotArea>
    <c:legend>
      <c:legendPos val="b"/>
      <c:layout>
        <c:manualLayout>
          <c:xMode val="edge"/>
          <c:yMode val="edge"/>
          <c:x val="6.6963209162761925E-2"/>
          <c:y val="0.80336737023666083"/>
          <c:w val="0.84588095926887108"/>
          <c:h val="0.19298912883762878"/>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888679630405088E-2"/>
          <c:y val="1.7112323287741892E-2"/>
          <c:w val="0.84305011307017252"/>
          <c:h val="0.76067747074773961"/>
        </c:manualLayout>
      </c:layout>
      <c:barChart>
        <c:barDir val="col"/>
        <c:grouping val="clustered"/>
        <c:varyColors val="0"/>
        <c:ser>
          <c:idx val="0"/>
          <c:order val="0"/>
          <c:tx>
            <c:strRef>
              <c:f>'G2-St.rozpočet-výdaje-1q'!$B$30</c:f>
              <c:strCache>
                <c:ptCount val="1"/>
                <c:pt idx="0">
                  <c:v>Total current expenditures (right axis)</c:v>
                </c:pt>
              </c:strCache>
            </c:strRef>
          </c:tx>
          <c:spPr>
            <a:solidFill>
              <a:srgbClr val="D3D3D3"/>
            </a:solidFill>
            <a:ln>
              <a:noFill/>
            </a:ln>
          </c:spPr>
          <c:invertIfNegative val="0"/>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'G2-St.rozpočet-výdaje-1q'!$B$33:$B$48</c:f>
              <c:numCache>
                <c:formatCode>0.0</c:formatCode>
                <c:ptCount val="16"/>
                <c:pt idx="0">
                  <c:v>455.274</c:v>
                </c:pt>
                <c:pt idx="1">
                  <c:v>488.71899999999999</c:v>
                </c:pt>
                <c:pt idx="2">
                  <c:v>523.79999999999995</c:v>
                </c:pt>
                <c:pt idx="3">
                  <c:v>527.73400000000004</c:v>
                </c:pt>
                <c:pt idx="4">
                  <c:v>523.22</c:v>
                </c:pt>
                <c:pt idx="5">
                  <c:v>534.42999999999995</c:v>
                </c:pt>
                <c:pt idx="6">
                  <c:v>544.65</c:v>
                </c:pt>
                <c:pt idx="7">
                  <c:v>552.71100000000001</c:v>
                </c:pt>
                <c:pt idx="8">
                  <c:v>564.13</c:v>
                </c:pt>
                <c:pt idx="9">
                  <c:v>575.57000000000005</c:v>
                </c:pt>
                <c:pt idx="10">
                  <c:v>609.53</c:v>
                </c:pt>
                <c:pt idx="11">
                  <c:v>660.76</c:v>
                </c:pt>
                <c:pt idx="12">
                  <c:v>718.74153402592015</c:v>
                </c:pt>
                <c:pt idx="13">
                  <c:v>829.93717826878003</c:v>
                </c:pt>
                <c:pt idx="14">
                  <c:v>918.12541435127969</c:v>
                </c:pt>
                <c:pt idx="15">
                  <c:v>901.965444488</c:v>
                </c:pt>
              </c:numCache>
            </c:numRef>
          </c:val>
          <c:extLst>
            <c:ext xmlns:c16="http://schemas.microsoft.com/office/drawing/2014/chart" uri="{C3380CC4-5D6E-409C-BE32-E72D297353CC}">
              <c16:uniqueId val="{00000000-BD68-4A10-AD1F-277BEE3B8D36}"/>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'G2-St.rozpočet-výdaje-1q'!$C$30</c:f>
              <c:strCache>
                <c:ptCount val="1"/>
                <c:pt idx="0">
                  <c:v>Wages of employees in publ. admin.*</c:v>
                </c:pt>
              </c:strCache>
            </c:strRef>
          </c:tx>
          <c:spPr>
            <a:ln w="15875">
              <a:solidFill>
                <a:srgbClr val="F8A124"/>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'G2-St.rozpočet-výdaje-1q'!$C$33:$C$48</c:f>
              <c:numCache>
                <c:formatCode>0.0</c:formatCode>
                <c:ptCount val="16"/>
                <c:pt idx="0">
                  <c:v>37.92</c:v>
                </c:pt>
                <c:pt idx="1">
                  <c:v>37.729999999999997</c:v>
                </c:pt>
                <c:pt idx="2">
                  <c:v>38.979999999999997</c:v>
                </c:pt>
                <c:pt idx="3">
                  <c:v>39.36</c:v>
                </c:pt>
                <c:pt idx="4">
                  <c:v>35.700000000000003</c:v>
                </c:pt>
                <c:pt idx="5">
                  <c:v>36.299999999999997</c:v>
                </c:pt>
                <c:pt idx="6">
                  <c:v>36.880000000000003</c:v>
                </c:pt>
                <c:pt idx="7">
                  <c:v>38.090000000000003</c:v>
                </c:pt>
                <c:pt idx="8">
                  <c:v>41.88</c:v>
                </c:pt>
                <c:pt idx="9">
                  <c:v>43.22</c:v>
                </c:pt>
                <c:pt idx="10">
                  <c:v>46.52</c:v>
                </c:pt>
                <c:pt idx="11">
                  <c:v>53.13</c:v>
                </c:pt>
                <c:pt idx="12">
                  <c:v>57.572759809109989</c:v>
                </c:pt>
                <c:pt idx="13">
                  <c:v>60.066088983770015</c:v>
                </c:pt>
                <c:pt idx="14">
                  <c:v>60.729182157669975</c:v>
                </c:pt>
                <c:pt idx="15">
                  <c:v>60.899295771150001</c:v>
                </c:pt>
              </c:numCache>
            </c:numRef>
          </c:val>
          <c:smooth val="0"/>
          <c:extLst>
            <c:ext xmlns:c16="http://schemas.microsoft.com/office/drawing/2014/chart" uri="{C3380CC4-5D6E-409C-BE32-E72D297353CC}">
              <c16:uniqueId val="{00000001-BD68-4A10-AD1F-277BEE3B8D36}"/>
            </c:ext>
          </c:extLst>
        </c:ser>
        <c:ser>
          <c:idx val="6"/>
          <c:order val="2"/>
          <c:tx>
            <c:strRef>
              <c:f>'G2-St.rozpočet-výdaje-1q'!$D$30</c:f>
              <c:strCache>
                <c:ptCount val="1"/>
                <c:pt idx="0">
                  <c:v>Unemployment benefits</c:v>
                </c:pt>
              </c:strCache>
            </c:strRef>
          </c:tx>
          <c:spPr>
            <a:ln w="15875">
              <a:solidFill>
                <a:srgbClr val="48AEE7"/>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'G2-St.rozpočet-výdaje-1q'!$D$33:$D$48</c:f>
              <c:numCache>
                <c:formatCode>0.0</c:formatCode>
                <c:ptCount val="16"/>
                <c:pt idx="0">
                  <c:v>3.78</c:v>
                </c:pt>
                <c:pt idx="1">
                  <c:v>3.56</c:v>
                </c:pt>
                <c:pt idx="2">
                  <c:v>7.3049999999999997</c:v>
                </c:pt>
                <c:pt idx="3">
                  <c:v>7.77</c:v>
                </c:pt>
                <c:pt idx="4">
                  <c:v>6.2279999999999998</c:v>
                </c:pt>
                <c:pt idx="5">
                  <c:v>4.8410000000000002</c:v>
                </c:pt>
                <c:pt idx="6">
                  <c:v>5.3579999999999997</c:v>
                </c:pt>
                <c:pt idx="7">
                  <c:v>5.2690000000000001</c:v>
                </c:pt>
                <c:pt idx="8">
                  <c:v>4.6150000000000002</c:v>
                </c:pt>
                <c:pt idx="9">
                  <c:v>4.4829999999999997</c:v>
                </c:pt>
                <c:pt idx="10">
                  <c:v>4.3310000000000004</c:v>
                </c:pt>
                <c:pt idx="11">
                  <c:v>3.98</c:v>
                </c:pt>
                <c:pt idx="12">
                  <c:v>4.2361097359899995</c:v>
                </c:pt>
                <c:pt idx="13">
                  <c:v>5.1359402661699995</c:v>
                </c:pt>
                <c:pt idx="14">
                  <c:v>5.4746733001600001</c:v>
                </c:pt>
                <c:pt idx="15">
                  <c:v>5.0591815394900008</c:v>
                </c:pt>
              </c:numCache>
            </c:numRef>
          </c:val>
          <c:smooth val="0"/>
          <c:extLst>
            <c:ext xmlns:c16="http://schemas.microsoft.com/office/drawing/2014/chart" uri="{C3380CC4-5D6E-409C-BE32-E72D297353CC}">
              <c16:uniqueId val="{00000002-BD68-4A10-AD1F-277BEE3B8D36}"/>
            </c:ext>
          </c:extLst>
        </c:ser>
        <c:ser>
          <c:idx val="7"/>
          <c:order val="3"/>
          <c:tx>
            <c:strRef>
              <c:f>'G2-St.rozpočet-výdaje-1q'!$E$30</c:f>
              <c:strCache>
                <c:ptCount val="1"/>
                <c:pt idx="0">
                  <c:v>State social support**</c:v>
                </c:pt>
              </c:strCache>
            </c:strRef>
          </c:tx>
          <c:spPr>
            <a:ln w="15875">
              <a:solidFill>
                <a:srgbClr val="00B050"/>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'G2-St.rozpočet-výdaje-1q'!$E$33:$E$48</c:f>
              <c:numCache>
                <c:formatCode>0.0</c:formatCode>
                <c:ptCount val="16"/>
                <c:pt idx="0">
                  <c:v>23.83</c:v>
                </c:pt>
                <c:pt idx="1">
                  <c:v>21.52</c:v>
                </c:pt>
                <c:pt idx="2">
                  <c:v>20.594999999999999</c:v>
                </c:pt>
                <c:pt idx="3">
                  <c:v>20.64</c:v>
                </c:pt>
                <c:pt idx="4">
                  <c:v>18.405999999999999</c:v>
                </c:pt>
                <c:pt idx="5">
                  <c:v>17.881</c:v>
                </c:pt>
                <c:pt idx="6">
                  <c:v>18.681999999999999</c:v>
                </c:pt>
                <c:pt idx="7">
                  <c:v>18.91</c:v>
                </c:pt>
                <c:pt idx="8">
                  <c:v>18.873999999999999</c:v>
                </c:pt>
                <c:pt idx="9">
                  <c:v>18.963999999999999</c:v>
                </c:pt>
                <c:pt idx="10">
                  <c:v>18.742000000000001</c:v>
                </c:pt>
                <c:pt idx="11">
                  <c:v>19.53</c:v>
                </c:pt>
                <c:pt idx="12">
                  <c:v>19.01942501061</c:v>
                </c:pt>
                <c:pt idx="13">
                  <c:v>25.639216971080003</c:v>
                </c:pt>
                <c:pt idx="14">
                  <c:v>24.53789922679</c:v>
                </c:pt>
                <c:pt idx="15">
                  <c:v>24.165766431880002</c:v>
                </c:pt>
              </c:numCache>
            </c:numRef>
          </c:val>
          <c:smooth val="0"/>
          <c:extLst>
            <c:ext xmlns:c16="http://schemas.microsoft.com/office/drawing/2014/chart" uri="{C3380CC4-5D6E-409C-BE32-E72D297353CC}">
              <c16:uniqueId val="{00000003-BD68-4A10-AD1F-277BEE3B8D36}"/>
            </c:ext>
          </c:extLst>
        </c:ser>
        <c:ser>
          <c:idx val="2"/>
          <c:order val="4"/>
          <c:tx>
            <c:strRef>
              <c:f>'G2-St.rozpočet-výdaje-1q'!$F$30</c:f>
              <c:strCache>
                <c:ptCount val="1"/>
                <c:pt idx="0">
                  <c:v>Sickness benefits</c:v>
                </c:pt>
              </c:strCache>
            </c:strRef>
          </c:tx>
          <c:spPr>
            <a:ln w="15875">
              <a:solidFill>
                <a:srgbClr val="0071BC"/>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'G2-St.rozpočet-výdaje-1q'!$F$33:$F$48</c:f>
              <c:numCache>
                <c:formatCode>0.00</c:formatCode>
                <c:ptCount val="16"/>
                <c:pt idx="0">
                  <c:v>18.398</c:v>
                </c:pt>
                <c:pt idx="1">
                  <c:v>16.734000000000002</c:v>
                </c:pt>
                <c:pt idx="2">
                  <c:v>14.089</c:v>
                </c:pt>
                <c:pt idx="3">
                  <c:v>11.56</c:v>
                </c:pt>
                <c:pt idx="4">
                  <c:v>11.773</c:v>
                </c:pt>
                <c:pt idx="5">
                  <c:v>10.244</c:v>
                </c:pt>
                <c:pt idx="6">
                  <c:v>10.609</c:v>
                </c:pt>
                <c:pt idx="7">
                  <c:v>11.201000000000001</c:v>
                </c:pt>
                <c:pt idx="8">
                  <c:v>12.429</c:v>
                </c:pt>
                <c:pt idx="9">
                  <c:v>13.566000000000001</c:v>
                </c:pt>
                <c:pt idx="10">
                  <c:v>14.757999999999999</c:v>
                </c:pt>
                <c:pt idx="11">
                  <c:v>17.3</c:v>
                </c:pt>
                <c:pt idx="12">
                  <c:v>19.93</c:v>
                </c:pt>
                <c:pt idx="13">
                  <c:v>30.15</c:v>
                </c:pt>
                <c:pt idx="14">
                  <c:v>28.65</c:v>
                </c:pt>
                <c:pt idx="15">
                  <c:v>25.56</c:v>
                </c:pt>
              </c:numCache>
            </c:numRef>
          </c:val>
          <c:smooth val="0"/>
          <c:extLst>
            <c:ext xmlns:c16="http://schemas.microsoft.com/office/drawing/2014/chart" uri="{C3380CC4-5D6E-409C-BE32-E72D297353CC}">
              <c16:uniqueId val="{00000004-BD68-4A10-AD1F-277BEE3B8D36}"/>
            </c:ext>
          </c:extLst>
        </c:ser>
        <c:ser>
          <c:idx val="3"/>
          <c:order val="5"/>
          <c:tx>
            <c:strRef>
              <c:f>'G2-St.rozpočet-výdaje-1q'!$G$30</c:f>
              <c:strCache>
                <c:ptCount val="1"/>
                <c:pt idx="0">
                  <c:v>Social care benefits***</c:v>
                </c:pt>
              </c:strCache>
            </c:strRef>
          </c:tx>
          <c:spPr>
            <a:ln w="15875">
              <a:solidFill>
                <a:srgbClr val="7030A0"/>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'G2-St.rozpočet-výdaje-1q'!$G$33:$G$48</c:f>
              <c:numCache>
                <c:formatCode>0.00</c:formatCode>
                <c:ptCount val="16"/>
                <c:pt idx="0">
                  <c:v>11.690999999999999</c:v>
                </c:pt>
                <c:pt idx="1">
                  <c:v>13.247</c:v>
                </c:pt>
                <c:pt idx="2">
                  <c:v>13.003</c:v>
                </c:pt>
                <c:pt idx="3">
                  <c:v>13.486000000000001</c:v>
                </c:pt>
                <c:pt idx="4">
                  <c:v>12.911000000000001</c:v>
                </c:pt>
                <c:pt idx="5">
                  <c:v>13.282</c:v>
                </c:pt>
                <c:pt idx="6">
                  <c:v>15.668000000000001</c:v>
                </c:pt>
                <c:pt idx="7">
                  <c:v>16.734999999999999</c:v>
                </c:pt>
                <c:pt idx="8">
                  <c:v>16.93</c:v>
                </c:pt>
                <c:pt idx="9">
                  <c:v>16.78</c:v>
                </c:pt>
                <c:pt idx="10">
                  <c:v>17.489999999999998</c:v>
                </c:pt>
                <c:pt idx="11">
                  <c:v>17.100000000000001</c:v>
                </c:pt>
                <c:pt idx="12">
                  <c:v>17.32</c:v>
                </c:pt>
                <c:pt idx="13">
                  <c:v>20.09</c:v>
                </c:pt>
                <c:pt idx="14">
                  <c:v>20.37</c:v>
                </c:pt>
                <c:pt idx="15">
                  <c:v>26.55</c:v>
                </c:pt>
              </c:numCache>
            </c:numRef>
          </c:val>
          <c:smooth val="0"/>
          <c:extLst>
            <c:ext xmlns:c16="http://schemas.microsoft.com/office/drawing/2014/chart" uri="{C3380CC4-5D6E-409C-BE32-E72D297353CC}">
              <c16:uniqueId val="{00000005-BD68-4A10-AD1F-277BEE3B8D36}"/>
            </c:ext>
          </c:extLst>
        </c:ser>
        <c:ser>
          <c:idx val="4"/>
          <c:order val="6"/>
          <c:tx>
            <c:strRef>
              <c:f>'G2-St.rozpočet-výdaje-1q'!$H$30</c:f>
              <c:strCache>
                <c:ptCount val="1"/>
                <c:pt idx="0">
                  <c:v>Non-investment purchases****</c:v>
                </c:pt>
              </c:strCache>
            </c:strRef>
          </c:tx>
          <c:spPr>
            <a:ln w="15875">
              <a:solidFill>
                <a:srgbClr val="D5D000"/>
              </a:solidFill>
              <a:prstDash val="solid"/>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'G2-St.rozpočet-výdaje-1q'!$H$33:$H$48</c:f>
              <c:numCache>
                <c:formatCode>0.0</c:formatCode>
                <c:ptCount val="16"/>
                <c:pt idx="0">
                  <c:v>33.647000000000006</c:v>
                </c:pt>
                <c:pt idx="1">
                  <c:v>31.934000000000005</c:v>
                </c:pt>
                <c:pt idx="2">
                  <c:v>32.001999999999995</c:v>
                </c:pt>
                <c:pt idx="3">
                  <c:v>31.84</c:v>
                </c:pt>
                <c:pt idx="4">
                  <c:v>29.076999999999998</c:v>
                </c:pt>
                <c:pt idx="5">
                  <c:v>26.950000000000003</c:v>
                </c:pt>
                <c:pt idx="6">
                  <c:v>23.5</c:v>
                </c:pt>
                <c:pt idx="7">
                  <c:v>22.14</c:v>
                </c:pt>
                <c:pt idx="8">
                  <c:v>25.509999999999998</c:v>
                </c:pt>
                <c:pt idx="9">
                  <c:v>25.499999999999996</c:v>
                </c:pt>
                <c:pt idx="10">
                  <c:v>29.889999999999997</c:v>
                </c:pt>
                <c:pt idx="11">
                  <c:v>30.75</c:v>
                </c:pt>
                <c:pt idx="12">
                  <c:v>27.947201055630007</c:v>
                </c:pt>
                <c:pt idx="13">
                  <c:v>35.631314475349981</c:v>
                </c:pt>
                <c:pt idx="14">
                  <c:v>32.201508781230004</c:v>
                </c:pt>
                <c:pt idx="15">
                  <c:v>39.474180355079994</c:v>
                </c:pt>
              </c:numCache>
            </c:numRef>
          </c:val>
          <c:smooth val="0"/>
          <c:extLst>
            <c:ext xmlns:c16="http://schemas.microsoft.com/office/drawing/2014/chart" uri="{C3380CC4-5D6E-409C-BE32-E72D297353CC}">
              <c16:uniqueId val="{00000006-BD68-4A10-AD1F-277BEE3B8D36}"/>
            </c:ext>
          </c:extLst>
        </c:ser>
        <c:ser>
          <c:idx val="5"/>
          <c:order val="7"/>
          <c:tx>
            <c:strRef>
              <c:f>'G2-St.rozpočet-výdaje-1q'!$I$30</c:f>
              <c:strCache>
                <c:ptCount val="1"/>
                <c:pt idx="0">
                  <c:v>State debt (net expenditures) *****</c:v>
                </c:pt>
              </c:strCache>
            </c:strRef>
          </c:tx>
          <c:spPr>
            <a:ln w="15875">
              <a:solidFill>
                <a:srgbClr val="996633"/>
              </a:solidFill>
              <a:prstDash val="sysDash"/>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'G2-St.rozpočet-výdaje-1q'!$I$33:$I$48</c:f>
              <c:numCache>
                <c:formatCode>0.0</c:formatCode>
                <c:ptCount val="16"/>
                <c:pt idx="0">
                  <c:v>17.05</c:v>
                </c:pt>
                <c:pt idx="1">
                  <c:v>16.5</c:v>
                </c:pt>
                <c:pt idx="2">
                  <c:v>25.770000000000003</c:v>
                </c:pt>
                <c:pt idx="3">
                  <c:v>21.27</c:v>
                </c:pt>
                <c:pt idx="4">
                  <c:v>25.81</c:v>
                </c:pt>
                <c:pt idx="5">
                  <c:v>26.419999999999998</c:v>
                </c:pt>
                <c:pt idx="6">
                  <c:v>30.400000000000002</c:v>
                </c:pt>
                <c:pt idx="7">
                  <c:v>26.86</c:v>
                </c:pt>
                <c:pt idx="8">
                  <c:v>23.55</c:v>
                </c:pt>
                <c:pt idx="9">
                  <c:v>23.76</c:v>
                </c:pt>
                <c:pt idx="10">
                  <c:v>18.739999999999998</c:v>
                </c:pt>
                <c:pt idx="11">
                  <c:v>20.11</c:v>
                </c:pt>
                <c:pt idx="12">
                  <c:v>16.91954772339</c:v>
                </c:pt>
                <c:pt idx="13">
                  <c:v>12.518656263610001</c:v>
                </c:pt>
                <c:pt idx="14">
                  <c:v>18.61619246826</c:v>
                </c:pt>
                <c:pt idx="15">
                  <c:v>23.0003230005</c:v>
                </c:pt>
              </c:numCache>
            </c:numRef>
          </c:val>
          <c:smooth val="0"/>
          <c:extLst>
            <c:ext xmlns:c16="http://schemas.microsoft.com/office/drawing/2014/chart" uri="{C3380CC4-5D6E-409C-BE32-E72D297353CC}">
              <c16:uniqueId val="{00000007-BD68-4A10-AD1F-277BEE3B8D36}"/>
            </c:ext>
          </c:extLst>
        </c:ser>
        <c:ser>
          <c:idx val="8"/>
          <c:order val="8"/>
          <c:tx>
            <c:strRef>
              <c:f>'G2-St.rozpočet-výdaje-1q'!$J$30</c:f>
              <c:strCache>
                <c:ptCount val="1"/>
                <c:pt idx="0">
                  <c:v>Non-investment transfers to commercial ent.</c:v>
                </c:pt>
              </c:strCache>
            </c:strRef>
          </c:tx>
          <c:spPr>
            <a:ln w="15875">
              <a:solidFill>
                <a:schemeClr val="tx1">
                  <a:lumMod val="95000"/>
                  <a:lumOff val="5000"/>
                </a:schemeClr>
              </a:solidFill>
              <a:prstDash val="dash"/>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'G2-St.rozpočet-výdaje-1q'!$J$33:$J$48</c:f>
              <c:numCache>
                <c:formatCode>0.0</c:formatCode>
                <c:ptCount val="16"/>
                <c:pt idx="0">
                  <c:v>11.638999999999999</c:v>
                </c:pt>
                <c:pt idx="1">
                  <c:v>13.86</c:v>
                </c:pt>
                <c:pt idx="2">
                  <c:v>13.8</c:v>
                </c:pt>
                <c:pt idx="3">
                  <c:v>15.068</c:v>
                </c:pt>
                <c:pt idx="4">
                  <c:v>15.095000000000001</c:v>
                </c:pt>
                <c:pt idx="5">
                  <c:v>18.314</c:v>
                </c:pt>
                <c:pt idx="6">
                  <c:v>16.995000000000001</c:v>
                </c:pt>
                <c:pt idx="7">
                  <c:v>19.023</c:v>
                </c:pt>
                <c:pt idx="8">
                  <c:v>18.837</c:v>
                </c:pt>
                <c:pt idx="9">
                  <c:v>18.062000000000001</c:v>
                </c:pt>
                <c:pt idx="10">
                  <c:v>23.908000000000001</c:v>
                </c:pt>
                <c:pt idx="11">
                  <c:v>28.649000000000001</c:v>
                </c:pt>
                <c:pt idx="12">
                  <c:v>28.899000000000001</c:v>
                </c:pt>
                <c:pt idx="13">
                  <c:v>52.881999999999998</c:v>
                </c:pt>
                <c:pt idx="14">
                  <c:v>85.23259722775002</c:v>
                </c:pt>
                <c:pt idx="15">
                  <c:v>34.100329251030004</c:v>
                </c:pt>
              </c:numCache>
            </c:numRef>
          </c:val>
          <c:smooth val="0"/>
          <c:extLst>
            <c:ext xmlns:c16="http://schemas.microsoft.com/office/drawing/2014/chart" uri="{C3380CC4-5D6E-409C-BE32-E72D297353CC}">
              <c16:uniqueId val="{00000008-BD68-4A10-AD1F-277BEE3B8D36}"/>
            </c:ext>
          </c:extLst>
        </c:ser>
        <c:ser>
          <c:idx val="9"/>
          <c:order val="9"/>
          <c:tx>
            <c:strRef>
              <c:f>'G2-St.rozpočet-výdaje-1q'!$K$30</c:f>
              <c:strCache>
                <c:ptCount val="1"/>
                <c:pt idx="0">
                  <c:v>Capital expenditures</c:v>
                </c:pt>
              </c:strCache>
            </c:strRef>
          </c:tx>
          <c:spPr>
            <a:ln w="9525">
              <a:solidFill>
                <a:srgbClr val="C00000"/>
              </a:solidFill>
              <a:prstDash val="sysDot"/>
            </a:ln>
          </c:spPr>
          <c:marker>
            <c:symbol val="circle"/>
            <c:size val="4"/>
            <c:spPr>
              <a:solidFill>
                <a:srgbClr val="C00000"/>
              </a:solidFill>
              <a:ln>
                <a:noFill/>
              </a:ln>
            </c:spPr>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'G2-St.rozpočet-výdaje-1q'!$K$33:$K$48</c:f>
              <c:numCache>
                <c:formatCode>0.0</c:formatCode>
                <c:ptCount val="16"/>
                <c:pt idx="0">
                  <c:v>26.771000000000001</c:v>
                </c:pt>
                <c:pt idx="1">
                  <c:v>53.505000000000003</c:v>
                </c:pt>
                <c:pt idx="2">
                  <c:v>51.149000000000001</c:v>
                </c:pt>
                <c:pt idx="3">
                  <c:v>55.872999999999998</c:v>
                </c:pt>
                <c:pt idx="4">
                  <c:v>47.277000000000001</c:v>
                </c:pt>
                <c:pt idx="5">
                  <c:v>41.93</c:v>
                </c:pt>
                <c:pt idx="6">
                  <c:v>36.779000000000003</c:v>
                </c:pt>
                <c:pt idx="7">
                  <c:v>34.893999999999998</c:v>
                </c:pt>
                <c:pt idx="8">
                  <c:v>54.02</c:v>
                </c:pt>
                <c:pt idx="9">
                  <c:v>39.090000000000003</c:v>
                </c:pt>
                <c:pt idx="10">
                  <c:v>20.309999999999999</c:v>
                </c:pt>
                <c:pt idx="11">
                  <c:v>33.25</c:v>
                </c:pt>
                <c:pt idx="12">
                  <c:v>45.820505926130004</c:v>
                </c:pt>
                <c:pt idx="13">
                  <c:v>64.976999301739994</c:v>
                </c:pt>
                <c:pt idx="14">
                  <c:v>59.7056835355</c:v>
                </c:pt>
                <c:pt idx="15">
                  <c:v>68.002101568619992</c:v>
                </c:pt>
              </c:numCache>
            </c:numRef>
          </c:val>
          <c:smooth val="0"/>
          <c:extLst>
            <c:ext xmlns:c16="http://schemas.microsoft.com/office/drawing/2014/chart" uri="{C3380CC4-5D6E-409C-BE32-E72D297353CC}">
              <c16:uniqueId val="{00000009-BD68-4A10-AD1F-277BEE3B8D36}"/>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95"/>
          <c:min val="0"/>
        </c:scaling>
        <c:delete val="0"/>
        <c:axPos val="l"/>
        <c:majorGridlines>
          <c:spPr>
            <a:ln w="6350">
              <a:solidFill>
                <a:schemeClr val="bg1">
                  <a:lumMod val="75000"/>
                </a:schemeClr>
              </a:solidFill>
            </a:ln>
          </c:spPr>
        </c:majorGridlines>
        <c:title>
          <c:tx>
            <c:rich>
              <a:bodyPr/>
              <a:lstStyle/>
              <a:p>
                <a:pPr>
                  <a:defRPr sz="700" b="0" i="1"/>
                </a:pPr>
                <a:r>
                  <a:rPr lang="cs-CZ" sz="700" b="0" i="1"/>
                  <a:t>Selected expenditures</a:t>
                </a: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5"/>
      </c:valAx>
      <c:valAx>
        <c:axId val="72835072"/>
        <c:scaling>
          <c:orientation val="minMax"/>
          <c:max val="950"/>
          <c:min val="0"/>
        </c:scaling>
        <c:delete val="0"/>
        <c:axPos val="r"/>
        <c:title>
          <c:tx>
            <c:rich>
              <a:bodyPr/>
              <a:lstStyle/>
              <a:p>
                <a:pPr>
                  <a:defRPr sz="700" b="0" i="1"/>
                </a:pPr>
                <a:r>
                  <a:rPr lang="cs-CZ" sz="700" b="0" i="1"/>
                  <a:t>Total current expenditures</a:t>
                </a:r>
              </a:p>
            </c:rich>
          </c:tx>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5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7.8985250876283334E-3"/>
          <c:y val="0.82322179945659535"/>
          <c:w val="0.97897025048551689"/>
          <c:h val="0.16585489978301934"/>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'souhrnná výkonnost 3'!$D$5</c:f>
              <c:strCache>
                <c:ptCount val="1"/>
                <c:pt idx="0">
                  <c:v>Final consumption expenditure of households (inc. non-profit inst.)</c:v>
                </c:pt>
              </c:strCache>
            </c:strRef>
          </c:tx>
          <c:spPr>
            <a:solidFill>
              <a:srgbClr val="0071BC"/>
            </a:solidFill>
            <a:ln>
              <a:noFill/>
            </a:ln>
          </c:spPr>
          <c:invertIfNegative val="0"/>
          <c:val>
            <c:numRef>
              <c:f>'souhrnná výkonnost 3'!$D$26:$D$47</c:f>
              <c:numCache>
                <c:formatCode>#\ ##0.0</c:formatCode>
                <c:ptCount val="22"/>
                <c:pt idx="0">
                  <c:v>1.1724461062125424</c:v>
                </c:pt>
                <c:pt idx="1">
                  <c:v>1.3838280833932579</c:v>
                </c:pt>
                <c:pt idx="2">
                  <c:v>1.3029633342515592</c:v>
                </c:pt>
                <c:pt idx="3">
                  <c:v>1.0570981809373126</c:v>
                </c:pt>
                <c:pt idx="4">
                  <c:v>1.5755125159315493</c:v>
                </c:pt>
                <c:pt idx="5">
                  <c:v>1.2433932618107362</c:v>
                </c:pt>
                <c:pt idx="6">
                  <c:v>0.98503190180886591</c:v>
                </c:pt>
                <c:pt idx="7">
                  <c:v>0.86242373693181407</c:v>
                </c:pt>
                <c:pt idx="8">
                  <c:v>0.93405360633092516</c:v>
                </c:pt>
                <c:pt idx="9">
                  <c:v>1.3264749570937773</c:v>
                </c:pt>
                <c:pt idx="10">
                  <c:v>1.0320858874492613</c:v>
                </c:pt>
                <c:pt idx="11">
                  <c:v>1.1072516380596791</c:v>
                </c:pt>
                <c:pt idx="12">
                  <c:v>-1.0200898881441904</c:v>
                </c:pt>
                <c:pt idx="13">
                  <c:v>-3.319130632152298</c:v>
                </c:pt>
                <c:pt idx="14">
                  <c:v>-1.7922184957520035</c:v>
                </c:pt>
                <c:pt idx="15">
                  <c:v>-4.4205469928881964</c:v>
                </c:pt>
                <c:pt idx="16">
                  <c:v>-3.0401890570142873</c:v>
                </c:pt>
                <c:pt idx="17">
                  <c:v>1.8966230839871689</c:v>
                </c:pt>
                <c:pt idx="18">
                  <c:v>1.896331163652579</c:v>
                </c:pt>
                <c:pt idx="19">
                  <c:v>3.3087731869590207</c:v>
                </c:pt>
                <c:pt idx="20">
                  <c:v>3.2721790822666366</c:v>
                </c:pt>
                <c:pt idx="21">
                  <c:v>4.2368615981477634E-2</c:v>
                </c:pt>
              </c:numCache>
            </c:numRef>
          </c:val>
          <c:extLst>
            <c:ext xmlns:c16="http://schemas.microsoft.com/office/drawing/2014/chart" uri="{C3380CC4-5D6E-409C-BE32-E72D297353CC}">
              <c16:uniqueId val="{00000000-0F53-486D-9C2C-BEDECD254531}"/>
            </c:ext>
          </c:extLst>
        </c:ser>
        <c:ser>
          <c:idx val="4"/>
          <c:order val="2"/>
          <c:tx>
            <c:strRef>
              <c:f>'souhrnná výkonnost 3'!$E$5</c:f>
              <c:strCache>
                <c:ptCount val="1"/>
                <c:pt idx="0">
                  <c:v>Final consumption expenditure of government institutions</c:v>
                </c:pt>
              </c:strCache>
            </c:strRef>
          </c:tx>
          <c:spPr>
            <a:solidFill>
              <a:srgbClr val="A6CDE8"/>
            </a:solidFill>
            <a:ln>
              <a:noFill/>
            </a:ln>
          </c:spPr>
          <c:invertIfNegative val="0"/>
          <c:val>
            <c:numRef>
              <c:f>'souhrnná výkonnost 3'!$E$26:$E$47</c:f>
              <c:numCache>
                <c:formatCode>#\ ##0.0</c:formatCode>
                <c:ptCount val="22"/>
                <c:pt idx="0">
                  <c:v>0.43568874146674696</c:v>
                </c:pt>
                <c:pt idx="1">
                  <c:v>0.31651507948948093</c:v>
                </c:pt>
                <c:pt idx="2">
                  <c:v>0.23074272942367355</c:v>
                </c:pt>
                <c:pt idx="3">
                  <c:v>0.28553793240162256</c:v>
                </c:pt>
                <c:pt idx="4">
                  <c:v>0.57412630446352575</c:v>
                </c:pt>
                <c:pt idx="5">
                  <c:v>0.65995211680089227</c:v>
                </c:pt>
                <c:pt idx="6">
                  <c:v>0.81778085262984523</c:v>
                </c:pt>
                <c:pt idx="7">
                  <c:v>0.81086488978039961</c:v>
                </c:pt>
                <c:pt idx="8">
                  <c:v>0.45281581800869153</c:v>
                </c:pt>
                <c:pt idx="9">
                  <c:v>0.47909637272946859</c:v>
                </c:pt>
                <c:pt idx="10">
                  <c:v>0.44460153705879746</c:v>
                </c:pt>
                <c:pt idx="11">
                  <c:v>0.33726571383782183</c:v>
                </c:pt>
                <c:pt idx="12">
                  <c:v>0.80451284992688055</c:v>
                </c:pt>
                <c:pt idx="13">
                  <c:v>0.70708681585804789</c:v>
                </c:pt>
                <c:pt idx="14">
                  <c:v>0.41395179326421938</c:v>
                </c:pt>
                <c:pt idx="15">
                  <c:v>1.2239863422317085</c:v>
                </c:pt>
                <c:pt idx="16">
                  <c:v>0.23876321267224973</c:v>
                </c:pt>
                <c:pt idx="17">
                  <c:v>0.14798139922500292</c:v>
                </c:pt>
                <c:pt idx="18">
                  <c:v>0.72276006050732244</c:v>
                </c:pt>
                <c:pt idx="19">
                  <c:v>-1.5205554772728584E-2</c:v>
                </c:pt>
                <c:pt idx="20">
                  <c:v>0.44435097338040286</c:v>
                </c:pt>
                <c:pt idx="21">
                  <c:v>0.36369326503442723</c:v>
                </c:pt>
              </c:numCache>
            </c:numRef>
          </c:val>
          <c:extLst>
            <c:ext xmlns:c16="http://schemas.microsoft.com/office/drawing/2014/chart" uri="{C3380CC4-5D6E-409C-BE32-E72D297353CC}">
              <c16:uniqueId val="{00000001-0F53-486D-9C2C-BEDECD254531}"/>
            </c:ext>
          </c:extLst>
        </c:ser>
        <c:ser>
          <c:idx val="3"/>
          <c:order val="3"/>
          <c:tx>
            <c:strRef>
              <c:f>'souhrnná výkonnost 3'!$G$5</c:f>
              <c:strCache>
                <c:ptCount val="1"/>
                <c:pt idx="0">
                  <c:v>Gross capital formation</c:v>
                </c:pt>
              </c:strCache>
            </c:strRef>
          </c:tx>
          <c:spPr>
            <a:solidFill>
              <a:srgbClr val="BD1B21"/>
            </a:solidFill>
            <a:ln>
              <a:noFill/>
            </a:ln>
          </c:spPr>
          <c:invertIfNegative val="0"/>
          <c:val>
            <c:numRef>
              <c:f>'souhrnná výkonnost 3'!$G$26:$G$47</c:f>
              <c:numCache>
                <c:formatCode>#\ ##0.0</c:formatCode>
                <c:ptCount val="22"/>
                <c:pt idx="0">
                  <c:v>-0.96460420103508648</c:v>
                </c:pt>
                <c:pt idx="1">
                  <c:v>0.50244635297633955</c:v>
                </c:pt>
                <c:pt idx="2">
                  <c:v>1.4868373962562362</c:v>
                </c:pt>
                <c:pt idx="3">
                  <c:v>2.3482189542959593</c:v>
                </c:pt>
                <c:pt idx="4">
                  <c:v>2.6506947871686029</c:v>
                </c:pt>
                <c:pt idx="5">
                  <c:v>1.7081773365114346</c:v>
                </c:pt>
                <c:pt idx="6">
                  <c:v>1.9279335844788137</c:v>
                </c:pt>
                <c:pt idx="7">
                  <c:v>0.67229902849733947</c:v>
                </c:pt>
                <c:pt idx="8">
                  <c:v>1.5906650874354982</c:v>
                </c:pt>
                <c:pt idx="9">
                  <c:v>-0.19146224798983871</c:v>
                </c:pt>
                <c:pt idx="10">
                  <c:v>0.25415698160207911</c:v>
                </c:pt>
                <c:pt idx="11">
                  <c:v>2.4122891717477368</c:v>
                </c:pt>
                <c:pt idx="12">
                  <c:v>0.69791730489126869</c:v>
                </c:pt>
                <c:pt idx="13">
                  <c:v>0.95595711935685235</c:v>
                </c:pt>
                <c:pt idx="14">
                  <c:v>-2.7554209500001341</c:v>
                </c:pt>
                <c:pt idx="15">
                  <c:v>-3.4824684565401789</c:v>
                </c:pt>
                <c:pt idx="16">
                  <c:v>1.101118947318819</c:v>
                </c:pt>
                <c:pt idx="17">
                  <c:v>2.8854783221045772</c:v>
                </c:pt>
                <c:pt idx="18">
                  <c:v>6.8433224518195166</c:v>
                </c:pt>
                <c:pt idx="19">
                  <c:v>6.5998296681056834</c:v>
                </c:pt>
                <c:pt idx="20">
                  <c:v>3.8122397828583519</c:v>
                </c:pt>
                <c:pt idx="21">
                  <c:v>3.7981747011313751</c:v>
                </c:pt>
              </c:numCache>
            </c:numRef>
          </c:val>
          <c:extLst>
            <c:ext xmlns:c16="http://schemas.microsoft.com/office/drawing/2014/chart" uri="{C3380CC4-5D6E-409C-BE32-E72D297353CC}">
              <c16:uniqueId val="{00000002-0F53-486D-9C2C-BEDECD254531}"/>
            </c:ext>
          </c:extLst>
        </c:ser>
        <c:ser>
          <c:idx val="1"/>
          <c:order val="4"/>
          <c:tx>
            <c:strRef>
              <c:f>'souhrnná výkonnost 3'!$F$5</c:f>
              <c:strCache>
                <c:ptCount val="1"/>
                <c:pt idx="0">
                  <c:v>Foreign trade balance</c:v>
                </c:pt>
              </c:strCache>
            </c:strRef>
          </c:tx>
          <c:spPr>
            <a:solidFill>
              <a:srgbClr val="7DBB2D"/>
            </a:solidFill>
            <a:ln>
              <a:noFill/>
            </a:ln>
          </c:spPr>
          <c:invertIfNegative val="0"/>
          <c:val>
            <c:numRef>
              <c:f>'souhrnná výkonnost 3'!$F$26:$F$47</c:f>
              <c:numCache>
                <c:formatCode>#\ ##0.0</c:formatCode>
                <c:ptCount val="22"/>
                <c:pt idx="0">
                  <c:v>2.975467589155194</c:v>
                </c:pt>
                <c:pt idx="1">
                  <c:v>3.63036253408232</c:v>
                </c:pt>
                <c:pt idx="2">
                  <c:v>2.7474075811976926</c:v>
                </c:pt>
                <c:pt idx="3">
                  <c:v>2.1271051366721982</c:v>
                </c:pt>
                <c:pt idx="4">
                  <c:v>-0.18190275978441584</c:v>
                </c:pt>
                <c:pt idx="5">
                  <c:v>-0.9011007424628219</c:v>
                </c:pt>
                <c:pt idx="6">
                  <c:v>-1.1419594143316307</c:v>
                </c:pt>
                <c:pt idx="7">
                  <c:v>0.16780244720397519</c:v>
                </c:pt>
                <c:pt idx="8">
                  <c:v>-3.0487770722796181E-2</c:v>
                </c:pt>
                <c:pt idx="9">
                  <c:v>1.401018621045631</c:v>
                </c:pt>
                <c:pt idx="10">
                  <c:v>1.245438224612009</c:v>
                </c:pt>
                <c:pt idx="11">
                  <c:v>-1.1377389757832601</c:v>
                </c:pt>
                <c:pt idx="12">
                  <c:v>-1.982621142964861</c:v>
                </c:pt>
                <c:pt idx="13">
                  <c:v>-9.1465234127285537</c:v>
                </c:pt>
                <c:pt idx="14">
                  <c:v>-1.0987632014143376</c:v>
                </c:pt>
                <c:pt idx="15">
                  <c:v>2.0622607746427408</c:v>
                </c:pt>
                <c:pt idx="16">
                  <c:v>-0.24354289734345658</c:v>
                </c:pt>
                <c:pt idx="17">
                  <c:v>4.1602944561301314</c:v>
                </c:pt>
                <c:pt idx="18">
                  <c:v>-5.7268617561215125</c:v>
                </c:pt>
                <c:pt idx="19">
                  <c:v>-6.4551933605702825</c:v>
                </c:pt>
                <c:pt idx="20">
                  <c:v>-2.8694513113123254</c:v>
                </c:pt>
                <c:pt idx="21">
                  <c:v>-0.56413347820443671</c:v>
                </c:pt>
              </c:numCache>
            </c:numRef>
          </c:val>
          <c:extLst>
            <c:ext xmlns:c16="http://schemas.microsoft.com/office/drawing/2014/chart" uri="{C3380CC4-5D6E-409C-BE32-E72D297353CC}">
              <c16:uniqueId val="{00000003-0F53-486D-9C2C-BEDECD254531}"/>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'souhrnná výkonnost 3'!$C$5</c:f>
              <c:strCache>
                <c:ptCount val="1"/>
                <c:pt idx="0">
                  <c:v>GDP</c:v>
                </c:pt>
              </c:strCache>
            </c:strRef>
          </c:tx>
          <c:spPr>
            <a:ln>
              <a:solidFill>
                <a:prstClr val="black"/>
              </a:solidFill>
            </a:ln>
          </c:spPr>
          <c:marker>
            <c:symbol val="none"/>
          </c:marker>
          <c:cat>
            <c:multiLvlStrRef>
              <c:f>'souhrnná výkonnost 3'!$A$26:$B$47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3'!$C$26:$C$47</c:f>
              <c:numCache>
                <c:formatCode>#\ ##0.0</c:formatCode>
                <c:ptCount val="22"/>
                <c:pt idx="0">
                  <c:v>3.6950522088079936</c:v>
                </c:pt>
                <c:pt idx="1">
                  <c:v>5.9154979768352121</c:v>
                </c:pt>
                <c:pt idx="2">
                  <c:v>5.8516739490936516</c:v>
                </c:pt>
                <c:pt idx="3">
                  <c:v>5.8958373145450764</c:v>
                </c:pt>
                <c:pt idx="4">
                  <c:v>4.7409433615299719</c:v>
                </c:pt>
                <c:pt idx="5">
                  <c:v>2.8213141032059923</c:v>
                </c:pt>
                <c:pt idx="6">
                  <c:v>2.6958490566037767</c:v>
                </c:pt>
                <c:pt idx="7">
                  <c:v>2.619723260012492</c:v>
                </c:pt>
                <c:pt idx="8">
                  <c:v>2.9978163782603531</c:v>
                </c:pt>
                <c:pt idx="9">
                  <c:v>3.0711985153536432</c:v>
                </c:pt>
                <c:pt idx="10">
                  <c:v>3.0292786172026638</c:v>
                </c:pt>
                <c:pt idx="11">
                  <c:v>2.7680914244993033</c:v>
                </c:pt>
                <c:pt idx="12">
                  <c:v>-1.4628912343715541</c:v>
                </c:pt>
                <c:pt idx="13">
                  <c:v>-10.782881996253849</c:v>
                </c:pt>
                <c:pt idx="14">
                  <c:v>-5.2160051898008959</c:v>
                </c:pt>
                <c:pt idx="15">
                  <c:v>-4.5960486594733538</c:v>
                </c:pt>
                <c:pt idx="16">
                  <c:v>-1.9074265997161177</c:v>
                </c:pt>
                <c:pt idx="17">
                  <c:v>9.1293352142031097</c:v>
                </c:pt>
                <c:pt idx="18">
                  <c:v>3.7680592280892995</c:v>
                </c:pt>
                <c:pt idx="19">
                  <c:v>3.4667113627178594</c:v>
                </c:pt>
                <c:pt idx="20">
                  <c:v>4.6481344872841674</c:v>
                </c:pt>
                <c:pt idx="21">
                  <c:v>3.6728131242435182</c:v>
                </c:pt>
              </c:numCache>
            </c:numRef>
          </c:val>
          <c:smooth val="0"/>
          <c:extLst>
            <c:ext xmlns:c16="http://schemas.microsoft.com/office/drawing/2014/chart" uri="{C3380CC4-5D6E-409C-BE32-E72D297353CC}">
              <c16:uniqueId val="{00000004-0F53-486D-9C2C-BEDECD254531}"/>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3"/>
      </c:valAx>
      <c:spPr>
        <a:ln>
          <a:solidFill>
            <a:schemeClr val="tx1"/>
          </a:solidFill>
        </a:ln>
      </c:spPr>
    </c:plotArea>
    <c:legend>
      <c:legendPos val="b"/>
      <c:layout>
        <c:manualLayout>
          <c:xMode val="edge"/>
          <c:yMode val="edge"/>
          <c:x val="5.5599658512421081E-2"/>
          <c:y val="0.79301446583361457"/>
          <c:w val="0.9297882566215917"/>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0071BC"/>
            </a:solidFill>
            <a:ln>
              <a:noFill/>
            </a:ln>
          </c:spPr>
          <c:invertIfNegative val="0"/>
          <c:val>
            <c:numRef>
              <c:f>'souhrnná výkonnost 4'!$C$26:$C$47</c:f>
              <c:numCache>
                <c:formatCode>#\ ##0.0</c:formatCode>
                <c:ptCount val="22"/>
                <c:pt idx="0">
                  <c:v>-1.3480202956280747E-2</c:v>
                </c:pt>
                <c:pt idx="1">
                  <c:v>-0.10834731479250079</c:v>
                </c:pt>
                <c:pt idx="2">
                  <c:v>-0.17283036507391236</c:v>
                </c:pt>
                <c:pt idx="3">
                  <c:v>-5.7499524058591864E-2</c:v>
                </c:pt>
                <c:pt idx="4">
                  <c:v>3.3101048510961691E-2</c:v>
                </c:pt>
                <c:pt idx="5">
                  <c:v>7.1756948575291107E-2</c:v>
                </c:pt>
                <c:pt idx="6">
                  <c:v>0.13149584386693958</c:v>
                </c:pt>
                <c:pt idx="7">
                  <c:v>0.13446361914513508</c:v>
                </c:pt>
                <c:pt idx="8">
                  <c:v>7.2918853884007789E-2</c:v>
                </c:pt>
                <c:pt idx="9">
                  <c:v>8.5676115253478527E-2</c:v>
                </c:pt>
                <c:pt idx="10">
                  <c:v>0.11352421571245841</c:v>
                </c:pt>
                <c:pt idx="11">
                  <c:v>0.1297955956354544</c:v>
                </c:pt>
                <c:pt idx="12">
                  <c:v>0.21206913343969133</c:v>
                </c:pt>
                <c:pt idx="13">
                  <c:v>0.23393026126693048</c:v>
                </c:pt>
                <c:pt idx="14">
                  <c:v>0.24441243980560454</c:v>
                </c:pt>
                <c:pt idx="15">
                  <c:v>0.21978387176272138</c:v>
                </c:pt>
                <c:pt idx="16">
                  <c:v>-0.18194845399556897</c:v>
                </c:pt>
                <c:pt idx="17">
                  <c:v>-0.33768164627213537</c:v>
                </c:pt>
                <c:pt idx="18">
                  <c:v>-0.36813605985710429</c:v>
                </c:pt>
                <c:pt idx="19">
                  <c:v>-0.39400715540029935</c:v>
                </c:pt>
                <c:pt idx="20">
                  <c:v>-0.10994257097185259</c:v>
                </c:pt>
                <c:pt idx="21">
                  <c:v>-1.4477928962529531E-2</c:v>
                </c:pt>
              </c:numCache>
            </c:numRef>
          </c:val>
          <c:extLst>
            <c:ext xmlns:c16="http://schemas.microsoft.com/office/drawing/2014/chart" uri="{C3380CC4-5D6E-409C-BE32-E72D297353CC}">
              <c16:uniqueId val="{00000000-8A4C-4D47-9027-DECFDE5C5A63}"/>
            </c:ext>
          </c:extLst>
        </c:ser>
        <c:ser>
          <c:idx val="3"/>
          <c:order val="1"/>
          <c:tx>
            <c:strRef>
              <c:f>'souhrnná výkonnost 4'!$D$5</c:f>
              <c:strCache>
                <c:ptCount val="1"/>
                <c:pt idx="0">
                  <c:v>Manufacturing (CZ-NACE C)</c:v>
                </c:pt>
              </c:strCache>
            </c:strRef>
          </c:tx>
          <c:spPr>
            <a:solidFill>
              <a:srgbClr val="A6CDE8"/>
            </a:solidFill>
            <a:ln>
              <a:noFill/>
            </a:ln>
          </c:spPr>
          <c:invertIfNegative val="0"/>
          <c:val>
            <c:numRef>
              <c:f>'souhrnná výkonnost 4'!$D$26:$D$47</c:f>
              <c:numCache>
                <c:formatCode>#\ ##0.0</c:formatCode>
                <c:ptCount val="22"/>
                <c:pt idx="0">
                  <c:v>1.4029354561354304</c:v>
                </c:pt>
                <c:pt idx="1">
                  <c:v>3.0521121696167999</c:v>
                </c:pt>
                <c:pt idx="2">
                  <c:v>3.0689947409685256</c:v>
                </c:pt>
                <c:pt idx="3">
                  <c:v>2.3434131051105536</c:v>
                </c:pt>
                <c:pt idx="4">
                  <c:v>1.4988954552402802</c:v>
                </c:pt>
                <c:pt idx="5">
                  <c:v>0.14865466019918347</c:v>
                </c:pt>
                <c:pt idx="6">
                  <c:v>8.6548845664065829E-3</c:v>
                </c:pt>
                <c:pt idx="7">
                  <c:v>0.32252729120432605</c:v>
                </c:pt>
                <c:pt idx="8">
                  <c:v>0.78403714445772954</c:v>
                </c:pt>
                <c:pt idx="9">
                  <c:v>1.3396178430313301</c:v>
                </c:pt>
                <c:pt idx="10">
                  <c:v>1.4312708537266536</c:v>
                </c:pt>
                <c:pt idx="11">
                  <c:v>0.95608213895270133</c:v>
                </c:pt>
                <c:pt idx="12">
                  <c:v>-1.2099063790338642</c:v>
                </c:pt>
                <c:pt idx="13">
                  <c:v>-5.9215879942171465</c:v>
                </c:pt>
                <c:pt idx="14">
                  <c:v>-2.483013954961435</c:v>
                </c:pt>
                <c:pt idx="15">
                  <c:v>-1.8545602201995735</c:v>
                </c:pt>
                <c:pt idx="16">
                  <c:v>0.14475123724007061</c:v>
                </c:pt>
                <c:pt idx="17">
                  <c:v>4.8361073743358629</c:v>
                </c:pt>
                <c:pt idx="18">
                  <c:v>0.14490824443150022</c:v>
                </c:pt>
                <c:pt idx="19">
                  <c:v>-0.36463732746079763</c:v>
                </c:pt>
                <c:pt idx="20">
                  <c:v>-9.1950060354343693E-2</c:v>
                </c:pt>
                <c:pt idx="21">
                  <c:v>0.17225272314104773</c:v>
                </c:pt>
              </c:numCache>
            </c:numRef>
          </c:val>
          <c:extLst>
            <c:ext xmlns:c16="http://schemas.microsoft.com/office/drawing/2014/chart" uri="{C3380CC4-5D6E-409C-BE32-E72D297353CC}">
              <c16:uniqueId val="{00000001-8A4C-4D47-9027-DECFDE5C5A63}"/>
            </c:ext>
          </c:extLst>
        </c:ser>
        <c:ser>
          <c:idx val="2"/>
          <c:order val="2"/>
          <c:tx>
            <c:strRef>
              <c:f>'souhrnná výkonnost 4'!$E$5</c:f>
              <c:strCache>
                <c:ptCount val="1"/>
                <c:pt idx="0">
                  <c:v>Other industrial branches (CZ-NACE B,D,E)</c:v>
                </c:pt>
              </c:strCache>
            </c:strRef>
          </c:tx>
          <c:spPr>
            <a:solidFill>
              <a:srgbClr val="BD1B21"/>
            </a:solidFill>
            <a:ln>
              <a:noFill/>
            </a:ln>
          </c:spPr>
          <c:invertIfNegative val="0"/>
          <c:val>
            <c:numRef>
              <c:f>'souhrnná výkonnost 4'!$E$26:$E$47</c:f>
              <c:numCache>
                <c:formatCode>#\ ##0.0</c:formatCode>
                <c:ptCount val="22"/>
                <c:pt idx="0">
                  <c:v>0.20896030591717252</c:v>
                </c:pt>
                <c:pt idx="1">
                  <c:v>7.6093021703349972E-2</c:v>
                </c:pt>
                <c:pt idx="2">
                  <c:v>0.11363564757057354</c:v>
                </c:pt>
                <c:pt idx="3">
                  <c:v>-2.1455946351557564E-2</c:v>
                </c:pt>
                <c:pt idx="4">
                  <c:v>-7.5503829252544286E-2</c:v>
                </c:pt>
                <c:pt idx="5">
                  <c:v>-2.1457218474246753E-4</c:v>
                </c:pt>
                <c:pt idx="6" formatCode="General">
                  <c:v>0.11499031724354705</c:v>
                </c:pt>
                <c:pt idx="7" formatCode="General">
                  <c:v>-5.8063785050184669E-2</c:v>
                </c:pt>
                <c:pt idx="8" formatCode="General">
                  <c:v>-0.20753253585572418</c:v>
                </c:pt>
                <c:pt idx="9" formatCode="General">
                  <c:v>-0.39259990964881164</c:v>
                </c:pt>
                <c:pt idx="10" formatCode="General">
                  <c:v>-0.67997190068436764</c:v>
                </c:pt>
                <c:pt idx="11" formatCode="General">
                  <c:v>-0.47224783032630302</c:v>
                </c:pt>
                <c:pt idx="12" formatCode="General">
                  <c:v>-0.35554388462432995</c:v>
                </c:pt>
                <c:pt idx="13" formatCode="General">
                  <c:v>-0.29945450798864215</c:v>
                </c:pt>
                <c:pt idx="14" formatCode="General">
                  <c:v>8.9909890553686811E-2</c:v>
                </c:pt>
                <c:pt idx="15" formatCode="General">
                  <c:v>0.4035077805243672</c:v>
                </c:pt>
                <c:pt idx="16" formatCode="General">
                  <c:v>0.12665493966344515</c:v>
                </c:pt>
                <c:pt idx="17" formatCode="General">
                  <c:v>0.22679919998026943</c:v>
                </c:pt>
                <c:pt idx="18" formatCode="General">
                  <c:v>-5.9676233810593282E-4</c:v>
                </c:pt>
                <c:pt idx="19" formatCode="General">
                  <c:v>-0.29674507348686713</c:v>
                </c:pt>
                <c:pt idx="20" formatCode="General">
                  <c:v>-2.2529413999941683E-2</c:v>
                </c:pt>
                <c:pt idx="21" formatCode="General">
                  <c:v>1.0127475680121512E-2</c:v>
                </c:pt>
              </c:numCache>
            </c:numRef>
          </c:val>
          <c:extLst>
            <c:ext xmlns:c16="http://schemas.microsoft.com/office/drawing/2014/chart" uri="{C3380CC4-5D6E-409C-BE32-E72D297353CC}">
              <c16:uniqueId val="{00000002-8A4C-4D47-9027-DECFDE5C5A63}"/>
            </c:ext>
          </c:extLst>
        </c:ser>
        <c:ser>
          <c:idx val="1"/>
          <c:order val="3"/>
          <c:tx>
            <c:strRef>
              <c:f>'souhrnná výkonnost 4'!$F$5</c:f>
              <c:strCache>
                <c:ptCount val="1"/>
                <c:pt idx="0">
                  <c:v>Construction</c:v>
                </c:pt>
              </c:strCache>
            </c:strRef>
          </c:tx>
          <c:spPr>
            <a:solidFill>
              <a:srgbClr val="E8AFB2"/>
            </a:solidFill>
            <a:ln>
              <a:noFill/>
            </a:ln>
          </c:spPr>
          <c:invertIfNegative val="0"/>
          <c:val>
            <c:numRef>
              <c:f>'souhrnná výkonnost 4'!$F$26:$F$47</c:f>
              <c:numCache>
                <c:formatCode>#\ ##0.0</c:formatCode>
                <c:ptCount val="22"/>
                <c:pt idx="0">
                  <c:v>-0.11971252971432786</c:v>
                </c:pt>
                <c:pt idx="1">
                  <c:v>0.12513537674207531</c:v>
                </c:pt>
                <c:pt idx="2">
                  <c:v>7.5639144896938418E-2</c:v>
                </c:pt>
                <c:pt idx="3">
                  <c:v>0.16915702258933862</c:v>
                </c:pt>
                <c:pt idx="4">
                  <c:v>0.12251647468928516</c:v>
                </c:pt>
                <c:pt idx="5">
                  <c:v>4.4465884869504127E-3</c:v>
                </c:pt>
                <c:pt idx="6">
                  <c:v>-1.6359859988612897E-2</c:v>
                </c:pt>
                <c:pt idx="7">
                  <c:v>-0.12156128779443694</c:v>
                </c:pt>
                <c:pt idx="8">
                  <c:v>-0.15734451118480142</c:v>
                </c:pt>
                <c:pt idx="9">
                  <c:v>-4.5532361519053807E-2</c:v>
                </c:pt>
                <c:pt idx="10">
                  <c:v>-9.8757103245276548E-2</c:v>
                </c:pt>
                <c:pt idx="11">
                  <c:v>-0.10368709258279594</c:v>
                </c:pt>
                <c:pt idx="12">
                  <c:v>-0.34540850854541605</c:v>
                </c:pt>
                <c:pt idx="13">
                  <c:v>-0.70801073477756982</c:v>
                </c:pt>
                <c:pt idx="14">
                  <c:v>-0.63145687961935903</c:v>
                </c:pt>
                <c:pt idx="15">
                  <c:v>-0.60465596754463591</c:v>
                </c:pt>
                <c:pt idx="16">
                  <c:v>-0.56214537489451888</c:v>
                </c:pt>
                <c:pt idx="17">
                  <c:v>-0.11692747497662</c:v>
                </c:pt>
                <c:pt idx="18">
                  <c:v>-2.3744641328194094E-2</c:v>
                </c:pt>
                <c:pt idx="19">
                  <c:v>6.3997671725291819E-2</c:v>
                </c:pt>
                <c:pt idx="20">
                  <c:v>0.44573641172078676</c:v>
                </c:pt>
                <c:pt idx="21">
                  <c:v>0.28577811672487452</c:v>
                </c:pt>
              </c:numCache>
            </c:numRef>
          </c:val>
          <c:extLst>
            <c:ext xmlns:c16="http://schemas.microsoft.com/office/drawing/2014/chart" uri="{C3380CC4-5D6E-409C-BE32-E72D297353CC}">
              <c16:uniqueId val="{00000003-8A4C-4D47-9027-DECFDE5C5A63}"/>
            </c:ext>
          </c:extLst>
        </c:ser>
        <c:ser>
          <c:idx val="0"/>
          <c:order val="4"/>
          <c:tx>
            <c:strRef>
              <c:f>'souhrnná výkonnost 4'!$G$5</c:f>
              <c:strCache>
                <c:ptCount val="1"/>
                <c:pt idx="0">
                  <c:v>Services (CZ-NACE G to U)</c:v>
                </c:pt>
              </c:strCache>
            </c:strRef>
          </c:tx>
          <c:spPr>
            <a:solidFill>
              <a:srgbClr val="7DBB2D"/>
            </a:solidFill>
            <a:ln>
              <a:noFill/>
            </a:ln>
          </c:spPr>
          <c:invertIfNegative val="0"/>
          <c:val>
            <c:numRef>
              <c:f>'souhrnná výkonnost 4'!$G$26:$G$47</c:f>
              <c:numCache>
                <c:formatCode>#\ ##0.0</c:formatCode>
                <c:ptCount val="22"/>
                <c:pt idx="0">
                  <c:v>2.2567846902239754</c:v>
                </c:pt>
                <c:pt idx="1">
                  <c:v>2.9186309791713847</c:v>
                </c:pt>
                <c:pt idx="2">
                  <c:v>2.9697548900570783</c:v>
                </c:pt>
                <c:pt idx="3">
                  <c:v>3.2819135077275536</c:v>
                </c:pt>
                <c:pt idx="4">
                  <c:v>3.1084812332896234</c:v>
                </c:pt>
                <c:pt idx="5">
                  <c:v>2.7563352038547313</c:v>
                </c:pt>
                <c:pt idx="6" formatCode="General">
                  <c:v>2.6924043929265338</c:v>
                </c:pt>
                <c:pt idx="7" formatCode="General">
                  <c:v>2.6316200146897142</c:v>
                </c:pt>
                <c:pt idx="8" formatCode="General">
                  <c:v>2.4919003926236449</c:v>
                </c:pt>
                <c:pt idx="9" formatCode="General">
                  <c:v>2.2093063938623403</c:v>
                </c:pt>
                <c:pt idx="10" formatCode="General">
                  <c:v>2.1316318226048492</c:v>
                </c:pt>
                <c:pt idx="11" formatCode="General">
                  <c:v>2.1602853151609636</c:v>
                </c:pt>
                <c:pt idx="12" formatCode="General">
                  <c:v>0.60230691969475514</c:v>
                </c:pt>
                <c:pt idx="13" formatCode="General">
                  <c:v>-4.2582563012779078</c:v>
                </c:pt>
                <c:pt idx="14" formatCode="General">
                  <c:v>-2.0902678469504163</c:v>
                </c:pt>
                <c:pt idx="15" formatCode="General">
                  <c:v>-2.3497385311278536</c:v>
                </c:pt>
                <c:pt idx="16" formatCode="General">
                  <c:v>-1.3712021908072103</c:v>
                </c:pt>
                <c:pt idx="17" formatCode="General">
                  <c:v>4.7512811953342755</c:v>
                </c:pt>
                <c:pt idx="18" formatCode="General">
                  <c:v>3.6631661011885024</c:v>
                </c:pt>
                <c:pt idx="19" formatCode="General">
                  <c:v>4.0145526999127279</c:v>
                </c:pt>
                <c:pt idx="20" formatCode="General">
                  <c:v>3.7758161768203506</c:v>
                </c:pt>
                <c:pt idx="21" formatCode="General">
                  <c:v>2.9502590674859008</c:v>
                </c:pt>
              </c:numCache>
            </c:numRef>
          </c:val>
          <c:extLst>
            <c:ext xmlns:c16="http://schemas.microsoft.com/office/drawing/2014/chart" uri="{C3380CC4-5D6E-409C-BE32-E72D297353CC}">
              <c16:uniqueId val="{00000004-8A4C-4D47-9027-DECFDE5C5A63}"/>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4'!$H$26:$H$47</c:f>
              <c:numCache>
                <c:formatCode>#\ ##0.0</c:formatCode>
                <c:ptCount val="22"/>
                <c:pt idx="0">
                  <c:v>3.7354703358596737</c:v>
                </c:pt>
                <c:pt idx="1">
                  <c:v>6.0635693129024588</c:v>
                </c:pt>
                <c:pt idx="2">
                  <c:v>6.0551704530576131</c:v>
                </c:pt>
                <c:pt idx="3">
                  <c:v>5.7157111017319409</c:v>
                </c:pt>
                <c:pt idx="4">
                  <c:v>4.7985438750560263</c:v>
                </c:pt>
                <c:pt idx="5">
                  <c:v>2.9808255360502329</c:v>
                </c:pt>
                <c:pt idx="6">
                  <c:v>2.9311807438003399</c:v>
                </c:pt>
                <c:pt idx="7">
                  <c:v>2.9093096332303503</c:v>
                </c:pt>
                <c:pt idx="8">
                  <c:v>2.9841391815935907</c:v>
                </c:pt>
                <c:pt idx="9">
                  <c:v>3.1966587652537299</c:v>
                </c:pt>
                <c:pt idx="10">
                  <c:v>2.8977411942901767</c:v>
                </c:pt>
                <c:pt idx="11">
                  <c:v>2.6699223236542764</c:v>
                </c:pt>
                <c:pt idx="12">
                  <c:v>-1.0965543495417904</c:v>
                </c:pt>
                <c:pt idx="13">
                  <c:v>-10.953400191597822</c:v>
                </c:pt>
                <c:pt idx="14">
                  <c:v>-4.8704580385287244</c:v>
                </c:pt>
                <c:pt idx="15">
                  <c:v>-4.1854633683910549</c:v>
                </c:pt>
                <c:pt idx="16">
                  <c:v>-1.8438705492779803</c:v>
                </c:pt>
                <c:pt idx="17">
                  <c:v>9.3597124602441681</c:v>
                </c:pt>
                <c:pt idx="18">
                  <c:v>3.415690805020219</c:v>
                </c:pt>
                <c:pt idx="19">
                  <c:v>3.0229281746453722</c:v>
                </c:pt>
                <c:pt idx="20">
                  <c:v>3.9972524486681777</c:v>
                </c:pt>
                <c:pt idx="21">
                  <c:v>3.4039215956054534</c:v>
                </c:pt>
              </c:numCache>
            </c:numRef>
          </c:val>
          <c:smooth val="0"/>
          <c:extLst>
            <c:ext xmlns:c16="http://schemas.microsoft.com/office/drawing/2014/chart" uri="{C3380CC4-5D6E-409C-BE32-E72D297353CC}">
              <c16:uniqueId val="{00000005-8A4C-4D47-9027-DECFDE5C5A63}"/>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12"/>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4"/>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310364054111668E-2"/>
          <c:y val="1.6203544707895996E-2"/>
          <c:w val="0.83332110970003193"/>
          <c:h val="0.70160207211475611"/>
        </c:manualLayout>
      </c:layout>
      <c:barChart>
        <c:barDir val="col"/>
        <c:grouping val="stacked"/>
        <c:varyColors val="0"/>
        <c:ser>
          <c:idx val="0"/>
          <c:order val="0"/>
          <c:tx>
            <c:strRef>
              <c:f>'GRAF příspěvky IPP'!$A$27</c:f>
              <c:strCache>
                <c:ptCount val="1"/>
                <c:pt idx="0">
                  <c:v>Manufacture of transport equip. (29, 30)</c:v>
                </c:pt>
              </c:strCache>
            </c:strRef>
          </c:tx>
          <c:spPr>
            <a:solidFill>
              <a:srgbClr val="E8AFB2"/>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IPP'!$R$27:$AU$27</c:f>
              <c:numCache>
                <c:formatCode>0.0</c:formatCode>
                <c:ptCount val="30"/>
                <c:pt idx="0">
                  <c:v>1.5428898176392496</c:v>
                </c:pt>
                <c:pt idx="1">
                  <c:v>2.1743718256924107</c:v>
                </c:pt>
                <c:pt idx="2">
                  <c:v>2.3590492908960439</c:v>
                </c:pt>
                <c:pt idx="3">
                  <c:v>2.8772486090638396</c:v>
                </c:pt>
                <c:pt idx="4">
                  <c:v>3.3183568360577667</c:v>
                </c:pt>
                <c:pt idx="5">
                  <c:v>2.726135980015763</c:v>
                </c:pt>
                <c:pt idx="6">
                  <c:v>1.4737639394577176</c:v>
                </c:pt>
                <c:pt idx="7">
                  <c:v>1.0298153192049733</c:v>
                </c:pt>
                <c:pt idx="8">
                  <c:v>1.7609137024842152</c:v>
                </c:pt>
                <c:pt idx="9">
                  <c:v>2.1167862077962001</c:v>
                </c:pt>
                <c:pt idx="10">
                  <c:v>1.5869964664235507</c:v>
                </c:pt>
                <c:pt idx="11">
                  <c:v>1.681411454669806</c:v>
                </c:pt>
                <c:pt idx="12">
                  <c:v>0.74237714955218947</c:v>
                </c:pt>
                <c:pt idx="13">
                  <c:v>0.54613557309892891</c:v>
                </c:pt>
                <c:pt idx="14">
                  <c:v>0.23904640916369443</c:v>
                </c:pt>
                <c:pt idx="15">
                  <c:v>0.98490029941942658</c:v>
                </c:pt>
                <c:pt idx="16">
                  <c:v>-0.22712700654221288</c:v>
                </c:pt>
                <c:pt idx="17">
                  <c:v>0.47876328427856657</c:v>
                </c:pt>
                <c:pt idx="18">
                  <c:v>0.83775598681488828</c:v>
                </c:pt>
                <c:pt idx="19">
                  <c:v>-1.1010749377233835</c:v>
                </c:pt>
                <c:pt idx="20">
                  <c:v>-1.5402455662309271</c:v>
                </c:pt>
                <c:pt idx="21">
                  <c:v>-9.3904500983178529</c:v>
                </c:pt>
                <c:pt idx="22">
                  <c:v>-0.18484894361250637</c:v>
                </c:pt>
                <c:pt idx="23">
                  <c:v>2.0392469803827944</c:v>
                </c:pt>
                <c:pt idx="24">
                  <c:v>1.8923744068071238</c:v>
                </c:pt>
                <c:pt idx="25">
                  <c:v>11.014405395295928</c:v>
                </c:pt>
                <c:pt idx="26">
                  <c:v>-3.7911198727699187</c:v>
                </c:pt>
                <c:pt idx="27">
                  <c:v>-3.2574437128264524</c:v>
                </c:pt>
                <c:pt idx="28">
                  <c:v>-1.9456280417370344</c:v>
                </c:pt>
                <c:pt idx="29">
                  <c:v>-4.4814901435994925E-2</c:v>
                </c:pt>
              </c:numCache>
            </c:numRef>
          </c:val>
          <c:extLst>
            <c:ext xmlns:c16="http://schemas.microsoft.com/office/drawing/2014/chart" uri="{C3380CC4-5D6E-409C-BE32-E72D297353CC}">
              <c16:uniqueId val="{00000000-5C1D-4AC6-B0BF-AFD9FC8B5F33}"/>
            </c:ext>
          </c:extLst>
        </c:ser>
        <c:ser>
          <c:idx val="1"/>
          <c:order val="1"/>
          <c:tx>
            <c:strRef>
              <c:f>'GRAF příspěvky IPP'!$A$28</c:f>
              <c:strCache>
                <c:ptCount val="1"/>
                <c:pt idx="0">
                  <c:v>Rubber, electro technical ind. (22, 27)</c:v>
                </c:pt>
              </c:strCache>
            </c:strRef>
          </c:tx>
          <c:spPr>
            <a:solidFill>
              <a:srgbClr val="BD1B21"/>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IPP'!$R$28:$AU$28</c:f>
              <c:numCache>
                <c:formatCode>0.0</c:formatCode>
                <c:ptCount val="30"/>
                <c:pt idx="0">
                  <c:v>1.034672951175343</c:v>
                </c:pt>
                <c:pt idx="1">
                  <c:v>1.2402872249055439</c:v>
                </c:pt>
                <c:pt idx="2">
                  <c:v>1.3942884794721908</c:v>
                </c:pt>
                <c:pt idx="3">
                  <c:v>0.63756976588884984</c:v>
                </c:pt>
                <c:pt idx="4">
                  <c:v>0.7944903405734538</c:v>
                </c:pt>
                <c:pt idx="5">
                  <c:v>0.20047553290148593</c:v>
                </c:pt>
                <c:pt idx="6">
                  <c:v>0.26203247933087592</c:v>
                </c:pt>
                <c:pt idx="7">
                  <c:v>0.42925022381945577</c:v>
                </c:pt>
                <c:pt idx="8">
                  <c:v>0.85509469319178899</c:v>
                </c:pt>
                <c:pt idx="9">
                  <c:v>1.4003096522077234</c:v>
                </c:pt>
                <c:pt idx="10">
                  <c:v>0.85542183955477147</c:v>
                </c:pt>
                <c:pt idx="11">
                  <c:v>1.6527257176884005</c:v>
                </c:pt>
                <c:pt idx="12">
                  <c:v>0.96912614591005941</c:v>
                </c:pt>
                <c:pt idx="13">
                  <c:v>0.34015391143850388</c:v>
                </c:pt>
                <c:pt idx="14">
                  <c:v>0.42914077951440655</c:v>
                </c:pt>
                <c:pt idx="15">
                  <c:v>-4.0280326098931243E-2</c:v>
                </c:pt>
                <c:pt idx="16">
                  <c:v>0.52468036745672719</c:v>
                </c:pt>
                <c:pt idx="17">
                  <c:v>0.40727721709233999</c:v>
                </c:pt>
                <c:pt idx="18">
                  <c:v>0.23777798772963615</c:v>
                </c:pt>
                <c:pt idx="19">
                  <c:v>0.39315489791744185</c:v>
                </c:pt>
                <c:pt idx="20">
                  <c:v>-0.53386769400704515</c:v>
                </c:pt>
                <c:pt idx="21">
                  <c:v>-4.0551444930052307</c:v>
                </c:pt>
                <c:pt idx="22">
                  <c:v>-0.43167140643618573</c:v>
                </c:pt>
                <c:pt idx="23">
                  <c:v>0.57148883598763711</c:v>
                </c:pt>
                <c:pt idx="24">
                  <c:v>0.71769230327060185</c:v>
                </c:pt>
                <c:pt idx="25">
                  <c:v>5.5195370424373298</c:v>
                </c:pt>
                <c:pt idx="26">
                  <c:v>0.62878637219110189</c:v>
                </c:pt>
                <c:pt idx="27">
                  <c:v>-0.40393350982488374</c:v>
                </c:pt>
                <c:pt idx="28">
                  <c:v>5.5499001897766242E-2</c:v>
                </c:pt>
                <c:pt idx="29">
                  <c:v>3.5003887840017373E-2</c:v>
                </c:pt>
              </c:numCache>
            </c:numRef>
          </c:val>
          <c:extLst>
            <c:ext xmlns:c16="http://schemas.microsoft.com/office/drawing/2014/chart" uri="{C3380CC4-5D6E-409C-BE32-E72D297353CC}">
              <c16:uniqueId val="{00000001-5C1D-4AC6-B0BF-AFD9FC8B5F33}"/>
            </c:ext>
          </c:extLst>
        </c:ser>
        <c:ser>
          <c:idx val="2"/>
          <c:order val="2"/>
          <c:tx>
            <c:strRef>
              <c:f>'GRAF příspěvky IPP'!$A$29</c:f>
              <c:strCache>
                <c:ptCount val="1"/>
                <c:pt idx="0">
                  <c:v>Machinery (28)</c:v>
                </c:pt>
              </c:strCache>
            </c:strRef>
          </c:tx>
          <c:spPr>
            <a:solidFill>
              <a:srgbClr val="BFE3F7"/>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IPP'!$R$29:$AU$29</c:f>
              <c:numCache>
                <c:formatCode>0.0</c:formatCode>
                <c:ptCount val="30"/>
                <c:pt idx="0">
                  <c:v>0.27254464463314693</c:v>
                </c:pt>
                <c:pt idx="1">
                  <c:v>0.29396963786095853</c:v>
                </c:pt>
                <c:pt idx="2">
                  <c:v>0.39152523509606818</c:v>
                </c:pt>
                <c:pt idx="3">
                  <c:v>1.6200417736821196E-2</c:v>
                </c:pt>
                <c:pt idx="4">
                  <c:v>0.36694942006841863</c:v>
                </c:pt>
                <c:pt idx="5">
                  <c:v>-7.7911792574484814E-2</c:v>
                </c:pt>
                <c:pt idx="6">
                  <c:v>0.1987099016441323</c:v>
                </c:pt>
                <c:pt idx="7">
                  <c:v>0.31990708238357735</c:v>
                </c:pt>
                <c:pt idx="8">
                  <c:v>0.34959411680822744</c:v>
                </c:pt>
                <c:pt idx="9">
                  <c:v>1.0827590636445108</c:v>
                </c:pt>
                <c:pt idx="10">
                  <c:v>0.85295353330611445</c:v>
                </c:pt>
                <c:pt idx="11">
                  <c:v>0.80087396958540291</c:v>
                </c:pt>
                <c:pt idx="12">
                  <c:v>0.479471307913379</c:v>
                </c:pt>
                <c:pt idx="13">
                  <c:v>0.1423157226032094</c:v>
                </c:pt>
                <c:pt idx="14">
                  <c:v>0.18574582107238052</c:v>
                </c:pt>
                <c:pt idx="15">
                  <c:v>-0.19599700087649827</c:v>
                </c:pt>
                <c:pt idx="16">
                  <c:v>0.14262071470057108</c:v>
                </c:pt>
                <c:pt idx="17">
                  <c:v>-1.7720632744717035E-2</c:v>
                </c:pt>
                <c:pt idx="18">
                  <c:v>-0.26820737830766378</c:v>
                </c:pt>
                <c:pt idx="19">
                  <c:v>-0.13470183553131065</c:v>
                </c:pt>
                <c:pt idx="20">
                  <c:v>-0.70070857290029465</c:v>
                </c:pt>
                <c:pt idx="21">
                  <c:v>-2.1439518127357715</c:v>
                </c:pt>
                <c:pt idx="22">
                  <c:v>-0.79742744226132456</c:v>
                </c:pt>
                <c:pt idx="23">
                  <c:v>-0.53363467705880407</c:v>
                </c:pt>
                <c:pt idx="24">
                  <c:v>7.442127362308941E-2</c:v>
                </c:pt>
                <c:pt idx="25">
                  <c:v>2.0988525377286416</c:v>
                </c:pt>
                <c:pt idx="26">
                  <c:v>0.54425225953070189</c:v>
                </c:pt>
                <c:pt idx="27">
                  <c:v>0.28388210671185432</c:v>
                </c:pt>
                <c:pt idx="28">
                  <c:v>0.36150831154348245</c:v>
                </c:pt>
                <c:pt idx="29">
                  <c:v>7.8750693448340181E-2</c:v>
                </c:pt>
              </c:numCache>
            </c:numRef>
          </c:val>
          <c:extLst>
            <c:ext xmlns:c16="http://schemas.microsoft.com/office/drawing/2014/chart" uri="{C3380CC4-5D6E-409C-BE32-E72D297353CC}">
              <c16:uniqueId val="{00000002-5C1D-4AC6-B0BF-AFD9FC8B5F33}"/>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IPP'!$R$30:$AU$30</c:f>
              <c:numCache>
                <c:formatCode>0.0</c:formatCode>
                <c:ptCount val="30"/>
                <c:pt idx="0">
                  <c:v>0.69598466412593474</c:v>
                </c:pt>
                <c:pt idx="1">
                  <c:v>0.78523209830157625</c:v>
                </c:pt>
                <c:pt idx="2">
                  <c:v>0.97812808698582676</c:v>
                </c:pt>
                <c:pt idx="3">
                  <c:v>0.60585855548016065</c:v>
                </c:pt>
                <c:pt idx="4">
                  <c:v>0.7974142567928203</c:v>
                </c:pt>
                <c:pt idx="5">
                  <c:v>0.39435941300086852</c:v>
                </c:pt>
                <c:pt idx="6">
                  <c:v>0.22320292471013239</c:v>
                </c:pt>
                <c:pt idx="7">
                  <c:v>0.25093421694411544</c:v>
                </c:pt>
                <c:pt idx="8">
                  <c:v>0.420593323359785</c:v>
                </c:pt>
                <c:pt idx="9">
                  <c:v>0.91449350181259326</c:v>
                </c:pt>
                <c:pt idx="10">
                  <c:v>0.85069745323039048</c:v>
                </c:pt>
                <c:pt idx="11">
                  <c:v>0.96475784711286927</c:v>
                </c:pt>
                <c:pt idx="12">
                  <c:v>0.6496282287639249</c:v>
                </c:pt>
                <c:pt idx="13">
                  <c:v>0.47190400503104318</c:v>
                </c:pt>
                <c:pt idx="14">
                  <c:v>0.40332248383604502</c:v>
                </c:pt>
                <c:pt idx="15">
                  <c:v>0.15276873851363962</c:v>
                </c:pt>
                <c:pt idx="16">
                  <c:v>0.25794025853962294</c:v>
                </c:pt>
                <c:pt idx="17">
                  <c:v>8.1804977725853222E-3</c:v>
                </c:pt>
                <c:pt idx="18">
                  <c:v>-0.23678308583363922</c:v>
                </c:pt>
                <c:pt idx="19">
                  <c:v>-0.3569761365718796</c:v>
                </c:pt>
                <c:pt idx="20">
                  <c:v>-0.60281049456131075</c:v>
                </c:pt>
                <c:pt idx="21">
                  <c:v>-2.0861954788425607</c:v>
                </c:pt>
                <c:pt idx="22">
                  <c:v>-0.54448462883764237</c:v>
                </c:pt>
                <c:pt idx="23">
                  <c:v>0.14163094411535945</c:v>
                </c:pt>
                <c:pt idx="24">
                  <c:v>0.49125024176554588</c:v>
                </c:pt>
                <c:pt idx="25">
                  <c:v>3.0223090191369923</c:v>
                </c:pt>
                <c:pt idx="26">
                  <c:v>0.73330319150061429</c:v>
                </c:pt>
                <c:pt idx="27">
                  <c:v>-5.3025724220086883E-2</c:v>
                </c:pt>
                <c:pt idx="28">
                  <c:v>-4.6415274400140923E-3</c:v>
                </c:pt>
                <c:pt idx="29">
                  <c:v>-0.60372071421962681</c:v>
                </c:pt>
              </c:numCache>
            </c:numRef>
          </c:val>
          <c:extLst>
            <c:ext xmlns:c16="http://schemas.microsoft.com/office/drawing/2014/chart" uri="{C3380CC4-5D6E-409C-BE32-E72D297353CC}">
              <c16:uniqueId val="{00000003-5C1D-4AC6-B0BF-AFD9FC8B5F33}"/>
            </c:ext>
          </c:extLst>
        </c:ser>
        <c:ser>
          <c:idx val="4"/>
          <c:order val="4"/>
          <c:tx>
            <c:strRef>
              <c:f>'GRAF příspěvky IPP'!$A$31</c:f>
              <c:strCache>
                <c:ptCount val="1"/>
                <c:pt idx="0">
                  <c:v>PC, electronic and optical products (26)</c:v>
                </c:pt>
              </c:strCache>
            </c:strRef>
          </c:tx>
          <c:spPr>
            <a:solidFill>
              <a:srgbClr val="FDDEB3"/>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IPP'!$R$31:$AU$31</c:f>
              <c:numCache>
                <c:formatCode>0.0</c:formatCode>
                <c:ptCount val="30"/>
                <c:pt idx="0">
                  <c:v>0.10174478910853679</c:v>
                </c:pt>
                <c:pt idx="1">
                  <c:v>1.5828953523061507E-2</c:v>
                </c:pt>
                <c:pt idx="2">
                  <c:v>4.099582748163963E-2</c:v>
                </c:pt>
                <c:pt idx="3">
                  <c:v>-7.2764071813088554E-2</c:v>
                </c:pt>
                <c:pt idx="4">
                  <c:v>-5.3199772200864092E-3</c:v>
                </c:pt>
                <c:pt idx="5">
                  <c:v>6.0334021815885465E-2</c:v>
                </c:pt>
                <c:pt idx="6">
                  <c:v>5.0638983184188399E-2</c:v>
                </c:pt>
                <c:pt idx="7">
                  <c:v>0.16208161104378524</c:v>
                </c:pt>
                <c:pt idx="8">
                  <c:v>0.14164406764460333</c:v>
                </c:pt>
                <c:pt idx="9">
                  <c:v>0.36084600241723092</c:v>
                </c:pt>
                <c:pt idx="10">
                  <c:v>0.23025191154693395</c:v>
                </c:pt>
                <c:pt idx="11">
                  <c:v>0.23490510719047802</c:v>
                </c:pt>
                <c:pt idx="12">
                  <c:v>0.39487785017355559</c:v>
                </c:pt>
                <c:pt idx="13">
                  <c:v>0.15525543720367532</c:v>
                </c:pt>
                <c:pt idx="14">
                  <c:v>0.63668466142391178</c:v>
                </c:pt>
                <c:pt idx="15">
                  <c:v>0.31239835694712781</c:v>
                </c:pt>
                <c:pt idx="16">
                  <c:v>-0.11382932295885198</c:v>
                </c:pt>
                <c:pt idx="17">
                  <c:v>-4.341493446561568E-2</c:v>
                </c:pt>
                <c:pt idx="18">
                  <c:v>-0.61087240850785662</c:v>
                </c:pt>
                <c:pt idx="19">
                  <c:v>-0.34647971068415334</c:v>
                </c:pt>
                <c:pt idx="20">
                  <c:v>-9.3038606014309314E-2</c:v>
                </c:pt>
                <c:pt idx="21">
                  <c:v>-0.28123947830113627</c:v>
                </c:pt>
                <c:pt idx="22">
                  <c:v>4.928216360451528E-3</c:v>
                </c:pt>
                <c:pt idx="23">
                  <c:v>-6.4929215180494207E-3</c:v>
                </c:pt>
                <c:pt idx="24">
                  <c:v>0.12384333164341847</c:v>
                </c:pt>
                <c:pt idx="25">
                  <c:v>0.16463834361694596</c:v>
                </c:pt>
                <c:pt idx="26">
                  <c:v>0.21897710943271029</c:v>
                </c:pt>
                <c:pt idx="27">
                  <c:v>-0.21799141876560071</c:v>
                </c:pt>
                <c:pt idx="28">
                  <c:v>1.2964209575405533E-2</c:v>
                </c:pt>
                <c:pt idx="29">
                  <c:v>-1.6198412459303771E-2</c:v>
                </c:pt>
              </c:numCache>
            </c:numRef>
          </c:val>
          <c:extLst>
            <c:ext xmlns:c16="http://schemas.microsoft.com/office/drawing/2014/chart" uri="{C3380CC4-5D6E-409C-BE32-E72D297353CC}">
              <c16:uniqueId val="{00000004-5C1D-4AC6-B0BF-AFD9FC8B5F33}"/>
            </c:ext>
          </c:extLst>
        </c:ser>
        <c:ser>
          <c:idx val="5"/>
          <c:order val="5"/>
          <c:tx>
            <c:strRef>
              <c:f>'GRAF příspěvky IPP'!$A$32</c:f>
              <c:strCache>
                <c:ptCount val="1"/>
                <c:pt idx="0">
                  <c:v>Chemical, pharmaceutical ind. (20, 21)</c:v>
                </c:pt>
              </c:strCache>
            </c:strRef>
          </c:tx>
          <c:spPr>
            <a:solidFill>
              <a:srgbClr val="F8A124"/>
            </a:solidFill>
            <a:ln>
              <a:noFill/>
            </a:ln>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IPP'!$R$32:$AU$32</c:f>
              <c:numCache>
                <c:formatCode>0.0</c:formatCode>
                <c:ptCount val="30"/>
                <c:pt idx="0">
                  <c:v>7.7143378794105238E-2</c:v>
                </c:pt>
                <c:pt idx="1">
                  <c:v>0.23593739633638305</c:v>
                </c:pt>
                <c:pt idx="2">
                  <c:v>-0.1618035309720528</c:v>
                </c:pt>
                <c:pt idx="3">
                  <c:v>-0.33496224531375707</c:v>
                </c:pt>
                <c:pt idx="4">
                  <c:v>-0.41674583594172754</c:v>
                </c:pt>
                <c:pt idx="5">
                  <c:v>-0.4282443957917389</c:v>
                </c:pt>
                <c:pt idx="6">
                  <c:v>-0.10705569687500868</c:v>
                </c:pt>
                <c:pt idx="7">
                  <c:v>0.23734613396913962</c:v>
                </c:pt>
                <c:pt idx="8">
                  <c:v>0.52004631375398047</c:v>
                </c:pt>
                <c:pt idx="9">
                  <c:v>0.82674096187567125</c:v>
                </c:pt>
                <c:pt idx="10">
                  <c:v>0.6516009273870198</c:v>
                </c:pt>
                <c:pt idx="11">
                  <c:v>0.50475413241681488</c:v>
                </c:pt>
                <c:pt idx="12">
                  <c:v>0.40512406777705501</c:v>
                </c:pt>
                <c:pt idx="13">
                  <c:v>7.9522592595157926E-2</c:v>
                </c:pt>
                <c:pt idx="14">
                  <c:v>-5.31759637412869E-2</c:v>
                </c:pt>
                <c:pt idx="15">
                  <c:v>-6.9085533222069381E-2</c:v>
                </c:pt>
                <c:pt idx="16">
                  <c:v>0.10389114606048008</c:v>
                </c:pt>
                <c:pt idx="17">
                  <c:v>4.8518655211085254E-2</c:v>
                </c:pt>
                <c:pt idx="18">
                  <c:v>0.22788597854650419</c:v>
                </c:pt>
                <c:pt idx="19">
                  <c:v>3.146341110732534E-2</c:v>
                </c:pt>
                <c:pt idx="20">
                  <c:v>-3.2282293071107387E-2</c:v>
                </c:pt>
                <c:pt idx="21">
                  <c:v>-0.54854126720456842</c:v>
                </c:pt>
                <c:pt idx="22">
                  <c:v>-0.213470084635413</c:v>
                </c:pt>
                <c:pt idx="23">
                  <c:v>0.43258721577895853</c:v>
                </c:pt>
                <c:pt idx="24">
                  <c:v>0.2893088160243944</c:v>
                </c:pt>
                <c:pt idx="25">
                  <c:v>0.79587603601576418</c:v>
                </c:pt>
                <c:pt idx="26">
                  <c:v>0.31345423832215419</c:v>
                </c:pt>
                <c:pt idx="27">
                  <c:v>7.1322982247029793E-2</c:v>
                </c:pt>
                <c:pt idx="28">
                  <c:v>0.2614169033202951</c:v>
                </c:pt>
                <c:pt idx="29">
                  <c:v>0.21976140840423855</c:v>
                </c:pt>
              </c:numCache>
            </c:numRef>
          </c:val>
          <c:extLst>
            <c:ext xmlns:c16="http://schemas.microsoft.com/office/drawing/2014/chart" uri="{C3380CC4-5D6E-409C-BE32-E72D297353CC}">
              <c16:uniqueId val="{00000005-5C1D-4AC6-B0BF-AFD9FC8B5F33}"/>
            </c:ext>
          </c:extLst>
        </c:ser>
        <c:ser>
          <c:idx val="6"/>
          <c:order val="6"/>
          <c:tx>
            <c:strRef>
              <c:f>'GRAF příspěvky IPP'!$A$33</c:f>
              <c:strCache>
                <c:ptCount val="1"/>
                <c:pt idx="0">
                  <c:v>Remaining manufacturing industry</c:v>
                </c:pt>
              </c:strCache>
            </c:strRef>
          </c:tx>
          <c:spPr>
            <a:solidFill>
              <a:schemeClr val="bg1">
                <a:lumMod val="85000"/>
              </a:schemeClr>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IPP'!$R$33:$AU$33</c:f>
              <c:numCache>
                <c:formatCode>0.0</c:formatCode>
                <c:ptCount val="30"/>
                <c:pt idx="0">
                  <c:v>0.99790191745106926</c:v>
                </c:pt>
                <c:pt idx="1">
                  <c:v>0.89869551924785085</c:v>
                </c:pt>
                <c:pt idx="2">
                  <c:v>1.0140985408551135</c:v>
                </c:pt>
                <c:pt idx="3">
                  <c:v>-0.23144536420896189</c:v>
                </c:pt>
                <c:pt idx="4">
                  <c:v>0.26284587339298521</c:v>
                </c:pt>
                <c:pt idx="5">
                  <c:v>-0.36379862472242158</c:v>
                </c:pt>
                <c:pt idx="6">
                  <c:v>6.0778320295188704E-2</c:v>
                </c:pt>
                <c:pt idx="7">
                  <c:v>0.57462664260793739</c:v>
                </c:pt>
                <c:pt idx="8">
                  <c:v>7.0021742223497829E-2</c:v>
                </c:pt>
                <c:pt idx="9">
                  <c:v>1.4968765381346332</c:v>
                </c:pt>
                <c:pt idx="10">
                  <c:v>0.75563441850938817</c:v>
                </c:pt>
                <c:pt idx="11">
                  <c:v>0.97414760712501969</c:v>
                </c:pt>
                <c:pt idx="12">
                  <c:v>1.1572391799219797</c:v>
                </c:pt>
                <c:pt idx="13">
                  <c:v>0.6725057701913375</c:v>
                </c:pt>
                <c:pt idx="14">
                  <c:v>1.1043020585420495</c:v>
                </c:pt>
                <c:pt idx="15">
                  <c:v>0.49003903449396968</c:v>
                </c:pt>
                <c:pt idx="16">
                  <c:v>-4.5073361183030347E-2</c:v>
                </c:pt>
                <c:pt idx="17">
                  <c:v>4.2642071767505327E-2</c:v>
                </c:pt>
                <c:pt idx="18">
                  <c:v>-0.66202289851528051</c:v>
                </c:pt>
                <c:pt idx="19">
                  <c:v>-0.22564017800563624</c:v>
                </c:pt>
                <c:pt idx="20">
                  <c:v>7.6609618916825523E-2</c:v>
                </c:pt>
                <c:pt idx="21">
                  <c:v>-2.8303696478855001</c:v>
                </c:pt>
                <c:pt idx="22">
                  <c:v>8.2080517943730724E-2</c:v>
                </c:pt>
                <c:pt idx="23">
                  <c:v>9.7914848543596444E-2</c:v>
                </c:pt>
                <c:pt idx="24">
                  <c:v>0.23842276191980138</c:v>
                </c:pt>
                <c:pt idx="25">
                  <c:v>5.2056180943468355</c:v>
                </c:pt>
                <c:pt idx="26">
                  <c:v>1.0250381880628026</c:v>
                </c:pt>
                <c:pt idx="27">
                  <c:v>0.88803923654215866</c:v>
                </c:pt>
                <c:pt idx="28">
                  <c:v>1.0961632273711253</c:v>
                </c:pt>
                <c:pt idx="29">
                  <c:v>-1.3435453646883248E-2</c:v>
                </c:pt>
              </c:numCache>
            </c:numRef>
          </c:val>
          <c:extLst>
            <c:ext xmlns:c16="http://schemas.microsoft.com/office/drawing/2014/chart" uri="{C3380CC4-5D6E-409C-BE32-E72D297353CC}">
              <c16:uniqueId val="{00000006-5C1D-4AC6-B0BF-AFD9FC8B5F33}"/>
            </c:ext>
          </c:extLst>
        </c:ser>
        <c:ser>
          <c:idx val="7"/>
          <c:order val="7"/>
          <c:tx>
            <c:strRef>
              <c:f>'GRAF příspěvky IPP'!$A$34</c:f>
              <c:strCache>
                <c:ptCount val="1"/>
                <c:pt idx="0">
                  <c:v>Mining and energetics (B, D)</c:v>
                </c:pt>
              </c:strCache>
            </c:strRef>
          </c:tx>
          <c:spPr>
            <a:solidFill>
              <a:srgbClr val="808080"/>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IPP'!$R$34:$AU$34</c:f>
              <c:numCache>
                <c:formatCode>0.0</c:formatCode>
                <c:ptCount val="30"/>
                <c:pt idx="0">
                  <c:v>0.14536369337262112</c:v>
                </c:pt>
                <c:pt idx="1">
                  <c:v>-0.33984851886778389</c:v>
                </c:pt>
                <c:pt idx="2">
                  <c:v>-0.39719330301482159</c:v>
                </c:pt>
                <c:pt idx="3">
                  <c:v>-1.1146161627338653</c:v>
                </c:pt>
                <c:pt idx="4">
                  <c:v>-0.64581780602362893</c:v>
                </c:pt>
                <c:pt idx="5">
                  <c:v>9.8757674154636987E-2</c:v>
                </c:pt>
                <c:pt idx="6">
                  <c:v>-0.47678822664722548</c:v>
                </c:pt>
                <c:pt idx="7">
                  <c:v>0.5038061309270212</c:v>
                </c:pt>
                <c:pt idx="8">
                  <c:v>0.66217224583389844</c:v>
                </c:pt>
                <c:pt idx="9">
                  <c:v>-0.18248944438855802</c:v>
                </c:pt>
                <c:pt idx="10">
                  <c:v>0.77178193644183435</c:v>
                </c:pt>
                <c:pt idx="11">
                  <c:v>0.73275070181120505</c:v>
                </c:pt>
                <c:pt idx="12">
                  <c:v>-0.53887865891214681</c:v>
                </c:pt>
                <c:pt idx="13">
                  <c:v>4.2205690381435096E-3</c:v>
                </c:pt>
                <c:pt idx="14">
                  <c:v>0.78780707738879552</c:v>
                </c:pt>
                <c:pt idx="15">
                  <c:v>0.33124326032333173</c:v>
                </c:pt>
                <c:pt idx="16">
                  <c:v>0.21326016962669453</c:v>
                </c:pt>
                <c:pt idx="17">
                  <c:v>4.593311018825097E-2</c:v>
                </c:pt>
                <c:pt idx="18">
                  <c:v>-0.66562135602659178</c:v>
                </c:pt>
                <c:pt idx="19">
                  <c:v>-0.33090067760840614</c:v>
                </c:pt>
                <c:pt idx="20">
                  <c:v>-0.97349792913183197</c:v>
                </c:pt>
                <c:pt idx="21">
                  <c:v>-1.5874257911073824</c:v>
                </c:pt>
                <c:pt idx="22">
                  <c:v>-0.71569130332110786</c:v>
                </c:pt>
                <c:pt idx="23">
                  <c:v>-0.69509435773149675</c:v>
                </c:pt>
                <c:pt idx="24">
                  <c:v>0.48072783684602372</c:v>
                </c:pt>
                <c:pt idx="25">
                  <c:v>0.46348041122155126</c:v>
                </c:pt>
                <c:pt idx="26">
                  <c:v>0.22194542102983081</c:v>
                </c:pt>
                <c:pt idx="27">
                  <c:v>0.81362518103598558</c:v>
                </c:pt>
                <c:pt idx="28">
                  <c:v>-0.2397779840310221</c:v>
                </c:pt>
                <c:pt idx="29">
                  <c:v>0.21110565216920887</c:v>
                </c:pt>
              </c:numCache>
            </c:numRef>
          </c:val>
          <c:extLst>
            <c:ext xmlns:c16="http://schemas.microsoft.com/office/drawing/2014/chart" uri="{C3380CC4-5D6E-409C-BE32-E72D297353CC}">
              <c16:uniqueId val="{00000007-5C1D-4AC6-B0BF-AFD9FC8B5F33}"/>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Total output in industry (NACE B to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IPP'!$R$35:$AU$35</c:f>
              <c:numCache>
                <c:formatCode>0.0</c:formatCode>
                <c:ptCount val="30"/>
                <c:pt idx="0">
                  <c:v>4.8680422143000044</c:v>
                </c:pt>
                <c:pt idx="1">
                  <c:v>5.3061961757999967</c:v>
                </c:pt>
                <c:pt idx="2">
                  <c:v>5.6206823339000067</c:v>
                </c:pt>
                <c:pt idx="3">
                  <c:v>2.3853754886000047</c:v>
                </c:pt>
                <c:pt idx="4">
                  <c:v>4.4725174610999971</c:v>
                </c:pt>
                <c:pt idx="5">
                  <c:v>2.6060872329999967</c:v>
                </c:pt>
                <c:pt idx="6">
                  <c:v>1.6853621782999966</c:v>
                </c:pt>
                <c:pt idx="7">
                  <c:v>3.5082011612000059</c:v>
                </c:pt>
                <c:pt idx="8">
                  <c:v>4.7795069544999933</c:v>
                </c:pt>
                <c:pt idx="9">
                  <c:v>8.0197279076000001</c:v>
                </c:pt>
                <c:pt idx="10">
                  <c:v>6.5554667266000024</c:v>
                </c:pt>
                <c:pt idx="11">
                  <c:v>7.5425890917999965</c:v>
                </c:pt>
                <c:pt idx="12">
                  <c:v>4.2592401254999999</c:v>
                </c:pt>
                <c:pt idx="13">
                  <c:v>2.4107410409999943</c:v>
                </c:pt>
                <c:pt idx="14">
                  <c:v>3.7310032274999969</c:v>
                </c:pt>
                <c:pt idx="15">
                  <c:v>1.964924632000006</c:v>
                </c:pt>
                <c:pt idx="16">
                  <c:v>0.8561743111999931</c:v>
                </c:pt>
                <c:pt idx="17">
                  <c:v>0.96967285750000087</c:v>
                </c:pt>
                <c:pt idx="18">
                  <c:v>-1.1387464505999958</c:v>
                </c:pt>
                <c:pt idx="19">
                  <c:v>-2.0704594092999997</c:v>
                </c:pt>
                <c:pt idx="20">
                  <c:v>-4.3895227027000061</c:v>
                </c:pt>
                <c:pt idx="21">
                  <c:v>-22.944354622899994</c:v>
                </c:pt>
                <c:pt idx="22">
                  <c:v>-2.8132525742999945</c:v>
                </c:pt>
                <c:pt idx="23">
                  <c:v>2.0498311354999998</c:v>
                </c:pt>
                <c:pt idx="24">
                  <c:v>4.3072188157999989</c:v>
                </c:pt>
                <c:pt idx="25">
                  <c:v>28.285538922799986</c:v>
                </c:pt>
                <c:pt idx="26">
                  <c:v>-0.10536309270000309</c:v>
                </c:pt>
                <c:pt idx="27">
                  <c:v>-1.875524859099996</c:v>
                </c:pt>
                <c:pt idx="28">
                  <c:v>-0.40249589949999631</c:v>
                </c:pt>
                <c:pt idx="29">
                  <c:v>-0.13354783990000385</c:v>
                </c:pt>
              </c:numCache>
            </c:numRef>
          </c:val>
          <c:smooth val="0"/>
          <c:extLst>
            <c:ext xmlns:c16="http://schemas.microsoft.com/office/drawing/2014/chart" uri="{C3380CC4-5D6E-409C-BE32-E72D297353CC}">
              <c16:uniqueId val="{00000008-5C1D-4AC6-B0BF-AFD9FC8B5F33}"/>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IPP'!$R$36:$AU$36</c:f>
              <c:numCache>
                <c:formatCode>General</c:formatCode>
                <c:ptCount val="30"/>
              </c:numCache>
            </c:numRef>
          </c:val>
          <c:smooth val="0"/>
          <c:extLst>
            <c:ext xmlns:c16="http://schemas.microsoft.com/office/drawing/2014/chart" uri="{C3380CC4-5D6E-409C-BE32-E72D297353CC}">
              <c16:uniqueId val="{00000009-5C1D-4AC6-B0BF-AFD9FC8B5F33}"/>
            </c:ext>
          </c:extLst>
        </c:ser>
        <c:ser>
          <c:idx val="10"/>
          <c:order val="10"/>
          <c:tx>
            <c:strRef>
              <c:f>'GRAF příspěvky IPP'!$A$37</c:f>
              <c:strCache>
                <c:ptCount val="1"/>
                <c:pt idx="0">
                  <c:v>Output, total industry (basis 2015=100)</c:v>
                </c:pt>
              </c:strCache>
            </c:strRef>
          </c:tx>
          <c:spPr>
            <a:ln w="15875">
              <a:solidFill>
                <a:schemeClr val="tx1">
                  <a:lumMod val="95000"/>
                  <a:lumOff val="5000"/>
                </a:schemeClr>
              </a:solidFill>
            </a:ln>
          </c:spPr>
          <c:marker>
            <c:symbol val="none"/>
          </c:marker>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IPP'!$R$37:$AU$37</c:f>
              <c:numCache>
                <c:formatCode>##0.0</c:formatCode>
                <c:ptCount val="30"/>
                <c:pt idx="0">
                  <c:v>98.574612999999999</c:v>
                </c:pt>
                <c:pt idx="1">
                  <c:v>100.2847516667</c:v>
                </c:pt>
                <c:pt idx="2">
                  <c:v>101.35576500000001</c:v>
                </c:pt>
                <c:pt idx="3">
                  <c:v>100.49027700000001</c:v>
                </c:pt>
                <c:pt idx="4">
                  <c:v>102.93201833329999</c:v>
                </c:pt>
                <c:pt idx="5">
                  <c:v>102.6976626667</c:v>
                </c:pt>
                <c:pt idx="6">
                  <c:v>102.9735696667</c:v>
                </c:pt>
                <c:pt idx="7">
                  <c:v>104.036576</c:v>
                </c:pt>
                <c:pt idx="8">
                  <c:v>107.47989200000001</c:v>
                </c:pt>
                <c:pt idx="9">
                  <c:v>110.71636599999999</c:v>
                </c:pt>
                <c:pt idx="10">
                  <c:v>110.16904433329999</c:v>
                </c:pt>
                <c:pt idx="11">
                  <c:v>112.0549596667</c:v>
                </c:pt>
                <c:pt idx="12">
                  <c:v>112.30386300000001</c:v>
                </c:pt>
                <c:pt idx="13">
                  <c:v>113.5290806667</c:v>
                </c:pt>
                <c:pt idx="14">
                  <c:v>114.5448653333</c:v>
                </c:pt>
                <c:pt idx="15">
                  <c:v>113.75430799999999</c:v>
                </c:pt>
                <c:pt idx="16">
                  <c:v>113.2837286667</c:v>
                </c:pt>
                <c:pt idx="17">
                  <c:v>115.0417716667</c:v>
                </c:pt>
                <c:pt idx="18">
                  <c:v>112.92627733330001</c:v>
                </c:pt>
                <c:pt idx="19">
                  <c:v>111.2318066667</c:v>
                </c:pt>
                <c:pt idx="20">
                  <c:v>108.62233999999999</c:v>
                </c:pt>
                <c:pt idx="21">
                  <c:v>89.012085333300007</c:v>
                </c:pt>
                <c:pt idx="22">
                  <c:v>109.83611233329999</c:v>
                </c:pt>
                <c:pt idx="23">
                  <c:v>113.58640990329999</c:v>
                </c:pt>
                <c:pt idx="24">
                  <c:v>112.38678738669999</c:v>
                </c:pt>
                <c:pt idx="25">
                  <c:v>113.2188147033</c:v>
                </c:pt>
                <c:pt idx="26">
                  <c:v>110.50113561329999</c:v>
                </c:pt>
                <c:pt idx="27">
                  <c:v>111.05576473000001</c:v>
                </c:pt>
                <c:pt idx="28">
                  <c:v>112.41407472669999</c:v>
                </c:pt>
                <c:pt idx="29">
                  <c:v>113.36403853</c:v>
                </c:pt>
              </c:numCache>
            </c:numRef>
          </c:val>
          <c:smooth val="0"/>
          <c:extLst>
            <c:ext xmlns:c16="http://schemas.microsoft.com/office/drawing/2014/chart" uri="{C3380CC4-5D6E-409C-BE32-E72D297353CC}">
              <c16:uniqueId val="{0000000A-5C1D-4AC6-B0BF-AFD9FC8B5F33}"/>
            </c:ext>
          </c:extLst>
        </c:ser>
        <c:ser>
          <c:idx val="11"/>
          <c:order val="11"/>
          <c:tx>
            <c:strRef>
              <c:f>'GRAF příspěvky IPP'!$A$38</c:f>
              <c:strCache>
                <c:ptCount val="1"/>
                <c:pt idx="0">
                  <c:v>Sales, total industry (basis 2015=100)</c:v>
                </c:pt>
              </c:strCache>
            </c:strRef>
          </c:tx>
          <c:spPr>
            <a:ln w="15875">
              <a:solidFill>
                <a:schemeClr val="tx1">
                  <a:lumMod val="50000"/>
                  <a:lumOff val="50000"/>
                </a:schemeClr>
              </a:solidFill>
              <a:prstDash val="sysDash"/>
            </a:ln>
          </c:spPr>
          <c:marker>
            <c:symbol val="none"/>
          </c:marker>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IPP'!$R$38:$AU$38</c:f>
              <c:numCache>
                <c:formatCode>##0.0</c:formatCode>
                <c:ptCount val="30"/>
                <c:pt idx="0">
                  <c:v>98.907043999999999</c:v>
                </c:pt>
                <c:pt idx="1">
                  <c:v>100.54670466669999</c:v>
                </c:pt>
                <c:pt idx="2">
                  <c:v>100.773518</c:v>
                </c:pt>
                <c:pt idx="3">
                  <c:v>99.772733333299996</c:v>
                </c:pt>
                <c:pt idx="4">
                  <c:v>100.10357233329999</c:v>
                </c:pt>
                <c:pt idx="5">
                  <c:v>99.118572666700004</c:v>
                </c:pt>
                <c:pt idx="6">
                  <c:v>100.72800933329999</c:v>
                </c:pt>
                <c:pt idx="7">
                  <c:v>103.334605</c:v>
                </c:pt>
                <c:pt idx="8">
                  <c:v>106.6903113333</c:v>
                </c:pt>
                <c:pt idx="9">
                  <c:v>109.487612</c:v>
                </c:pt>
                <c:pt idx="10">
                  <c:v>107.757486</c:v>
                </c:pt>
                <c:pt idx="11">
                  <c:v>109.0894736667</c:v>
                </c:pt>
                <c:pt idx="12">
                  <c:v>109.80780633329999</c:v>
                </c:pt>
                <c:pt idx="13">
                  <c:v>110.94641900000001</c:v>
                </c:pt>
                <c:pt idx="14">
                  <c:v>113.397482</c:v>
                </c:pt>
                <c:pt idx="15">
                  <c:v>114.4444003333</c:v>
                </c:pt>
                <c:pt idx="16">
                  <c:v>113.07990866670001</c:v>
                </c:pt>
                <c:pt idx="17">
                  <c:v>115.1605773333</c:v>
                </c:pt>
                <c:pt idx="18">
                  <c:v>112.71459033329999</c:v>
                </c:pt>
                <c:pt idx="19">
                  <c:v>111.6593636667</c:v>
                </c:pt>
                <c:pt idx="20">
                  <c:v>108.8700823333</c:v>
                </c:pt>
                <c:pt idx="21">
                  <c:v>88.635897666700004</c:v>
                </c:pt>
                <c:pt idx="22">
                  <c:v>111.65176</c:v>
                </c:pt>
                <c:pt idx="23">
                  <c:v>116.71428941000001</c:v>
                </c:pt>
                <c:pt idx="24">
                  <c:v>115.62027859</c:v>
                </c:pt>
                <c:pt idx="25">
                  <c:v>117.77609879000001</c:v>
                </c:pt>
                <c:pt idx="26">
                  <c:v>116.1443720133</c:v>
                </c:pt>
                <c:pt idx="27">
                  <c:v>120.6537618333</c:v>
                </c:pt>
                <c:pt idx="28">
                  <c:v>126.51249093</c:v>
                </c:pt>
                <c:pt idx="29">
                  <c:v>132.41450436330001</c:v>
                </c:pt>
              </c:numCache>
            </c:numRef>
          </c:val>
          <c:smooth val="0"/>
          <c:extLst>
            <c:ext xmlns:c16="http://schemas.microsoft.com/office/drawing/2014/chart" uri="{C3380CC4-5D6E-409C-BE32-E72D297353CC}">
              <c16:uniqueId val="{0000000B-5C1D-4AC6-B0BF-AFD9FC8B5F33}"/>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35"/>
          <c:min val="-25"/>
        </c:scaling>
        <c:delete val="0"/>
        <c:axPos val="l"/>
        <c:majorGridlines>
          <c:spPr>
            <a:ln>
              <a:solidFill>
                <a:srgbClr val="BEBEBE"/>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baseline="0">
                    <a:effectLst/>
                  </a:rPr>
                  <a:t>Contribution to change of industrial output</a:t>
                </a:r>
              </a:p>
            </c:rich>
          </c:tx>
          <c:layout>
            <c:manualLayout>
              <c:xMode val="edge"/>
              <c:yMode val="edge"/>
              <c:x val="0"/>
              <c:y val="0.10763465309085851"/>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5"/>
      </c:valAx>
      <c:valAx>
        <c:axId val="1513729024"/>
        <c:scaling>
          <c:orientation val="minMax"/>
          <c:max val="135"/>
          <c:min val="75"/>
        </c:scaling>
        <c:delete val="0"/>
        <c:axPos val="r"/>
        <c:title>
          <c:tx>
            <c:rich>
              <a:bodyPr/>
              <a:lstStyle/>
              <a:p>
                <a:pPr>
                  <a:defRPr sz="700" b="0" i="1">
                    <a:latin typeface="Arial" panose="020B0604020202020204" pitchFamily="34" charset="0"/>
                    <a:cs typeface="Arial" panose="020B0604020202020204" pitchFamily="34" charset="0"/>
                  </a:defRPr>
                </a:pPr>
                <a:r>
                  <a:rPr lang="en-GB" sz="700" b="0" i="1" u="none" strike="noStrike" baseline="0">
                    <a:effectLst/>
                  </a:rPr>
                  <a:t>Output, </a:t>
                </a:r>
                <a:r>
                  <a:rPr lang="cs-CZ" sz="700" b="0" i="1" u="none" strike="noStrike" baseline="0">
                    <a:effectLst/>
                  </a:rPr>
                  <a:t>S</a:t>
                </a:r>
                <a:r>
                  <a:rPr lang="en-GB" sz="700" b="0" i="1" u="none" strike="noStrike" baseline="0">
                    <a:effectLst/>
                  </a:rPr>
                  <a:t>ales in the entire industry (basis 2015=100)</a:t>
                </a:r>
                <a:endParaRPr lang="cs-CZ" sz="700" b="0" i="1">
                  <a:latin typeface="Arial" panose="020B0604020202020204" pitchFamily="34" charset="0"/>
                  <a:cs typeface="Arial" panose="020B0604020202020204" pitchFamily="34" charset="0"/>
                </a:endParaRPr>
              </a:p>
            </c:rich>
          </c:tx>
          <c:layout>
            <c:manualLayout>
              <c:xMode val="edge"/>
              <c:yMode val="edge"/>
              <c:x val="0.97073906692287293"/>
              <c:y val="0.10785719131595946"/>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79966237038124E-3"/>
          <c:y val="0.80683051052190613"/>
          <c:w val="0.98595611758534796"/>
          <c:h val="0.1861646296497515"/>
        </c:manualLayout>
      </c:layout>
      <c:overlay val="0"/>
      <c:spPr>
        <a:ln w="6350">
          <a:solidFill>
            <a:prstClr val="black">
              <a:lumMod val="95000"/>
              <a:lumOff val="5000"/>
            </a:prstClr>
          </a:solidFill>
        </a:ln>
      </c:spPr>
      <c:txPr>
        <a:bodyPr/>
        <a:lstStyle/>
        <a:p>
          <a:pPr>
            <a:defRPr sz="78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279531769997223E-2"/>
          <c:y val="1.6197410346103062E-2"/>
          <c:w val="0.8551583511827231"/>
          <c:h val="0.77626889638420915"/>
        </c:manualLayout>
      </c:layout>
      <c:barChart>
        <c:barDir val="col"/>
        <c:grouping val="clustered"/>
        <c:varyColors val="0"/>
        <c:ser>
          <c:idx val="0"/>
          <c:order val="0"/>
          <c:tx>
            <c:strRef>
              <c:f>'výkonnost odvětví 2'!$A$36</c:f>
              <c:strCache>
                <c:ptCount val="1"/>
                <c:pt idx="0">
                  <c:v>Total orders (all industry)</c:v>
                </c:pt>
              </c:strCache>
            </c:strRef>
          </c:tx>
          <c:spPr>
            <a:solidFill>
              <a:schemeClr val="bg1">
                <a:lumMod val="75000"/>
              </a:schemeClr>
            </a:solidFill>
            <a:ln>
              <a:noFill/>
            </a:ln>
          </c:spPr>
          <c:invertIfNegative val="0"/>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2'!$R$36:$AV$36</c:f>
              <c:numCache>
                <c:formatCode>##0.0</c:formatCode>
                <c:ptCount val="31"/>
                <c:pt idx="0">
                  <c:v>8.5341066790000042</c:v>
                </c:pt>
                <c:pt idx="1">
                  <c:v>6.3751337507000017</c:v>
                </c:pt>
                <c:pt idx="2">
                  <c:v>6.0389152520999971</c:v>
                </c:pt>
                <c:pt idx="3">
                  <c:v>5.2688806407000044</c:v>
                </c:pt>
                <c:pt idx="4">
                  <c:v>2.6303368083000009</c:v>
                </c:pt>
                <c:pt idx="5">
                  <c:v>7.5468571480000008</c:v>
                </c:pt>
                <c:pt idx="6">
                  <c:v>2.3582562295000002</c:v>
                </c:pt>
                <c:pt idx="7">
                  <c:v>6.6387502374000036</c:v>
                </c:pt>
                <c:pt idx="8">
                  <c:v>7.2930461770999955</c:v>
                </c:pt>
                <c:pt idx="9">
                  <c:v>8.1858416139999974</c:v>
                </c:pt>
                <c:pt idx="10">
                  <c:v>7.9475457356000021</c:v>
                </c:pt>
                <c:pt idx="11">
                  <c:v>7.3525292791999988</c:v>
                </c:pt>
                <c:pt idx="12">
                  <c:v>3.4332835439000036</c:v>
                </c:pt>
                <c:pt idx="13">
                  <c:v>3.7186041536999994</c:v>
                </c:pt>
                <c:pt idx="14">
                  <c:v>3.8026421203999945</c:v>
                </c:pt>
                <c:pt idx="15">
                  <c:v>3.106459229500004</c:v>
                </c:pt>
                <c:pt idx="16">
                  <c:v>3.2183595436000019</c:v>
                </c:pt>
                <c:pt idx="17">
                  <c:v>1.4149495925999958</c:v>
                </c:pt>
                <c:pt idx="18">
                  <c:v>-0.22815532609999423</c:v>
                </c:pt>
                <c:pt idx="19">
                  <c:v>-3.810834207100001</c:v>
                </c:pt>
                <c:pt idx="20">
                  <c:v>-2.0840873764000065</c:v>
                </c:pt>
                <c:pt idx="21">
                  <c:v>-27.668452791999997</c:v>
                </c:pt>
                <c:pt idx="22">
                  <c:v>-1.3192166399000058</c:v>
                </c:pt>
                <c:pt idx="23">
                  <c:v>7.153462935099995</c:v>
                </c:pt>
                <c:pt idx="24">
                  <c:v>8.3618521875999932</c:v>
                </c:pt>
                <c:pt idx="25">
                  <c:v>47.915211444400001</c:v>
                </c:pt>
                <c:pt idx="26">
                  <c:v>7.3046118512999954</c:v>
                </c:pt>
                <c:pt idx="27">
                  <c:v>3.5894517538000059</c:v>
                </c:pt>
                <c:pt idx="28">
                  <c:v>5.6042060614000064</c:v>
                </c:pt>
                <c:pt idx="29">
                  <c:v>9.2735155486000025</c:v>
                </c:pt>
              </c:numCache>
            </c:numRef>
          </c:val>
          <c:extLst>
            <c:ext xmlns:c16="http://schemas.microsoft.com/office/drawing/2014/chart" uri="{C3380CC4-5D6E-409C-BE32-E72D297353CC}">
              <c16:uniqueId val="{00000000-9BB8-4188-81AF-8740143235AB}"/>
            </c:ext>
          </c:extLst>
        </c:ser>
        <c:dLbls>
          <c:showLegendKey val="0"/>
          <c:showVal val="0"/>
          <c:showCatName val="0"/>
          <c:showSerName val="0"/>
          <c:showPercent val="0"/>
          <c:showBubbleSize val="0"/>
        </c:dLbls>
        <c:gapWidth val="30"/>
        <c:axId val="112768128"/>
        <c:axId val="112769664"/>
      </c:barChart>
      <c:lineChart>
        <c:grouping val="standard"/>
        <c:varyColors val="0"/>
        <c:ser>
          <c:idx val="1"/>
          <c:order val="1"/>
          <c:tx>
            <c:strRef>
              <c:f>'výkonnost odvětví 2'!$A$37</c:f>
              <c:strCache>
                <c:ptCount val="1"/>
                <c:pt idx="0">
                  <c:v>In that: domestic orders</c:v>
                </c:pt>
              </c:strCache>
            </c:strRef>
          </c:tx>
          <c:spPr>
            <a:ln w="15875">
              <a:noFill/>
              <a:prstDash val="sysDot"/>
            </a:ln>
          </c:spPr>
          <c:marker>
            <c:symbol val="diamond"/>
            <c:size val="5"/>
            <c:spPr>
              <a:solidFill>
                <a:srgbClr val="984807"/>
              </a:solidFill>
              <a:ln>
                <a:noFill/>
              </a:ln>
            </c:spPr>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2'!$R$37:$AV$37</c:f>
              <c:numCache>
                <c:formatCode>##0.0</c:formatCode>
                <c:ptCount val="31"/>
                <c:pt idx="0">
                  <c:v>4.3678555678000066</c:v>
                </c:pt>
                <c:pt idx="1">
                  <c:v>9.9380074582000049</c:v>
                </c:pt>
                <c:pt idx="2">
                  <c:v>-2.8625917786000059</c:v>
                </c:pt>
                <c:pt idx="3">
                  <c:v>-0.24449638430000675</c:v>
                </c:pt>
                <c:pt idx="4">
                  <c:v>1.5608556055999969</c:v>
                </c:pt>
                <c:pt idx="5">
                  <c:v>1.4530189575000065</c:v>
                </c:pt>
                <c:pt idx="6">
                  <c:v>0.19507191760000353</c:v>
                </c:pt>
                <c:pt idx="7">
                  <c:v>2.810568046100002</c:v>
                </c:pt>
                <c:pt idx="8">
                  <c:v>12.6195755233</c:v>
                </c:pt>
                <c:pt idx="9">
                  <c:v>15.740843176200002</c:v>
                </c:pt>
                <c:pt idx="10">
                  <c:v>15.881411785300003</c:v>
                </c:pt>
                <c:pt idx="11">
                  <c:v>15.4396235432</c:v>
                </c:pt>
                <c:pt idx="12">
                  <c:v>1.4059943362999974</c:v>
                </c:pt>
                <c:pt idx="13">
                  <c:v>2.5119296337000065</c:v>
                </c:pt>
                <c:pt idx="14">
                  <c:v>4.7248831052000071</c:v>
                </c:pt>
                <c:pt idx="15">
                  <c:v>3.5273288478999945</c:v>
                </c:pt>
                <c:pt idx="16">
                  <c:v>8.0476176921000047</c:v>
                </c:pt>
                <c:pt idx="17">
                  <c:v>5.293639082599995</c:v>
                </c:pt>
                <c:pt idx="18">
                  <c:v>0.41940306940000482</c:v>
                </c:pt>
                <c:pt idx="19">
                  <c:v>-1.3456257084999947</c:v>
                </c:pt>
                <c:pt idx="20">
                  <c:v>5.5521264895999991</c:v>
                </c:pt>
                <c:pt idx="21">
                  <c:v>-25.896794335699994</c:v>
                </c:pt>
                <c:pt idx="22">
                  <c:v>-3.0500801793999983</c:v>
                </c:pt>
                <c:pt idx="23">
                  <c:v>6.9104797819999959</c:v>
                </c:pt>
                <c:pt idx="24">
                  <c:v>-2.8581604621000025</c:v>
                </c:pt>
                <c:pt idx="25">
                  <c:v>43.489576627600002</c:v>
                </c:pt>
                <c:pt idx="26">
                  <c:v>9.2735181054000009</c:v>
                </c:pt>
                <c:pt idx="27">
                  <c:v>5.408635117299994</c:v>
                </c:pt>
                <c:pt idx="28">
                  <c:v>7.1754980175000043</c:v>
                </c:pt>
                <c:pt idx="29">
                  <c:v>14.123119904199996</c:v>
                </c:pt>
              </c:numCache>
            </c:numRef>
          </c:val>
          <c:smooth val="0"/>
          <c:extLst>
            <c:ext xmlns:c16="http://schemas.microsoft.com/office/drawing/2014/chart" uri="{C3380CC4-5D6E-409C-BE32-E72D297353CC}">
              <c16:uniqueId val="{00000001-9BB8-4188-81AF-8740143235AB}"/>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2"/>
          <c:order val="2"/>
          <c:tx>
            <c:strRef>
              <c:f>'výkonnost odvětví 2'!$A$38</c:f>
              <c:strCache>
                <c:ptCount val="1"/>
                <c:pt idx="0">
                  <c:v>Utilisation of prod. capacities (all industry)</c:v>
                </c:pt>
              </c:strCache>
            </c:strRef>
          </c:tx>
          <c:spPr>
            <a:ln w="15875">
              <a:solidFill>
                <a:schemeClr val="accent6">
                  <a:lumMod val="75000"/>
                </a:schemeClr>
              </a:solidFill>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2'!$R$38:$AV$38</c:f>
              <c:numCache>
                <c:formatCode>##0.0</c:formatCode>
                <c:ptCount val="31"/>
                <c:pt idx="0">
                  <c:v>85.4</c:v>
                </c:pt>
                <c:pt idx="1">
                  <c:v>85.1</c:v>
                </c:pt>
                <c:pt idx="2">
                  <c:v>85</c:v>
                </c:pt>
                <c:pt idx="3">
                  <c:v>84.1</c:v>
                </c:pt>
                <c:pt idx="4">
                  <c:v>83.7</c:v>
                </c:pt>
                <c:pt idx="5">
                  <c:v>85.2</c:v>
                </c:pt>
                <c:pt idx="6">
                  <c:v>84.4</c:v>
                </c:pt>
                <c:pt idx="7">
                  <c:v>84.7</c:v>
                </c:pt>
                <c:pt idx="8">
                  <c:v>84.4</c:v>
                </c:pt>
                <c:pt idx="9">
                  <c:v>83.4</c:v>
                </c:pt>
                <c:pt idx="10">
                  <c:v>84.2</c:v>
                </c:pt>
                <c:pt idx="11">
                  <c:v>84.7</c:v>
                </c:pt>
                <c:pt idx="12">
                  <c:v>85.8</c:v>
                </c:pt>
                <c:pt idx="13">
                  <c:v>85.4</c:v>
                </c:pt>
                <c:pt idx="14">
                  <c:v>86.2</c:v>
                </c:pt>
                <c:pt idx="15">
                  <c:v>85.7</c:v>
                </c:pt>
                <c:pt idx="16">
                  <c:v>85.7</c:v>
                </c:pt>
                <c:pt idx="17">
                  <c:v>85.7</c:v>
                </c:pt>
                <c:pt idx="18">
                  <c:v>84.8</c:v>
                </c:pt>
                <c:pt idx="19">
                  <c:v>84</c:v>
                </c:pt>
                <c:pt idx="20">
                  <c:v>84.3</c:v>
                </c:pt>
                <c:pt idx="21">
                  <c:v>69.400000000000006</c:v>
                </c:pt>
                <c:pt idx="22">
                  <c:v>76.2</c:v>
                </c:pt>
                <c:pt idx="23">
                  <c:v>83</c:v>
                </c:pt>
                <c:pt idx="24">
                  <c:v>85.7</c:v>
                </c:pt>
                <c:pt idx="25">
                  <c:v>85</c:v>
                </c:pt>
                <c:pt idx="26">
                  <c:v>88.1</c:v>
                </c:pt>
                <c:pt idx="27">
                  <c:v>76.5</c:v>
                </c:pt>
                <c:pt idx="28">
                  <c:v>83.3</c:v>
                </c:pt>
                <c:pt idx="29">
                  <c:v>81.599999999999994</c:v>
                </c:pt>
                <c:pt idx="30">
                  <c:v>83.2</c:v>
                </c:pt>
              </c:numCache>
            </c:numRef>
          </c:val>
          <c:smooth val="0"/>
          <c:extLst>
            <c:ext xmlns:c16="http://schemas.microsoft.com/office/drawing/2014/chart" uri="{C3380CC4-5D6E-409C-BE32-E72D297353CC}">
              <c16:uniqueId val="{00000002-9BB8-4188-81AF-8740143235AB}"/>
            </c:ext>
          </c:extLst>
        </c:ser>
        <c:ser>
          <c:idx val="3"/>
          <c:order val="3"/>
          <c:tx>
            <c:strRef>
              <c:f>'výkonnost odvětví 2'!$A$39</c:f>
              <c:strCache>
                <c:ptCount val="1"/>
                <c:pt idx="0">
                  <c:v>Utilisation of capacities (motor vehicles ind.)</c:v>
                </c:pt>
              </c:strCache>
            </c:strRef>
          </c:tx>
          <c:spPr>
            <a:ln w="15875">
              <a:solidFill>
                <a:schemeClr val="accent6">
                  <a:lumMod val="75000"/>
                </a:schemeClr>
              </a:solidFill>
              <a:prstDash val="sysDash"/>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2'!$R$39:$AV$39</c:f>
              <c:numCache>
                <c:formatCode>##0.0</c:formatCode>
                <c:ptCount val="31"/>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numCache>
            </c:numRef>
          </c:val>
          <c:smooth val="0"/>
          <c:extLst>
            <c:ext xmlns:c16="http://schemas.microsoft.com/office/drawing/2014/chart" uri="{C3380CC4-5D6E-409C-BE32-E72D297353CC}">
              <c16:uniqueId val="{00000003-9BB8-4188-81AF-8740143235AB}"/>
            </c:ext>
          </c:extLst>
        </c:ser>
        <c:ser>
          <c:idx val="4"/>
          <c:order val="4"/>
          <c:tx>
            <c:strRef>
              <c:f>'výkonnost odvětví 2'!$A$40</c:f>
              <c:strCache>
                <c:ptCount val="1"/>
                <c:pt idx="0">
                  <c:v>Growth barrier: inadequate demand</c:v>
                </c:pt>
              </c:strCache>
            </c:strRef>
          </c:tx>
          <c:spPr>
            <a:ln w="15875">
              <a:solidFill>
                <a:srgbClr val="00B050"/>
              </a:solidFill>
              <a:prstDash val="dash"/>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2'!$R$40:$AV$40</c:f>
              <c:numCache>
                <c:formatCode>#\ ##0.0</c:formatCode>
                <c:ptCount val="31"/>
                <c:pt idx="0">
                  <c:v>45.3</c:v>
                </c:pt>
                <c:pt idx="1">
                  <c:v>49.6</c:v>
                </c:pt>
                <c:pt idx="2">
                  <c:v>49.7</c:v>
                </c:pt>
                <c:pt idx="3">
                  <c:v>46.4</c:v>
                </c:pt>
                <c:pt idx="4">
                  <c:v>45.9</c:v>
                </c:pt>
                <c:pt idx="5">
                  <c:v>44.6</c:v>
                </c:pt>
                <c:pt idx="6">
                  <c:v>43.8</c:v>
                </c:pt>
                <c:pt idx="7">
                  <c:v>42.9</c:v>
                </c:pt>
                <c:pt idx="8">
                  <c:v>42.7</c:v>
                </c:pt>
                <c:pt idx="9">
                  <c:v>41</c:v>
                </c:pt>
                <c:pt idx="10">
                  <c:v>41.2</c:v>
                </c:pt>
                <c:pt idx="11">
                  <c:v>35.799999999999997</c:v>
                </c:pt>
                <c:pt idx="12">
                  <c:v>35.4</c:v>
                </c:pt>
                <c:pt idx="13">
                  <c:v>36.299999999999997</c:v>
                </c:pt>
                <c:pt idx="14">
                  <c:v>32.4</c:v>
                </c:pt>
                <c:pt idx="15">
                  <c:v>32.9</c:v>
                </c:pt>
                <c:pt idx="16">
                  <c:v>33.799999999999997</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numCache>
            </c:numRef>
          </c:val>
          <c:smooth val="0"/>
          <c:extLst>
            <c:ext xmlns:c16="http://schemas.microsoft.com/office/drawing/2014/chart" uri="{C3380CC4-5D6E-409C-BE32-E72D297353CC}">
              <c16:uniqueId val="{00000004-9BB8-4188-81AF-8740143235AB}"/>
            </c:ext>
          </c:extLst>
        </c:ser>
        <c:ser>
          <c:idx val="5"/>
          <c:order val="5"/>
          <c:tx>
            <c:strRef>
              <c:f>'výkonnost odvětví 2'!$A$41</c:f>
              <c:strCache>
                <c:ptCount val="1"/>
                <c:pt idx="0">
                  <c:v>Growth barrier: lack of workers</c:v>
                </c:pt>
              </c:strCache>
            </c:strRef>
          </c:tx>
          <c:spPr>
            <a:ln w="15875">
              <a:solidFill>
                <a:srgbClr val="92D050"/>
              </a:solidFill>
              <a:prstDash val="sysDash"/>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2'!$R$41:$AV$41</c:f>
              <c:numCache>
                <c:formatCode>#\ ##0.0</c:formatCode>
                <c:ptCount val="31"/>
                <c:pt idx="0">
                  <c:v>6.1</c:v>
                </c:pt>
                <c:pt idx="1">
                  <c:v>6.9</c:v>
                </c:pt>
                <c:pt idx="2">
                  <c:v>8.6999999999999993</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numCache>
            </c:numRef>
          </c:val>
          <c:smooth val="0"/>
          <c:extLst>
            <c:ext xmlns:c16="http://schemas.microsoft.com/office/drawing/2014/chart" uri="{C3380CC4-5D6E-409C-BE32-E72D297353CC}">
              <c16:uniqueId val="{00000005-9BB8-4188-81AF-8740143235AB}"/>
            </c:ext>
          </c:extLst>
        </c:ser>
        <c:ser>
          <c:idx val="6"/>
          <c:order val="6"/>
          <c:tx>
            <c:strRef>
              <c:f>'výkonnost odvětví 2'!$A$42</c:f>
              <c:strCache>
                <c:ptCount val="1"/>
                <c:pt idx="0">
                  <c:v>Growth barrier: shortage of material/equip.</c:v>
                </c:pt>
              </c:strCache>
            </c:strRef>
          </c:tx>
          <c:spPr>
            <a:ln w="15875">
              <a:solidFill>
                <a:srgbClr val="00B050"/>
              </a:solidFill>
              <a:prstDash val="solid"/>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2'!$R$42:$AV$42</c:f>
              <c:numCache>
                <c:formatCode>#\ ##0.0</c:formatCode>
                <c:ptCount val="31"/>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10.199999999999999</c:v>
                </c:pt>
                <c:pt idx="22">
                  <c:v>6.7</c:v>
                </c:pt>
                <c:pt idx="23">
                  <c:v>10.9</c:v>
                </c:pt>
                <c:pt idx="24">
                  <c:v>23.1</c:v>
                </c:pt>
                <c:pt idx="25">
                  <c:v>32.1</c:v>
                </c:pt>
                <c:pt idx="26">
                  <c:v>45.9</c:v>
                </c:pt>
                <c:pt idx="27">
                  <c:v>41.2</c:v>
                </c:pt>
                <c:pt idx="28">
                  <c:v>39.299999999999997</c:v>
                </c:pt>
                <c:pt idx="29">
                  <c:v>47.8</c:v>
                </c:pt>
                <c:pt idx="30">
                  <c:v>53.4</c:v>
                </c:pt>
              </c:numCache>
            </c:numRef>
          </c:val>
          <c:smooth val="0"/>
          <c:extLst>
            <c:ext xmlns:c16="http://schemas.microsoft.com/office/drawing/2014/chart" uri="{C3380CC4-5D6E-409C-BE32-E72D297353CC}">
              <c16:uniqueId val="{00000006-9BB8-4188-81AF-8740143235AB}"/>
            </c:ext>
          </c:extLst>
        </c:ser>
        <c:ser>
          <c:idx val="7"/>
          <c:order val="7"/>
          <c:tx>
            <c:strRef>
              <c:f>'výkonnost odvětví 2'!$A$43</c:f>
              <c:strCache>
                <c:ptCount val="1"/>
                <c:pt idx="0">
                  <c:v>Total confidence indicator in industry</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2'!$R$43:$AV$43</c:f>
              <c:numCache>
                <c:formatCode>#\ ##0.0</c:formatCode>
                <c:ptCount val="31"/>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pt idx="27">
                  <c:v>-5.3</c:v>
                </c:pt>
                <c:pt idx="28">
                  <c:v>-0.3</c:v>
                </c:pt>
                <c:pt idx="29">
                  <c:v>8.3000000000000007</c:v>
                </c:pt>
                <c:pt idx="30">
                  <c:v>-1.7</c:v>
                </c:pt>
              </c:numCache>
            </c:numRef>
          </c:val>
          <c:smooth val="0"/>
          <c:extLst>
            <c:ext xmlns:c16="http://schemas.microsoft.com/office/drawing/2014/chart" uri="{C3380CC4-5D6E-409C-BE32-E72D297353CC}">
              <c16:uniqueId val="{00000007-9BB8-4188-81AF-8740143235AB}"/>
            </c:ext>
          </c:extLst>
        </c:ser>
        <c:dLbls>
          <c:showLegendKey val="0"/>
          <c:showVal val="0"/>
          <c:showCatName val="0"/>
          <c:showSerName val="0"/>
          <c:showPercent val="0"/>
          <c:showBubbleSize val="0"/>
        </c:dLbls>
        <c:marker val="1"/>
        <c:smooth val="0"/>
        <c:axId val="1239819375"/>
        <c:axId val="1239826863"/>
      </c:lineChart>
      <c:catAx>
        <c:axId val="112768128"/>
        <c:scaling>
          <c:orientation val="minMax"/>
        </c:scaling>
        <c:delete val="0"/>
        <c:axPos val="b"/>
        <c:numFmt formatCode="General" sourceLinked="1"/>
        <c:majorTickMark val="out"/>
        <c:minorTickMark val="none"/>
        <c:tickLblPos val="low"/>
        <c:crossAx val="112769664"/>
        <c:crosses val="autoZero"/>
        <c:auto val="1"/>
        <c:lblAlgn val="ctr"/>
        <c:lblOffset val="0"/>
        <c:noMultiLvlLbl val="0"/>
      </c:catAx>
      <c:valAx>
        <c:axId val="112769664"/>
        <c:scaling>
          <c:orientation val="minMax"/>
          <c:max val="60"/>
          <c:min val="-40"/>
        </c:scaling>
        <c:delete val="0"/>
        <c:axPos val="l"/>
        <c:majorGridlines>
          <c:spPr>
            <a:ln w="6350">
              <a:solidFill>
                <a:schemeClr val="bg1">
                  <a:lumMod val="75000"/>
                </a:schemeClr>
              </a:solidFill>
            </a:ln>
          </c:spPr>
        </c:majorGridlines>
        <c:title>
          <c:tx>
            <c:rich>
              <a:bodyPr/>
              <a:lstStyle/>
              <a:p>
                <a:pPr>
                  <a:defRPr sz="700" b="0" i="1"/>
                </a:pPr>
                <a:r>
                  <a:rPr lang="cs-CZ" sz="700" b="0" i="1"/>
                  <a:t>Orders</a:t>
                </a:r>
              </a:p>
            </c:rich>
          </c:tx>
          <c:overlay val="0"/>
        </c:title>
        <c:numFmt formatCode="0" sourceLinked="0"/>
        <c:majorTickMark val="out"/>
        <c:minorTickMark val="none"/>
        <c:tickLblPos val="nextTo"/>
        <c:crossAx val="112768128"/>
        <c:crosses val="autoZero"/>
        <c:crossBetween val="between"/>
        <c:majorUnit val="10"/>
      </c:valAx>
      <c:valAx>
        <c:axId val="1239826863"/>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i="1">
                    <a:effectLst/>
                  </a:rPr>
                  <a:t>Utilisation of prod. capacities, Growth barriers, Confidence indicator</a:t>
                </a:r>
              </a:p>
            </c:rich>
          </c:tx>
          <c:overlay val="0"/>
        </c:title>
        <c:numFmt formatCode="#,##0" sourceLinked="0"/>
        <c:majorTickMark val="out"/>
        <c:minorTickMark val="none"/>
        <c:tickLblPos val="nextTo"/>
        <c:crossAx val="1239819375"/>
        <c:crosses val="max"/>
        <c:crossBetween val="between"/>
        <c:majorUnit val="10"/>
      </c:valAx>
      <c:catAx>
        <c:axId val="1239819375"/>
        <c:scaling>
          <c:orientation val="minMax"/>
        </c:scaling>
        <c:delete val="1"/>
        <c:axPos val="b"/>
        <c:numFmt formatCode="General" sourceLinked="1"/>
        <c:majorTickMark val="out"/>
        <c:minorTickMark val="none"/>
        <c:tickLblPos val="nextTo"/>
        <c:crossAx val="12398268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0624033402047895E-2"/>
          <c:y val="0.87518792015610813"/>
          <c:w val="0.98342327494608206"/>
          <c:h val="0.1214495071315666"/>
        </c:manualLayout>
      </c:layout>
      <c:overlay val="0"/>
      <c:spPr>
        <a:ln w="6350">
          <a:solidFill>
            <a:prstClr val="black">
              <a:lumMod val="95000"/>
              <a:lumOff val="5000"/>
            </a:prstClr>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312E-2"/>
          <c:y val="1.5663550999370279E-2"/>
          <c:w val="0.85237839893753009"/>
          <c:h val="0.75413191483370345"/>
        </c:manualLayout>
      </c:layout>
      <c:barChart>
        <c:barDir val="col"/>
        <c:grouping val="stacked"/>
        <c:varyColors val="0"/>
        <c:ser>
          <c:idx val="1"/>
          <c:order val="1"/>
          <c:tx>
            <c:strRef>
              <c:f>'výkonnost odvětví 3'!$Y$10</c:f>
              <c:strCache>
                <c:ptCount val="1"/>
                <c:pt idx="0">
                  <c:v>Building construction (contribution)</c:v>
                </c:pt>
              </c:strCache>
            </c:strRef>
          </c:tx>
          <c:spPr>
            <a:solidFill>
              <a:srgbClr val="A6CDE9"/>
            </a:solidFill>
            <a:ln>
              <a:noFill/>
            </a:ln>
          </c:spPr>
          <c:invertIfNegative val="0"/>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3'!$Y$31:$Y$61</c:f>
              <c:numCache>
                <c:formatCode>0.0</c:formatCode>
                <c:ptCount val="31"/>
                <c:pt idx="0">
                  <c:v>6.1308568518511448</c:v>
                </c:pt>
                <c:pt idx="1">
                  <c:v>5.1607018747060769</c:v>
                </c:pt>
                <c:pt idx="2">
                  <c:v>0.83732221166829823</c:v>
                </c:pt>
                <c:pt idx="3">
                  <c:v>-1.7965809449797592</c:v>
                </c:pt>
                <c:pt idx="4">
                  <c:v>-5.0554353718564</c:v>
                </c:pt>
                <c:pt idx="5">
                  <c:v>-5.0997154609815611</c:v>
                </c:pt>
                <c:pt idx="6">
                  <c:v>0.80416326897207957</c:v>
                </c:pt>
                <c:pt idx="7">
                  <c:v>4.0227938260413483</c:v>
                </c:pt>
                <c:pt idx="8">
                  <c:v>2.3492102404454331</c:v>
                </c:pt>
                <c:pt idx="9">
                  <c:v>10.148433192468758</c:v>
                </c:pt>
                <c:pt idx="10">
                  <c:v>3.5041123802431988</c:v>
                </c:pt>
                <c:pt idx="11">
                  <c:v>2.7003043634714752</c:v>
                </c:pt>
                <c:pt idx="12">
                  <c:v>13.605896032750319</c:v>
                </c:pt>
                <c:pt idx="13">
                  <c:v>6.2914622667002371</c:v>
                </c:pt>
                <c:pt idx="14">
                  <c:v>7.7044737794970466</c:v>
                </c:pt>
                <c:pt idx="15">
                  <c:v>2.5958937852329327</c:v>
                </c:pt>
                <c:pt idx="16">
                  <c:v>2.9033079599696401</c:v>
                </c:pt>
                <c:pt idx="17">
                  <c:v>2.4302292749395131</c:v>
                </c:pt>
                <c:pt idx="18">
                  <c:v>-0.70910271480086584</c:v>
                </c:pt>
                <c:pt idx="19">
                  <c:v>2.432342690784179</c:v>
                </c:pt>
                <c:pt idx="20">
                  <c:v>-0.35805378459096415</c:v>
                </c:pt>
                <c:pt idx="21">
                  <c:v>-7.4199834128867339</c:v>
                </c:pt>
                <c:pt idx="22">
                  <c:v>-7.1641797842898178</c:v>
                </c:pt>
                <c:pt idx="23">
                  <c:v>-8.6176211223371109</c:v>
                </c:pt>
                <c:pt idx="24">
                  <c:v>-5.1389920833934806</c:v>
                </c:pt>
                <c:pt idx="25">
                  <c:v>3.2580268805464572</c:v>
                </c:pt>
                <c:pt idx="26">
                  <c:v>2.986661113555916</c:v>
                </c:pt>
                <c:pt idx="27">
                  <c:v>6.057583029951866</c:v>
                </c:pt>
                <c:pt idx="28">
                  <c:v>6.6222201648172856</c:v>
                </c:pt>
                <c:pt idx="29">
                  <c:v>3.1159656867406014</c:v>
                </c:pt>
              </c:numCache>
            </c:numRef>
          </c:val>
          <c:extLst>
            <c:ext xmlns:c16="http://schemas.microsoft.com/office/drawing/2014/chart" uri="{C3380CC4-5D6E-409C-BE32-E72D297353CC}">
              <c16:uniqueId val="{00000000-D999-42F7-A196-E355055E4933}"/>
            </c:ext>
          </c:extLst>
        </c:ser>
        <c:ser>
          <c:idx val="2"/>
          <c:order val="2"/>
          <c:tx>
            <c:strRef>
              <c:f>'výkonnost odvětví 3'!$Z$10</c:f>
              <c:strCache>
                <c:ptCount val="1"/>
                <c:pt idx="0">
                  <c:v>Civil engineering works (contribution)</c:v>
                </c:pt>
              </c:strCache>
            </c:strRef>
          </c:tx>
          <c:spPr>
            <a:solidFill>
              <a:srgbClr val="E8AFB2"/>
            </a:solidFill>
            <a:ln>
              <a:noFill/>
            </a:ln>
          </c:spPr>
          <c:invertIfNegative val="0"/>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3'!$Z$31:$Z$61</c:f>
              <c:numCache>
                <c:formatCode>0.0</c:formatCode>
                <c:ptCount val="31"/>
                <c:pt idx="0">
                  <c:v>3.0630580809132377</c:v>
                </c:pt>
                <c:pt idx="1">
                  <c:v>6.8176109939388247</c:v>
                </c:pt>
                <c:pt idx="2">
                  <c:v>7.0251452781808128</c:v>
                </c:pt>
                <c:pt idx="3">
                  <c:v>2.7276419848972755</c:v>
                </c:pt>
                <c:pt idx="4">
                  <c:v>-1.205227141283097</c:v>
                </c:pt>
                <c:pt idx="5">
                  <c:v>-5.1481596916982086</c:v>
                </c:pt>
                <c:pt idx="6">
                  <c:v>-6.7102047822986526</c:v>
                </c:pt>
                <c:pt idx="7">
                  <c:v>-5.6729778140324045</c:v>
                </c:pt>
                <c:pt idx="8">
                  <c:v>-3.2133606526027174</c:v>
                </c:pt>
                <c:pt idx="9">
                  <c:v>-1.1291534248956654</c:v>
                </c:pt>
                <c:pt idx="10">
                  <c:v>-1.4416251874947317</c:v>
                </c:pt>
                <c:pt idx="11">
                  <c:v>0.23547548081532094</c:v>
                </c:pt>
                <c:pt idx="12">
                  <c:v>1.7597078207679104</c:v>
                </c:pt>
                <c:pt idx="13">
                  <c:v>1.2027115222385714</c:v>
                </c:pt>
                <c:pt idx="14">
                  <c:v>4.7042342586933934</c:v>
                </c:pt>
                <c:pt idx="15">
                  <c:v>1.7013650015145463</c:v>
                </c:pt>
                <c:pt idx="16">
                  <c:v>0.73361885474343291</c:v>
                </c:pt>
                <c:pt idx="17">
                  <c:v>1.8774662818610086</c:v>
                </c:pt>
                <c:pt idx="18">
                  <c:v>0.74664987633445457</c:v>
                </c:pt>
                <c:pt idx="19">
                  <c:v>0.84906917828074113</c:v>
                </c:pt>
                <c:pt idx="20">
                  <c:v>3.2008253112792797</c:v>
                </c:pt>
                <c:pt idx="21">
                  <c:v>1.2154449034817973</c:v>
                </c:pt>
                <c:pt idx="22">
                  <c:v>-1.8671941662302614</c:v>
                </c:pt>
                <c:pt idx="23">
                  <c:v>0.34669524681719183</c:v>
                </c:pt>
                <c:pt idx="24">
                  <c:v>-4.1024810773948261E-2</c:v>
                </c:pt>
                <c:pt idx="25">
                  <c:v>1.0222923467595346</c:v>
                </c:pt>
                <c:pt idx="26">
                  <c:v>-0.24106264769568905</c:v>
                </c:pt>
                <c:pt idx="27">
                  <c:v>-0.88541356545604932</c:v>
                </c:pt>
                <c:pt idx="28">
                  <c:v>3.2297306621058293</c:v>
                </c:pt>
                <c:pt idx="29">
                  <c:v>-0.1217954966883496</c:v>
                </c:pt>
              </c:numCache>
            </c:numRef>
          </c:val>
          <c:extLst>
            <c:ext xmlns:c16="http://schemas.microsoft.com/office/drawing/2014/chart" uri="{C3380CC4-5D6E-409C-BE32-E72D297353CC}">
              <c16:uniqueId val="{00000001-D999-42F7-A196-E355055E4933}"/>
            </c:ext>
          </c:extLst>
        </c:ser>
        <c:dLbls>
          <c:showLegendKey val="0"/>
          <c:showVal val="0"/>
          <c:showCatName val="0"/>
          <c:showSerName val="0"/>
          <c:showPercent val="0"/>
          <c:showBubbleSize val="0"/>
        </c:dLbls>
        <c:gapWidth val="30"/>
        <c:overlap val="100"/>
        <c:axId val="112768128"/>
        <c:axId val="112769664"/>
      </c:barChart>
      <c:lineChart>
        <c:grouping val="standard"/>
        <c:varyColors val="0"/>
        <c:ser>
          <c:idx val="0"/>
          <c:order val="0"/>
          <c:tx>
            <c:strRef>
              <c:f>'výkonnost odvětví 3'!$X$10</c:f>
              <c:strCache>
                <c:ptCount val="1"/>
                <c:pt idx="0">
                  <c:v>Total construction output</c:v>
                </c:pt>
              </c:strCache>
            </c:strRef>
          </c:tx>
          <c:spPr>
            <a:ln>
              <a:noFill/>
            </a:ln>
          </c:spPr>
          <c:marker>
            <c:symbol val="diamond"/>
            <c:size val="5"/>
            <c:spPr>
              <a:solidFill>
                <a:schemeClr val="bg1"/>
              </a:solidFill>
              <a:ln>
                <a:solidFill>
                  <a:schemeClr val="tx1">
                    <a:lumMod val="95000"/>
                    <a:lumOff val="5000"/>
                  </a:schemeClr>
                </a:solidFill>
              </a:ln>
            </c:spPr>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3'!$X$31:$X$61</c:f>
              <c:numCache>
                <c:formatCode>0.0</c:formatCode>
                <c:ptCount val="31"/>
                <c:pt idx="0">
                  <c:v>9.1939149327643861</c:v>
                </c:pt>
                <c:pt idx="1">
                  <c:v>11.978312868644906</c:v>
                </c:pt>
                <c:pt idx="2">
                  <c:v>7.8624674898491094</c:v>
                </c:pt>
                <c:pt idx="3">
                  <c:v>0.93106103991749478</c:v>
                </c:pt>
                <c:pt idx="4">
                  <c:v>-6.2606625131395077</c:v>
                </c:pt>
                <c:pt idx="5">
                  <c:v>-10.247875152679768</c:v>
                </c:pt>
                <c:pt idx="6">
                  <c:v>-5.9060415133265707</c:v>
                </c:pt>
                <c:pt idx="7">
                  <c:v>-1.6501839879910563</c:v>
                </c:pt>
                <c:pt idx="8">
                  <c:v>-0.86415041215724386</c:v>
                </c:pt>
                <c:pt idx="9">
                  <c:v>9.0192797675730816</c:v>
                </c:pt>
                <c:pt idx="10">
                  <c:v>2.0624871927484918</c:v>
                </c:pt>
                <c:pt idx="11">
                  <c:v>2.9357798442867846</c:v>
                </c:pt>
                <c:pt idx="12">
                  <c:v>15.365603853518238</c:v>
                </c:pt>
                <c:pt idx="13">
                  <c:v>7.4941737889388236</c:v>
                </c:pt>
                <c:pt idx="14">
                  <c:v>12.408708038190426</c:v>
                </c:pt>
                <c:pt idx="15">
                  <c:v>4.2972587867474914</c:v>
                </c:pt>
                <c:pt idx="16">
                  <c:v>3.6369268147130356</c:v>
                </c:pt>
                <c:pt idx="17">
                  <c:v>4.3076955568005104</c:v>
                </c:pt>
                <c:pt idx="18">
                  <c:v>3.7547161533595386E-2</c:v>
                </c:pt>
                <c:pt idx="19">
                  <c:v>3.2814118690648968</c:v>
                </c:pt>
                <c:pt idx="20">
                  <c:v>2.8427715266883524</c:v>
                </c:pt>
                <c:pt idx="21">
                  <c:v>-6.2045385094049266</c:v>
                </c:pt>
                <c:pt idx="22">
                  <c:v>-9.0313739505200772</c:v>
                </c:pt>
                <c:pt idx="23">
                  <c:v>-8.2709258755199357</c:v>
                </c:pt>
                <c:pt idx="24">
                  <c:v>-5.1800168941674514</c:v>
                </c:pt>
                <c:pt idx="25">
                  <c:v>4.2803192273059665</c:v>
                </c:pt>
                <c:pt idx="26">
                  <c:v>2.7455984658602404</c:v>
                </c:pt>
                <c:pt idx="27">
                  <c:v>5.1721694644958092</c:v>
                </c:pt>
                <c:pt idx="28">
                  <c:v>9.8519508269231437</c:v>
                </c:pt>
                <c:pt idx="29">
                  <c:v>2.9941701900522304</c:v>
                </c:pt>
              </c:numCache>
            </c:numRef>
          </c:val>
          <c:smooth val="0"/>
          <c:extLst>
            <c:ext xmlns:c16="http://schemas.microsoft.com/office/drawing/2014/chart" uri="{C3380CC4-5D6E-409C-BE32-E72D297353CC}">
              <c16:uniqueId val="{00000002-D999-42F7-A196-E355055E4933}"/>
            </c:ext>
          </c:extLst>
        </c:ser>
        <c:ser>
          <c:idx val="3"/>
          <c:order val="3"/>
          <c:tx>
            <c:strRef>
              <c:f>'výkonnost odvětví 3'!$AA$10</c:f>
              <c:strCache>
                <c:ptCount val="1"/>
                <c:pt idx="0">
                  <c:v>New domestic construction orders</c:v>
                </c:pt>
              </c:strCache>
            </c:strRef>
          </c:tx>
          <c:spPr>
            <a:ln w="15875">
              <a:solidFill>
                <a:srgbClr val="984807"/>
              </a:solidFill>
            </a:ln>
          </c:spPr>
          <c:marker>
            <c:symbol val="none"/>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3'!$AA$31:$AA$61</c:f>
              <c:numCache>
                <c:formatCode>0.0</c:formatCode>
                <c:ptCount val="31"/>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28.856340981154403</c:v>
                </c:pt>
                <c:pt idx="25">
                  <c:v>22.047871359987184</c:v>
                </c:pt>
                <c:pt idx="26">
                  <c:v>10.015015612184257</c:v>
                </c:pt>
                <c:pt idx="27">
                  <c:v>1.0053213537781147</c:v>
                </c:pt>
                <c:pt idx="28">
                  <c:v>13.060554636931542</c:v>
                </c:pt>
                <c:pt idx="29">
                  <c:v>16.270833674648699</c:v>
                </c:pt>
              </c:numCache>
            </c:numRef>
          </c:val>
          <c:smooth val="0"/>
          <c:extLst>
            <c:ext xmlns:c16="http://schemas.microsoft.com/office/drawing/2014/chart" uri="{C3380CC4-5D6E-409C-BE32-E72D297353CC}">
              <c16:uniqueId val="{00000003-D999-42F7-A196-E355055E4933}"/>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4"/>
          <c:order val="4"/>
          <c:tx>
            <c:strRef>
              <c:f>'výkonnost odvětví 3'!$AB$10</c:f>
              <c:strCache>
                <c:ptCount val="1"/>
                <c:pt idx="0">
                  <c:v>Barrier: inadequate demand</c:v>
                </c:pt>
              </c:strCache>
            </c:strRef>
          </c:tx>
          <c:spPr>
            <a:ln w="15875">
              <a:solidFill>
                <a:srgbClr val="92D050"/>
              </a:solidFill>
              <a:prstDash val="dash"/>
            </a:ln>
          </c:spPr>
          <c:marker>
            <c:symbol val="none"/>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3'!$AB$31:$AB$61</c:f>
              <c:numCache>
                <c:formatCode>#\ ##0.0</c:formatCode>
                <c:ptCount val="31"/>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numCache>
            </c:numRef>
          </c:val>
          <c:smooth val="0"/>
          <c:extLst>
            <c:ext xmlns:c16="http://schemas.microsoft.com/office/drawing/2014/chart" uri="{C3380CC4-5D6E-409C-BE32-E72D297353CC}">
              <c16:uniqueId val="{00000004-D999-42F7-A196-E355055E4933}"/>
            </c:ext>
          </c:extLst>
        </c:ser>
        <c:ser>
          <c:idx val="5"/>
          <c:order val="5"/>
          <c:tx>
            <c:strRef>
              <c:f>'výkonnost odvětví 3'!$AC$10</c:f>
              <c:strCache>
                <c:ptCount val="1"/>
                <c:pt idx="0">
                  <c:v>Growth barrier: lack of workers</c:v>
                </c:pt>
              </c:strCache>
            </c:strRef>
          </c:tx>
          <c:spPr>
            <a:ln w="15875">
              <a:solidFill>
                <a:srgbClr val="00B050"/>
              </a:solidFill>
              <a:prstDash val="solid"/>
            </a:ln>
          </c:spPr>
          <c:marker>
            <c:symbol val="none"/>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3'!$AC$31:$AC$61</c:f>
              <c:numCache>
                <c:formatCode>#\ ##0.0</c:formatCode>
                <c:ptCount val="31"/>
                <c:pt idx="0">
                  <c:v>8.3000000000000007</c:v>
                </c:pt>
                <c:pt idx="1">
                  <c:v>8.1</c:v>
                </c:pt>
                <c:pt idx="2">
                  <c:v>6.1</c:v>
                </c:pt>
                <c:pt idx="3">
                  <c:v>6</c:v>
                </c:pt>
                <c:pt idx="4">
                  <c:v>6.5</c:v>
                </c:pt>
                <c:pt idx="5">
                  <c:v>7.2</c:v>
                </c:pt>
                <c:pt idx="6">
                  <c:v>7</c:v>
                </c:pt>
                <c:pt idx="7">
                  <c:v>10.4</c:v>
                </c:pt>
                <c:pt idx="8">
                  <c:v>14</c:v>
                </c:pt>
                <c:pt idx="9">
                  <c:v>14.8</c:v>
                </c:pt>
                <c:pt idx="10">
                  <c:v>21.4</c:v>
                </c:pt>
                <c:pt idx="11">
                  <c:v>21.1</c:v>
                </c:pt>
                <c:pt idx="12">
                  <c:v>27.3</c:v>
                </c:pt>
                <c:pt idx="13">
                  <c:v>30.1</c:v>
                </c:pt>
                <c:pt idx="14">
                  <c:v>28.1</c:v>
                </c:pt>
                <c:pt idx="15">
                  <c:v>38.200000000000003</c:v>
                </c:pt>
                <c:pt idx="16">
                  <c:v>36.9</c:v>
                </c:pt>
                <c:pt idx="17">
                  <c:v>43.4</c:v>
                </c:pt>
                <c:pt idx="18">
                  <c:v>49.6</c:v>
                </c:pt>
                <c:pt idx="19">
                  <c:v>46.2</c:v>
                </c:pt>
                <c:pt idx="20">
                  <c:v>52.5</c:v>
                </c:pt>
                <c:pt idx="21">
                  <c:v>46</c:v>
                </c:pt>
                <c:pt idx="22">
                  <c:v>35.299999999999997</c:v>
                </c:pt>
                <c:pt idx="23" formatCode="0.0">
                  <c:v>31.9</c:v>
                </c:pt>
                <c:pt idx="24">
                  <c:v>48.6</c:v>
                </c:pt>
                <c:pt idx="25">
                  <c:v>31.6</c:v>
                </c:pt>
                <c:pt idx="26">
                  <c:v>40.700000000000003</c:v>
                </c:pt>
                <c:pt idx="27">
                  <c:v>42.2</c:v>
                </c:pt>
                <c:pt idx="28">
                  <c:v>57.8</c:v>
                </c:pt>
                <c:pt idx="29">
                  <c:v>44.3</c:v>
                </c:pt>
                <c:pt idx="30">
                  <c:v>39</c:v>
                </c:pt>
              </c:numCache>
            </c:numRef>
          </c:val>
          <c:smooth val="0"/>
          <c:extLst>
            <c:ext xmlns:c16="http://schemas.microsoft.com/office/drawing/2014/chart" uri="{C3380CC4-5D6E-409C-BE32-E72D297353CC}">
              <c16:uniqueId val="{00000005-D999-42F7-A196-E355055E4933}"/>
            </c:ext>
          </c:extLst>
        </c:ser>
        <c:ser>
          <c:idx val="6"/>
          <c:order val="6"/>
          <c:tx>
            <c:strRef>
              <c:f>'výkonnost odvětví 3'!$AD$10</c:f>
              <c:strCache>
                <c:ptCount val="1"/>
                <c:pt idx="0">
                  <c:v>Barrier: shortage of material/equipment</c:v>
                </c:pt>
              </c:strCache>
            </c:strRef>
          </c:tx>
          <c:spPr>
            <a:ln w="15875">
              <a:solidFill>
                <a:srgbClr val="00B050"/>
              </a:solidFill>
              <a:prstDash val="sysDash"/>
            </a:ln>
          </c:spPr>
          <c:marker>
            <c:symbol val="none"/>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3'!$AD$31:$AD$61</c:f>
              <c:numCache>
                <c:formatCode>#\ ##0.0</c:formatCode>
                <c:ptCount val="31"/>
                <c:pt idx="0">
                  <c:v>0.1</c:v>
                </c:pt>
                <c:pt idx="1">
                  <c:v>0.4</c:v>
                </c:pt>
                <c:pt idx="2">
                  <c:v>4</c:v>
                </c:pt>
                <c:pt idx="3">
                  <c:v>0.5</c:v>
                </c:pt>
                <c:pt idx="4">
                  <c:v>0.4</c:v>
                </c:pt>
                <c:pt idx="5">
                  <c:v>0.5</c:v>
                </c:pt>
                <c:pt idx="6">
                  <c:v>0.5</c:v>
                </c:pt>
                <c:pt idx="7">
                  <c:v>1.5</c:v>
                </c:pt>
                <c:pt idx="8">
                  <c:v>0.3</c:v>
                </c:pt>
                <c:pt idx="9">
                  <c:v>0.3</c:v>
                </c:pt>
                <c:pt idx="10">
                  <c:v>3.3</c:v>
                </c:pt>
                <c:pt idx="11">
                  <c:v>4.2</c:v>
                </c:pt>
                <c:pt idx="12">
                  <c:v>5.5</c:v>
                </c:pt>
                <c:pt idx="13">
                  <c:v>1.2</c:v>
                </c:pt>
                <c:pt idx="14">
                  <c:v>6.8</c:v>
                </c:pt>
                <c:pt idx="15">
                  <c:v>3.5</c:v>
                </c:pt>
                <c:pt idx="16">
                  <c:v>4.3</c:v>
                </c:pt>
                <c:pt idx="17">
                  <c:v>5.7</c:v>
                </c:pt>
                <c:pt idx="18">
                  <c:v>5.3</c:v>
                </c:pt>
                <c:pt idx="19">
                  <c:v>4</c:v>
                </c:pt>
                <c:pt idx="20">
                  <c:v>1.9</c:v>
                </c:pt>
                <c:pt idx="21">
                  <c:v>3.4</c:v>
                </c:pt>
                <c:pt idx="22">
                  <c:v>1.3</c:v>
                </c:pt>
                <c:pt idx="23">
                  <c:v>0.8</c:v>
                </c:pt>
                <c:pt idx="24">
                  <c:v>1.3</c:v>
                </c:pt>
                <c:pt idx="25">
                  <c:v>4.3</c:v>
                </c:pt>
                <c:pt idx="26">
                  <c:v>16.3</c:v>
                </c:pt>
                <c:pt idx="27">
                  <c:v>22.8</c:v>
                </c:pt>
                <c:pt idx="28">
                  <c:v>24.7</c:v>
                </c:pt>
                <c:pt idx="29">
                  <c:v>41.3</c:v>
                </c:pt>
                <c:pt idx="30">
                  <c:v>38.6</c:v>
                </c:pt>
              </c:numCache>
            </c:numRef>
          </c:val>
          <c:smooth val="0"/>
          <c:extLst>
            <c:ext xmlns:c16="http://schemas.microsoft.com/office/drawing/2014/chart" uri="{C3380CC4-5D6E-409C-BE32-E72D297353CC}">
              <c16:uniqueId val="{00000006-D999-42F7-A196-E355055E4933}"/>
            </c:ext>
          </c:extLst>
        </c:ser>
        <c:ser>
          <c:idx val="7"/>
          <c:order val="7"/>
          <c:tx>
            <c:strRef>
              <c:f>'výkonnost odvětví 3'!$AE$10</c:f>
              <c:strCache>
                <c:ptCount val="1"/>
                <c:pt idx="0">
                  <c:v>Confidence indicator in construction</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3'!$AE$31:$AE$61</c:f>
              <c:numCache>
                <c:formatCode>0.0</c:formatCode>
                <c:ptCount val="31"/>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numCache>
            </c:numRef>
          </c:val>
          <c:smooth val="0"/>
          <c:extLst>
            <c:ext xmlns:c16="http://schemas.microsoft.com/office/drawing/2014/chart" uri="{C3380CC4-5D6E-409C-BE32-E72D297353CC}">
              <c16:uniqueId val="{00000007-D999-42F7-A196-E355055E4933}"/>
            </c:ext>
          </c:extLst>
        </c:ser>
        <c:dLbls>
          <c:showLegendKey val="0"/>
          <c:showVal val="0"/>
          <c:showCatName val="0"/>
          <c:showSerName val="0"/>
          <c:showPercent val="0"/>
          <c:showBubbleSize val="0"/>
        </c:dLbls>
        <c:marker val="1"/>
        <c:smooth val="0"/>
        <c:axId val="1118074639"/>
        <c:axId val="1118080463"/>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70"/>
          <c:min val="-3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Orders, Contribution to change of construction output</a:t>
                </a: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10"/>
      </c:valAx>
      <c:valAx>
        <c:axId val="1118080463"/>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C</a:t>
                </a:r>
                <a:r>
                  <a:rPr lang="en-GB" sz="700" b="0" i="1" u="none" strike="noStrike" baseline="0">
                    <a:effectLst/>
                  </a:rPr>
                  <a:t>onfidence indicator, </a:t>
                </a:r>
                <a:r>
                  <a:rPr lang="cs-CZ" sz="700" b="0" i="1" u="none" strike="noStrike" baseline="0">
                    <a:effectLst/>
                  </a:rPr>
                  <a:t>G</a:t>
                </a:r>
                <a:r>
                  <a:rPr lang="en-GB" sz="700" b="0" i="1" u="none" strike="noStrike" baseline="0">
                    <a:effectLst/>
                  </a:rPr>
                  <a:t>rowth barriers</a:t>
                </a:r>
                <a:endParaRPr lang="cs-CZ" sz="700" b="0" i="1">
                  <a:latin typeface="Arial" panose="020B0604020202020204" pitchFamily="34" charset="0"/>
                  <a:cs typeface="Arial" panose="020B0604020202020204" pitchFamily="34" charset="0"/>
                </a:endParaRP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18074639"/>
        <c:crosses val="max"/>
        <c:crossBetween val="between"/>
        <c:majorUnit val="20"/>
      </c:valAx>
      <c:catAx>
        <c:axId val="1118074639"/>
        <c:scaling>
          <c:orientation val="minMax"/>
        </c:scaling>
        <c:delete val="1"/>
        <c:axPos val="b"/>
        <c:numFmt formatCode="General" sourceLinked="1"/>
        <c:majorTickMark val="out"/>
        <c:minorTickMark val="none"/>
        <c:tickLblPos val="nextTo"/>
        <c:crossAx val="11180804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3.7481722274227379E-2"/>
          <c:y val="0.85936703322638608"/>
          <c:w val="0.95027476375612385"/>
          <c:h val="0.13362821778942557"/>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19797523957974E-2"/>
          <c:y val="1.5803328678987455E-2"/>
          <c:w val="0.85012606751933062"/>
          <c:h val="0.72431849053283404"/>
        </c:manualLayout>
      </c:layout>
      <c:barChart>
        <c:barDir val="col"/>
        <c:grouping val="stacked"/>
        <c:varyColors val="0"/>
        <c:ser>
          <c:idx val="0"/>
          <c:order val="1"/>
          <c:tx>
            <c:strRef>
              <c:f>'Služby-příspěvkyk růstu-4'!$D$33</c:f>
              <c:strCache>
                <c:ptCount val="1"/>
                <c:pt idx="0">
                  <c:v>Transportation and storage </c:v>
                </c:pt>
              </c:strCache>
            </c:strRef>
          </c:tx>
          <c:spPr>
            <a:solidFill>
              <a:srgbClr val="92D050"/>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růstu-4'!$D$46:$D$76</c:f>
              <c:numCache>
                <c:formatCode>0.0</c:formatCode>
                <c:ptCount val="31"/>
                <c:pt idx="0">
                  <c:v>0.17627373165999941</c:v>
                </c:pt>
                <c:pt idx="1">
                  <c:v>-4.1398260783598456E-2</c:v>
                </c:pt>
                <c:pt idx="2">
                  <c:v>0.20127676583260182</c:v>
                </c:pt>
                <c:pt idx="3">
                  <c:v>4.2331882175001848E-2</c:v>
                </c:pt>
                <c:pt idx="4">
                  <c:v>0.2604828945619988</c:v>
                </c:pt>
                <c:pt idx="5">
                  <c:v>0.2004471947790982</c:v>
                </c:pt>
                <c:pt idx="6">
                  <c:v>0.14004615678000035</c:v>
                </c:pt>
                <c:pt idx="7">
                  <c:v>0.860592831148001</c:v>
                </c:pt>
                <c:pt idx="8">
                  <c:v>1.6559965627289983</c:v>
                </c:pt>
                <c:pt idx="9">
                  <c:v>1.093454887462999</c:v>
                </c:pt>
                <c:pt idx="10">
                  <c:v>1.1374484601479997</c:v>
                </c:pt>
                <c:pt idx="11">
                  <c:v>0.60470809717899932</c:v>
                </c:pt>
                <c:pt idx="12">
                  <c:v>1.7518533558900011</c:v>
                </c:pt>
                <c:pt idx="13">
                  <c:v>1.9191714775479998</c:v>
                </c:pt>
                <c:pt idx="14">
                  <c:v>1.4689069805629986</c:v>
                </c:pt>
                <c:pt idx="15">
                  <c:v>0.49822211685500045</c:v>
                </c:pt>
                <c:pt idx="16">
                  <c:v>0.75210969494300106</c:v>
                </c:pt>
                <c:pt idx="17">
                  <c:v>-7.8943058121998602E-2</c:v>
                </c:pt>
                <c:pt idx="18">
                  <c:v>-0.67615596099700137</c:v>
                </c:pt>
                <c:pt idx="19">
                  <c:v>-0.53883087511919869</c:v>
                </c:pt>
                <c:pt idx="20">
                  <c:v>-1.7873099078691994</c:v>
                </c:pt>
                <c:pt idx="21">
                  <c:v>-6.8790162520431002</c:v>
                </c:pt>
                <c:pt idx="22">
                  <c:v>-4.2156758486250006</c:v>
                </c:pt>
                <c:pt idx="23">
                  <c:v>-1.7596921701599992</c:v>
                </c:pt>
                <c:pt idx="24">
                  <c:v>-0.1569416952537</c:v>
                </c:pt>
                <c:pt idx="25">
                  <c:v>6.9452061820127984</c:v>
                </c:pt>
                <c:pt idx="26">
                  <c:v>4.1021141164383979</c:v>
                </c:pt>
                <c:pt idx="27">
                  <c:v>4.5411081672439781</c:v>
                </c:pt>
                <c:pt idx="28">
                  <c:v>4.7644195859015745</c:v>
                </c:pt>
                <c:pt idx="29">
                  <c:v>4.8807410884687661</c:v>
                </c:pt>
              </c:numCache>
            </c:numRef>
          </c:val>
          <c:extLst>
            <c:ext xmlns:c16="http://schemas.microsoft.com/office/drawing/2014/chart" uri="{C3380CC4-5D6E-409C-BE32-E72D297353CC}">
              <c16:uniqueId val="{00000000-6AC0-410C-A16B-8F47CE0D1ACA}"/>
            </c:ext>
          </c:extLst>
        </c:ser>
        <c:ser>
          <c:idx val="1"/>
          <c:order val="2"/>
          <c:tx>
            <c:strRef>
              <c:f>'Služby-příspěvkyk růstu-4'!$E$33</c:f>
              <c:strCache>
                <c:ptCount val="1"/>
                <c:pt idx="0">
                  <c:v>Accommodation, food service activities</c:v>
                </c:pt>
              </c:strCache>
            </c:strRef>
          </c:tx>
          <c:spPr>
            <a:solidFill>
              <a:srgbClr val="00B0F0"/>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růstu-4'!$E$46:$E$76</c:f>
              <c:numCache>
                <c:formatCode>0.0</c:formatCode>
                <c:ptCount val="31"/>
                <c:pt idx="0">
                  <c:v>0.23064326026020021</c:v>
                </c:pt>
                <c:pt idx="1">
                  <c:v>0.65490030172000013</c:v>
                </c:pt>
                <c:pt idx="2">
                  <c:v>0.65615704203699965</c:v>
                </c:pt>
                <c:pt idx="3">
                  <c:v>0.40198126828160025</c:v>
                </c:pt>
                <c:pt idx="4">
                  <c:v>0.47264498177679992</c:v>
                </c:pt>
                <c:pt idx="5">
                  <c:v>0.16809598308499973</c:v>
                </c:pt>
                <c:pt idx="6">
                  <c:v>0.56785028038259988</c:v>
                </c:pt>
                <c:pt idx="7">
                  <c:v>0.60026021753880032</c:v>
                </c:pt>
                <c:pt idx="8">
                  <c:v>0.9071617575674995</c:v>
                </c:pt>
                <c:pt idx="9">
                  <c:v>1.2351843183736004</c:v>
                </c:pt>
                <c:pt idx="10">
                  <c:v>0.55372633890920031</c:v>
                </c:pt>
                <c:pt idx="11">
                  <c:v>0.45414701226059961</c:v>
                </c:pt>
                <c:pt idx="12">
                  <c:v>0.20562277238639989</c:v>
                </c:pt>
                <c:pt idx="13">
                  <c:v>4.6481198053399883E-2</c:v>
                </c:pt>
                <c:pt idx="14">
                  <c:v>5.8790755202600166E-2</c:v>
                </c:pt>
                <c:pt idx="15">
                  <c:v>-3.8611122396599744E-2</c:v>
                </c:pt>
                <c:pt idx="16">
                  <c:v>0.19877668230760023</c:v>
                </c:pt>
                <c:pt idx="17">
                  <c:v>0.19106550885020049</c:v>
                </c:pt>
                <c:pt idx="18">
                  <c:v>-2.1031638824599897E-2</c:v>
                </c:pt>
                <c:pt idx="19">
                  <c:v>-1.8881872245599823E-2</c:v>
                </c:pt>
                <c:pt idx="20">
                  <c:v>-1.157864857912162</c:v>
                </c:pt>
                <c:pt idx="21">
                  <c:v>-4.9674966649835008</c:v>
                </c:pt>
                <c:pt idx="22">
                  <c:v>-1.9520417393251031</c:v>
                </c:pt>
                <c:pt idx="23">
                  <c:v>-4.5017067627894241</c:v>
                </c:pt>
                <c:pt idx="24">
                  <c:v>-3.6938923324187498</c:v>
                </c:pt>
                <c:pt idx="25">
                  <c:v>1.3740162264831814</c:v>
                </c:pt>
                <c:pt idx="26">
                  <c:v>0.63496524511919994</c:v>
                </c:pt>
                <c:pt idx="27">
                  <c:v>2.8400409946004515</c:v>
                </c:pt>
                <c:pt idx="28">
                  <c:v>2.9304756297654868</c:v>
                </c:pt>
                <c:pt idx="29">
                  <c:v>2.6719167515898263</c:v>
                </c:pt>
              </c:numCache>
            </c:numRef>
          </c:val>
          <c:extLst>
            <c:ext xmlns:c16="http://schemas.microsoft.com/office/drawing/2014/chart" uri="{C3380CC4-5D6E-409C-BE32-E72D297353CC}">
              <c16:uniqueId val="{00000001-6AC0-410C-A16B-8F47CE0D1ACA}"/>
            </c:ext>
          </c:extLst>
        </c:ser>
        <c:ser>
          <c:idx val="2"/>
          <c:order val="3"/>
          <c:tx>
            <c:strRef>
              <c:f>'Služby-příspěvkyk růstu-4'!$F$33</c:f>
              <c:strCache>
                <c:ptCount val="1"/>
                <c:pt idx="0">
                  <c:v>Information and communication</c:v>
                </c:pt>
              </c:strCache>
            </c:strRef>
          </c:tx>
          <c:spPr>
            <a:solidFill>
              <a:srgbClr val="E6E100"/>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růstu-4'!$F$46:$F$76</c:f>
              <c:numCache>
                <c:formatCode>0.0</c:formatCode>
                <c:ptCount val="31"/>
                <c:pt idx="0">
                  <c:v>1.4083798915137009</c:v>
                </c:pt>
                <c:pt idx="1">
                  <c:v>0.82540650715499964</c:v>
                </c:pt>
                <c:pt idx="2">
                  <c:v>0.80424272675400077</c:v>
                </c:pt>
                <c:pt idx="3">
                  <c:v>1.3174140502479994</c:v>
                </c:pt>
                <c:pt idx="4">
                  <c:v>0.35985664064800121</c:v>
                </c:pt>
                <c:pt idx="5">
                  <c:v>0.1575138368199987</c:v>
                </c:pt>
                <c:pt idx="6">
                  <c:v>0.32598498922399954</c:v>
                </c:pt>
                <c:pt idx="7">
                  <c:v>0.17761340848900062</c:v>
                </c:pt>
                <c:pt idx="8">
                  <c:v>0.76438636704000096</c:v>
                </c:pt>
                <c:pt idx="9">
                  <c:v>0.98207704425299935</c:v>
                </c:pt>
                <c:pt idx="10">
                  <c:v>0.7709388166100013</c:v>
                </c:pt>
                <c:pt idx="11">
                  <c:v>0.58294315828299903</c:v>
                </c:pt>
                <c:pt idx="12">
                  <c:v>1.4398200028309998</c:v>
                </c:pt>
                <c:pt idx="13">
                  <c:v>0.76531943813199921</c:v>
                </c:pt>
                <c:pt idx="14">
                  <c:v>1.415831001736001</c:v>
                </c:pt>
                <c:pt idx="15">
                  <c:v>0.98684323348800107</c:v>
                </c:pt>
                <c:pt idx="16">
                  <c:v>1.2348474246799988</c:v>
                </c:pt>
                <c:pt idx="17">
                  <c:v>1.1603884990619995</c:v>
                </c:pt>
                <c:pt idx="18">
                  <c:v>0.91591834325400012</c:v>
                </c:pt>
                <c:pt idx="19">
                  <c:v>1.1621880049516005</c:v>
                </c:pt>
                <c:pt idx="20">
                  <c:v>0.8191341781949999</c:v>
                </c:pt>
                <c:pt idx="21">
                  <c:v>1.3223529237600361E-2</c:v>
                </c:pt>
                <c:pt idx="22">
                  <c:v>-0.20840783961799986</c:v>
                </c:pt>
                <c:pt idx="23">
                  <c:v>-0.54142483054800161</c:v>
                </c:pt>
                <c:pt idx="24">
                  <c:v>0.71345327861799956</c:v>
                </c:pt>
                <c:pt idx="25">
                  <c:v>1.5468236089918046</c:v>
                </c:pt>
                <c:pt idx="26">
                  <c:v>1.4415115757943988</c:v>
                </c:pt>
                <c:pt idx="27">
                  <c:v>1.9056402188684927</c:v>
                </c:pt>
                <c:pt idx="28">
                  <c:v>1.0161120213997294</c:v>
                </c:pt>
                <c:pt idx="29">
                  <c:v>0.61657254430834951</c:v>
                </c:pt>
              </c:numCache>
            </c:numRef>
          </c:val>
          <c:extLst>
            <c:ext xmlns:c16="http://schemas.microsoft.com/office/drawing/2014/chart" uri="{C3380CC4-5D6E-409C-BE32-E72D297353CC}">
              <c16:uniqueId val="{00000002-6AC0-410C-A16B-8F47CE0D1ACA}"/>
            </c:ext>
          </c:extLst>
        </c:ser>
        <c:ser>
          <c:idx val="4"/>
          <c:order val="4"/>
          <c:tx>
            <c:strRef>
              <c:f>'Služby-příspěvkyk růstu-4'!$G$33</c:f>
              <c:strCache>
                <c:ptCount val="1"/>
                <c:pt idx="0">
                  <c:v>Real estate activities</c:v>
                </c:pt>
              </c:strCache>
            </c:strRef>
          </c:tx>
          <c:spPr>
            <a:solidFill>
              <a:schemeClr val="accent5">
                <a:lumMod val="60000"/>
                <a:lumOff val="40000"/>
              </a:schemeClr>
            </a:solidFill>
            <a:ln>
              <a:noFill/>
              <a:prstDash val="sysDash"/>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růstu-4'!$G$46:$G$76</c:f>
              <c:numCache>
                <c:formatCode>0.0</c:formatCode>
                <c:ptCount val="31"/>
                <c:pt idx="0">
                  <c:v>4.7588818498199993E-2</c:v>
                </c:pt>
                <c:pt idx="1">
                  <c:v>-7.3007550905993803E-3</c:v>
                </c:pt>
                <c:pt idx="2">
                  <c:v>0.12810762983039936</c:v>
                </c:pt>
                <c:pt idx="3">
                  <c:v>2.4617916117599462E-2</c:v>
                </c:pt>
                <c:pt idx="4">
                  <c:v>0.25752090895739993</c:v>
                </c:pt>
                <c:pt idx="5">
                  <c:v>-4.2228184845005496E-3</c:v>
                </c:pt>
                <c:pt idx="6">
                  <c:v>0.1499318310138007</c:v>
                </c:pt>
                <c:pt idx="7">
                  <c:v>-6.6530028186599532E-2</c:v>
                </c:pt>
                <c:pt idx="8">
                  <c:v>0.20977398058900024</c:v>
                </c:pt>
                <c:pt idx="9">
                  <c:v>0.44953617213779962</c:v>
                </c:pt>
                <c:pt idx="10">
                  <c:v>-2.2338348474500478E-2</c:v>
                </c:pt>
                <c:pt idx="11">
                  <c:v>0.13984723093739981</c:v>
                </c:pt>
                <c:pt idx="12">
                  <c:v>2.6966101253399585E-2</c:v>
                </c:pt>
                <c:pt idx="13">
                  <c:v>-0.24884766500039976</c:v>
                </c:pt>
                <c:pt idx="14">
                  <c:v>-0.12645184379759991</c:v>
                </c:pt>
                <c:pt idx="15">
                  <c:v>-0.22378801642200052</c:v>
                </c:pt>
                <c:pt idx="16">
                  <c:v>0.14753986907940025</c:v>
                </c:pt>
                <c:pt idx="17">
                  <c:v>-7.379708629200365E-3</c:v>
                </c:pt>
                <c:pt idx="18">
                  <c:v>-0.23287434101939938</c:v>
                </c:pt>
                <c:pt idx="19">
                  <c:v>-0.10147037326200034</c:v>
                </c:pt>
                <c:pt idx="20">
                  <c:v>0.42431890762080055</c:v>
                </c:pt>
                <c:pt idx="21">
                  <c:v>-0.29919163957060046</c:v>
                </c:pt>
                <c:pt idx="22">
                  <c:v>-0.26426338474666694</c:v>
                </c:pt>
                <c:pt idx="23">
                  <c:v>-0.23118426949069976</c:v>
                </c:pt>
                <c:pt idx="24">
                  <c:v>-0.20088632198500025</c:v>
                </c:pt>
                <c:pt idx="25">
                  <c:v>0.43472502460904949</c:v>
                </c:pt>
                <c:pt idx="26">
                  <c:v>2.7135230949999569E-3</c:v>
                </c:pt>
                <c:pt idx="27">
                  <c:v>0.23850631303799988</c:v>
                </c:pt>
                <c:pt idx="28">
                  <c:v>0.31632818692015208</c:v>
                </c:pt>
                <c:pt idx="29">
                  <c:v>0.20658249210979571</c:v>
                </c:pt>
              </c:numCache>
            </c:numRef>
          </c:val>
          <c:extLst>
            <c:ext xmlns:c16="http://schemas.microsoft.com/office/drawing/2014/chart" uri="{C3380CC4-5D6E-409C-BE32-E72D297353CC}">
              <c16:uniqueId val="{00000003-6AC0-410C-A16B-8F47CE0D1ACA}"/>
            </c:ext>
          </c:extLst>
        </c:ser>
        <c:ser>
          <c:idx val="5"/>
          <c:order val="5"/>
          <c:tx>
            <c:strRef>
              <c:f>'Služby-příspěvkyk růstu-4'!$H$33</c:f>
              <c:strCache>
                <c:ptCount val="1"/>
                <c:pt idx="0">
                  <c:v>Professional, scientific &amp; technic. activities</c:v>
                </c:pt>
              </c:strCache>
            </c:strRef>
          </c:tx>
          <c:spPr>
            <a:solidFill>
              <a:schemeClr val="accent6">
                <a:lumMod val="60000"/>
                <a:lumOff val="40000"/>
              </a:schemeClr>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růstu-4'!$H$46:$H$76</c:f>
              <c:numCache>
                <c:formatCode>0.0</c:formatCode>
                <c:ptCount val="31"/>
                <c:pt idx="0">
                  <c:v>1.0468505532869989</c:v>
                </c:pt>
                <c:pt idx="1">
                  <c:v>0.72007462619999962</c:v>
                </c:pt>
                <c:pt idx="2">
                  <c:v>1.0906393004400001</c:v>
                </c:pt>
                <c:pt idx="3">
                  <c:v>-4.2990021238901367E-2</c:v>
                </c:pt>
                <c:pt idx="4">
                  <c:v>-0.43098075353700094</c:v>
                </c:pt>
                <c:pt idx="5">
                  <c:v>-1.3389465804999987</c:v>
                </c:pt>
                <c:pt idx="6">
                  <c:v>3.0728374200130306E-4</c:v>
                </c:pt>
                <c:pt idx="7">
                  <c:v>-0.3121071665494991</c:v>
                </c:pt>
                <c:pt idx="8">
                  <c:v>0.95807798756000018</c:v>
                </c:pt>
                <c:pt idx="9">
                  <c:v>0.59447839488779997</c:v>
                </c:pt>
                <c:pt idx="10">
                  <c:v>0.30863690562089996</c:v>
                </c:pt>
                <c:pt idx="11">
                  <c:v>0.42814590144940085</c:v>
                </c:pt>
                <c:pt idx="12">
                  <c:v>1.0521629274264988</c:v>
                </c:pt>
                <c:pt idx="13">
                  <c:v>0.5501113250554992</c:v>
                </c:pt>
                <c:pt idx="14">
                  <c:v>0.3596254694963989</c:v>
                </c:pt>
                <c:pt idx="15">
                  <c:v>-0.26680052765060136</c:v>
                </c:pt>
                <c:pt idx="16">
                  <c:v>0.70988848618690059</c:v>
                </c:pt>
                <c:pt idx="17">
                  <c:v>0.59156625867140045</c:v>
                </c:pt>
                <c:pt idx="18">
                  <c:v>-0.77754044718210014</c:v>
                </c:pt>
                <c:pt idx="19">
                  <c:v>-0.56889162351999967</c:v>
                </c:pt>
                <c:pt idx="20">
                  <c:v>-0.8629875625277994</c:v>
                </c:pt>
                <c:pt idx="21">
                  <c:v>-3.1826786933129991</c:v>
                </c:pt>
                <c:pt idx="22">
                  <c:v>-1.495126859429508</c:v>
                </c:pt>
                <c:pt idx="23">
                  <c:v>-1.5495215129057995</c:v>
                </c:pt>
                <c:pt idx="24">
                  <c:v>-1.5895367811931036</c:v>
                </c:pt>
                <c:pt idx="25">
                  <c:v>2.7169285281228999</c:v>
                </c:pt>
                <c:pt idx="26">
                  <c:v>1.7632854739205988</c:v>
                </c:pt>
                <c:pt idx="27">
                  <c:v>2.0934710358268047</c:v>
                </c:pt>
                <c:pt idx="28">
                  <c:v>2.4156122741333581</c:v>
                </c:pt>
                <c:pt idx="29">
                  <c:v>1.559342152977379</c:v>
                </c:pt>
              </c:numCache>
            </c:numRef>
          </c:val>
          <c:extLst>
            <c:ext xmlns:c16="http://schemas.microsoft.com/office/drawing/2014/chart" uri="{C3380CC4-5D6E-409C-BE32-E72D297353CC}">
              <c16:uniqueId val="{00000004-6AC0-410C-A16B-8F47CE0D1ACA}"/>
            </c:ext>
          </c:extLst>
        </c:ser>
        <c:ser>
          <c:idx val="6"/>
          <c:order val="6"/>
          <c:tx>
            <c:strRef>
              <c:f>'Služby-příspěvkyk růstu-4'!$I$33</c:f>
              <c:strCache>
                <c:ptCount val="1"/>
                <c:pt idx="0">
                  <c:v>Administrative &amp; support service activities</c:v>
                </c:pt>
              </c:strCache>
            </c:strRef>
          </c:tx>
          <c:spPr>
            <a:solidFill>
              <a:schemeClr val="accent1">
                <a:lumMod val="20000"/>
                <a:lumOff val="80000"/>
              </a:schemeClr>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růstu-4'!$I$46:$I$76</c:f>
              <c:numCache>
                <c:formatCode>0.0</c:formatCode>
                <c:ptCount val="31"/>
                <c:pt idx="0">
                  <c:v>0.51550370389650024</c:v>
                </c:pt>
                <c:pt idx="1">
                  <c:v>0.62101310773750029</c:v>
                </c:pt>
                <c:pt idx="2">
                  <c:v>0.43506961802500044</c:v>
                </c:pt>
                <c:pt idx="3">
                  <c:v>0.50168865387909933</c:v>
                </c:pt>
                <c:pt idx="4">
                  <c:v>0.4550707532813994</c:v>
                </c:pt>
                <c:pt idx="5">
                  <c:v>0.16398578688570073</c:v>
                </c:pt>
                <c:pt idx="6">
                  <c:v>0.26977885261849965</c:v>
                </c:pt>
                <c:pt idx="7">
                  <c:v>0.51378188366290034</c:v>
                </c:pt>
                <c:pt idx="8">
                  <c:v>1.3201331730339996</c:v>
                </c:pt>
                <c:pt idx="9">
                  <c:v>1.0879288678141008</c:v>
                </c:pt>
                <c:pt idx="10">
                  <c:v>0.6413410787324999</c:v>
                </c:pt>
                <c:pt idx="11">
                  <c:v>0.30531118010650066</c:v>
                </c:pt>
                <c:pt idx="12">
                  <c:v>0.53332072309840028</c:v>
                </c:pt>
                <c:pt idx="13">
                  <c:v>0.3784029238782004</c:v>
                </c:pt>
                <c:pt idx="14">
                  <c:v>0.43569101400389965</c:v>
                </c:pt>
                <c:pt idx="15">
                  <c:v>-1.3079338160200678E-2</c:v>
                </c:pt>
                <c:pt idx="16">
                  <c:v>0.47288540072630031</c:v>
                </c:pt>
                <c:pt idx="17">
                  <c:v>0.12968213694649977</c:v>
                </c:pt>
                <c:pt idx="18">
                  <c:v>-0.12322397481159968</c:v>
                </c:pt>
                <c:pt idx="19">
                  <c:v>-0.21537552647130032</c:v>
                </c:pt>
                <c:pt idx="20">
                  <c:v>-1.1051686942920007</c:v>
                </c:pt>
                <c:pt idx="21">
                  <c:v>-4.3129281059486004</c:v>
                </c:pt>
                <c:pt idx="22">
                  <c:v>-4.446067523157895</c:v>
                </c:pt>
                <c:pt idx="23">
                  <c:v>-2.3716048373778</c:v>
                </c:pt>
                <c:pt idx="24">
                  <c:v>-1.4736020338190001</c:v>
                </c:pt>
                <c:pt idx="25">
                  <c:v>1.7704532307217178</c:v>
                </c:pt>
                <c:pt idx="26">
                  <c:v>1.8501751321200004</c:v>
                </c:pt>
                <c:pt idx="27">
                  <c:v>1.0500907454198474</c:v>
                </c:pt>
                <c:pt idx="28">
                  <c:v>1.6931114455002154</c:v>
                </c:pt>
                <c:pt idx="29">
                  <c:v>2.1036580102008617</c:v>
                </c:pt>
              </c:numCache>
            </c:numRef>
          </c:val>
          <c:extLst>
            <c:ext xmlns:c16="http://schemas.microsoft.com/office/drawing/2014/chart" uri="{C3380CC4-5D6E-409C-BE32-E72D297353CC}">
              <c16:uniqueId val="{00000005-6AC0-410C-A16B-8F47CE0D1ACA}"/>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Total services sales</c:v>
                </c:pt>
              </c:strCache>
            </c:strRef>
          </c:tx>
          <c:spPr>
            <a:ln>
              <a:noFill/>
            </a:ln>
          </c:spPr>
          <c:marker>
            <c:symbol val="dash"/>
            <c:size val="9"/>
            <c:spPr>
              <a:solidFill>
                <a:schemeClr val="tx1">
                  <a:lumMod val="95000"/>
                  <a:lumOff val="5000"/>
                </a:schemeClr>
              </a:solidFill>
              <a:ln>
                <a:noFill/>
              </a:ln>
            </c:spPr>
          </c:marker>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růstu-4'!$C$46:$C$76</c:f>
              <c:numCache>
                <c:formatCode>0.0</c:formatCode>
                <c:ptCount val="31"/>
                <c:pt idx="0">
                  <c:v>3.3387856580999937</c:v>
                </c:pt>
                <c:pt idx="1">
                  <c:v>2.7067375338999966</c:v>
                </c:pt>
                <c:pt idx="2">
                  <c:v>3.2734904207</c:v>
                </c:pt>
                <c:pt idx="3">
                  <c:v>2.2083913160000037</c:v>
                </c:pt>
                <c:pt idx="4">
                  <c:v>1.3295921479000015</c:v>
                </c:pt>
                <c:pt idx="5">
                  <c:v>-0.87633228709999855</c:v>
                </c:pt>
                <c:pt idx="6">
                  <c:v>1.4335470749000052</c:v>
                </c:pt>
                <c:pt idx="7">
                  <c:v>1.6242102724999938</c:v>
                </c:pt>
                <c:pt idx="8">
                  <c:v>5.6462151451000011</c:v>
                </c:pt>
                <c:pt idx="9">
                  <c:v>5.4476828922000067</c:v>
                </c:pt>
                <c:pt idx="10">
                  <c:v>3.4016118395999939</c:v>
                </c:pt>
                <c:pt idx="11">
                  <c:v>2.5063195031000021</c:v>
                </c:pt>
                <c:pt idx="12">
                  <c:v>5.071288603499994</c:v>
                </c:pt>
                <c:pt idx="13">
                  <c:v>3.4823349595999957</c:v>
                </c:pt>
                <c:pt idx="14">
                  <c:v>3.6926675579999966</c:v>
                </c:pt>
                <c:pt idx="15">
                  <c:v>1.0671514554999959</c:v>
                </c:pt>
                <c:pt idx="16">
                  <c:v>3.5777212416000026</c:v>
                </c:pt>
                <c:pt idx="17">
                  <c:v>1.9765133558999963</c:v>
                </c:pt>
                <c:pt idx="18">
                  <c:v>-0.81695782319999921</c:v>
                </c:pt>
                <c:pt idx="19">
                  <c:v>-0.15568719549999344</c:v>
                </c:pt>
                <c:pt idx="20">
                  <c:v>-3.6980250129000041</c:v>
                </c:pt>
                <c:pt idx="21">
                  <c:v>-19.645345248799998</c:v>
                </c:pt>
                <c:pt idx="22">
                  <c:v>-12.600965308100001</c:v>
                </c:pt>
                <c:pt idx="23">
                  <c:v>-10.912584080000002</c:v>
                </c:pt>
                <c:pt idx="24">
                  <c:v>-6.4084553470000003</c:v>
                </c:pt>
                <c:pt idx="25">
                  <c:v>14.780549300900006</c:v>
                </c:pt>
                <c:pt idx="26">
                  <c:v>9.8381160276999964</c:v>
                </c:pt>
                <c:pt idx="27">
                  <c:v>12.662339231000004</c:v>
                </c:pt>
                <c:pt idx="28">
                  <c:v>13.140737031900002</c:v>
                </c:pt>
                <c:pt idx="29">
                  <c:v>12.063343865799993</c:v>
                </c:pt>
              </c:numCache>
            </c:numRef>
          </c:val>
          <c:smooth val="0"/>
          <c:extLst>
            <c:ext xmlns:c16="http://schemas.microsoft.com/office/drawing/2014/chart" uri="{C3380CC4-5D6E-409C-BE32-E72D297353CC}">
              <c16:uniqueId val="{00000006-6AC0-410C-A16B-8F47CE0D1ACA}"/>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Confidence indicator in services</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růstu-4'!$J$46:$J$76</c:f>
              <c:numCache>
                <c:formatCode>0.0</c:formatCode>
                <c:ptCount val="31"/>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numCache>
            </c:numRef>
          </c:val>
          <c:smooth val="0"/>
          <c:extLst>
            <c:ext xmlns:c16="http://schemas.microsoft.com/office/drawing/2014/chart" uri="{C3380CC4-5D6E-409C-BE32-E72D297353CC}">
              <c16:uniqueId val="{00000007-6AC0-410C-A16B-8F47CE0D1ACA}"/>
            </c:ext>
          </c:extLst>
        </c:ser>
        <c:ser>
          <c:idx val="8"/>
          <c:order val="8"/>
          <c:tx>
            <c:strRef>
              <c:f>'Služby-příspěvkyk růstu-4'!$K$33</c:f>
              <c:strCache>
                <c:ptCount val="1"/>
                <c:pt idx="0">
                  <c:v>Growth barrier: inadequate demand</c:v>
                </c:pt>
              </c:strCache>
            </c:strRef>
          </c:tx>
          <c:spPr>
            <a:ln w="15875">
              <a:solidFill>
                <a:srgbClr val="984807"/>
              </a:solidFill>
            </a:ln>
          </c:spPr>
          <c:marker>
            <c:symbol val="none"/>
          </c:marker>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růstu-4'!$K$46:$K$76</c:f>
              <c:numCache>
                <c:formatCode>#\ ##0.0</c:formatCode>
                <c:ptCount val="31"/>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numCache>
            </c:numRef>
          </c:val>
          <c:smooth val="0"/>
          <c:extLst>
            <c:ext xmlns:c16="http://schemas.microsoft.com/office/drawing/2014/chart" uri="{C3380CC4-5D6E-409C-BE32-E72D297353CC}">
              <c16:uniqueId val="{00000008-6AC0-410C-A16B-8F47CE0D1ACA}"/>
            </c:ext>
          </c:extLst>
        </c:ser>
        <c:ser>
          <c:idx val="9"/>
          <c:order val="9"/>
          <c:tx>
            <c:strRef>
              <c:f>'Služby-příspěvkyk růstu-4'!$L$33</c:f>
              <c:strCache>
                <c:ptCount val="1"/>
                <c:pt idx="0">
                  <c:v>Growth barrier: lack of workers</c:v>
                </c:pt>
              </c:strCache>
            </c:strRef>
          </c:tx>
          <c:spPr>
            <a:ln w="15875">
              <a:solidFill>
                <a:srgbClr val="984807"/>
              </a:solidFill>
              <a:prstDash val="sysDash"/>
            </a:ln>
          </c:spPr>
          <c:marker>
            <c:symbol val="none"/>
          </c:marker>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růstu-4'!$L$46:$L$76</c:f>
              <c:numCache>
                <c:formatCode>#\ ##0.0</c:formatCode>
                <c:ptCount val="31"/>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numCache>
            </c:numRef>
          </c:val>
          <c:smooth val="0"/>
          <c:extLst>
            <c:ext xmlns:c16="http://schemas.microsoft.com/office/drawing/2014/chart" uri="{C3380CC4-5D6E-409C-BE32-E72D297353CC}">
              <c16:uniqueId val="{00000009-6AC0-410C-A16B-8F47CE0D1ACA}"/>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21"/>
        </c:scaling>
        <c:delete val="0"/>
        <c:axPos val="l"/>
        <c:majorGridlines>
          <c:spPr>
            <a:ln w="6350">
              <a:solidFill>
                <a:schemeClr val="bg1">
                  <a:lumMod val="75000"/>
                </a:schemeClr>
              </a:solidFill>
            </a:ln>
          </c:spPr>
        </c:majorGridlines>
        <c:title>
          <c:tx>
            <c:rich>
              <a:bodyPr/>
              <a:lstStyle/>
              <a:p>
                <a:pPr>
                  <a:defRPr sz="700" b="0" i="1"/>
                </a:pPr>
                <a:r>
                  <a:rPr lang="cs-CZ" sz="700" b="0" i="1"/>
                  <a:t>Contribution to the change of sales in services</a:t>
                </a:r>
              </a:p>
            </c:rich>
          </c:tx>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100"/>
          <c:min val="-20"/>
        </c:scaling>
        <c:delete val="0"/>
        <c:axPos val="r"/>
        <c:title>
          <c:tx>
            <c:rich>
              <a:bodyPr/>
              <a:lstStyle/>
              <a:p>
                <a:pPr>
                  <a:defRPr sz="700" b="0" i="1"/>
                </a:pPr>
                <a:r>
                  <a:rPr lang="cs-CZ" sz="700" b="0" i="1"/>
                  <a:t>Balance of confidence indicator, Growth barriers</a:t>
                </a:r>
              </a:p>
            </c:rich>
          </c:tx>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1.0962178457031388E-2"/>
          <c:y val="0.82519921468991808"/>
          <c:w val="0.97833537764399003"/>
          <c:h val="0.17117269183021638"/>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5873459472988389"/>
          <c:h val="0.75876761717469687"/>
        </c:manualLayout>
      </c:layout>
      <c:barChart>
        <c:barDir val="col"/>
        <c:grouping val="stacked"/>
        <c:varyColors val="0"/>
        <c:ser>
          <c:idx val="0"/>
          <c:order val="1"/>
          <c:tx>
            <c:strRef>
              <c:f>'výkonnost odvětví 5a'!$E$66</c:f>
              <c:strCache>
                <c:ptCount val="1"/>
                <c:pt idx="0">
                  <c:v>Retail with food (contribution)</c:v>
                </c:pt>
              </c:strCache>
            </c:strRef>
          </c:tx>
          <c:spPr>
            <a:solidFill>
              <a:srgbClr val="92D050"/>
            </a:solidFill>
            <a:ln w="15875">
              <a:noFill/>
            </a:ln>
          </c:spPr>
          <c:invertIfNegative val="0"/>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5a'!$E$67:$E$97</c:f>
              <c:numCache>
                <c:formatCode>#\ ##0.0</c:formatCode>
                <c:ptCount val="31"/>
                <c:pt idx="0">
                  <c:v>1.7954327905527792</c:v>
                </c:pt>
                <c:pt idx="1">
                  <c:v>1.1808546019719848</c:v>
                </c:pt>
                <c:pt idx="2">
                  <c:v>1.8980626361950699</c:v>
                </c:pt>
                <c:pt idx="3">
                  <c:v>1.4512639246986698</c:v>
                </c:pt>
                <c:pt idx="4">
                  <c:v>1.7579883859404466</c:v>
                </c:pt>
                <c:pt idx="5">
                  <c:v>1.4597731408051364</c:v>
                </c:pt>
                <c:pt idx="6">
                  <c:v>0.98265625342777962</c:v>
                </c:pt>
                <c:pt idx="7">
                  <c:v>-8.3656474326988126E-2</c:v>
                </c:pt>
                <c:pt idx="8">
                  <c:v>0.72062441913635855</c:v>
                </c:pt>
                <c:pt idx="9">
                  <c:v>1.3316246689651579</c:v>
                </c:pt>
                <c:pt idx="10">
                  <c:v>1.1433353439469673</c:v>
                </c:pt>
                <c:pt idx="11">
                  <c:v>0.89977373461403121</c:v>
                </c:pt>
                <c:pt idx="12">
                  <c:v>1.5115509798562692</c:v>
                </c:pt>
                <c:pt idx="13">
                  <c:v>0.54228532610479807</c:v>
                </c:pt>
                <c:pt idx="14">
                  <c:v>0.9848486498674448</c:v>
                </c:pt>
                <c:pt idx="15">
                  <c:v>0.4620082520491276</c:v>
                </c:pt>
                <c:pt idx="16">
                  <c:v>0.67301078642127354</c:v>
                </c:pt>
                <c:pt idx="17">
                  <c:v>1.197574945306275</c:v>
                </c:pt>
                <c:pt idx="18">
                  <c:v>0.63652202044636175</c:v>
                </c:pt>
                <c:pt idx="19">
                  <c:v>0.62331153305833609</c:v>
                </c:pt>
                <c:pt idx="20">
                  <c:v>0.96372431228354527</c:v>
                </c:pt>
                <c:pt idx="21">
                  <c:v>-1.1892501717063559</c:v>
                </c:pt>
                <c:pt idx="22">
                  <c:v>-0.41434295303021201</c:v>
                </c:pt>
                <c:pt idx="23">
                  <c:v>0.25231590998316533</c:v>
                </c:pt>
                <c:pt idx="24">
                  <c:v>-0.46029259261204264</c:v>
                </c:pt>
                <c:pt idx="25">
                  <c:v>0.43815667431682553</c:v>
                </c:pt>
                <c:pt idx="26">
                  <c:v>-0.29857278249894137</c:v>
                </c:pt>
                <c:pt idx="27">
                  <c:v>-0.18898421559510256</c:v>
                </c:pt>
                <c:pt idx="28">
                  <c:v>-0.51702427462715028</c:v>
                </c:pt>
                <c:pt idx="29">
                  <c:v>-1.4589117343544662</c:v>
                </c:pt>
              </c:numCache>
            </c:numRef>
          </c:val>
          <c:extLst>
            <c:ext xmlns:c16="http://schemas.microsoft.com/office/drawing/2014/chart" uri="{C3380CC4-5D6E-409C-BE32-E72D297353CC}">
              <c16:uniqueId val="{00000000-1907-4C08-9E2F-2DAC4E90BBC2}"/>
            </c:ext>
          </c:extLst>
        </c:ser>
        <c:ser>
          <c:idx val="1"/>
          <c:order val="2"/>
          <c:tx>
            <c:strRef>
              <c:f>'výkonnost odvětví 5a'!$F$66</c:f>
              <c:strCache>
                <c:ptCount val="1"/>
                <c:pt idx="0">
                  <c:v>Retail with non-food goods (contribution)</c:v>
                </c:pt>
              </c:strCache>
            </c:strRef>
          </c:tx>
          <c:spPr>
            <a:solidFill>
              <a:schemeClr val="accent1">
                <a:lumMod val="40000"/>
                <a:lumOff val="60000"/>
              </a:schemeClr>
            </a:solidFill>
            <a:ln w="15875">
              <a:noFill/>
            </a:ln>
          </c:spPr>
          <c:invertIfNegative val="0"/>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5a'!$F$67:$F$97</c:f>
              <c:numCache>
                <c:formatCode>#\ ##0.0</c:formatCode>
                <c:ptCount val="31"/>
                <c:pt idx="0">
                  <c:v>3.5348176440085202</c:v>
                </c:pt>
                <c:pt idx="1">
                  <c:v>4.0403927957890904</c:v>
                </c:pt>
                <c:pt idx="2">
                  <c:v>2.8491583908636735</c:v>
                </c:pt>
                <c:pt idx="3">
                  <c:v>3.7649034189564579</c:v>
                </c:pt>
                <c:pt idx="4">
                  <c:v>2.9159862756005075</c:v>
                </c:pt>
                <c:pt idx="5">
                  <c:v>2.6692840179601967</c:v>
                </c:pt>
                <c:pt idx="6">
                  <c:v>3.351758458558816</c:v>
                </c:pt>
                <c:pt idx="7">
                  <c:v>3.6403131961317063</c:v>
                </c:pt>
                <c:pt idx="8">
                  <c:v>4.2755993300345949</c:v>
                </c:pt>
                <c:pt idx="9">
                  <c:v>4.6181656067499972</c:v>
                </c:pt>
                <c:pt idx="10">
                  <c:v>4.1974804776960797</c:v>
                </c:pt>
                <c:pt idx="11">
                  <c:v>4.8260964478037458</c:v>
                </c:pt>
                <c:pt idx="12">
                  <c:v>4.1871547212750038</c:v>
                </c:pt>
                <c:pt idx="13">
                  <c:v>3.5059801620938762</c:v>
                </c:pt>
                <c:pt idx="14">
                  <c:v>2.8195561267975422</c:v>
                </c:pt>
                <c:pt idx="15">
                  <c:v>3.9521324238297022</c:v>
                </c:pt>
                <c:pt idx="16">
                  <c:v>4.4423302425101463</c:v>
                </c:pt>
                <c:pt idx="17">
                  <c:v>3.3722130230140674</c:v>
                </c:pt>
                <c:pt idx="18">
                  <c:v>3.7144530757170515</c:v>
                </c:pt>
                <c:pt idx="19">
                  <c:v>3.4471029244431421</c:v>
                </c:pt>
                <c:pt idx="20">
                  <c:v>4.0056202134999976E-2</c:v>
                </c:pt>
                <c:pt idx="21">
                  <c:v>0.37119654560078302</c:v>
                </c:pt>
                <c:pt idx="22">
                  <c:v>1.7563841704982455</c:v>
                </c:pt>
                <c:pt idx="23">
                  <c:v>-1.063599515621104</c:v>
                </c:pt>
                <c:pt idx="24">
                  <c:v>1.0548245743778293</c:v>
                </c:pt>
                <c:pt idx="25">
                  <c:v>5.7172797743838517</c:v>
                </c:pt>
                <c:pt idx="26">
                  <c:v>3.8090295600505146</c:v>
                </c:pt>
                <c:pt idx="27">
                  <c:v>5.2450081246721751</c:v>
                </c:pt>
                <c:pt idx="28">
                  <c:v>5.4624396036347154</c:v>
                </c:pt>
                <c:pt idx="29">
                  <c:v>-1.083114681317632</c:v>
                </c:pt>
              </c:numCache>
            </c:numRef>
          </c:val>
          <c:extLst>
            <c:ext xmlns:c16="http://schemas.microsoft.com/office/drawing/2014/chart" uri="{C3380CC4-5D6E-409C-BE32-E72D297353CC}">
              <c16:uniqueId val="{00000001-1907-4C08-9E2F-2DAC4E90BBC2}"/>
            </c:ext>
          </c:extLst>
        </c:ser>
        <c:ser>
          <c:idx val="4"/>
          <c:order val="3"/>
          <c:tx>
            <c:strRef>
              <c:f>'výkonnost odvětví 5a'!$G$66</c:f>
              <c:strCache>
                <c:ptCount val="1"/>
                <c:pt idx="0">
                  <c:v>Retail sale of fuels (contribution)</c:v>
                </c:pt>
              </c:strCache>
            </c:strRef>
          </c:tx>
          <c:spPr>
            <a:solidFill>
              <a:srgbClr val="FFFF00"/>
            </a:solidFill>
            <a:ln w="15875">
              <a:noFill/>
            </a:ln>
          </c:spPr>
          <c:invertIfNegative val="0"/>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5a'!$G$67:$G$97</c:f>
              <c:numCache>
                <c:formatCode>#\ ##0.0</c:formatCode>
                <c:ptCount val="31"/>
                <c:pt idx="0">
                  <c:v>0.75373799686577747</c:v>
                </c:pt>
                <c:pt idx="1">
                  <c:v>0.58821059894444772</c:v>
                </c:pt>
                <c:pt idx="2">
                  <c:v>0.79387895299348521</c:v>
                </c:pt>
                <c:pt idx="3">
                  <c:v>0.93965372963044991</c:v>
                </c:pt>
                <c:pt idx="4">
                  <c:v>0.67343888771248017</c:v>
                </c:pt>
                <c:pt idx="5">
                  <c:v>0.7046260190280581</c:v>
                </c:pt>
                <c:pt idx="6">
                  <c:v>0.62808372581017557</c:v>
                </c:pt>
                <c:pt idx="7">
                  <c:v>0.62560948668929184</c:v>
                </c:pt>
                <c:pt idx="8">
                  <c:v>0.53739987511050791</c:v>
                </c:pt>
                <c:pt idx="9">
                  <c:v>0.77313131276884206</c:v>
                </c:pt>
                <c:pt idx="10">
                  <c:v>0.84835732550660725</c:v>
                </c:pt>
                <c:pt idx="11">
                  <c:v>0.68455496519870973</c:v>
                </c:pt>
                <c:pt idx="12">
                  <c:v>0.67556451520783956</c:v>
                </c:pt>
                <c:pt idx="13">
                  <c:v>0.59080209268699757</c:v>
                </c:pt>
                <c:pt idx="14">
                  <c:v>0.37399638976140798</c:v>
                </c:pt>
                <c:pt idx="15">
                  <c:v>0.42680859486818856</c:v>
                </c:pt>
                <c:pt idx="16">
                  <c:v>0.55628133832534898</c:v>
                </c:pt>
                <c:pt idx="17">
                  <c:v>0.2629025576100007</c:v>
                </c:pt>
                <c:pt idx="18">
                  <c:v>0.19439517076933396</c:v>
                </c:pt>
                <c:pt idx="19">
                  <c:v>5.585559339908714E-2</c:v>
                </c:pt>
                <c:pt idx="20">
                  <c:v>-0.76759105911378023</c:v>
                </c:pt>
                <c:pt idx="21">
                  <c:v>-2.052563665806848</c:v>
                </c:pt>
                <c:pt idx="22">
                  <c:v>-4.8190566908999956E-2</c:v>
                </c:pt>
                <c:pt idx="23">
                  <c:v>-1.2030433768320992</c:v>
                </c:pt>
                <c:pt idx="24">
                  <c:v>-0.80173294024312114</c:v>
                </c:pt>
                <c:pt idx="25">
                  <c:v>1.0365202081257165</c:v>
                </c:pt>
                <c:pt idx="26">
                  <c:v>0.38874836650999922</c:v>
                </c:pt>
                <c:pt idx="27">
                  <c:v>0.99453062190738506</c:v>
                </c:pt>
                <c:pt idx="28">
                  <c:v>1.4252508871040921</c:v>
                </c:pt>
                <c:pt idx="29">
                  <c:v>-0.42459225653701288</c:v>
                </c:pt>
              </c:numCache>
            </c:numRef>
          </c:val>
          <c:extLst>
            <c:ext xmlns:c16="http://schemas.microsoft.com/office/drawing/2014/chart" uri="{C3380CC4-5D6E-409C-BE32-E72D297353CC}">
              <c16:uniqueId val="{00000002-1907-4C08-9E2F-2DAC4E90BBC2}"/>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Total retail sales (y-o-y growth)</c:v>
                </c:pt>
              </c:strCache>
            </c:strRef>
          </c:tx>
          <c:spPr>
            <a:ln>
              <a:noFill/>
            </a:ln>
          </c:spPr>
          <c:marker>
            <c:symbol val="dash"/>
            <c:size val="7"/>
            <c:spPr>
              <a:solidFill>
                <a:schemeClr val="tx1">
                  <a:lumMod val="85000"/>
                  <a:lumOff val="15000"/>
                </a:schemeClr>
              </a:solidFill>
              <a:ln w="6350">
                <a:noFill/>
              </a:ln>
            </c:spPr>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5a'!$D$67:$D$97</c:f>
              <c:numCache>
                <c:formatCode>#\ ##0.0</c:formatCode>
                <c:ptCount val="31"/>
                <c:pt idx="0">
                  <c:v>5.9629437730999939</c:v>
                </c:pt>
                <c:pt idx="1">
                  <c:v>5.5942049784000005</c:v>
                </c:pt>
                <c:pt idx="2">
                  <c:v>5.5012484798999992</c:v>
                </c:pt>
                <c:pt idx="3">
                  <c:v>6.0276233044999969</c:v>
                </c:pt>
                <c:pt idx="4">
                  <c:v>5.2867215003000041</c:v>
                </c:pt>
                <c:pt idx="5">
                  <c:v>4.7635779651999997</c:v>
                </c:pt>
                <c:pt idx="6">
                  <c:v>4.7795776032999981</c:v>
                </c:pt>
                <c:pt idx="7">
                  <c:v>3.8964899322999997</c:v>
                </c:pt>
                <c:pt idx="8">
                  <c:v>5.2310555753000045</c:v>
                </c:pt>
                <c:pt idx="9">
                  <c:v>6.4725508764000068</c:v>
                </c:pt>
                <c:pt idx="10">
                  <c:v>5.9734111239999947</c:v>
                </c:pt>
                <c:pt idx="11">
                  <c:v>6.1682850682000065</c:v>
                </c:pt>
                <c:pt idx="12">
                  <c:v>6.3413097881000056</c:v>
                </c:pt>
                <c:pt idx="13">
                  <c:v>4.6706928929999947</c:v>
                </c:pt>
                <c:pt idx="14">
                  <c:v>4.2011641704000056</c:v>
                </c:pt>
                <c:pt idx="15">
                  <c:v>4.8161828603000032</c:v>
                </c:pt>
                <c:pt idx="16">
                  <c:v>5.6584053785000066</c:v>
                </c:pt>
                <c:pt idx="17">
                  <c:v>4.8300705571000009</c:v>
                </c:pt>
                <c:pt idx="18">
                  <c:v>4.5406581594999977</c:v>
                </c:pt>
                <c:pt idx="19">
                  <c:v>4.196988668399996</c:v>
                </c:pt>
                <c:pt idx="20">
                  <c:v>0.12908217749999551</c:v>
                </c:pt>
                <c:pt idx="21">
                  <c:v>-2.8976566630000065</c:v>
                </c:pt>
                <c:pt idx="22">
                  <c:v>1.3167079119999983</c:v>
                </c:pt>
                <c:pt idx="23">
                  <c:v>-2.0203436960999994</c:v>
                </c:pt>
                <c:pt idx="24">
                  <c:v>-0.23059238929999992</c:v>
                </c:pt>
                <c:pt idx="25">
                  <c:v>7.2760971838000046</c:v>
                </c:pt>
                <c:pt idx="26">
                  <c:v>3.9161442860000051</c:v>
                </c:pt>
                <c:pt idx="27">
                  <c:v>6.1636950233999954</c:v>
                </c:pt>
                <c:pt idx="28">
                  <c:v>6.3636928732999962</c:v>
                </c:pt>
                <c:pt idx="29">
                  <c:v>-2.9653516660000037</c:v>
                </c:pt>
              </c:numCache>
            </c:numRef>
          </c:val>
          <c:smooth val="0"/>
          <c:extLst>
            <c:ext xmlns:c16="http://schemas.microsoft.com/office/drawing/2014/chart" uri="{C3380CC4-5D6E-409C-BE32-E72D297353CC}">
              <c16:uniqueId val="{00000003-1907-4C08-9E2F-2DAC4E90BBC2}"/>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Retail, without motor vehicles (2015=100)</c:v>
                </c:pt>
              </c:strCache>
            </c:strRef>
          </c:tx>
          <c:spPr>
            <a:ln w="15875">
              <a:solidFill>
                <a:schemeClr val="tx1">
                  <a:lumMod val="95000"/>
                  <a:lumOff val="5000"/>
                </a:schemeClr>
              </a:solidFill>
              <a:prstDash val="solid"/>
            </a:ln>
          </c:spPr>
          <c:marker>
            <c:symbol val="none"/>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5a'!$H$67:$H$97</c:f>
              <c:numCache>
                <c:formatCode>#\ ##0.0</c:formatCode>
                <c:ptCount val="31"/>
                <c:pt idx="0">
                  <c:v>98.182102983299998</c:v>
                </c:pt>
                <c:pt idx="1">
                  <c:v>99.137603143299998</c:v>
                </c:pt>
                <c:pt idx="2">
                  <c:v>100.17900292</c:v>
                </c:pt>
                <c:pt idx="3">
                  <c:v>102.5012909667</c:v>
                </c:pt>
                <c:pt idx="4">
                  <c:v>103.1357140333</c:v>
                </c:pt>
                <c:pt idx="5">
                  <c:v>103.9351803667</c:v>
                </c:pt>
                <c:pt idx="6">
                  <c:v>105.1890714</c:v>
                </c:pt>
                <c:pt idx="7">
                  <c:v>106.6400906667</c:v>
                </c:pt>
                <c:pt idx="8">
                  <c:v>108.2930209</c:v>
                </c:pt>
                <c:pt idx="9">
                  <c:v>110.5603038667</c:v>
                </c:pt>
                <c:pt idx="10">
                  <c:v>111.7185620333</c:v>
                </c:pt>
                <c:pt idx="11">
                  <c:v>113.10479650000001</c:v>
                </c:pt>
                <c:pt idx="12">
                  <c:v>114.79604070000001</c:v>
                </c:pt>
                <c:pt idx="13">
                  <c:v>115.93791803329999</c:v>
                </c:pt>
                <c:pt idx="14">
                  <c:v>116.7740435</c:v>
                </c:pt>
                <c:pt idx="15">
                  <c:v>118.4401407667</c:v>
                </c:pt>
                <c:pt idx="16">
                  <c:v>120.8630658333</c:v>
                </c:pt>
                <c:pt idx="17">
                  <c:v>121.79026133000001</c:v>
                </c:pt>
                <c:pt idx="18">
                  <c:v>122.36688694670001</c:v>
                </c:pt>
                <c:pt idx="19">
                  <c:v>123.29103059329999</c:v>
                </c:pt>
                <c:pt idx="20">
                  <c:v>120.69862361</c:v>
                </c:pt>
                <c:pt idx="21">
                  <c:v>118.79257757000001</c:v>
                </c:pt>
                <c:pt idx="22">
                  <c:v>124.45742695</c:v>
                </c:pt>
                <c:pt idx="23">
                  <c:v>120.35418919999999</c:v>
                </c:pt>
                <c:pt idx="24">
                  <c:v>118.8138527567</c:v>
                </c:pt>
                <c:pt idx="25" formatCode="##0.0">
                  <c:v>127.7186480567</c:v>
                </c:pt>
                <c:pt idx="26" formatCode="##0.0">
                  <c:v>130.09234629669999</c:v>
                </c:pt>
                <c:pt idx="27" formatCode="##0.0">
                  <c:v>127.8071996667</c:v>
                </c:pt>
                <c:pt idx="28" formatCode="##0.0">
                  <c:v>126.9435093267</c:v>
                </c:pt>
                <c:pt idx="29" formatCode="##0.0">
                  <c:v>124.04372931</c:v>
                </c:pt>
              </c:numCache>
            </c:numRef>
          </c:val>
          <c:smooth val="0"/>
          <c:extLst>
            <c:ext xmlns:c16="http://schemas.microsoft.com/office/drawing/2014/chart" uri="{C3380CC4-5D6E-409C-BE32-E72D297353CC}">
              <c16:uniqueId val="{00000004-1907-4C08-9E2F-2DAC4E90BBC2}"/>
            </c:ext>
          </c:extLst>
        </c:ser>
        <c:ser>
          <c:idx val="2"/>
          <c:order val="5"/>
          <c:tx>
            <c:strRef>
              <c:f>'výkonnost odvětví 5a'!$I$66</c:f>
              <c:strCache>
                <c:ptCount val="1"/>
                <c:pt idx="0">
                  <c:v>Retail sale of fuels (2015=100)</c:v>
                </c:pt>
              </c:strCache>
            </c:strRef>
          </c:tx>
          <c:spPr>
            <a:ln w="15875">
              <a:solidFill>
                <a:schemeClr val="bg2">
                  <a:lumMod val="50000"/>
                </a:schemeClr>
              </a:solidFill>
              <a:prstDash val="sysDash"/>
            </a:ln>
          </c:spPr>
          <c:marker>
            <c:symbol val="none"/>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5a'!$I$67:$I$97</c:f>
              <c:numCache>
                <c:formatCode>#\ ##0.0</c:formatCode>
                <c:ptCount val="31"/>
                <c:pt idx="0">
                  <c:v>99.513139306699998</c:v>
                </c:pt>
                <c:pt idx="1">
                  <c:v>98.324028400000003</c:v>
                </c:pt>
                <c:pt idx="2">
                  <c:v>99.345746030000001</c:v>
                </c:pt>
                <c:pt idx="3">
                  <c:v>102.8170862667</c:v>
                </c:pt>
                <c:pt idx="4">
                  <c:v>104.4080196</c:v>
                </c:pt>
                <c:pt idx="5">
                  <c:v>103.7612565667</c:v>
                </c:pt>
                <c:pt idx="6">
                  <c:v>103.8894186</c:v>
                </c:pt>
                <c:pt idx="7">
                  <c:v>108.06889986669999</c:v>
                </c:pt>
                <c:pt idx="8">
                  <c:v>108.9125654667</c:v>
                </c:pt>
                <c:pt idx="9">
                  <c:v>110.0281492667</c:v>
                </c:pt>
                <c:pt idx="10">
                  <c:v>110.2481697333</c:v>
                </c:pt>
                <c:pt idx="11">
                  <c:v>114.9077460667</c:v>
                </c:pt>
                <c:pt idx="12">
                  <c:v>115.15612109999999</c:v>
                </c:pt>
                <c:pt idx="13">
                  <c:v>115.32029416669999</c:v>
                </c:pt>
                <c:pt idx="14">
                  <c:v>113.3013183333</c:v>
                </c:pt>
                <c:pt idx="15">
                  <c:v>118.5502795</c:v>
                </c:pt>
                <c:pt idx="16">
                  <c:v>120.6878189267</c:v>
                </c:pt>
                <c:pt idx="17">
                  <c:v>117.99417203</c:v>
                </c:pt>
                <c:pt idx="18">
                  <c:v>114.4818178733</c:v>
                </c:pt>
                <c:pt idx="19">
                  <c:v>119.4088204933</c:v>
                </c:pt>
                <c:pt idx="20">
                  <c:v>113.0155670067</c:v>
                </c:pt>
                <c:pt idx="21">
                  <c:v>97.645228860000003</c:v>
                </c:pt>
                <c:pt idx="22">
                  <c:v>113.35676879330001</c:v>
                </c:pt>
                <c:pt idx="23">
                  <c:v>105.9359390533</c:v>
                </c:pt>
                <c:pt idx="24">
                  <c:v>104.1611650867</c:v>
                </c:pt>
                <c:pt idx="25" formatCode="##0.0">
                  <c:v>110.8272422733</c:v>
                </c:pt>
                <c:pt idx="26" formatCode="##0.0">
                  <c:v>117.33346090000001</c:v>
                </c:pt>
                <c:pt idx="27" formatCode="##0.0">
                  <c:v>114.9772695333</c:v>
                </c:pt>
                <c:pt idx="28" formatCode="##0.0">
                  <c:v>116.0249363967</c:v>
                </c:pt>
                <c:pt idx="29" formatCode="##0.0">
                  <c:v>106.64345805329999</c:v>
                </c:pt>
              </c:numCache>
            </c:numRef>
          </c:val>
          <c:smooth val="0"/>
          <c:extLst>
            <c:ext xmlns:c16="http://schemas.microsoft.com/office/drawing/2014/chart" uri="{C3380CC4-5D6E-409C-BE32-E72D297353CC}">
              <c16:uniqueId val="{00000005-1907-4C08-9E2F-2DAC4E90BBC2}"/>
            </c:ext>
          </c:extLst>
        </c:ser>
        <c:ser>
          <c:idx val="6"/>
          <c:order val="6"/>
          <c:tx>
            <c:strRef>
              <c:f>'výkonnost odvětví 5a'!$J$66</c:f>
              <c:strCache>
                <c:ptCount val="1"/>
                <c:pt idx="0">
                  <c:v>Sale and repair of motor vehicles (2015=100)</c:v>
                </c:pt>
              </c:strCache>
            </c:strRef>
          </c:tx>
          <c:spPr>
            <a:ln w="15875">
              <a:solidFill>
                <a:srgbClr val="984807"/>
              </a:solidFill>
              <a:prstDash val="solid"/>
            </a:ln>
          </c:spPr>
          <c:marker>
            <c:symbol val="none"/>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5a'!$J$67:$J$97</c:f>
              <c:numCache>
                <c:formatCode>#\ ##0.0</c:formatCode>
                <c:ptCount val="31"/>
                <c:pt idx="0">
                  <c:v>95.697367796699993</c:v>
                </c:pt>
                <c:pt idx="1">
                  <c:v>98.531720309999997</c:v>
                </c:pt>
                <c:pt idx="2">
                  <c:v>101.3260702667</c:v>
                </c:pt>
                <c:pt idx="3">
                  <c:v>104.4448416333</c:v>
                </c:pt>
                <c:pt idx="4">
                  <c:v>105.1626406667</c:v>
                </c:pt>
                <c:pt idx="5">
                  <c:v>106.8068112</c:v>
                </c:pt>
                <c:pt idx="6">
                  <c:v>108.91789203330001</c:v>
                </c:pt>
                <c:pt idx="7">
                  <c:v>109.8263580333</c:v>
                </c:pt>
                <c:pt idx="8">
                  <c:v>111.08373136669999</c:v>
                </c:pt>
                <c:pt idx="9">
                  <c:v>111.3580627667</c:v>
                </c:pt>
                <c:pt idx="10">
                  <c:v>109.57350293330001</c:v>
                </c:pt>
                <c:pt idx="11">
                  <c:v>112.0391699333</c:v>
                </c:pt>
                <c:pt idx="12">
                  <c:v>110.5959055333</c:v>
                </c:pt>
                <c:pt idx="13">
                  <c:v>109.9283487667</c:v>
                </c:pt>
                <c:pt idx="14">
                  <c:v>108.9107659</c:v>
                </c:pt>
                <c:pt idx="15">
                  <c:v>106.41696349999999</c:v>
                </c:pt>
                <c:pt idx="16">
                  <c:v>109.54775435329999</c:v>
                </c:pt>
                <c:pt idx="17">
                  <c:v>110.8073262667</c:v>
                </c:pt>
                <c:pt idx="18">
                  <c:v>109.5778583733</c:v>
                </c:pt>
                <c:pt idx="19">
                  <c:v>110.06150255670001</c:v>
                </c:pt>
                <c:pt idx="20">
                  <c:v>96.457729993300006</c:v>
                </c:pt>
                <c:pt idx="21">
                  <c:v>77.460500006700002</c:v>
                </c:pt>
                <c:pt idx="22">
                  <c:v>100.4926849</c:v>
                </c:pt>
                <c:pt idx="23">
                  <c:v>102.1841167867</c:v>
                </c:pt>
                <c:pt idx="24">
                  <c:v>102.6393273067</c:v>
                </c:pt>
                <c:pt idx="25" formatCode="##0.0">
                  <c:v>105.26432622999999</c:v>
                </c:pt>
                <c:pt idx="26" formatCode="##0.0">
                  <c:v>99.32742159</c:v>
                </c:pt>
                <c:pt idx="27" formatCode="##0.0">
                  <c:v>97.737005273299999</c:v>
                </c:pt>
                <c:pt idx="28" formatCode="##0.0">
                  <c:v>98.482088253300006</c:v>
                </c:pt>
                <c:pt idx="29" formatCode="##0.0">
                  <c:v>97.105387289999996</c:v>
                </c:pt>
              </c:numCache>
            </c:numRef>
          </c:val>
          <c:smooth val="0"/>
          <c:extLst>
            <c:ext xmlns:c16="http://schemas.microsoft.com/office/drawing/2014/chart" uri="{C3380CC4-5D6E-409C-BE32-E72D297353CC}">
              <c16:uniqueId val="{00000006-1907-4C08-9E2F-2DAC4E90BBC2}"/>
            </c:ext>
          </c:extLst>
        </c:ser>
        <c:ser>
          <c:idx val="7"/>
          <c:order val="7"/>
          <c:tx>
            <c:strRef>
              <c:f>'výkonnost odvětví 5a'!$K$66</c:f>
              <c:strCache>
                <c:ptCount val="1"/>
                <c:pt idx="0">
                  <c:v>Consumer confidence indicator</c:v>
                </c:pt>
              </c:strCache>
            </c:strRef>
          </c:tx>
          <c:spPr>
            <a:ln w="3175">
              <a:solidFill>
                <a:schemeClr val="bg1">
                  <a:lumMod val="50000"/>
                </a:schemeClr>
              </a:solidFill>
              <a:prstDash val="sysDash"/>
            </a:ln>
          </c:spPr>
          <c:marker>
            <c:symbol val="diamond"/>
            <c:size val="5"/>
            <c:spPr>
              <a:solidFill>
                <a:srgbClr val="FFFF00"/>
              </a:solidFill>
              <a:ln w="3175">
                <a:solidFill>
                  <a:schemeClr val="bg1">
                    <a:lumMod val="50000"/>
                  </a:schemeClr>
                </a:solidFill>
              </a:ln>
            </c:spPr>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5a'!$K$67:$K$97</c:f>
              <c:numCache>
                <c:formatCode>0.0</c:formatCode>
                <c:ptCount val="31"/>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numCache>
            </c:numRef>
          </c:val>
          <c:smooth val="0"/>
          <c:extLst>
            <c:ext xmlns:c16="http://schemas.microsoft.com/office/drawing/2014/chart" uri="{C3380CC4-5D6E-409C-BE32-E72D297353CC}">
              <c16:uniqueId val="{00000007-1907-4C08-9E2F-2DAC4E90BBC2}"/>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8"/>
          <c:min val="-9"/>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Contribution to year-on-year change of sales in retail</a:t>
                </a:r>
                <a:endParaRPr lang="cs-CZ" sz="700">
                  <a:effectLst/>
                </a:endParaRPr>
              </a:p>
            </c:rich>
          </c:tx>
          <c:layout>
            <c:manualLayout>
              <c:xMode val="edge"/>
              <c:yMode val="edge"/>
              <c:x val="2.6086048454469508E-3"/>
              <c:y val="0.12035382084207227"/>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875563695"/>
        <c:scaling>
          <c:orientation val="minMax"/>
          <c:min val="-4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b="0" i="1">
                    <a:effectLst/>
                  </a:rPr>
                  <a:t>Sales (year 2015=100), Confidence of consumers</a:t>
                </a:r>
                <a:endParaRPr lang="cs-CZ" sz="700" b="0" i="1">
                  <a:effectLst/>
                </a:endParaRPr>
              </a:p>
            </c:rich>
          </c:tx>
          <c:overlay val="0"/>
        </c:title>
        <c:numFmt formatCode="#,##0" sourceLinked="0"/>
        <c:majorTickMark val="out"/>
        <c:minorTickMark val="none"/>
        <c:tickLblPos val="nextTo"/>
        <c:txPr>
          <a:bodyPr/>
          <a:lstStyle/>
          <a:p>
            <a:pPr>
              <a:defRPr sz="800"/>
            </a:pPr>
            <a:endParaRPr lang="cs-CZ"/>
          </a:p>
        </c:txPr>
        <c:crossAx val="1875570767"/>
        <c:crosses val="max"/>
        <c:crossBetween val="between"/>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2.5853125087625835E-3"/>
          <c:y val="0.85801365833915932"/>
          <c:w val="0.98947721520696308"/>
          <c:h val="0.13836320590465642"/>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6266097578916E-2"/>
          <c:y val="2.3304908251716772E-2"/>
          <c:w val="0.92389825103638334"/>
          <c:h val="0.62842367443431268"/>
        </c:manualLayout>
      </c:layout>
      <c:barChart>
        <c:barDir val="col"/>
        <c:grouping val="clustered"/>
        <c:varyColors val="0"/>
        <c:ser>
          <c:idx val="1"/>
          <c:order val="0"/>
          <c:tx>
            <c:strRef>
              <c:f>'Vnější vztahy 2'!$A$7</c:f>
              <c:strCache>
                <c:ptCount val="1"/>
                <c:pt idx="0">
                  <c:v>2021</c:v>
                </c:pt>
              </c:strCache>
            </c:strRef>
          </c:tx>
          <c:spPr>
            <a:solidFill>
              <a:schemeClr val="bg1">
                <a:lumMod val="65000"/>
              </a:schemeClr>
            </a:solidFill>
          </c:spPr>
          <c:invertIfNegative val="0"/>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2'!$B$7:$N$7</c:f>
              <c:numCache>
                <c:formatCode>General</c:formatCode>
                <c:ptCount val="13"/>
                <c:pt idx="0">
                  <c:v>-52.609762409000005</c:v>
                </c:pt>
                <c:pt idx="1">
                  <c:v>-18.527083834000003</c:v>
                </c:pt>
                <c:pt idx="2">
                  <c:v>-15.89704721</c:v>
                </c:pt>
                <c:pt idx="3">
                  <c:v>-10.05583438</c:v>
                </c:pt>
                <c:pt idx="4">
                  <c:v>-65.899508188000013</c:v>
                </c:pt>
                <c:pt idx="5">
                  <c:v>-41.622600157000001</c:v>
                </c:pt>
                <c:pt idx="6">
                  <c:v>13.44406193</c:v>
                </c:pt>
                <c:pt idx="7">
                  <c:v>-66.851482993000005</c:v>
                </c:pt>
                <c:pt idx="8">
                  <c:v>33.682446567999996</c:v>
                </c:pt>
                <c:pt idx="9">
                  <c:v>-14.354854367</c:v>
                </c:pt>
                <c:pt idx="10">
                  <c:v>2.4351323099999997</c:v>
                </c:pt>
                <c:pt idx="11">
                  <c:v>32.786894883000002</c:v>
                </c:pt>
                <c:pt idx="12">
                  <c:v>238.04151548800002</c:v>
                </c:pt>
              </c:numCache>
            </c:numRef>
          </c:val>
          <c:extLst>
            <c:ext xmlns:c16="http://schemas.microsoft.com/office/drawing/2014/chart" uri="{C3380CC4-5D6E-409C-BE32-E72D297353CC}">
              <c16:uniqueId val="{00000000-7B6F-426E-9235-DE906A4B2136}"/>
            </c:ext>
          </c:extLst>
        </c:ser>
        <c:ser>
          <c:idx val="2"/>
          <c:order val="1"/>
          <c:tx>
            <c:strRef>
              <c:f>'Vnější vztahy 2'!$A$8</c:f>
              <c:strCache>
                <c:ptCount val="1"/>
                <c:pt idx="0">
                  <c:v>2022</c:v>
                </c:pt>
              </c:strCache>
            </c:strRef>
          </c:tx>
          <c:spPr>
            <a:solidFill>
              <a:srgbClr val="BD1B21"/>
            </a:solidFill>
            <a:ln>
              <a:noFill/>
            </a:ln>
          </c:spPr>
          <c:invertIfNegative val="0"/>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2'!$B$8:$N$8</c:f>
              <c:numCache>
                <c:formatCode>General</c:formatCode>
                <c:ptCount val="13"/>
                <c:pt idx="0">
                  <c:v>-153.71756406200001</c:v>
                </c:pt>
                <c:pt idx="1">
                  <c:v>-24.376800112999998</c:v>
                </c:pt>
                <c:pt idx="2">
                  <c:v>-22.25893911</c:v>
                </c:pt>
                <c:pt idx="3">
                  <c:v>-25.979704458</c:v>
                </c:pt>
                <c:pt idx="4">
                  <c:v>-75.922501271000002</c:v>
                </c:pt>
                <c:pt idx="5">
                  <c:v>-37.075463235999997</c:v>
                </c:pt>
                <c:pt idx="6">
                  <c:v>15.057661433000002</c:v>
                </c:pt>
                <c:pt idx="7">
                  <c:v>-100.15953480100001</c:v>
                </c:pt>
                <c:pt idx="8">
                  <c:v>42.182610111999992</c:v>
                </c:pt>
                <c:pt idx="9">
                  <c:v>-10.160687635</c:v>
                </c:pt>
                <c:pt idx="10">
                  <c:v>-1.6163961280000001</c:v>
                </c:pt>
                <c:pt idx="11">
                  <c:v>30.848622992999996</c:v>
                </c:pt>
                <c:pt idx="12">
                  <c:v>235.86068781099999</c:v>
                </c:pt>
              </c:numCache>
            </c:numRef>
          </c:val>
          <c:extLst>
            <c:ext xmlns:c16="http://schemas.microsoft.com/office/drawing/2014/chart" uri="{C3380CC4-5D6E-409C-BE32-E72D297353CC}">
              <c16:uniqueId val="{00000001-7B6F-426E-9235-DE906A4B2136}"/>
            </c:ext>
          </c:extLst>
        </c:ser>
        <c:dLbls>
          <c:showLegendKey val="0"/>
          <c:showVal val="0"/>
          <c:showCatName val="0"/>
          <c:showSerName val="0"/>
          <c:showPercent val="0"/>
          <c:showBubbleSize val="0"/>
        </c:dLbls>
        <c:gapWidth val="97"/>
        <c:axId val="130226048"/>
        <c:axId val="130227584"/>
      </c:barChart>
      <c:catAx>
        <c:axId val="130226048"/>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30227584"/>
        <c:crosses val="autoZero"/>
        <c:auto val="1"/>
        <c:lblAlgn val="ctr"/>
        <c:lblOffset val="100"/>
        <c:noMultiLvlLbl val="0"/>
      </c:catAx>
      <c:valAx>
        <c:axId val="130227584"/>
        <c:scaling>
          <c:orientation val="minMax"/>
          <c:max val="25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30226048"/>
        <c:crosses val="autoZero"/>
        <c:crossBetween val="between"/>
        <c:majorUnit val="50"/>
      </c:valAx>
      <c:spPr>
        <a:ln>
          <a:solidFill>
            <a:schemeClr val="tx1"/>
          </a:solidFill>
        </a:ln>
      </c:spPr>
    </c:plotArea>
    <c:legend>
      <c:legendPos val="t"/>
      <c:layout>
        <c:manualLayout>
          <c:xMode val="edge"/>
          <c:yMode val="edge"/>
          <c:x val="8.7105190939604393E-2"/>
          <c:y val="7.1492403932082215E-3"/>
          <c:w val="0.30300141436743999"/>
          <c:h val="6.3791208404579469E-2"/>
        </c:manualLayout>
      </c:layout>
      <c:overlay val="1"/>
      <c:spPr>
        <a:ln w="6350">
          <a:no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9123-6767-44DA-8273-2A30BC097C7B}">
  <ds:schemaRefs>
    <ds:schemaRef ds:uri="http://schemas.openxmlformats.org/officeDocument/2006/bibliography"/>
  </ds:schemaRefs>
</ds:datastoreItem>
</file>

<file path=customXml/itemProps2.xml><?xml version="1.0" encoding="utf-8"?>
<ds:datastoreItem xmlns:ds="http://schemas.openxmlformats.org/officeDocument/2006/customXml" ds:itemID="{97364299-6E0A-4D8B-9623-0BF13CF8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0</TotalTime>
  <Pages>42</Pages>
  <Words>16697</Words>
  <Characters>98514</Characters>
  <Application>Microsoft Office Word</Application>
  <DocSecurity>0</DocSecurity>
  <Lines>820</Lines>
  <Paragraphs>229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114982</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2</cp:revision>
  <cp:lastPrinted>2019-04-08T10:52:00Z</cp:lastPrinted>
  <dcterms:created xsi:type="dcterms:W3CDTF">2022-10-14T10:28:00Z</dcterms:created>
  <dcterms:modified xsi:type="dcterms:W3CDTF">2022-10-14T10:28:00Z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2022-09-16T14:37:11Z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c768a867-054a-4443-ae84-aa18391251d8</vt:lpwstr>
  </property>
  <property fmtid="{D5CDD505-2E9C-101B-9397-08002B2CF9AE}" pid="8" name="MSIP_Label_29db9e61-aac5-4f6e-805d-ceb8cb9983a1_ContentBits">
    <vt:lpwstr>0</vt:lpwstr>
  </property>
</Properties>
</file>