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2FB6" w:rsidRPr="00D94E51" w:rsidRDefault="006067DA" w:rsidP="007C2FB6">
      <w:pPr>
        <w:keepNext/>
        <w:keepLines/>
        <w:spacing w:after="200"/>
        <w:outlineLvl w:val="0"/>
        <w:rPr>
          <w:rFonts w:eastAsia="MS Gothic"/>
          <w:b/>
          <w:bCs/>
          <w:color w:val="BC091B"/>
          <w:sz w:val="32"/>
          <w:szCs w:val="28"/>
        </w:rPr>
      </w:pPr>
      <w:r w:rsidRPr="007C2FB6">
        <w:t xml:space="preserve"> </w:t>
      </w:r>
      <w:r w:rsidR="007C2FB6" w:rsidRPr="00D94E51">
        <w:rPr>
          <w:rFonts w:eastAsia="MS Gothic"/>
          <w:b/>
          <w:bCs/>
          <w:color w:val="BC091B"/>
          <w:sz w:val="32"/>
          <w:szCs w:val="28"/>
        </w:rPr>
        <w:t xml:space="preserve">2. Výdaje zdravotních pojišťoven </w:t>
      </w:r>
    </w:p>
    <w:p w:rsidR="007C2FB6" w:rsidRPr="00D94E51" w:rsidRDefault="007C2FB6" w:rsidP="007C2FB6">
      <w:pPr>
        <w:spacing w:before="120"/>
        <w:jc w:val="both"/>
        <w:rPr>
          <w:szCs w:val="17"/>
        </w:rPr>
      </w:pPr>
      <w:r w:rsidRPr="00D94E51">
        <w:rPr>
          <w:szCs w:val="17"/>
        </w:rPr>
        <w:t xml:space="preserve">Všechny zdroje dat potřebné k sestavení zdravotnických účtů nepřinášejí údaje na stejné úrovni podrobnosti a ve stejné kvalitě. Ze všech datových zdrojů umožňují nejkomplexnější a nejdetailnější pohled na financování zdravotní péče údaje </w:t>
      </w:r>
      <w:r w:rsidRPr="00D94E51">
        <w:rPr>
          <w:b/>
          <w:szCs w:val="17"/>
        </w:rPr>
        <w:t>zdravotních pojišťoven</w:t>
      </w:r>
      <w:r w:rsidRPr="00D94E51">
        <w:rPr>
          <w:szCs w:val="17"/>
        </w:rPr>
        <w:t xml:space="preserve">, které pokrývají zhruba dvě třetiny veškerých zdravotnických výdajů. </w:t>
      </w:r>
    </w:p>
    <w:p w:rsidR="007C2FB6" w:rsidRPr="00D94E51" w:rsidRDefault="007C2FB6" w:rsidP="007C2FB6">
      <w:pPr>
        <w:keepNext/>
        <w:spacing w:before="120"/>
        <w:jc w:val="both"/>
      </w:pPr>
      <w:r w:rsidRPr="00D94E51">
        <w:t xml:space="preserve">Zdravotní péče je v našem systému hrazená převážně z veřejného zdravotního pojištění a pouze v některých případech bývá doplněna o spoluúčast pacientů (např. doplatky za některé léky, stomatologická péče apod.) nebo o přímé výdaje ze státního rozpočtu především na dlouhodobou péči. </w:t>
      </w:r>
    </w:p>
    <w:p w:rsidR="007C2FB6" w:rsidRPr="00D94E51" w:rsidRDefault="007C2FB6" w:rsidP="007C2FB6">
      <w:pPr>
        <w:keepNext/>
        <w:spacing w:before="120"/>
        <w:jc w:val="both"/>
        <w:rPr>
          <w:rFonts w:cs="Arial"/>
        </w:rPr>
      </w:pPr>
      <w:r w:rsidRPr="00D94E51">
        <w:t xml:space="preserve">Následující kapitola podává jak ucelenou informaci </w:t>
      </w:r>
      <w:r w:rsidRPr="00D94E51">
        <w:rPr>
          <w:b/>
        </w:rPr>
        <w:t xml:space="preserve">o celkových výdajích </w:t>
      </w:r>
      <w:r w:rsidRPr="00D94E51">
        <w:t xml:space="preserve">zdravotních pojišťoven na zdravotní péči, tak i podrobné informace o </w:t>
      </w:r>
      <w:r w:rsidRPr="00D94E51">
        <w:rPr>
          <w:b/>
        </w:rPr>
        <w:t>výdajích na jednotlivé skupiny diagnóz</w:t>
      </w:r>
      <w:r w:rsidRPr="00D94E51">
        <w:t xml:space="preserve"> podle Mezinárodní statistické klasifikace nemocí a přidružených zdravotních problémů (dále také „MKN-10“) a nechybí ani průměrné vý</w:t>
      </w:r>
      <w:r w:rsidRPr="00D94E51">
        <w:rPr>
          <w:bCs/>
        </w:rPr>
        <w:t xml:space="preserve">daje zdravotních pojišťoven na zdravotní péči </w:t>
      </w:r>
      <w:r w:rsidRPr="00D94E51">
        <w:rPr>
          <w:b/>
          <w:bCs/>
        </w:rPr>
        <w:t>na 1 pojištěnce podle pohlaví, věku a diagnóz</w:t>
      </w:r>
      <w:r w:rsidRPr="00D94E51">
        <w:rPr>
          <w:rFonts w:cs="Arial"/>
          <w:bCs/>
        </w:rPr>
        <w:t xml:space="preserve">. </w:t>
      </w:r>
    </w:p>
    <w:p w:rsidR="007C2FB6" w:rsidRPr="00D94E51" w:rsidRDefault="007C2FB6" w:rsidP="007C2FB6">
      <w:pPr>
        <w:keepNext/>
        <w:keepLines/>
        <w:spacing w:before="120" w:after="120"/>
        <w:outlineLvl w:val="2"/>
        <w:rPr>
          <w:rFonts w:eastAsia="MS Gothic"/>
          <w:b/>
          <w:bCs/>
          <w:color w:val="BC091B"/>
          <w:sz w:val="24"/>
        </w:rPr>
      </w:pPr>
      <w:r w:rsidRPr="00D94E51">
        <w:rPr>
          <w:rFonts w:eastAsia="MS Gothic"/>
          <w:b/>
          <w:bCs/>
          <w:color w:val="BC091B"/>
          <w:sz w:val="24"/>
        </w:rPr>
        <w:t>2.1. Celkové výdaje zdravotních pojišťoven</w:t>
      </w:r>
    </w:p>
    <w:p w:rsidR="007C2FB6" w:rsidRPr="00D94E51" w:rsidRDefault="007C2FB6" w:rsidP="007C2FB6">
      <w:pPr>
        <w:autoSpaceDE w:val="0"/>
        <w:autoSpaceDN w:val="0"/>
        <w:adjustRightInd w:val="0"/>
        <w:spacing w:before="120"/>
        <w:jc w:val="both"/>
        <w:rPr>
          <w:rFonts w:eastAsia="Calibri" w:cs="Arial"/>
          <w:szCs w:val="20"/>
        </w:rPr>
      </w:pPr>
      <w:r w:rsidRPr="00D94E51">
        <w:rPr>
          <w:b/>
        </w:rPr>
        <w:t xml:space="preserve">Zdravotní pojišťovny </w:t>
      </w:r>
      <w:r w:rsidRPr="00D94E51">
        <w:t xml:space="preserve">vydaly v roce 2018 na zdravotní péči celkem </w:t>
      </w:r>
      <w:r w:rsidRPr="00D94E51">
        <w:rPr>
          <w:b/>
        </w:rPr>
        <w:t>283,9 mld. Kč</w:t>
      </w:r>
      <w:r w:rsidRPr="00D94E51">
        <w:t xml:space="preserve"> a touto částkou se tak ze dvou třetin podílely na financování zdravotní péče v České republice.</w:t>
      </w:r>
      <w:r w:rsidRPr="00D94E51">
        <w:rPr>
          <w:szCs w:val="17"/>
        </w:rPr>
        <w:t xml:space="preserve"> </w:t>
      </w:r>
      <w:r w:rsidRPr="00D94E51">
        <w:rPr>
          <w:rFonts w:cs="Arial"/>
          <w:bCs/>
          <w:szCs w:val="20"/>
        </w:rPr>
        <w:t xml:space="preserve">Výdaje zdravotních pojišťoven vzrostly od roku 2017 o 12,6 % a od roku 2010 o více než jednu pětinu (o 22,4 %). </w:t>
      </w:r>
      <w:r w:rsidRPr="00D94E51">
        <w:rPr>
          <w:szCs w:val="17"/>
        </w:rPr>
        <w:t xml:space="preserve">Na jednoho pojištěnce bylo v roce 2018 vynaloženo 27,4 tisíce Kč, což bylo o 5 tisíc Kč více než v roce 2010. </w:t>
      </w:r>
    </w:p>
    <w:p w:rsidR="007C2FB6" w:rsidRPr="00D94E51" w:rsidRDefault="007C2FB6" w:rsidP="007C2FB6">
      <w:pPr>
        <w:autoSpaceDE w:val="0"/>
        <w:autoSpaceDN w:val="0"/>
        <w:adjustRightInd w:val="0"/>
        <w:spacing w:before="120"/>
        <w:jc w:val="both"/>
        <w:rPr>
          <w:rFonts w:eastAsia="Calibri" w:cs="Arial"/>
          <w:szCs w:val="20"/>
        </w:rPr>
      </w:pPr>
      <w:r w:rsidRPr="00D94E51">
        <w:rPr>
          <w:bCs/>
        </w:rPr>
        <w:t xml:space="preserve">Za zdravotní péči v letech 2010 až 2018 zaplatily zdravotní pojišťovny celkem 2 185 mld. Kč, což je téměř pětinásobek výdajů domácností. Zaměříme-li se pouze na výdaje na zdravotní péči z veřejných zdrojů, pak v letech 2010–2015 dosahovaly výdaje zdravotních pojišťoven v průměru 81,5 % z uvedených financí. V uplynulých třech letech výdaje z veřejného zdravotního pojištění snížily svůj podíl na výdajích na zdraví z veřejných zdrojů o 2 %, a naproti tomu podíl výdajů ze státního rozpočtu na veřejných výdajích na zdraví ve stejném období vzrostl o 2,5 %. </w:t>
      </w:r>
      <w:r w:rsidRPr="00D94E51">
        <w:rPr>
          <w:rFonts w:eastAsia="Calibri" w:cs="Arial"/>
          <w:szCs w:val="20"/>
        </w:rPr>
        <w:t xml:space="preserve">Podíl veřejného zdravotního pojištění na HDP v roce 2018 dosáhl 5,3 %, před devíti roky to bylo 5,9 %. </w:t>
      </w:r>
    </w:p>
    <w:p w:rsidR="007C2FB6" w:rsidRPr="00BB1E19" w:rsidRDefault="007C2FB6" w:rsidP="00BB1E19">
      <w:pPr>
        <w:widowControl w:val="0"/>
        <w:spacing w:before="120"/>
        <w:jc w:val="both"/>
        <w:rPr>
          <w:rFonts w:cs="Arial"/>
          <w:i/>
          <w:szCs w:val="20"/>
        </w:rPr>
      </w:pPr>
      <w:r w:rsidRPr="00D94E51">
        <w:t>V </w:t>
      </w:r>
      <w:r w:rsidRPr="00D94E51">
        <w:rPr>
          <w:b/>
        </w:rPr>
        <w:t>mezinárodním srovnání</w:t>
      </w:r>
      <w:r w:rsidRPr="00D94E51">
        <w:t xml:space="preserve"> podíl výdajů na zdravotní péči v České republice financovaný z povinného zdravotního pojištění v úrovni 69 % vysoce převyšuje průměr zemí OECD (37 % v roce 2017). Náš stát se tak řadí k zemím jako je například Německo, Slovensko, Francie Japonsko či Nizozemsko, kde je systém financování zdravotní péče založený především na zdrojích ze všeobecného zdravotního pojištění. V sousedním Polsku tvoří povinné zdravotní pojištění 59 % a v Rakousku 44 % celkových výdajů na zdravotní péči. </w:t>
      </w:r>
      <w:r w:rsidRPr="00D94E51">
        <w:rPr>
          <w:rFonts w:cs="Arial"/>
          <w:i/>
          <w:szCs w:val="20"/>
        </w:rPr>
        <w:t>Podrobněji viz kapitola č. 6 Mezinárodní srovnání.</w:t>
      </w:r>
    </w:p>
    <w:p w:rsidR="00BB1E19" w:rsidRPr="00D94E51" w:rsidRDefault="00BB1E19" w:rsidP="00BB1E19">
      <w:pPr>
        <w:spacing w:before="240" w:after="120" w:line="240" w:lineRule="auto"/>
        <w:jc w:val="both"/>
        <w:rPr>
          <w:b/>
          <w:bCs/>
          <w:sz w:val="18"/>
          <w:szCs w:val="18"/>
        </w:rPr>
      </w:pPr>
      <w:r w:rsidRPr="00D94E51">
        <w:rPr>
          <w:b/>
          <w:bCs/>
          <w:sz w:val="18"/>
          <w:szCs w:val="18"/>
        </w:rPr>
        <w:t>Graf č. 2.1. Výdaje na zdravotní péči v Česku financované ze zdrojů zdravotních pojišťoven, 2010-2018</w:t>
      </w:r>
    </w:p>
    <w:p w:rsidR="00BB1E19" w:rsidRPr="00D94E51" w:rsidRDefault="00BB1E19" w:rsidP="00BB1E19">
      <w:pPr>
        <w:spacing w:before="120"/>
        <w:jc w:val="both"/>
        <w:rPr>
          <w:b/>
          <w:bCs/>
          <w:i/>
          <w:sz w:val="16"/>
          <w:szCs w:val="16"/>
        </w:rPr>
      </w:pPr>
      <w:r w:rsidRPr="00D94E51">
        <w:rPr>
          <w:noProof/>
          <w:shd w:val="clear" w:color="auto" w:fill="FFFFFF" w:themeFill="background1"/>
        </w:rPr>
        <w:drawing>
          <wp:inline distT="0" distB="0" distL="0" distR="0" wp14:anchorId="1804421D" wp14:editId="76690D5A">
            <wp:extent cx="5926348" cy="2415396"/>
            <wp:effectExtent l="0" t="0" r="17780" b="23495"/>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B1E19" w:rsidRPr="00D94E51" w:rsidRDefault="00BB1E19" w:rsidP="00BB1E19">
      <w:pPr>
        <w:spacing w:before="120"/>
        <w:jc w:val="right"/>
        <w:rPr>
          <w:b/>
          <w:bCs/>
          <w:i/>
          <w:sz w:val="16"/>
          <w:szCs w:val="16"/>
        </w:rPr>
      </w:pPr>
      <w:r w:rsidRPr="00D94E51">
        <w:rPr>
          <w:b/>
          <w:bCs/>
          <w:i/>
          <w:sz w:val="16"/>
          <w:szCs w:val="16"/>
        </w:rPr>
        <w:t>Zdroj: ČSÚ 2020, Zdravotnické účty ČR 2010 – 2018</w:t>
      </w:r>
    </w:p>
    <w:p w:rsidR="007C2FB6" w:rsidRPr="00D94E51" w:rsidRDefault="007C2FB6" w:rsidP="007C2FB6">
      <w:pPr>
        <w:autoSpaceDE w:val="0"/>
        <w:autoSpaceDN w:val="0"/>
        <w:adjustRightInd w:val="0"/>
        <w:spacing w:before="120"/>
        <w:jc w:val="both"/>
        <w:rPr>
          <w:rFonts w:cs="Arial"/>
          <w:bCs/>
          <w:szCs w:val="20"/>
        </w:rPr>
      </w:pPr>
      <w:r w:rsidRPr="00D94E51">
        <w:rPr>
          <w:rFonts w:cs="Arial"/>
          <w:szCs w:val="20"/>
        </w:rPr>
        <w:lastRenderedPageBreak/>
        <w:t xml:space="preserve">V roce 2014 byl v rámci sledovaného období poprvé zaznamenán nepatrný meziroční pokles výdajů na zdravotní péči financovaný z povinného zdravotního pojištění. Zatímco v roce 2013 dosáhly celkové výdaje zdravotních pojišťoven na zdravotní péči 238,4 mld. Kč, o rok později to bylo o 3,8 mld. Kč (1,6 %) méně. V následujícím roce zůstala výše financování z tohoto zdroje na téměř stejné úrovni. V roce 2016 výdaje na zdravotní péči z veřejného zdravotního pojištění meziročně vzrostly o 3,2 mld. Kč (1,4 %) na </w:t>
      </w:r>
      <w:r w:rsidRPr="00D94E51">
        <w:rPr>
          <w:rFonts w:cs="Arial"/>
          <w:bCs/>
          <w:szCs w:val="20"/>
        </w:rPr>
        <w:t xml:space="preserve">uvedených 237,7 mld. Kč. V roce 2017 byl zaznamenán nárůst </w:t>
      </w:r>
      <w:r w:rsidRPr="00D94E51">
        <w:rPr>
          <w:rFonts w:cs="Arial"/>
          <w:szCs w:val="20"/>
        </w:rPr>
        <w:t xml:space="preserve">o 14,5 mld. (o 6,1 %) Kč na částku 252,2 mld. Kč. </w:t>
      </w:r>
      <w:r w:rsidRPr="00D94E51">
        <w:rPr>
          <w:rFonts w:cs="Arial"/>
          <w:bCs/>
          <w:szCs w:val="20"/>
        </w:rPr>
        <w:t>Rok 2018 přinesl 12,6% navýšení výdajů zdravotních pojišťoven na zdravotní péči oproti roku předchozímu, což je největší meziroční nárůst od roku 2010.</w:t>
      </w:r>
    </w:p>
    <w:p w:rsidR="007C2FB6" w:rsidRPr="00D94E51" w:rsidRDefault="007C2FB6" w:rsidP="007C2FB6">
      <w:pPr>
        <w:autoSpaceDE w:val="0"/>
        <w:autoSpaceDN w:val="0"/>
        <w:adjustRightInd w:val="0"/>
        <w:spacing w:before="120"/>
        <w:jc w:val="both"/>
        <w:rPr>
          <w:rFonts w:eastAsia="Calibri" w:cs="Arial"/>
          <w:szCs w:val="20"/>
        </w:rPr>
      </w:pPr>
      <w:r w:rsidRPr="00D94E51">
        <w:rPr>
          <w:rFonts w:cs="Arial"/>
          <w:bCs/>
          <w:szCs w:val="20"/>
        </w:rPr>
        <w:t xml:space="preserve">Zvýšení výdajů v roce 2018 bylo ovlivněno několika faktory. Hlavním důvodem byl nárůst objemu zdravotní péče v souvislosti s postupným stárnutím obyvatelstva.  </w:t>
      </w:r>
      <w:r w:rsidRPr="00D94E51">
        <w:rPr>
          <w:rFonts w:cs="Arial"/>
          <w:szCs w:val="20"/>
        </w:rPr>
        <w:t>Důležitým faktorem nárůstu výdajů jsou změny v úhradové vyhlášce pro rok 2018, která umožňuje zdravotním pojišťovnám nasmlouvat a proplácet mobilní specializovanou paliativní péči</w:t>
      </w:r>
      <w:r w:rsidRPr="00D94E51">
        <w:rPr>
          <w:rFonts w:eastAsia="Calibri" w:cs="Arial"/>
          <w:szCs w:val="20"/>
        </w:rPr>
        <w:t>.</w:t>
      </w:r>
      <w:r w:rsidRPr="00D94E51">
        <w:rPr>
          <w:rFonts w:cs="Arial"/>
          <w:bCs/>
          <w:sz w:val="24"/>
        </w:rPr>
        <w:t xml:space="preserve"> </w:t>
      </w:r>
      <w:r w:rsidRPr="00D94E51">
        <w:rPr>
          <w:rFonts w:cs="Arial"/>
          <w:bCs/>
          <w:szCs w:val="20"/>
        </w:rPr>
        <w:t>Tato změna umožňuje více pojištěncům prožít závěr života v domácím prostředí.</w:t>
      </w:r>
      <w:r w:rsidRPr="00D94E51">
        <w:rPr>
          <w:rFonts w:eastAsia="Calibri" w:cs="Arial"/>
          <w:szCs w:val="20"/>
        </w:rPr>
        <w:t xml:space="preserve"> </w:t>
      </w:r>
      <w:r w:rsidRPr="00D94E51">
        <w:rPr>
          <w:rFonts w:cs="Arial"/>
          <w:bCs/>
          <w:szCs w:val="20"/>
        </w:rPr>
        <w:t xml:space="preserve">V rámci této odbornosti jsou podle tzv. úhradové vyhlášky pro rok 2018 hrazeny multioborové týmy pracující podle potřeb pacienta. </w:t>
      </w:r>
      <w:r w:rsidRPr="00D94E51">
        <w:t xml:space="preserve">Multioborový tým tvoří lékař, klinický psycholog, fyzioterapeut, nutriční terapeut, sociální pracovník a zdravotní sestra. </w:t>
      </w:r>
      <w:r w:rsidRPr="00D94E51">
        <w:rPr>
          <w:rFonts w:cs="Arial"/>
          <w:bCs/>
          <w:szCs w:val="20"/>
        </w:rPr>
        <w:t>Významnou příčinou bylo</w:t>
      </w:r>
      <w:r w:rsidRPr="00D94E51">
        <w:rPr>
          <w:rFonts w:cs="Arial"/>
          <w:szCs w:val="20"/>
        </w:rPr>
        <w:t xml:space="preserve"> také snížení limitu na tzv. započitatelné doplatky na částečně hrazené léčivé přípravky. </w:t>
      </w:r>
      <w:r w:rsidRPr="00D94E51">
        <w:t>Změny se týkají dětí do 18 let a osob od 65 let věku. U těchto věkových skupin</w:t>
      </w:r>
      <w:r w:rsidRPr="00D94E51">
        <w:rPr>
          <w:bCs/>
        </w:rPr>
        <w:t xml:space="preserve"> </w:t>
      </w:r>
      <w:r w:rsidRPr="00D94E51">
        <w:t>došlo ke snížení limitu na tzv. započitatelné doplatky na částečně hrazené léčivé přípravky z 2500 Kč na 1000 Kč. U osob nad 70 let pak byl maximální roční limit započitatelných doplatků snížen na 500 Kč. Zdravotní pojišťovny vracely svým pojištěncům více finančních prostředků, které pojištěnci vynaložili na doplatky za léky.</w:t>
      </w:r>
      <w:r w:rsidRPr="00D94E51">
        <w:rPr>
          <w:rFonts w:cs="Arial"/>
          <w:szCs w:val="20"/>
        </w:rPr>
        <w:t xml:space="preserve"> </w:t>
      </w:r>
    </w:p>
    <w:p w:rsidR="007C2FB6" w:rsidRPr="00D94E51" w:rsidRDefault="007C2FB6" w:rsidP="007C2FB6">
      <w:pPr>
        <w:autoSpaceDE w:val="0"/>
        <w:autoSpaceDN w:val="0"/>
        <w:adjustRightInd w:val="0"/>
        <w:spacing w:before="120"/>
        <w:jc w:val="both"/>
        <w:rPr>
          <w:bCs/>
          <w:i/>
        </w:rPr>
      </w:pPr>
      <w:r w:rsidRPr="00D94E51">
        <w:rPr>
          <w:rFonts w:eastAsia="Calibri" w:cs="Arial"/>
          <w:szCs w:val="20"/>
        </w:rPr>
        <w:t>Právě často diskutované léky</w:t>
      </w:r>
      <w:r w:rsidRPr="00D94E51">
        <w:rPr>
          <w:rFonts w:cs="Arial"/>
          <w:bCs/>
          <w:szCs w:val="20"/>
        </w:rPr>
        <w:t xml:space="preserve"> předepisované specializovanými centry pro léčbu závažných nemocí stály v roce 2018 zdravotní pojišťovny </w:t>
      </w:r>
      <w:r w:rsidRPr="00D94E51">
        <w:rPr>
          <w:rFonts w:cs="Arial"/>
          <w:b/>
          <w:bCs/>
          <w:szCs w:val="20"/>
        </w:rPr>
        <w:t>18,0 mld. Kč</w:t>
      </w:r>
      <w:r w:rsidRPr="00D94E51">
        <w:rPr>
          <w:rFonts w:cs="Arial"/>
          <w:bCs/>
          <w:szCs w:val="20"/>
        </w:rPr>
        <w:t>,</w:t>
      </w:r>
      <w:r w:rsidRPr="00D94E51">
        <w:rPr>
          <w:bCs/>
        </w:rPr>
        <w:t xml:space="preserve"> což je o 173 % více než v roce 2010 (6,6 mld. Kč). </w:t>
      </w:r>
      <w:r w:rsidRPr="00D94E51">
        <w:t xml:space="preserve">Biologická léčba se už týká celého spektra diagnóz neurologických, gastroenterologických, revmatologických, onkologických či </w:t>
      </w:r>
      <w:proofErr w:type="spellStart"/>
      <w:r w:rsidRPr="00D94E51">
        <w:t>hematoonkologických</w:t>
      </w:r>
      <w:proofErr w:type="spellEnd"/>
      <w:r w:rsidRPr="00D94E51">
        <w:t xml:space="preserve">. Nárůst nákladů je přitom způsoben nejen tím, že jsou registrovány a schvalovány nové přípravky, ale také rozšiřováním indikací, kdy je možné použít ty léky, které už jsou na trhu. Pokud je léčba úspěšná, stabilizuje akutní onemocnění do chronické fáze, takže pak pacienti lék užívají měsíce i roky. </w:t>
      </w:r>
      <w:r w:rsidRPr="00D94E51">
        <w:rPr>
          <w:bCs/>
          <w:i/>
        </w:rPr>
        <w:t xml:space="preserve">Podrobněji viz kapitola </w:t>
      </w:r>
      <w:proofErr w:type="gramStart"/>
      <w:r w:rsidRPr="00D94E51">
        <w:rPr>
          <w:bCs/>
          <w:i/>
        </w:rPr>
        <w:t>č.5 Léky</w:t>
      </w:r>
      <w:proofErr w:type="gramEnd"/>
      <w:r w:rsidRPr="00D94E51">
        <w:rPr>
          <w:bCs/>
          <w:i/>
        </w:rPr>
        <w:t>.</w:t>
      </w:r>
    </w:p>
    <w:p w:rsidR="007C2FB6" w:rsidRPr="00D94E51" w:rsidRDefault="007C2FB6" w:rsidP="007C2FB6">
      <w:pPr>
        <w:spacing w:line="240" w:lineRule="auto"/>
        <w:jc w:val="both"/>
        <w:rPr>
          <w:rFonts w:cs="Arial"/>
          <w:b/>
          <w:bCs/>
          <w:color w:val="000000"/>
          <w:sz w:val="18"/>
          <w:szCs w:val="18"/>
        </w:rPr>
      </w:pPr>
    </w:p>
    <w:p w:rsidR="007C2FB6" w:rsidRPr="00D94E51" w:rsidRDefault="007C2FB6" w:rsidP="007C2FB6">
      <w:pPr>
        <w:keepNext/>
        <w:keepLines/>
        <w:spacing w:before="240" w:after="120"/>
        <w:outlineLvl w:val="2"/>
        <w:rPr>
          <w:rFonts w:eastAsia="MS Gothic"/>
          <w:b/>
          <w:bCs/>
          <w:color w:val="BC091B"/>
          <w:sz w:val="24"/>
        </w:rPr>
      </w:pPr>
      <w:r w:rsidRPr="00D94E51">
        <w:rPr>
          <w:rFonts w:eastAsia="MS Gothic"/>
          <w:b/>
          <w:bCs/>
          <w:color w:val="BC091B"/>
          <w:sz w:val="24"/>
        </w:rPr>
        <w:t>2.2. Výdaje zdravotních pojišťoven podle druhů zdravotní péče a poskytovatelů</w:t>
      </w:r>
    </w:p>
    <w:p w:rsidR="007C2FB6" w:rsidRPr="00D94E51" w:rsidRDefault="007C2FB6" w:rsidP="007C2FB6">
      <w:pPr>
        <w:autoSpaceDE w:val="0"/>
        <w:autoSpaceDN w:val="0"/>
        <w:adjustRightInd w:val="0"/>
        <w:spacing w:before="120"/>
        <w:jc w:val="both"/>
        <w:rPr>
          <w:rFonts w:eastAsia="Calibri" w:cs="Arial"/>
          <w:b/>
          <w:szCs w:val="20"/>
          <w:lang w:eastAsia="en-US"/>
        </w:rPr>
      </w:pPr>
      <w:r w:rsidRPr="00D94E51">
        <w:rPr>
          <w:rFonts w:eastAsia="Calibri" w:cs="Arial"/>
          <w:szCs w:val="20"/>
          <w:lang w:eastAsia="en-US"/>
        </w:rPr>
        <w:t xml:space="preserve">Více než polovinu výdajů zdravotních pojišťoven na zdravotní péči tvoří léčebná péče, která dosáhla v roce 2018 částky 149 mld. Kč, což je o 16 % více než v roce předchozím. Jedná se především o výrazné navýšení ambulantní péče, které se budeme věnovat samostatně. Zhruba 15 % výdajů tvořily diagnostické zdravotní služby zejména </w:t>
      </w:r>
      <w:r w:rsidRPr="00D94E51">
        <w:rPr>
          <w:rFonts w:eastAsia="Calibri" w:cs="Arial"/>
          <w:b/>
          <w:szCs w:val="20"/>
          <w:lang w:eastAsia="en-US"/>
        </w:rPr>
        <w:t xml:space="preserve">laboratorní vyšetření a zobrazovací metody. </w:t>
      </w:r>
      <w:r w:rsidRPr="00D94E51">
        <w:rPr>
          <w:rFonts w:eastAsia="Calibri" w:cs="Arial"/>
          <w:szCs w:val="20"/>
          <w:lang w:eastAsia="en-US"/>
        </w:rPr>
        <w:t xml:space="preserve">V meziročním srovnání byl zaznamenán pětinový nárůst výdajů, který byl ovlivněn především vyšším počtem vykázaných zdravotních výkonů. Výdaje </w:t>
      </w:r>
      <w:r w:rsidRPr="00D94E51">
        <w:rPr>
          <w:rFonts w:eastAsia="Calibri" w:cs="Arial"/>
          <w:b/>
          <w:szCs w:val="20"/>
          <w:lang w:eastAsia="en-US"/>
        </w:rPr>
        <w:t>na léky a zdravotnické výrobky</w:t>
      </w:r>
      <w:r w:rsidRPr="00D94E51">
        <w:rPr>
          <w:rFonts w:eastAsia="Calibri" w:cs="Arial"/>
          <w:szCs w:val="20"/>
          <w:lang w:eastAsia="en-US"/>
        </w:rPr>
        <w:t xml:space="preserve"> představovaly 15 %, což odpovídalo hodnotě 41,7 mld. Kč (z toho výše výdajů na léky na předpis je 33,7 mld. Kč). Meziročně zůstává dosažená částka bez výrazných změn. </w:t>
      </w:r>
      <w:r w:rsidRPr="00D94E51">
        <w:rPr>
          <w:rFonts w:eastAsia="Calibri" w:cs="Arial"/>
          <w:b/>
          <w:szCs w:val="20"/>
          <w:lang w:eastAsia="en-US"/>
        </w:rPr>
        <w:t>Dlouhodobá péče</w:t>
      </w:r>
      <w:r w:rsidRPr="00D94E51">
        <w:rPr>
          <w:rFonts w:eastAsia="Calibri" w:cs="Arial"/>
          <w:szCs w:val="20"/>
          <w:lang w:eastAsia="en-US"/>
        </w:rPr>
        <w:t xml:space="preserve"> (17,8 mld. Kč) a </w:t>
      </w:r>
      <w:r w:rsidRPr="00D94E51">
        <w:rPr>
          <w:rFonts w:eastAsia="Calibri" w:cs="Arial"/>
          <w:b/>
          <w:szCs w:val="20"/>
          <w:lang w:eastAsia="en-US"/>
        </w:rPr>
        <w:t>rehabilitační péče</w:t>
      </w:r>
      <w:r w:rsidRPr="00D94E51">
        <w:rPr>
          <w:rFonts w:eastAsia="Calibri" w:cs="Arial"/>
          <w:szCs w:val="20"/>
          <w:lang w:eastAsia="en-US"/>
        </w:rPr>
        <w:t xml:space="preserve"> (14,2 mld. Kč) mají v celkových výdajích zdravotních pojišťoven na zdravotní péči téměř shodné procentuální zastoupení. Stabilní zůstávají i výdaje na </w:t>
      </w:r>
      <w:r w:rsidRPr="00D94E51">
        <w:rPr>
          <w:rFonts w:eastAsia="Calibri" w:cs="Arial"/>
          <w:b/>
          <w:szCs w:val="20"/>
          <w:lang w:eastAsia="en-US"/>
        </w:rPr>
        <w:t>preventivní péči</w:t>
      </w:r>
      <w:r w:rsidRPr="00D94E51">
        <w:rPr>
          <w:rFonts w:eastAsia="Calibri" w:cs="Arial"/>
          <w:szCs w:val="20"/>
          <w:lang w:eastAsia="en-US"/>
        </w:rPr>
        <w:t>, které dosáhly v roce 2018 na úrovni 7,4 mld. Kč</w:t>
      </w:r>
    </w:p>
    <w:p w:rsidR="00BB1E19" w:rsidRDefault="00BB1E19" w:rsidP="007C2FB6">
      <w:pPr>
        <w:spacing w:before="240" w:after="120" w:line="240" w:lineRule="auto"/>
        <w:jc w:val="both"/>
        <w:rPr>
          <w:b/>
          <w:bCs/>
          <w:sz w:val="18"/>
          <w:szCs w:val="18"/>
        </w:rPr>
      </w:pPr>
    </w:p>
    <w:p w:rsidR="00BB1E19" w:rsidRDefault="00BB1E19" w:rsidP="007C2FB6">
      <w:pPr>
        <w:spacing w:before="240" w:after="120" w:line="240" w:lineRule="auto"/>
        <w:jc w:val="both"/>
        <w:rPr>
          <w:b/>
          <w:bCs/>
          <w:sz w:val="18"/>
          <w:szCs w:val="18"/>
        </w:rPr>
      </w:pPr>
    </w:p>
    <w:p w:rsidR="00BB1E19" w:rsidRDefault="00BB1E19" w:rsidP="007C2FB6">
      <w:pPr>
        <w:spacing w:before="240" w:after="120" w:line="240" w:lineRule="auto"/>
        <w:jc w:val="both"/>
        <w:rPr>
          <w:b/>
          <w:bCs/>
          <w:sz w:val="18"/>
          <w:szCs w:val="18"/>
        </w:rPr>
      </w:pPr>
    </w:p>
    <w:p w:rsidR="00BB1E19" w:rsidRDefault="00BB1E19" w:rsidP="007C2FB6">
      <w:pPr>
        <w:spacing w:before="240" w:after="120" w:line="240" w:lineRule="auto"/>
        <w:jc w:val="both"/>
        <w:rPr>
          <w:b/>
          <w:bCs/>
          <w:sz w:val="18"/>
          <w:szCs w:val="18"/>
        </w:rPr>
      </w:pPr>
    </w:p>
    <w:p w:rsidR="00BB1E19" w:rsidRDefault="00BB1E19" w:rsidP="007C2FB6">
      <w:pPr>
        <w:spacing w:before="240" w:after="120" w:line="240" w:lineRule="auto"/>
        <w:jc w:val="both"/>
        <w:rPr>
          <w:b/>
          <w:bCs/>
          <w:sz w:val="18"/>
          <w:szCs w:val="18"/>
        </w:rPr>
      </w:pPr>
    </w:p>
    <w:p w:rsidR="00BB1E19" w:rsidRDefault="00BB1E19" w:rsidP="007C2FB6">
      <w:pPr>
        <w:spacing w:before="240" w:after="120" w:line="240" w:lineRule="auto"/>
        <w:jc w:val="both"/>
        <w:rPr>
          <w:b/>
          <w:bCs/>
          <w:sz w:val="18"/>
          <w:szCs w:val="18"/>
        </w:rPr>
      </w:pPr>
    </w:p>
    <w:p w:rsidR="007C2FB6" w:rsidRPr="00D94E51" w:rsidRDefault="007C2FB6" w:rsidP="007C2FB6">
      <w:pPr>
        <w:spacing w:before="240" w:after="120" w:line="240" w:lineRule="auto"/>
        <w:jc w:val="both"/>
        <w:rPr>
          <w:b/>
          <w:bCs/>
          <w:sz w:val="18"/>
          <w:szCs w:val="18"/>
        </w:rPr>
      </w:pPr>
      <w:r w:rsidRPr="00D94E51">
        <w:rPr>
          <w:b/>
          <w:bCs/>
          <w:sz w:val="18"/>
          <w:szCs w:val="18"/>
        </w:rPr>
        <w:lastRenderedPageBreak/>
        <w:t>Graf č. 2.2. Výdaje na zdravotní péči v Česku financované ze zdrojů zdravotních pojišťoven, 2018</w:t>
      </w:r>
    </w:p>
    <w:p w:rsidR="007C2FB6" w:rsidRPr="00D94E51" w:rsidRDefault="007C2FB6" w:rsidP="007C2FB6">
      <w:pPr>
        <w:autoSpaceDE w:val="0"/>
        <w:autoSpaceDN w:val="0"/>
        <w:adjustRightInd w:val="0"/>
        <w:spacing w:before="120"/>
        <w:jc w:val="both"/>
        <w:rPr>
          <w:rFonts w:eastAsia="Calibri" w:cs="Arial"/>
          <w:b/>
          <w:i/>
          <w:szCs w:val="20"/>
          <w:lang w:eastAsia="en-US"/>
        </w:rPr>
      </w:pPr>
      <w:r w:rsidRPr="00D94E51">
        <w:rPr>
          <w:noProof/>
        </w:rPr>
        <w:drawing>
          <wp:inline distT="0" distB="0" distL="0" distR="0" wp14:anchorId="0958F8B4" wp14:editId="3549B775">
            <wp:extent cx="5836257" cy="2727297"/>
            <wp:effectExtent l="0" t="0" r="12700" b="1651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C2FB6" w:rsidRPr="00D94E51" w:rsidRDefault="007C2FB6" w:rsidP="007C2FB6">
      <w:pPr>
        <w:autoSpaceDE w:val="0"/>
        <w:autoSpaceDN w:val="0"/>
        <w:adjustRightInd w:val="0"/>
        <w:jc w:val="both"/>
        <w:rPr>
          <w:rFonts w:eastAsia="Calibri" w:cs="Arial"/>
          <w:sz w:val="16"/>
          <w:szCs w:val="16"/>
          <w:lang w:eastAsia="en-US"/>
        </w:rPr>
      </w:pPr>
      <w:r w:rsidRPr="00D94E51">
        <w:rPr>
          <w:rFonts w:eastAsia="Calibri" w:cs="Arial"/>
          <w:sz w:val="16"/>
          <w:szCs w:val="16"/>
          <w:lang w:eastAsia="en-US"/>
        </w:rPr>
        <w:t>Poznámka: kategorie léčebná péče zahrnuje výdaje na lůžkovou, ambulantní (včetně stomatologické), denní a domácí péči</w:t>
      </w:r>
    </w:p>
    <w:p w:rsidR="007C2FB6" w:rsidRPr="00D94E51" w:rsidRDefault="007C2FB6" w:rsidP="007C2FB6">
      <w:pPr>
        <w:keepNext/>
        <w:spacing w:before="120" w:after="120" w:line="240" w:lineRule="auto"/>
        <w:jc w:val="both"/>
        <w:rPr>
          <w:bCs/>
          <w:i/>
          <w:sz w:val="16"/>
          <w:szCs w:val="16"/>
        </w:rPr>
      </w:pPr>
      <w:r w:rsidRPr="00D94E51">
        <w:rPr>
          <w:b/>
          <w:bCs/>
          <w:i/>
          <w:sz w:val="16"/>
          <w:szCs w:val="16"/>
        </w:rPr>
        <w:t xml:space="preserve">                                                                                                                               Zdroj: ČSÚ 2020, Zdravotnické účty ČR 2010</w:t>
      </w:r>
      <w:r w:rsidRPr="00D94E51">
        <w:rPr>
          <w:bCs/>
          <w:szCs w:val="20"/>
        </w:rPr>
        <w:t>–</w:t>
      </w:r>
      <w:r w:rsidRPr="00D94E51">
        <w:rPr>
          <w:b/>
          <w:bCs/>
          <w:i/>
          <w:sz w:val="16"/>
          <w:szCs w:val="16"/>
        </w:rPr>
        <w:t xml:space="preserve">2018 </w:t>
      </w:r>
    </w:p>
    <w:p w:rsidR="007C2FB6" w:rsidRPr="00D94E51" w:rsidRDefault="007C2FB6" w:rsidP="007C2FB6">
      <w:pPr>
        <w:autoSpaceDE w:val="0"/>
        <w:autoSpaceDN w:val="0"/>
        <w:adjustRightInd w:val="0"/>
        <w:spacing w:before="120"/>
        <w:jc w:val="both"/>
        <w:rPr>
          <w:rFonts w:eastAsia="Calibri" w:cs="Arial"/>
          <w:i/>
          <w:sz w:val="16"/>
          <w:szCs w:val="16"/>
          <w:lang w:eastAsia="en-US"/>
        </w:rPr>
      </w:pPr>
    </w:p>
    <w:p w:rsidR="007C2FB6" w:rsidRPr="00D94E51" w:rsidRDefault="007C2FB6" w:rsidP="007C2FB6">
      <w:pPr>
        <w:autoSpaceDE w:val="0"/>
        <w:autoSpaceDN w:val="0"/>
        <w:adjustRightInd w:val="0"/>
        <w:spacing w:before="120"/>
        <w:jc w:val="both"/>
        <w:rPr>
          <w:rFonts w:eastAsia="Calibri" w:cs="Arial"/>
          <w:b/>
          <w:i/>
          <w:szCs w:val="20"/>
          <w:lang w:eastAsia="en-US"/>
        </w:rPr>
      </w:pPr>
      <w:r w:rsidRPr="00D94E51">
        <w:rPr>
          <w:rFonts w:eastAsia="Calibri" w:cs="Arial"/>
          <w:b/>
          <w:i/>
          <w:szCs w:val="20"/>
          <w:lang w:eastAsia="en-US"/>
        </w:rPr>
        <w:t>Nejvíce peněz od zdravotních pojišťoven směřuje do ambulantní péče</w:t>
      </w:r>
    </w:p>
    <w:p w:rsidR="007C2FB6" w:rsidRPr="00D94E51" w:rsidRDefault="007C2FB6" w:rsidP="007C2FB6">
      <w:pPr>
        <w:autoSpaceDE w:val="0"/>
        <w:autoSpaceDN w:val="0"/>
        <w:adjustRightInd w:val="0"/>
        <w:spacing w:before="120"/>
        <w:jc w:val="both"/>
        <w:rPr>
          <w:rFonts w:eastAsia="Calibri" w:cs="Arial"/>
          <w:szCs w:val="20"/>
          <w:lang w:eastAsia="en-US"/>
        </w:rPr>
      </w:pPr>
      <w:r w:rsidRPr="00D94E51">
        <w:rPr>
          <w:rFonts w:eastAsia="Calibri" w:cs="Arial"/>
          <w:szCs w:val="20"/>
          <w:lang w:eastAsia="en-US"/>
        </w:rPr>
        <w:t xml:space="preserve">V roce 2018 připadla největší část výdajů zdravotních pojišťoven na </w:t>
      </w:r>
      <w:r w:rsidRPr="00D94E51">
        <w:rPr>
          <w:rFonts w:eastAsia="Calibri" w:cs="Arial"/>
          <w:b/>
          <w:szCs w:val="20"/>
          <w:lang w:eastAsia="en-US"/>
        </w:rPr>
        <w:t xml:space="preserve">ambulantní péči </w:t>
      </w:r>
      <w:r w:rsidRPr="00D94E51">
        <w:rPr>
          <w:rFonts w:eastAsia="Calibri" w:cs="Arial"/>
          <w:szCs w:val="20"/>
          <w:lang w:eastAsia="en-US"/>
        </w:rPr>
        <w:t>včetně stomatologické a rehabilitační, celkem 96,7 mld. Kč (34 % z jejich celkových nákladů). Z toho na ambulantní péči lékařů specialistů připadalo 19</w:t>
      </w:r>
      <w:r w:rsidRPr="00D94E51">
        <w:rPr>
          <w:rFonts w:eastAsia="Calibri"/>
        </w:rPr>
        <w:t> </w:t>
      </w:r>
      <w:r w:rsidRPr="00D94E51">
        <w:rPr>
          <w:rFonts w:eastAsia="Calibri" w:cs="Arial"/>
          <w:szCs w:val="20"/>
          <w:lang w:eastAsia="en-US"/>
        </w:rPr>
        <w:t xml:space="preserve">%, na péči praktických lékařů pro dospělé a pro děti a dorost 8 % a shodně více než 3 % představovaly výdaje na ambulantní péči stomatologů a rehabilitačních pracovníků. </w:t>
      </w:r>
    </w:p>
    <w:p w:rsidR="007C2FB6" w:rsidRPr="00D94E51" w:rsidRDefault="007C2FB6" w:rsidP="007C2FB6">
      <w:pPr>
        <w:autoSpaceDE w:val="0"/>
        <w:autoSpaceDN w:val="0"/>
        <w:adjustRightInd w:val="0"/>
        <w:spacing w:before="120"/>
        <w:jc w:val="both"/>
        <w:rPr>
          <w:rFonts w:cs="Arial"/>
          <w:b/>
          <w:bCs/>
          <w:sz w:val="18"/>
          <w:szCs w:val="18"/>
        </w:rPr>
      </w:pPr>
    </w:p>
    <w:p w:rsidR="007C2FB6" w:rsidRPr="00D94E51" w:rsidRDefault="007C2FB6" w:rsidP="007C2FB6">
      <w:pPr>
        <w:autoSpaceDE w:val="0"/>
        <w:autoSpaceDN w:val="0"/>
        <w:adjustRightInd w:val="0"/>
        <w:spacing w:before="120"/>
        <w:jc w:val="both"/>
        <w:rPr>
          <w:rFonts w:cs="Arial"/>
          <w:b/>
          <w:bCs/>
          <w:sz w:val="18"/>
          <w:szCs w:val="18"/>
        </w:rPr>
      </w:pPr>
      <w:r w:rsidRPr="00D94E51">
        <w:rPr>
          <w:rFonts w:cs="Arial"/>
          <w:b/>
          <w:bCs/>
          <w:sz w:val="18"/>
          <w:szCs w:val="18"/>
        </w:rPr>
        <w:t>Graf č. 2.3. Výdaje zdravotních pojišťoven za ambulantní péči v ČR, 2014</w:t>
      </w:r>
      <w:r w:rsidRPr="00D94E51">
        <w:rPr>
          <w:bCs/>
        </w:rPr>
        <w:t>–</w:t>
      </w:r>
      <w:r w:rsidRPr="00D94E51">
        <w:rPr>
          <w:rFonts w:cs="Arial"/>
          <w:b/>
          <w:bCs/>
          <w:sz w:val="18"/>
          <w:szCs w:val="18"/>
        </w:rPr>
        <w:t>2018 (mil. Kč)</w:t>
      </w:r>
    </w:p>
    <w:p w:rsidR="007C2FB6" w:rsidRPr="00D94E51" w:rsidRDefault="007C2FB6" w:rsidP="007C2FB6">
      <w:pPr>
        <w:autoSpaceDE w:val="0"/>
        <w:autoSpaceDN w:val="0"/>
        <w:adjustRightInd w:val="0"/>
        <w:spacing w:before="120"/>
        <w:jc w:val="both"/>
        <w:rPr>
          <w:b/>
          <w:bCs/>
          <w:i/>
          <w:sz w:val="16"/>
          <w:szCs w:val="16"/>
        </w:rPr>
      </w:pPr>
      <w:r w:rsidRPr="00D94E51">
        <w:rPr>
          <w:noProof/>
        </w:rPr>
        <w:drawing>
          <wp:inline distT="0" distB="0" distL="0" distR="0" wp14:anchorId="680FC178" wp14:editId="3F7DFAC0">
            <wp:extent cx="6050942" cy="2512612"/>
            <wp:effectExtent l="0" t="0" r="6985" b="254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C2FB6" w:rsidRPr="00D94E51" w:rsidRDefault="007C2FB6" w:rsidP="007C2FB6">
      <w:pPr>
        <w:keepNext/>
        <w:spacing w:before="120" w:after="120" w:line="240" w:lineRule="auto"/>
        <w:jc w:val="both"/>
        <w:rPr>
          <w:bCs/>
          <w:i/>
          <w:sz w:val="16"/>
          <w:szCs w:val="16"/>
        </w:rPr>
      </w:pPr>
      <w:r w:rsidRPr="00D94E51">
        <w:rPr>
          <w:b/>
          <w:bCs/>
          <w:i/>
          <w:sz w:val="16"/>
          <w:szCs w:val="16"/>
        </w:rPr>
        <w:t xml:space="preserve">                                                                                                                               Zdroj: ČSÚ 2020, Zdravotnické účty ČR 2010</w:t>
      </w:r>
      <w:r w:rsidRPr="00D94E51">
        <w:rPr>
          <w:bCs/>
          <w:szCs w:val="20"/>
        </w:rPr>
        <w:t>–</w:t>
      </w:r>
      <w:r w:rsidRPr="00D94E51">
        <w:rPr>
          <w:b/>
          <w:bCs/>
          <w:i/>
          <w:sz w:val="16"/>
          <w:szCs w:val="16"/>
        </w:rPr>
        <w:t xml:space="preserve">2018 </w:t>
      </w:r>
    </w:p>
    <w:p w:rsidR="007C2FB6" w:rsidRPr="00D94E51" w:rsidRDefault="007C2FB6" w:rsidP="007C2FB6">
      <w:pPr>
        <w:autoSpaceDE w:val="0"/>
        <w:autoSpaceDN w:val="0"/>
        <w:adjustRightInd w:val="0"/>
        <w:spacing w:before="120"/>
        <w:jc w:val="both"/>
        <w:rPr>
          <w:rFonts w:eastAsia="Calibri" w:cs="Arial"/>
          <w:szCs w:val="20"/>
        </w:rPr>
      </w:pPr>
      <w:r w:rsidRPr="00D94E51">
        <w:rPr>
          <w:rFonts w:eastAsia="Calibri" w:cs="Arial"/>
          <w:szCs w:val="20"/>
          <w:lang w:eastAsia="en-US"/>
        </w:rPr>
        <w:t xml:space="preserve">Poměrně stabilní vývoj byl zaznamenán u výdajů na </w:t>
      </w:r>
      <w:r w:rsidRPr="00D94E51">
        <w:rPr>
          <w:rFonts w:eastAsia="Calibri" w:cs="Arial"/>
          <w:b/>
          <w:szCs w:val="20"/>
          <w:lang w:eastAsia="en-US"/>
        </w:rPr>
        <w:t>stomatologickou</w:t>
      </w:r>
      <w:r w:rsidRPr="00D94E51">
        <w:rPr>
          <w:rFonts w:eastAsia="Calibri" w:cs="Arial"/>
          <w:szCs w:val="20"/>
          <w:lang w:eastAsia="en-US"/>
        </w:rPr>
        <w:t xml:space="preserve"> ambulantní péči, jejichž úroveň za uvedené období se pohybovala okolo 9 mld. Kč. </w:t>
      </w:r>
      <w:r w:rsidRPr="00D94E51">
        <w:rPr>
          <w:rFonts w:eastAsia="Calibri" w:cs="Arial"/>
          <w:b/>
          <w:szCs w:val="20"/>
          <w:lang w:eastAsia="en-US"/>
        </w:rPr>
        <w:t>Rehabilitační</w:t>
      </w:r>
      <w:r w:rsidRPr="00D94E51">
        <w:rPr>
          <w:rFonts w:eastAsia="Calibri" w:cs="Arial"/>
          <w:szCs w:val="20"/>
          <w:lang w:eastAsia="en-US"/>
        </w:rPr>
        <w:t xml:space="preserve"> ambulantní péče dosahovala v letech 2014 – 2016 průměrné hodnoty 6,7 mld. Kč a v následujících dvou letech se přehoupla přes hranici 8 mld. Kč. Za </w:t>
      </w:r>
      <w:r w:rsidRPr="00D94E51">
        <w:rPr>
          <w:rFonts w:eastAsia="Calibri" w:cs="Arial"/>
          <w:b/>
          <w:szCs w:val="20"/>
          <w:lang w:eastAsia="en-US"/>
        </w:rPr>
        <w:t>všeobecnou</w:t>
      </w:r>
      <w:r w:rsidRPr="00D94E51">
        <w:rPr>
          <w:rFonts w:eastAsia="Calibri" w:cs="Arial"/>
          <w:szCs w:val="20"/>
          <w:lang w:eastAsia="en-US"/>
        </w:rPr>
        <w:t xml:space="preserve"> ambulantní péči vydávaly zdravotní pojišťovny v letech 2014</w:t>
      </w:r>
      <w:r w:rsidRPr="00D94E51">
        <w:rPr>
          <w:bCs/>
        </w:rPr>
        <w:t>–</w:t>
      </w:r>
      <w:r w:rsidRPr="00D94E51">
        <w:rPr>
          <w:rFonts w:eastAsia="Calibri" w:cs="Arial"/>
          <w:szCs w:val="20"/>
          <w:lang w:eastAsia="en-US"/>
        </w:rPr>
        <w:t>2017 průměrně 19,3 mld. Kč. V roce 2018 nastalo 16% zvýšení a uvedené výdaje překonaly 23 mld. Kč</w:t>
      </w:r>
      <w:r w:rsidRPr="00D94E51">
        <w:rPr>
          <w:rFonts w:eastAsia="Calibri" w:cs="Arial"/>
          <w:sz w:val="16"/>
          <w:szCs w:val="16"/>
          <w:lang w:eastAsia="en-US"/>
        </w:rPr>
        <w:t xml:space="preserve">. </w:t>
      </w:r>
      <w:r w:rsidRPr="00D94E51">
        <w:rPr>
          <w:rFonts w:cs="Arial"/>
          <w:szCs w:val="20"/>
        </w:rPr>
        <w:t xml:space="preserve">Zdravotní pojišťovny zaplatily za </w:t>
      </w:r>
      <w:r w:rsidRPr="00D94E51">
        <w:rPr>
          <w:rFonts w:cs="Arial"/>
          <w:b/>
          <w:szCs w:val="20"/>
        </w:rPr>
        <w:t>specializovanou péči</w:t>
      </w:r>
      <w:r w:rsidRPr="00D94E51">
        <w:rPr>
          <w:rFonts w:cs="Arial"/>
          <w:szCs w:val="20"/>
        </w:rPr>
        <w:t xml:space="preserve"> v roce 2014 zhruba 36 mld. Kč. O rok později se uvedené výdaje meziročně zvýšily o </w:t>
      </w:r>
      <w:r w:rsidRPr="00D94E51">
        <w:rPr>
          <w:rFonts w:cs="Arial"/>
          <w:szCs w:val="20"/>
        </w:rPr>
        <w:lastRenderedPageBreak/>
        <w:t xml:space="preserve">13 %, v absolutních číslech na 40,5 mld. Kč. Podobná úroveň byla zachována až do roku 2017. O rok později došlo k výraznému posílení výdajů tohoto segmentu o jednu třetinu až na částku </w:t>
      </w:r>
      <w:r w:rsidRPr="00D94E51">
        <w:rPr>
          <w:rFonts w:eastAsia="Calibri" w:cs="Arial"/>
          <w:szCs w:val="20"/>
        </w:rPr>
        <w:t>55,2 mld. Kč, což představovalo pětinu celkových výdajů zdravotních pojišťoven na zdravotní péči. Příčinou vysokého n</w:t>
      </w:r>
      <w:r w:rsidRPr="00D94E51">
        <w:rPr>
          <w:rFonts w:cs="Arial"/>
          <w:szCs w:val="20"/>
        </w:rPr>
        <w:t>árůstu bylo více faktorů najednou. Rostoucí výdaje byly ovlivněny</w:t>
      </w:r>
      <w:r w:rsidRPr="00D94E51">
        <w:rPr>
          <w:rFonts w:eastAsia="Calibri" w:cs="Arial"/>
          <w:szCs w:val="20"/>
        </w:rPr>
        <w:t xml:space="preserve"> změnami úhrad v oblasti specializované ambulantní péče stanovenými vyhláškou</w:t>
      </w:r>
      <w:r w:rsidRPr="00D94E51">
        <w:rPr>
          <w:rFonts w:cs="Arial"/>
          <w:szCs w:val="20"/>
        </w:rPr>
        <w:t xml:space="preserve"> </w:t>
      </w:r>
      <w:r w:rsidRPr="00D94E51">
        <w:rPr>
          <w:rFonts w:eastAsia="Calibri" w:cs="Arial"/>
          <w:szCs w:val="20"/>
        </w:rPr>
        <w:t xml:space="preserve">č. 353/2017 Sb. Zásadní vliv mělo rozšíření indikací pro specializovanou péči, navýšení její produkce a s tím související větší počet </w:t>
      </w:r>
      <w:proofErr w:type="spellStart"/>
      <w:r w:rsidRPr="00D94E51">
        <w:rPr>
          <w:rFonts w:eastAsia="Calibri" w:cs="Arial"/>
          <w:szCs w:val="20"/>
        </w:rPr>
        <w:t>odléčených</w:t>
      </w:r>
      <w:proofErr w:type="spellEnd"/>
      <w:r w:rsidRPr="00D94E51">
        <w:rPr>
          <w:rFonts w:eastAsia="Calibri" w:cs="Arial"/>
          <w:szCs w:val="20"/>
        </w:rPr>
        <w:t xml:space="preserve"> pacientů.</w:t>
      </w:r>
    </w:p>
    <w:p w:rsidR="007C2FB6" w:rsidRPr="00D94E51" w:rsidRDefault="007C2FB6" w:rsidP="007C2FB6">
      <w:pPr>
        <w:autoSpaceDE w:val="0"/>
        <w:autoSpaceDN w:val="0"/>
        <w:adjustRightInd w:val="0"/>
        <w:spacing w:before="120"/>
        <w:jc w:val="both"/>
        <w:rPr>
          <w:rFonts w:eastAsia="Calibri" w:cs="Arial"/>
          <w:b/>
          <w:bCs/>
          <w:i/>
          <w:color w:val="000000"/>
          <w:szCs w:val="20"/>
        </w:rPr>
      </w:pPr>
      <w:r w:rsidRPr="00D94E51">
        <w:rPr>
          <w:rFonts w:eastAsia="Calibri" w:cs="Arial"/>
          <w:b/>
          <w:i/>
          <w:szCs w:val="20"/>
          <w:lang w:eastAsia="en-US"/>
        </w:rPr>
        <w:t>Ambulantní péče</w:t>
      </w:r>
      <w:r w:rsidRPr="00D94E51">
        <w:rPr>
          <w:rFonts w:eastAsia="Calibri" w:cs="Arial"/>
          <w:i/>
          <w:szCs w:val="20"/>
          <w:lang w:eastAsia="en-US"/>
        </w:rPr>
        <w:t xml:space="preserve"> v České republice je poskytována v ambulantních částech nemocnic nebo praktickými lékaři a specialisty v samostatných ordinacích. Zdravotnictví v České republice se potýká s nedostatečnou koordinací primární péče mezi praktickými lékaři, specialisty a ambulantní nemocniční péčí. Pacienti mohou specialisty navštěvovat přímo bez doporučení praktického lékaře a t</w:t>
      </w:r>
      <w:r w:rsidRPr="00D94E51">
        <w:rPr>
          <w:rFonts w:eastAsia="Calibri" w:cs="Arial"/>
          <w:i/>
          <w:color w:val="000000"/>
          <w:szCs w:val="20"/>
        </w:rPr>
        <w:t xml:space="preserve">ím se otevírá prostor pro nadměrné čerpání specializované ambulantní péče zejména v nemocnicích. Již v minulosti se diskutovalo o zavedení přísného </w:t>
      </w:r>
      <w:proofErr w:type="spellStart"/>
      <w:r w:rsidRPr="00D94E51">
        <w:rPr>
          <w:rFonts w:eastAsia="Calibri" w:cs="Arial"/>
          <w:i/>
          <w:color w:val="000000"/>
          <w:szCs w:val="20"/>
        </w:rPr>
        <w:t>gate-keepingu</w:t>
      </w:r>
      <w:proofErr w:type="spellEnd"/>
      <w:r w:rsidRPr="00D94E51">
        <w:rPr>
          <w:rFonts w:eastAsia="Calibri" w:cs="Arial"/>
          <w:i/>
          <w:color w:val="000000"/>
          <w:szCs w:val="20"/>
        </w:rPr>
        <w:t xml:space="preserve"> zavedením poplatků pro pacienty, kteří bez doporučení navštíví specialistu. </w:t>
      </w:r>
      <w:proofErr w:type="spellStart"/>
      <w:r w:rsidRPr="00D94E51">
        <w:rPr>
          <w:b/>
          <w:bCs/>
          <w:i/>
        </w:rPr>
        <w:t>Gatekeeper</w:t>
      </w:r>
      <w:proofErr w:type="spellEnd"/>
      <w:r w:rsidRPr="00D94E51">
        <w:rPr>
          <w:bCs/>
          <w:i/>
        </w:rPr>
        <w:t xml:space="preserve"> označuje v systému zdravotní péče osobu, bez jejíhož doporučení se nemůže pacient obrátit přímo na specialistu či nemocnici. </w:t>
      </w:r>
      <w:r w:rsidRPr="00D94E51">
        <w:rPr>
          <w:rFonts w:eastAsia="Calibri" w:cs="Arial"/>
          <w:i/>
          <w:color w:val="000000"/>
          <w:szCs w:val="20"/>
        </w:rPr>
        <w:t>Tento záměr se však setkal nesouhlasem u pacientů, lékařů – specialistů a dokonce i některých praktických lékařů</w:t>
      </w:r>
    </w:p>
    <w:p w:rsidR="007C2FB6" w:rsidRPr="00D94E51" w:rsidRDefault="007C2FB6" w:rsidP="007C2FB6">
      <w:pPr>
        <w:spacing w:before="240" w:after="120" w:line="240" w:lineRule="auto"/>
        <w:jc w:val="both"/>
        <w:rPr>
          <w:rFonts w:cs="Arial"/>
          <w:b/>
          <w:bCs/>
          <w:sz w:val="18"/>
          <w:szCs w:val="18"/>
        </w:rPr>
      </w:pPr>
      <w:r w:rsidRPr="00D94E51">
        <w:rPr>
          <w:rFonts w:cs="Arial"/>
          <w:b/>
          <w:bCs/>
          <w:sz w:val="18"/>
          <w:szCs w:val="18"/>
        </w:rPr>
        <w:t>Graf č. 2.4. Výdaje zdravotních pojišťoven za vybrané poskytovatele zdravotní péče v ČR, 2014</w:t>
      </w:r>
      <w:r w:rsidRPr="00D94E51">
        <w:rPr>
          <w:rFonts w:eastAsia="Calibri" w:cs="Arial"/>
          <w:b/>
          <w:color w:val="000000"/>
          <w:szCs w:val="20"/>
        </w:rPr>
        <w:t>–</w:t>
      </w:r>
      <w:r w:rsidRPr="00D94E51">
        <w:rPr>
          <w:rFonts w:cs="Arial"/>
          <w:b/>
          <w:bCs/>
          <w:sz w:val="18"/>
          <w:szCs w:val="18"/>
        </w:rPr>
        <w:t>2018 (mil. Kč)</w:t>
      </w:r>
    </w:p>
    <w:p w:rsidR="007C2FB6" w:rsidRPr="00BB1E19" w:rsidRDefault="007C2FB6" w:rsidP="00BB1E19">
      <w:pPr>
        <w:spacing w:before="240" w:after="120" w:line="240" w:lineRule="auto"/>
        <w:jc w:val="right"/>
        <w:rPr>
          <w:rFonts w:cs="Arial"/>
          <w:b/>
          <w:bCs/>
          <w:sz w:val="16"/>
          <w:szCs w:val="16"/>
        </w:rPr>
      </w:pPr>
      <w:r w:rsidRPr="00D94E51">
        <w:rPr>
          <w:noProof/>
        </w:rPr>
        <w:drawing>
          <wp:inline distT="0" distB="0" distL="0" distR="0" wp14:anchorId="01F56B15" wp14:editId="3F19C451">
            <wp:extent cx="6090249" cy="2613804"/>
            <wp:effectExtent l="0" t="0" r="25400" b="1524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D94E51">
        <w:rPr>
          <w:b/>
          <w:bCs/>
          <w:i/>
          <w:sz w:val="16"/>
          <w:szCs w:val="16"/>
        </w:rPr>
        <w:t xml:space="preserve"> Zdroj: ČSÚ 2020, Zdravotnické účty ČR 2010</w:t>
      </w:r>
      <w:r w:rsidRPr="00D94E51">
        <w:rPr>
          <w:bCs/>
          <w:szCs w:val="20"/>
        </w:rPr>
        <w:t>–</w:t>
      </w:r>
      <w:r w:rsidRPr="00D94E51">
        <w:rPr>
          <w:b/>
          <w:bCs/>
          <w:i/>
          <w:sz w:val="16"/>
          <w:szCs w:val="16"/>
        </w:rPr>
        <w:t xml:space="preserve">2018 </w:t>
      </w:r>
    </w:p>
    <w:p w:rsidR="007C2FB6" w:rsidRPr="00D94E51" w:rsidRDefault="007C2FB6" w:rsidP="007C2FB6">
      <w:pPr>
        <w:keepNext/>
        <w:spacing w:before="120"/>
        <w:jc w:val="both"/>
        <w:rPr>
          <w:b/>
          <w:bCs/>
          <w:i/>
          <w:szCs w:val="20"/>
        </w:rPr>
      </w:pPr>
      <w:r w:rsidRPr="00D94E51">
        <w:rPr>
          <w:b/>
          <w:bCs/>
          <w:i/>
          <w:szCs w:val="20"/>
        </w:rPr>
        <w:lastRenderedPageBreak/>
        <w:t>Výdaje zdravotních pojišťoven za zdravotní péči v nemocnicích se od roku 2017 výrazně zvýšily</w:t>
      </w:r>
    </w:p>
    <w:p w:rsidR="007C2FB6" w:rsidRPr="00D94E51" w:rsidRDefault="007C2FB6" w:rsidP="007C2FB6">
      <w:pPr>
        <w:keepNext/>
        <w:spacing w:before="120"/>
        <w:jc w:val="both"/>
        <w:rPr>
          <w:bCs/>
          <w:szCs w:val="20"/>
        </w:rPr>
      </w:pPr>
      <w:r w:rsidRPr="00D94E51">
        <w:rPr>
          <w:bCs/>
          <w:szCs w:val="20"/>
        </w:rPr>
        <w:t xml:space="preserve">Graf </w:t>
      </w:r>
      <w:proofErr w:type="gramStart"/>
      <w:r w:rsidRPr="00D94E51">
        <w:rPr>
          <w:bCs/>
          <w:szCs w:val="20"/>
        </w:rPr>
        <w:t>č.2.4</w:t>
      </w:r>
      <w:proofErr w:type="gramEnd"/>
      <w:r w:rsidRPr="00D94E51">
        <w:rPr>
          <w:bCs/>
          <w:szCs w:val="20"/>
        </w:rPr>
        <w:t>. naznačuje poměrně stabilní vývoj výdajů zdravotních pojišťoven na zdravotní péči poskytovanou v </w:t>
      </w:r>
      <w:r w:rsidRPr="00D94E51">
        <w:rPr>
          <w:b/>
          <w:bCs/>
          <w:szCs w:val="20"/>
        </w:rPr>
        <w:t>nemocnicích</w:t>
      </w:r>
      <w:r w:rsidRPr="00D94E51">
        <w:rPr>
          <w:bCs/>
          <w:szCs w:val="20"/>
        </w:rPr>
        <w:t xml:space="preserve"> v letech 2014–2016 s průměrnou částkou 130,5 mld. Kč. Následující rok přinesl meziroční zvýšení výdajů na nemocnice o 6 % na hranici 140 mld. Kč. Výraznější 17% nárůst byl pak zaznamenán v posledním sledovaném roce 2018, kdy se výdaje na zdravotní péči v nemocnicích vyšplhaly k hranici téměř 164 mld. Kč. Uvedený meziroční nárůst ve velké míře souvisí se zvýšením  výdajů za specializovanou ambulantní péči, která je v nemocnicích také poskytována. </w:t>
      </w:r>
      <w:r w:rsidRPr="00D94E51">
        <w:rPr>
          <w:bCs/>
        </w:rPr>
        <w:t xml:space="preserve">Za zdravotní péči v nemocnicích v letech 2014 až 2018 zaplatily zdravotní pojišťovny celkem 696 mld. Kč, což je téměř 2,3 krát více než za péči v ambulantních zařízeních. </w:t>
      </w:r>
      <w:r w:rsidRPr="00D94E51">
        <w:rPr>
          <w:bCs/>
          <w:szCs w:val="20"/>
        </w:rPr>
        <w:t xml:space="preserve">Za první tři roky sledovaného období dosahovaly výdaje na </w:t>
      </w:r>
      <w:r w:rsidRPr="00D94E51">
        <w:rPr>
          <w:b/>
          <w:bCs/>
          <w:szCs w:val="20"/>
        </w:rPr>
        <w:t>zařízení</w:t>
      </w:r>
      <w:r w:rsidRPr="00D94E51">
        <w:rPr>
          <w:bCs/>
          <w:szCs w:val="20"/>
        </w:rPr>
        <w:t xml:space="preserve"> </w:t>
      </w:r>
      <w:r w:rsidRPr="00D94E51">
        <w:rPr>
          <w:b/>
          <w:bCs/>
          <w:szCs w:val="20"/>
        </w:rPr>
        <w:t>ambulantní péče</w:t>
      </w:r>
      <w:r w:rsidRPr="00D94E51">
        <w:rPr>
          <w:bCs/>
          <w:szCs w:val="20"/>
        </w:rPr>
        <w:t xml:space="preserve"> okolo 56 mld. Kč a v následujících  dvou letech se postupně zvyšovaly až na 67,1 mld. Kč v roce 2018. Mezi roky 2016–2018 vzrostly výdaje na péči v zařízeních ambulantní péče o 18 %. Výdaje poskytovatelů </w:t>
      </w:r>
      <w:r w:rsidRPr="00D94E51">
        <w:rPr>
          <w:b/>
          <w:bCs/>
          <w:szCs w:val="20"/>
        </w:rPr>
        <w:t>doplňkových služeb</w:t>
      </w:r>
      <w:r w:rsidRPr="00D94E51">
        <w:rPr>
          <w:bCs/>
          <w:szCs w:val="20"/>
        </w:rPr>
        <w:t xml:space="preserve"> (zejména laboratoří a dopravy pacientů) se v roce 2014 pohybovaly na úrovni 7,6 mld. Kč a v následujícím roce překročily hranici 8 mld. Kč a od té doby pozvolna rostou. Uvedené výdaje se mezi roky 2015–2018 zvýšily více než o dvě pětiny s průměrným ročním tempem růstu 12,1 %. Kategorie poskytovatelů zahrnující </w:t>
      </w:r>
      <w:r w:rsidRPr="00D94E51">
        <w:rPr>
          <w:b/>
          <w:bCs/>
          <w:szCs w:val="20"/>
        </w:rPr>
        <w:t>lékárny a ostatní prodejce</w:t>
      </w:r>
      <w:r w:rsidRPr="00D94E51">
        <w:rPr>
          <w:bCs/>
          <w:szCs w:val="20"/>
        </w:rPr>
        <w:t xml:space="preserve"> zdravotnického zboží si od roku 2014 zachovává poměrně stabilní hodnoty pod úrovní 30 mld. Kč (okolo 11 %) na celkových výdajích zdravotních pojišťoven na zdravotní péči.</w:t>
      </w:r>
    </w:p>
    <w:p w:rsidR="007C2FB6" w:rsidRPr="00D94E51" w:rsidRDefault="007C2FB6" w:rsidP="007C2FB6">
      <w:pPr>
        <w:keepNext/>
        <w:keepLines/>
        <w:spacing w:before="120" w:after="120"/>
        <w:outlineLvl w:val="2"/>
        <w:rPr>
          <w:rFonts w:eastAsia="MS Gothic"/>
          <w:b/>
          <w:bCs/>
          <w:color w:val="BC091B"/>
          <w:sz w:val="24"/>
        </w:rPr>
      </w:pPr>
      <w:r w:rsidRPr="00D94E51">
        <w:rPr>
          <w:rFonts w:eastAsia="MS Gothic"/>
          <w:b/>
          <w:bCs/>
          <w:color w:val="BC091B"/>
          <w:sz w:val="24"/>
        </w:rPr>
        <w:t>2.3. Výdaje zdravotních pojišťoven podle diagnóz</w:t>
      </w:r>
    </w:p>
    <w:p w:rsidR="007C2FB6" w:rsidRPr="00D94E51" w:rsidRDefault="007C2FB6" w:rsidP="007C2FB6">
      <w:pPr>
        <w:spacing w:before="120"/>
        <w:jc w:val="both"/>
      </w:pPr>
      <w:r w:rsidRPr="00D94E51">
        <w:t xml:space="preserve">V této části se budeme podrobně věnovat výdajům na zdravotní péči podle </w:t>
      </w:r>
      <w:r w:rsidRPr="00D94E51">
        <w:rPr>
          <w:b/>
        </w:rPr>
        <w:t>diagnóz</w:t>
      </w:r>
      <w:r w:rsidRPr="00D94E51">
        <w:t xml:space="preserve">, na jejichž léčbu byly vynaloženy, definovaných podle jednotlivých tříd 10. revize </w:t>
      </w:r>
      <w:r w:rsidRPr="00D94E51">
        <w:rPr>
          <w:b/>
        </w:rPr>
        <w:t xml:space="preserve">Mezinárodní statistické klasifikace nemocí a přidružených zdravotních problémů </w:t>
      </w:r>
      <w:r w:rsidRPr="00D94E51">
        <w:t>(dále jen MKN-10), a to v členění podle pohlaví a věku pojištěnců.</w:t>
      </w:r>
    </w:p>
    <w:p w:rsidR="007C2FB6" w:rsidRPr="00D94E51" w:rsidRDefault="007C2FB6" w:rsidP="007C2FB6">
      <w:pPr>
        <w:spacing w:before="240" w:after="120" w:line="240" w:lineRule="auto"/>
        <w:jc w:val="both"/>
        <w:rPr>
          <w:b/>
          <w:bCs/>
          <w:sz w:val="18"/>
          <w:szCs w:val="18"/>
        </w:rPr>
      </w:pPr>
      <w:r w:rsidRPr="00D94E51">
        <w:rPr>
          <w:b/>
          <w:bCs/>
          <w:sz w:val="18"/>
          <w:szCs w:val="18"/>
        </w:rPr>
        <w:t>Graf č. 2.5. Výdaje zdravotních pojišťoven na zdravotní péči v ČR podle diagnóz MKN-10, 2018 (v mld. Kč; %)</w:t>
      </w:r>
    </w:p>
    <w:p w:rsidR="007C2FB6" w:rsidRPr="00D94E51" w:rsidRDefault="007C2FB6" w:rsidP="007C2FB6">
      <w:pPr>
        <w:rPr>
          <w:noProof/>
          <w:lang w:val="en-US" w:eastAsia="en-US"/>
        </w:rPr>
      </w:pPr>
      <w:r w:rsidRPr="00D94E51">
        <w:rPr>
          <w:noProof/>
        </w:rPr>
        <w:drawing>
          <wp:inline distT="0" distB="0" distL="0" distR="0" wp14:anchorId="6C9D7646" wp14:editId="6FCF4646">
            <wp:extent cx="6124755" cy="3321169"/>
            <wp:effectExtent l="0" t="0" r="9525" b="1270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C2FB6" w:rsidRPr="00D94E51" w:rsidRDefault="00BB1E19" w:rsidP="007C2FB6">
      <w:pPr>
        <w:rPr>
          <w:sz w:val="16"/>
        </w:rPr>
      </w:pPr>
      <w:r w:rsidRPr="00D94E51">
        <w:rPr>
          <w:sz w:val="16"/>
        </w:rPr>
        <w:t xml:space="preserve"> </w:t>
      </w:r>
      <w:r w:rsidR="007C2FB6" w:rsidRPr="00D94E51">
        <w:rPr>
          <w:sz w:val="16"/>
        </w:rPr>
        <w:t>(1) Ostatní - zahrnuje výdaje na další kapitoly diagnóz v grafu neuvedené: např. nemoci endokrinní a metabolické soustavy, nemoci oka, nemoci ucha, nemoci kůže, některé infekční a parazitární nemoci, těhotenství, porod a šestinedělí atd.</w:t>
      </w:r>
    </w:p>
    <w:p w:rsidR="007C2FB6" w:rsidRDefault="007C2FB6" w:rsidP="007C2FB6">
      <w:pPr>
        <w:spacing w:before="80" w:line="240" w:lineRule="auto"/>
        <w:jc w:val="both"/>
        <w:rPr>
          <w:sz w:val="16"/>
        </w:rPr>
      </w:pPr>
      <w:r w:rsidRPr="00D94E51">
        <w:rPr>
          <w:sz w:val="16"/>
        </w:rPr>
        <w:t>Poznámka: výdaje zdravotních pojišťoven na zdravotní péči v ČR podle diagnóz MKN-10 uvedené v tomto grafu neobsahují výdaje, které není možné rozčlenit na konkrétní diagnózy (70,4 mld. Kč). Jedná se například o kapitační platby registrujícím lékařům, návštěvní službu v rámci domácí péče, léky na recept, různé bonusy a příspěvky a také náklady pojišťoven na správu a provoz vlastních organizací.</w:t>
      </w:r>
    </w:p>
    <w:p w:rsidR="00BB1E19" w:rsidRPr="00D94E51" w:rsidRDefault="00BB1E19" w:rsidP="00BB1E19">
      <w:pPr>
        <w:keepNext/>
        <w:spacing w:before="120" w:after="120" w:line="240" w:lineRule="auto"/>
        <w:jc w:val="right"/>
        <w:rPr>
          <w:bCs/>
          <w:i/>
          <w:sz w:val="16"/>
          <w:szCs w:val="16"/>
        </w:rPr>
      </w:pPr>
      <w:r w:rsidRPr="00D94E51">
        <w:rPr>
          <w:b/>
          <w:bCs/>
          <w:i/>
          <w:sz w:val="16"/>
          <w:szCs w:val="16"/>
        </w:rPr>
        <w:t>Zdroj: ČSÚ 2020, Zdravotnické účty ČR 2010</w:t>
      </w:r>
      <w:r w:rsidRPr="00D94E51">
        <w:rPr>
          <w:bCs/>
          <w:szCs w:val="20"/>
        </w:rPr>
        <w:t>–</w:t>
      </w:r>
      <w:r w:rsidRPr="00D94E51">
        <w:rPr>
          <w:b/>
          <w:bCs/>
          <w:i/>
          <w:sz w:val="16"/>
          <w:szCs w:val="16"/>
        </w:rPr>
        <w:t xml:space="preserve">2018 </w:t>
      </w:r>
    </w:p>
    <w:p w:rsidR="00BB1E19" w:rsidRPr="00D94E51" w:rsidRDefault="00BB1E19" w:rsidP="007C2FB6">
      <w:pPr>
        <w:spacing w:before="80" w:line="240" w:lineRule="auto"/>
        <w:jc w:val="both"/>
        <w:rPr>
          <w:sz w:val="16"/>
        </w:rPr>
      </w:pPr>
    </w:p>
    <w:p w:rsidR="007C2FB6" w:rsidRPr="00D94E51" w:rsidRDefault="007C2FB6" w:rsidP="007C2FB6">
      <w:pPr>
        <w:keepNext/>
        <w:spacing w:before="240" w:after="120" w:line="240" w:lineRule="auto"/>
        <w:rPr>
          <w:b/>
          <w:bCs/>
          <w:i/>
          <w:sz w:val="16"/>
          <w:szCs w:val="16"/>
        </w:rPr>
      </w:pPr>
      <w:r w:rsidRPr="00D94E51">
        <w:rPr>
          <w:rFonts w:eastAsia="MS Gothic"/>
          <w:b/>
          <w:bCs/>
          <w:i/>
        </w:rPr>
        <w:lastRenderedPageBreak/>
        <w:t xml:space="preserve">Nejvíce peněz vydávají zdravotní pojišťovny dlouhodobě na léčení nemocí srdce a cév </w:t>
      </w:r>
    </w:p>
    <w:p w:rsidR="007C2FB6" w:rsidRPr="00D94E51" w:rsidRDefault="007C2FB6" w:rsidP="007C2FB6">
      <w:pPr>
        <w:keepNext/>
        <w:spacing w:before="120"/>
        <w:jc w:val="both"/>
      </w:pPr>
      <w:r w:rsidRPr="00D94E51">
        <w:t xml:space="preserve">Na celkových výdajích u jednotlivých kapitol diagnóz se podílí jednak četnost daných onemocnění v populaci a pochopitelně také nákladnost jejich léčby. Pořadí se dlouhodobě nemění, roste ale celkový objem peněz vydávaných na péči. Výdaje na léčbu nemocí </w:t>
      </w:r>
      <w:r w:rsidRPr="00D94E51">
        <w:rPr>
          <w:b/>
        </w:rPr>
        <w:t>oběhové soustavy</w:t>
      </w:r>
      <w:r w:rsidRPr="00D94E51">
        <w:t xml:space="preserve"> představují největší část zdravotnických nákladů a v roce 2018 na ně bylo vynaloženo 28,5 mld. Kč. Do uvedené skupiny spadají mimo jiné ischemické choroby srdeční – například infarkt myokardu, angina pectoris aj. a cévní nemoci mozku (mrtvice), což jsou vysoce nákladná i relativně častá onemocnění. V porovnání s rokem 2010 se zvýšily výdaje na léčení kardiovaskulárních chorob o 6,5 %, avšak částky vynaložené v posledních dvou letech zůstávají na stejné úrovni. Celkově nejvíce peněz na léčení pacientů s nemocemi srdce a cév bylo vydáno ve věkové skupině 70</w:t>
      </w:r>
      <w:r w:rsidRPr="00D94E51">
        <w:rPr>
          <w:bCs/>
        </w:rPr>
        <w:t>–</w:t>
      </w:r>
      <w:r w:rsidRPr="00D94E51">
        <w:t>74 let, a to 4,8 mld. Kč. Z hlediska pohlaví byly zaznamenány nejvyšší výdaje u mužů ve věkové skupině 65</w:t>
      </w:r>
      <w:r w:rsidRPr="00D94E51">
        <w:rPr>
          <w:bCs/>
        </w:rPr>
        <w:t>–</w:t>
      </w:r>
      <w:r w:rsidRPr="00D94E51">
        <w:t>69 let (2,9 mld. Kč) a u žen ve věku 70</w:t>
      </w:r>
      <w:r w:rsidRPr="00D94E51">
        <w:rPr>
          <w:bCs/>
        </w:rPr>
        <w:t>–7</w:t>
      </w:r>
      <w:r w:rsidRPr="00D94E51">
        <w:t xml:space="preserve">4 let (2,0 mld. Kč). </w:t>
      </w:r>
    </w:p>
    <w:p w:rsidR="007C2FB6" w:rsidRPr="00D94E51" w:rsidRDefault="007C2FB6" w:rsidP="007C2FB6">
      <w:pPr>
        <w:keepNext/>
        <w:spacing w:before="120"/>
        <w:jc w:val="both"/>
        <w:rPr>
          <w:rFonts w:eastAsia="Calibri" w:cs="Arial"/>
          <w:i/>
          <w:szCs w:val="20"/>
        </w:rPr>
      </w:pPr>
      <w:r w:rsidRPr="00D94E51">
        <w:rPr>
          <w:rFonts w:cs="Arial"/>
          <w:i/>
          <w:szCs w:val="20"/>
        </w:rPr>
        <w:t xml:space="preserve">Nemoci oběhové soustavy byly dle údajů ÚZIS ČR </w:t>
      </w:r>
      <w:r w:rsidRPr="00D94E51">
        <w:rPr>
          <w:rFonts w:eastAsia="Calibri" w:cs="Arial"/>
          <w:i/>
          <w:szCs w:val="20"/>
        </w:rPr>
        <w:t>druhým nejčetnějším důvodem pro hospitalizaci. Tvořily 13 % z celkového počtu všech hospitalizací v nemocnicích s  průměrnou ošetřovací dobou 7,6 dne. S nemocemi oběhové soustavy byli častěji hospitalizováni muži než ženy. Průměrný věk hospitalizovaných mužů byl 66,8 let a žen 71,6 let.</w:t>
      </w:r>
    </w:p>
    <w:p w:rsidR="007C2FB6" w:rsidRPr="00D94E51" w:rsidRDefault="007C2FB6" w:rsidP="007C2FB6">
      <w:pPr>
        <w:spacing w:before="240" w:after="120"/>
        <w:jc w:val="both"/>
        <w:rPr>
          <w:rFonts w:eastAsia="MS Gothic"/>
          <w:b/>
          <w:i/>
        </w:rPr>
      </w:pPr>
      <w:r w:rsidRPr="00D94E51">
        <w:rPr>
          <w:rFonts w:eastAsia="MS Gothic"/>
          <w:b/>
          <w:i/>
        </w:rPr>
        <w:t>Za léčbu rakoviny zaplatily zdravotní pojišťovny 27,4 miliard korun</w:t>
      </w:r>
    </w:p>
    <w:p w:rsidR="007C2FB6" w:rsidRPr="00D94E51" w:rsidRDefault="007C2FB6" w:rsidP="007C2FB6">
      <w:pPr>
        <w:spacing w:before="120"/>
        <w:jc w:val="both"/>
        <w:rPr>
          <w:rFonts w:cs="Arial"/>
          <w:szCs w:val="20"/>
        </w:rPr>
      </w:pPr>
      <w:r w:rsidRPr="00D94E51">
        <w:rPr>
          <w:rFonts w:cs="Arial"/>
          <w:szCs w:val="20"/>
        </w:rPr>
        <w:t xml:space="preserve">V daném roce poukázaly zdravotní pojišťovny na léčbu </w:t>
      </w:r>
      <w:r w:rsidRPr="00D94E51">
        <w:rPr>
          <w:rFonts w:cs="Arial"/>
          <w:b/>
          <w:szCs w:val="20"/>
        </w:rPr>
        <w:t>onkologických onemocnění</w:t>
      </w:r>
      <w:r w:rsidRPr="00D94E51">
        <w:rPr>
          <w:rFonts w:cs="Arial"/>
          <w:szCs w:val="20"/>
        </w:rPr>
        <w:t xml:space="preserve"> 27,4 mld. Kč. Oproti roku 2010 se zvýšily výdaje na onkologickou léčbu o více než dvě pětiny, avšak meziroční srovnání představuje poměrně malý nárůst o 4 %. V roce 2018 připadlo na léčbu rakoviny 9,6 % z celkových výdajů zdravotních pojišťoven na zdravotní péči.  </w:t>
      </w:r>
      <w:r w:rsidRPr="00D94E51">
        <w:rPr>
          <w:rFonts w:eastAsia="MS Gothic" w:cs="Arial"/>
          <w:szCs w:val="20"/>
        </w:rPr>
        <w:t>Nejvíce peněz na léčbu novotvarů vydaly zdravotní pojišťovny za muže ve věkové skupině 70</w:t>
      </w:r>
      <w:r w:rsidRPr="00D94E51">
        <w:rPr>
          <w:bCs/>
        </w:rPr>
        <w:t>–</w:t>
      </w:r>
      <w:r w:rsidRPr="00D94E51">
        <w:rPr>
          <w:rFonts w:eastAsia="MS Gothic" w:cs="Arial"/>
          <w:szCs w:val="20"/>
        </w:rPr>
        <w:t>74 let, 2,9 mld. Kč, a ženy 65</w:t>
      </w:r>
      <w:r w:rsidRPr="00D94E51">
        <w:rPr>
          <w:bCs/>
        </w:rPr>
        <w:t>–</w:t>
      </w:r>
      <w:r w:rsidRPr="00D94E51">
        <w:rPr>
          <w:rFonts w:eastAsia="MS Gothic" w:cs="Arial"/>
          <w:szCs w:val="20"/>
        </w:rPr>
        <w:t xml:space="preserve">69 let, 2,2 mld. Kč. </w:t>
      </w:r>
      <w:r w:rsidRPr="00D94E51">
        <w:rPr>
          <w:rFonts w:cs="Arial"/>
          <w:szCs w:val="20"/>
        </w:rPr>
        <w:t xml:space="preserve">Za uplynulých devět let zaplatily zdravotní pojišťovny za léčení onkologických onemocnění celkem 197,5 mld. Kč a průměrné tempo růstu činilo 4,6 %. </w:t>
      </w:r>
    </w:p>
    <w:p w:rsidR="007C2FB6" w:rsidRPr="00D94E51" w:rsidRDefault="007C2FB6" w:rsidP="007C2FB6">
      <w:pPr>
        <w:keepNext/>
        <w:spacing w:before="120"/>
        <w:jc w:val="both"/>
        <w:rPr>
          <w:rFonts w:cs="Arial"/>
          <w:i/>
          <w:szCs w:val="20"/>
        </w:rPr>
      </w:pPr>
      <w:r w:rsidRPr="00D94E51">
        <w:rPr>
          <w:rFonts w:cs="Arial"/>
          <w:i/>
          <w:szCs w:val="20"/>
        </w:rPr>
        <w:t xml:space="preserve">Novotvary představovaly 7 % z celkového počtu hospitalizací s průměrným počtem ošetřovacích dní 6,3 dní a průměrným věkem u mužů 64,0 let a u žen 59,9 let. </w:t>
      </w:r>
    </w:p>
    <w:p w:rsidR="007C2FB6" w:rsidRPr="00D94E51" w:rsidRDefault="007C2FB6" w:rsidP="007C2FB6">
      <w:pPr>
        <w:spacing w:before="120" w:line="240" w:lineRule="auto"/>
        <w:jc w:val="both"/>
        <w:rPr>
          <w:b/>
          <w:bCs/>
          <w:sz w:val="18"/>
          <w:szCs w:val="18"/>
        </w:rPr>
      </w:pPr>
      <w:r w:rsidRPr="00D94E51">
        <w:rPr>
          <w:b/>
          <w:bCs/>
          <w:sz w:val="18"/>
          <w:szCs w:val="18"/>
        </w:rPr>
        <w:t xml:space="preserve">Graf č. 2.6. Výdaje zdravotních pojišťoven v Česku podle diagnóz MKN-10 v roce 2018 (mil. Kč) </w:t>
      </w:r>
    </w:p>
    <w:p w:rsidR="007C2FB6" w:rsidRPr="00D94E51" w:rsidRDefault="007C2FB6" w:rsidP="007C2FB6">
      <w:pPr>
        <w:spacing w:before="120" w:after="120" w:line="240" w:lineRule="auto"/>
        <w:jc w:val="both"/>
        <w:rPr>
          <w:b/>
          <w:bCs/>
          <w:sz w:val="18"/>
          <w:szCs w:val="18"/>
        </w:rPr>
      </w:pPr>
      <w:r w:rsidRPr="00D94E51">
        <w:rPr>
          <w:noProof/>
        </w:rPr>
        <w:drawing>
          <wp:inline distT="0" distB="0" distL="0" distR="0" wp14:anchorId="7DC7EC87" wp14:editId="79C9F60B">
            <wp:extent cx="6114553" cy="3188473"/>
            <wp:effectExtent l="0" t="0" r="19685" b="12065"/>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C2FB6" w:rsidRPr="00D94E51" w:rsidRDefault="007C2FB6" w:rsidP="007C2FB6">
      <w:pPr>
        <w:spacing w:before="240" w:after="120" w:line="240" w:lineRule="auto"/>
        <w:jc w:val="both"/>
        <w:rPr>
          <w:b/>
          <w:bCs/>
          <w:i/>
          <w:sz w:val="16"/>
          <w:szCs w:val="16"/>
        </w:rPr>
      </w:pPr>
      <w:r w:rsidRPr="00D94E51">
        <w:rPr>
          <w:b/>
          <w:bCs/>
          <w:i/>
          <w:sz w:val="16"/>
          <w:szCs w:val="16"/>
        </w:rPr>
        <w:t xml:space="preserve">                                                                                                                         Zdroj: ČSÚ 2020, Zdravotnické účty ČR 2010</w:t>
      </w:r>
      <w:r w:rsidRPr="00D94E51">
        <w:rPr>
          <w:b/>
          <w:sz w:val="16"/>
          <w:szCs w:val="16"/>
        </w:rPr>
        <w:t>–</w:t>
      </w:r>
      <w:r w:rsidRPr="00D94E51">
        <w:rPr>
          <w:b/>
          <w:bCs/>
          <w:i/>
          <w:sz w:val="16"/>
          <w:szCs w:val="16"/>
        </w:rPr>
        <w:t xml:space="preserve">2018 </w:t>
      </w:r>
    </w:p>
    <w:p w:rsidR="00BB1E19" w:rsidRDefault="00BB1E19" w:rsidP="007C2FB6">
      <w:pPr>
        <w:spacing w:before="120"/>
        <w:jc w:val="both"/>
      </w:pPr>
    </w:p>
    <w:p w:rsidR="007C2FB6" w:rsidRPr="00D94E51" w:rsidRDefault="007C2FB6" w:rsidP="007C2FB6">
      <w:pPr>
        <w:spacing w:before="120"/>
        <w:jc w:val="both"/>
      </w:pPr>
      <w:r w:rsidRPr="00D94E51">
        <w:lastRenderedPageBreak/>
        <w:t xml:space="preserve">Třetí nejnákladnější kapitolou jsou </w:t>
      </w:r>
      <w:r w:rsidRPr="00D94E51">
        <w:rPr>
          <w:b/>
        </w:rPr>
        <w:t xml:space="preserve">faktory ovlivňující zdravotní stav a kontakt se zdravotnickými službami </w:t>
      </w:r>
      <w:r w:rsidRPr="00D94E51">
        <w:t xml:space="preserve">(20,2 mld. Kč). Jedná se obsahově o velmi různorodou skupinu příčin čerpání zdravotní péče. Patří sem nejrůznější prohlídky (preventivní, zubní, gynekologické, v těhotenství, oční atd.), laboratorní vyšetření, screeningové vyšetření, očkování, lékařské pozorování, kosmetické výkony, přizpůsobení a seřízení implantovaných nebo protetických pomůcek, následná vyšetření po chemoterapii, dárcovství orgánů a tkání, hospitalizace novorozenců po porodu, doprovod dítěte při hospitalizaci a další. </w:t>
      </w:r>
    </w:p>
    <w:p w:rsidR="007C2FB6" w:rsidRPr="00D94E51" w:rsidRDefault="007C2FB6" w:rsidP="007C2FB6">
      <w:pPr>
        <w:autoSpaceDE w:val="0"/>
        <w:autoSpaceDN w:val="0"/>
        <w:adjustRightInd w:val="0"/>
        <w:spacing w:before="120"/>
        <w:jc w:val="both"/>
        <w:rPr>
          <w:rFonts w:eastAsia="Calibri" w:cs="Arial"/>
          <w:i/>
          <w:szCs w:val="20"/>
        </w:rPr>
      </w:pPr>
      <w:r w:rsidRPr="00D94E51">
        <w:rPr>
          <w:rFonts w:eastAsia="Calibri" w:cs="Arial"/>
          <w:i/>
          <w:szCs w:val="20"/>
        </w:rPr>
        <w:t>Podle informací ÚZIS ČR uvedená široká skupina příčin tvořila 14 % všech hospitalizací s průměrným počtem ošetřovacích dní 5,8 v roce 2018. Velká část pobytů v nemocnici se netýká primárně nemocnosti. Nejčastěji sem spadají osoby hospitalizované za okolností souvisejících s reprodukcí, především se jednalo o hospitalizace novorozenců. Poměrně vysoké zastoupení představovaly hospitalizace zdravých osob, které doprovázely osoby nemocné (většinou rodiče doprovázející své nemocné děti). Mezi početně významné také patří hospitalizace z důvodu provádění chemoterapie, radioterapie, paliativní či jiné lékařské péče.</w:t>
      </w:r>
    </w:p>
    <w:p w:rsidR="007C2FB6" w:rsidRPr="00D94E51" w:rsidRDefault="007C2FB6" w:rsidP="007C2FB6">
      <w:pPr>
        <w:keepNext/>
        <w:spacing w:before="120"/>
        <w:jc w:val="both"/>
      </w:pPr>
      <w:r w:rsidRPr="00D94E51">
        <w:t xml:space="preserve">Léčba </w:t>
      </w:r>
      <w:r w:rsidRPr="00D94E51">
        <w:rPr>
          <w:b/>
        </w:rPr>
        <w:t xml:space="preserve">nemocí svalové a kosterní soustavy a pojivové tkáně </w:t>
      </w:r>
      <w:r w:rsidRPr="00D94E51">
        <w:t>stála v roce 2018 zdravotní pojišťovny 18,2 mld. Kč, což je o 71 % více než před devíti lety. Dlouhodobě se výdaje za léčbu nemocí pohybového ústrojí obecně řadí na přední místa pomyslného žebříčku. Zdravotní pojišťovny vydaly nejvíce financí za léčení pacientů - mužů ve věkové skupině 60</w:t>
      </w:r>
      <w:r w:rsidRPr="00D94E51">
        <w:rPr>
          <w:bCs/>
        </w:rPr>
        <w:t>–</w:t>
      </w:r>
      <w:r w:rsidRPr="00D94E51">
        <w:t>64 let (894 mil. Kč) a žen ve věku 65</w:t>
      </w:r>
      <w:r w:rsidRPr="00D94E51">
        <w:rPr>
          <w:bCs/>
        </w:rPr>
        <w:t>–</w:t>
      </w:r>
      <w:r w:rsidRPr="00D94E51">
        <w:t>69 let (1 470 mil. Kč).</w:t>
      </w:r>
    </w:p>
    <w:p w:rsidR="007C2FB6" w:rsidRPr="00D94E51" w:rsidRDefault="007C2FB6" w:rsidP="007C2FB6">
      <w:pPr>
        <w:spacing w:before="240" w:after="120" w:line="240" w:lineRule="auto"/>
        <w:rPr>
          <w:b/>
          <w:bCs/>
          <w:spacing w:val="-6"/>
          <w:sz w:val="18"/>
          <w:szCs w:val="18"/>
        </w:rPr>
      </w:pPr>
      <w:r w:rsidRPr="00D94E51">
        <w:rPr>
          <w:b/>
          <w:bCs/>
          <w:spacing w:val="-6"/>
          <w:sz w:val="18"/>
          <w:szCs w:val="18"/>
        </w:rPr>
        <w:t xml:space="preserve">Graf č. 2.7. Nejčastější příčiny úmrtí v Česku podle pohlaví a diagnóz MKN-10, 2018 (%) </w:t>
      </w:r>
    </w:p>
    <w:p w:rsidR="007C2FB6" w:rsidRPr="00D94E51" w:rsidRDefault="007C2FB6" w:rsidP="007C2FB6">
      <w:pPr>
        <w:rPr>
          <w:b/>
          <w:bCs/>
          <w:i/>
          <w:color w:val="FFFFFF" w:themeColor="background1"/>
          <w:sz w:val="16"/>
          <w:szCs w:val="16"/>
        </w:rPr>
      </w:pPr>
      <w:r w:rsidRPr="00D94E51">
        <w:rPr>
          <w:noProof/>
        </w:rPr>
        <w:drawing>
          <wp:inline distT="0" distB="0" distL="0" distR="0" wp14:anchorId="53F0FFB4" wp14:editId="5F8E7208">
            <wp:extent cx="6178163" cy="2401294"/>
            <wp:effectExtent l="0" t="0" r="13335" b="18415"/>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C2FB6" w:rsidRPr="00D94E51" w:rsidRDefault="007C2FB6" w:rsidP="007C2FB6">
      <w:pPr>
        <w:spacing w:before="120" w:after="120"/>
        <w:jc w:val="right"/>
      </w:pPr>
      <w:r w:rsidRPr="00D94E51">
        <w:rPr>
          <w:b/>
          <w:bCs/>
          <w:i/>
          <w:sz w:val="16"/>
          <w:szCs w:val="16"/>
        </w:rPr>
        <w:t>Zdroj: CSÚ 2020, Statistická ročenka ČR</w:t>
      </w:r>
    </w:p>
    <w:p w:rsidR="007C2FB6" w:rsidRPr="00D94E51" w:rsidRDefault="007C2FB6" w:rsidP="007C2FB6">
      <w:pPr>
        <w:spacing w:before="120"/>
        <w:jc w:val="both"/>
        <w:rPr>
          <w:i/>
        </w:rPr>
      </w:pPr>
      <w:r w:rsidRPr="00D94E51">
        <w:rPr>
          <w:i/>
        </w:rPr>
        <w:t xml:space="preserve">Celkový počet zemřelých v České republice v roce 2018 činil 112 920 osob, z toho 57 273 mužů a 55 647 žen. K nejčastějším příčinám úmrtí v Česku u obou pohlaví patří kardiovaskulární onemocnění. V roce 2018 byly příčinou 40 % úmrtí mužů a 46 % úmrtí žen. Nádorová onemocnění jsou stále druhou nejběžnější příčinou úmrtí. U mužů se novotvary týkají zejména plic, prostaty a tlustého střeva. U žen je zaznamenána nejvýznamnější část úmrtí v důsledku novotvarů plic, prsu a slinivky. </w:t>
      </w:r>
      <w:r w:rsidRPr="00D94E51">
        <w:rPr>
          <w:rFonts w:eastAsia="MS Gothic"/>
          <w:i/>
        </w:rPr>
        <w:t>Třetí nejčastější skupinou příčin smrti byly nemoci dýchací soustavy, v jejichž důsledku zemřelo v roce 2018 více než 8 tisíc osob, což je 7,8 % ze všech úmrtí u mužů a 6,9 % ze všech úmrtí u žen.</w:t>
      </w:r>
    </w:p>
    <w:p w:rsidR="007C2FB6" w:rsidRPr="00D94E51" w:rsidRDefault="007C2FB6" w:rsidP="007C2FB6">
      <w:pPr>
        <w:spacing w:before="120"/>
        <w:jc w:val="both"/>
        <w:rPr>
          <w:rFonts w:eastAsia="MS Gothic"/>
          <w:b/>
          <w:i/>
        </w:rPr>
      </w:pPr>
      <w:r w:rsidRPr="00D94E51">
        <w:rPr>
          <w:rFonts w:eastAsia="MS Gothic"/>
          <w:b/>
          <w:i/>
        </w:rPr>
        <w:t xml:space="preserve">V uplynulých letech procentuálně nejvíce vzrostly výdaje na léčení poranění a otrav </w:t>
      </w:r>
    </w:p>
    <w:p w:rsidR="007C2FB6" w:rsidRPr="00D94E51" w:rsidRDefault="007C2FB6" w:rsidP="007C2FB6">
      <w:pPr>
        <w:spacing w:before="120"/>
        <w:jc w:val="both"/>
      </w:pPr>
      <w:r w:rsidRPr="00D94E51">
        <w:t xml:space="preserve">Od roku 2010 se v absolutních číslech nejvíce zvýšily náklady na léčení </w:t>
      </w:r>
      <w:r w:rsidRPr="00D94E51">
        <w:rPr>
          <w:b/>
        </w:rPr>
        <w:t xml:space="preserve">novotvarů </w:t>
      </w:r>
      <w:r w:rsidRPr="00D94E51">
        <w:t>(o 8,2 mld. Kč)</w:t>
      </w:r>
      <w:r w:rsidRPr="00D94E51">
        <w:rPr>
          <w:b/>
        </w:rPr>
        <w:t xml:space="preserve"> </w:t>
      </w:r>
      <w:r w:rsidRPr="00D94E51">
        <w:t xml:space="preserve">a na kapitolu </w:t>
      </w:r>
      <w:r w:rsidRPr="00D94E51">
        <w:rPr>
          <w:b/>
        </w:rPr>
        <w:t xml:space="preserve">faktory ovlivňující zdravotní stav </w:t>
      </w:r>
      <w:r w:rsidRPr="00D94E51">
        <w:t>(o 7,5 mld. Kč), která</w:t>
      </w:r>
      <w:r w:rsidRPr="00D94E51">
        <w:rPr>
          <w:b/>
        </w:rPr>
        <w:t xml:space="preserve"> </w:t>
      </w:r>
      <w:r w:rsidRPr="00D94E51">
        <w:t xml:space="preserve">zahrnuje různá vyšetření, poradny, hospitalizaci dětí po porodu, doprovod při hospitalizaci, laboratorní vyšetření a mnoho dalších obdobných zdravotnických úkonů. Vysoce nadprůměrnou dynamiku v absolutních hodnotách měly již výše uvedené </w:t>
      </w:r>
      <w:r w:rsidRPr="00D94E51">
        <w:rPr>
          <w:b/>
        </w:rPr>
        <w:t xml:space="preserve">nemocí svalové a kosterní soustavy a pojivové tkáně </w:t>
      </w:r>
      <w:r w:rsidRPr="00D94E51">
        <w:t xml:space="preserve">(o 7,4 mld. Kč) i </w:t>
      </w:r>
      <w:r w:rsidRPr="00D94E51">
        <w:rPr>
          <w:b/>
        </w:rPr>
        <w:t xml:space="preserve">diagnózy poranění a otrav </w:t>
      </w:r>
      <w:r w:rsidRPr="00D94E51">
        <w:t xml:space="preserve">(o 5,9 mld. Kč). </w:t>
      </w:r>
    </w:p>
    <w:p w:rsidR="007C2FB6" w:rsidRPr="00D94E51" w:rsidRDefault="007C2FB6" w:rsidP="007C2FB6">
      <w:pPr>
        <w:spacing w:line="240" w:lineRule="auto"/>
        <w:jc w:val="both"/>
        <w:rPr>
          <w:rFonts w:cs="Arial"/>
          <w:b/>
          <w:bCs/>
          <w:sz w:val="18"/>
          <w:szCs w:val="18"/>
        </w:rPr>
      </w:pPr>
    </w:p>
    <w:p w:rsidR="007C2FB6" w:rsidRPr="00D94E51" w:rsidRDefault="007C2FB6" w:rsidP="007C2FB6">
      <w:pPr>
        <w:spacing w:line="240" w:lineRule="auto"/>
        <w:jc w:val="both"/>
        <w:rPr>
          <w:rFonts w:cs="Arial"/>
          <w:b/>
          <w:bCs/>
          <w:sz w:val="18"/>
          <w:szCs w:val="18"/>
        </w:rPr>
      </w:pPr>
    </w:p>
    <w:p w:rsidR="00BB1E19" w:rsidRDefault="00BB1E19" w:rsidP="007C2FB6">
      <w:pPr>
        <w:spacing w:line="240" w:lineRule="auto"/>
        <w:jc w:val="both"/>
        <w:rPr>
          <w:rFonts w:cs="Arial"/>
          <w:b/>
          <w:bCs/>
          <w:sz w:val="18"/>
          <w:szCs w:val="18"/>
        </w:rPr>
      </w:pPr>
    </w:p>
    <w:p w:rsidR="007C2FB6" w:rsidRPr="00D94E51" w:rsidRDefault="007C2FB6" w:rsidP="007C2FB6">
      <w:pPr>
        <w:spacing w:line="240" w:lineRule="auto"/>
        <w:jc w:val="both"/>
        <w:rPr>
          <w:rFonts w:cs="Arial"/>
          <w:b/>
          <w:bCs/>
          <w:sz w:val="18"/>
          <w:szCs w:val="18"/>
        </w:rPr>
      </w:pPr>
      <w:r w:rsidRPr="00D94E51">
        <w:rPr>
          <w:rFonts w:cs="Arial"/>
          <w:b/>
          <w:bCs/>
          <w:sz w:val="18"/>
          <w:szCs w:val="18"/>
        </w:rPr>
        <w:lastRenderedPageBreak/>
        <w:t>Graf č. 2.8. Změna výdajů zdravotních pojišťoven v Česku dle diagnóz MKN-10 mezi roky 2010 a 2018 (mil. Kč)</w:t>
      </w:r>
    </w:p>
    <w:p w:rsidR="007C2FB6" w:rsidRPr="00D94E51" w:rsidRDefault="007C2FB6" w:rsidP="007C2FB6">
      <w:pPr>
        <w:widowControl w:val="0"/>
        <w:spacing w:before="120" w:after="80"/>
        <w:jc w:val="both"/>
        <w:rPr>
          <w:rFonts w:cs="Arial"/>
          <w:b/>
          <w:bCs/>
          <w:spacing w:val="-7"/>
          <w:sz w:val="18"/>
          <w:szCs w:val="18"/>
        </w:rPr>
      </w:pPr>
      <w:r w:rsidRPr="00D94E51">
        <w:rPr>
          <w:noProof/>
        </w:rPr>
        <w:drawing>
          <wp:inline distT="0" distB="0" distL="0" distR="0" wp14:anchorId="76B98E58" wp14:editId="4796C652">
            <wp:extent cx="5963478" cy="2926080"/>
            <wp:effectExtent l="0" t="0" r="18415" b="762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C2FB6" w:rsidRPr="00D94E51" w:rsidRDefault="007C2FB6" w:rsidP="007C2FB6">
      <w:pPr>
        <w:spacing w:line="240" w:lineRule="auto"/>
        <w:jc w:val="right"/>
        <w:rPr>
          <w:b/>
          <w:bCs/>
          <w:i/>
          <w:sz w:val="16"/>
          <w:szCs w:val="16"/>
        </w:rPr>
      </w:pPr>
      <w:r w:rsidRPr="00D94E51">
        <w:rPr>
          <w:b/>
          <w:bCs/>
          <w:i/>
          <w:sz w:val="16"/>
          <w:szCs w:val="16"/>
        </w:rPr>
        <w:t>Zdroj: ČSÚ 2020, Zdravotnické účty ČR 2010</w:t>
      </w:r>
      <w:r w:rsidRPr="00D94E51">
        <w:rPr>
          <w:b/>
          <w:sz w:val="16"/>
          <w:szCs w:val="16"/>
        </w:rPr>
        <w:t>–</w:t>
      </w:r>
      <w:r w:rsidRPr="00D94E51">
        <w:rPr>
          <w:b/>
          <w:bCs/>
          <w:i/>
          <w:sz w:val="16"/>
          <w:szCs w:val="16"/>
        </w:rPr>
        <w:t>2018</w:t>
      </w:r>
    </w:p>
    <w:p w:rsidR="007C2FB6" w:rsidRPr="00D94E51" w:rsidRDefault="007C2FB6" w:rsidP="007C2FB6">
      <w:pPr>
        <w:spacing w:before="120"/>
        <w:jc w:val="both"/>
      </w:pPr>
      <w:r w:rsidRPr="00D94E51">
        <w:rPr>
          <w:b/>
        </w:rPr>
        <w:t>Procentuálně</w:t>
      </w:r>
      <w:r w:rsidRPr="00D94E51">
        <w:t xml:space="preserve"> mezi roky 2010 a 2018 nejvíce vzrostly výdaje na léčbu následků</w:t>
      </w:r>
      <w:r w:rsidRPr="00D94E51">
        <w:rPr>
          <w:b/>
        </w:rPr>
        <w:t xml:space="preserve"> poranění a otrav</w:t>
      </w:r>
      <w:r w:rsidRPr="00D94E51">
        <w:t xml:space="preserve"> (nárůst o 90 %), </w:t>
      </w:r>
      <w:r w:rsidRPr="00D94E51">
        <w:rPr>
          <w:b/>
        </w:rPr>
        <w:t>nemocí nervové soustavy</w:t>
      </w:r>
      <w:r w:rsidRPr="00D94E51">
        <w:t xml:space="preserve"> (nárůst o 75 %) a </w:t>
      </w:r>
      <w:r w:rsidRPr="00D94E51">
        <w:rPr>
          <w:b/>
        </w:rPr>
        <w:t xml:space="preserve">nemocí svalové a kosterní soustavy a pojivové tkáně </w:t>
      </w:r>
      <w:r w:rsidRPr="00D94E51">
        <w:t xml:space="preserve">(nárůst o 71 %). </w:t>
      </w:r>
    </w:p>
    <w:p w:rsidR="007C2FB6" w:rsidRPr="00D94E51" w:rsidRDefault="007C2FB6" w:rsidP="007C2FB6">
      <w:pPr>
        <w:spacing w:before="120"/>
        <w:jc w:val="both"/>
        <w:rPr>
          <w:rFonts w:eastAsia="Calibri"/>
          <w:i/>
        </w:rPr>
      </w:pPr>
      <w:r w:rsidRPr="00D94E51">
        <w:rPr>
          <w:rFonts w:eastAsia="Calibri"/>
          <w:i/>
        </w:rPr>
        <w:t xml:space="preserve">Podle informací ČSSZ jsou </w:t>
      </w:r>
      <w:r w:rsidRPr="00D94E51">
        <w:rPr>
          <w:rFonts w:eastAsia="Calibri"/>
          <w:b/>
          <w:i/>
        </w:rPr>
        <w:t>nemoci svalové a kosterní soustavy</w:t>
      </w:r>
      <w:r w:rsidRPr="00D94E51">
        <w:rPr>
          <w:rFonts w:eastAsia="Calibri"/>
          <w:i/>
        </w:rPr>
        <w:t xml:space="preserve"> dlouhodobě druhou nejčastější příčinou pracovní neschopnosti (dále jen PN) po onemocněních dýchacích cest. V roce 2018 tvořily pětinu všech případů PN. Tyto nemoci se vyznačují poměrně dlouhou průměrnou dobou trvání jednoho případu PN, která v roce 2018 činila 64 dnů. Na celkovém počtu prostonaných dnů se nemoci svalové a kosterní soustavy podílely 30 %, což je dlouhodobě nejvyšší podíl. Z této skupiny onemocnění se na pracovní neschopnosti nejvíce podílely ze dvou třetin onemocnění zad a páteře. </w:t>
      </w:r>
    </w:p>
    <w:p w:rsidR="007C2FB6" w:rsidRPr="00D94E51" w:rsidRDefault="007C2FB6" w:rsidP="007C2FB6">
      <w:pPr>
        <w:spacing w:before="120"/>
        <w:jc w:val="both"/>
        <w:rPr>
          <w:rFonts w:eastAsia="Calibri"/>
          <w:i/>
        </w:rPr>
      </w:pPr>
      <w:r w:rsidRPr="00D94E51">
        <w:rPr>
          <w:rFonts w:eastAsia="Calibri"/>
          <w:i/>
        </w:rPr>
        <w:t>V roce 2018 pobíralo 421 487 lidí v České republice invalidní důchod různých stupňů). Více než čtvrtina z těchto důchodů (v absolutním čísle 116 170 osob) byla přiznána na základě dlouhotrvajících obtíží pohybového ústrojí. V této skupině převažovaly ženy 53 % oproti mužům 47 %. U žen byla nejvíce zastoupena věková skupina 55</w:t>
      </w:r>
      <w:r w:rsidRPr="00D94E51">
        <w:rPr>
          <w:bCs/>
        </w:rPr>
        <w:t>–</w:t>
      </w:r>
      <w:r w:rsidRPr="00D94E51">
        <w:rPr>
          <w:rFonts w:eastAsia="Calibri"/>
          <w:i/>
        </w:rPr>
        <w:t>59 let a u mužů 60</w:t>
      </w:r>
      <w:r w:rsidRPr="00D94E51">
        <w:rPr>
          <w:bCs/>
        </w:rPr>
        <w:t>–</w:t>
      </w:r>
      <w:r w:rsidRPr="00D94E51">
        <w:rPr>
          <w:rFonts w:eastAsia="Calibri"/>
          <w:i/>
        </w:rPr>
        <w:t>64 let (shodně 30 %).</w:t>
      </w:r>
    </w:p>
    <w:p w:rsidR="007C2FB6" w:rsidRPr="00D94E51" w:rsidRDefault="007C2FB6" w:rsidP="007C2FB6">
      <w:pPr>
        <w:widowControl w:val="0"/>
        <w:spacing w:before="120"/>
        <w:jc w:val="both"/>
        <w:rPr>
          <w:i/>
        </w:rPr>
      </w:pPr>
      <w:r w:rsidRPr="00D94E51">
        <w:rPr>
          <w:rFonts w:eastAsia="Calibri"/>
          <w:b/>
          <w:i/>
        </w:rPr>
        <w:t>Poranění, otravy a jiné následky vnějších příčin</w:t>
      </w:r>
      <w:r w:rsidRPr="00D94E51">
        <w:rPr>
          <w:rFonts w:eastAsia="Calibri"/>
          <w:i/>
        </w:rPr>
        <w:t xml:space="preserve"> byly v roce 2018 mezi důvody pracovní neschopnosti na třetím místě. Poranění, otravy a jiné následky vnějších příčin byly důvodem 11 % prostonaných dnů v PN. Průměrná doba PN u této skupiny činila 52 dní. Nejvíce případů PN z této skupiny příčin způsobily zlomeniny končetin, vymknutí a natažení kloubních vazů.</w:t>
      </w:r>
    </w:p>
    <w:p w:rsidR="007C2FB6" w:rsidRPr="00D94E51" w:rsidRDefault="007C2FB6" w:rsidP="007C2FB6">
      <w:pPr>
        <w:widowControl w:val="0"/>
        <w:spacing w:before="120"/>
        <w:jc w:val="both"/>
      </w:pPr>
      <w:r w:rsidRPr="00D94E51">
        <w:t xml:space="preserve">Ke snížení výdajů pojišťoven na zdravotní péči mezi roky 2010 a 2018 došlo u kapitoly </w:t>
      </w:r>
      <w:r w:rsidRPr="00D94E51">
        <w:rPr>
          <w:b/>
        </w:rPr>
        <w:t xml:space="preserve">stavy vzniklé v perinatálním období </w:t>
      </w:r>
      <w:r w:rsidRPr="00D94E51">
        <w:t xml:space="preserve">o 26 %. V případě diagnóz z kapitoly stavy vzniklé v prenatálním období je poměrně výrazný relativní pokles dán také nízkou absolutní výší výdajů zdravotních pojišťoven na tento druh zdravotní péče. Nevelké absolutní snížení tak způsobí významný procentuální pokles. </w:t>
      </w:r>
    </w:p>
    <w:p w:rsidR="007C2FB6" w:rsidRPr="00D94E51" w:rsidRDefault="007C2FB6" w:rsidP="007C2FB6">
      <w:pPr>
        <w:spacing w:before="240" w:after="120"/>
        <w:jc w:val="both"/>
        <w:rPr>
          <w:rFonts w:eastAsia="MS Gothic"/>
          <w:b/>
          <w:i/>
        </w:rPr>
      </w:pPr>
      <w:r w:rsidRPr="00D94E51">
        <w:rPr>
          <w:rFonts w:eastAsia="MS Gothic"/>
          <w:b/>
          <w:i/>
        </w:rPr>
        <w:t>U dětí jde nejvíce peněz na léčbu nemocí dýchacích cest a stavů vzniklých v perinatálním období</w:t>
      </w:r>
    </w:p>
    <w:p w:rsidR="007C2FB6" w:rsidRPr="00D94E51" w:rsidRDefault="007C2FB6" w:rsidP="007C2FB6">
      <w:pPr>
        <w:widowControl w:val="0"/>
        <w:jc w:val="both"/>
        <w:rPr>
          <w:rFonts w:eastAsia="Calibri"/>
          <w:i/>
        </w:rPr>
      </w:pPr>
      <w:r w:rsidRPr="00D94E51">
        <w:t>Následující graf č. 2.9 přináší přehled nejnákladnějších kapitol diagnóz z roku 2018 ve třech základních věkových skupinách.</w:t>
      </w:r>
      <w:r w:rsidRPr="00D94E51">
        <w:rPr>
          <w:rFonts w:cs="Arial"/>
          <w:szCs w:val="20"/>
          <w:vertAlign w:val="superscript"/>
        </w:rPr>
        <w:footnoteReference w:id="1"/>
      </w:r>
      <w:r w:rsidRPr="00D94E51">
        <w:t xml:space="preserve">  Ve věkových skupinách </w:t>
      </w:r>
      <w:r w:rsidRPr="00D94E51">
        <w:rPr>
          <w:b/>
        </w:rPr>
        <w:t>15</w:t>
      </w:r>
      <w:r w:rsidRPr="00D94E51">
        <w:rPr>
          <w:b/>
          <w:bCs/>
        </w:rPr>
        <w:t>–</w:t>
      </w:r>
      <w:r w:rsidRPr="00D94E51">
        <w:rPr>
          <w:b/>
        </w:rPr>
        <w:t xml:space="preserve">64 let </w:t>
      </w:r>
      <w:r w:rsidRPr="00D94E51">
        <w:t xml:space="preserve">a </w:t>
      </w:r>
      <w:r w:rsidRPr="00D94E51">
        <w:rPr>
          <w:b/>
        </w:rPr>
        <w:t>65 a více let</w:t>
      </w:r>
      <w:r w:rsidRPr="00D94E51">
        <w:t xml:space="preserve"> je výčet nejnákladovějších skupin diagnóz téměř totožný a mění se mírně pouze jejich pořadí. Nejmarkantnější </w:t>
      </w:r>
      <w:r w:rsidRPr="00D94E51">
        <w:rPr>
          <w:b/>
        </w:rPr>
        <w:t>rozdíl</w:t>
      </w:r>
      <w:r w:rsidRPr="00D94E51">
        <w:t xml:space="preserve"> podle věku je ve </w:t>
      </w:r>
      <w:r w:rsidRPr="00D94E51">
        <w:lastRenderedPageBreak/>
        <w:t xml:space="preserve">výdajích zdravotních pojišťoven </w:t>
      </w:r>
      <w:r w:rsidRPr="00D94E51">
        <w:rPr>
          <w:b/>
        </w:rPr>
        <w:t>na léčení nemocí kardiovaskulárního systému</w:t>
      </w:r>
      <w:r w:rsidRPr="00D94E51">
        <w:t>. Ve věkové skupině 65+ tvoří více než pětinu výdajů zdravotních pojišťoven na zdravotní péči, zatímco ve skupině 15</w:t>
      </w:r>
      <w:r w:rsidRPr="00D94E51">
        <w:rPr>
          <w:bCs/>
        </w:rPr>
        <w:t>–</w:t>
      </w:r>
      <w:r w:rsidRPr="00D94E51">
        <w:t xml:space="preserve">64 let se jedná o necelou desetinu. </w:t>
      </w:r>
      <w:r w:rsidRPr="00D94E51">
        <w:rPr>
          <w:rFonts w:eastAsia="Calibri"/>
          <w:i/>
        </w:rPr>
        <w:t xml:space="preserve">Z hlediska struktury příčin nemocnosti jsou stále nemoci oběhové soustavy nejčastějším důvodem pro hospitalizaci a také </w:t>
      </w:r>
      <w:r w:rsidRPr="00D94E51">
        <w:rPr>
          <w:i/>
        </w:rPr>
        <w:t xml:space="preserve">nejčastější příčinou úmrtí. Podle demografické statistiky ČR umírá polovina seniorů starších 65 let na nemoci oběhové soustavy (zejména na infarkt myokardu a cévní onemocnění), ve středním věku jsou nejčastějšími příčinami úmrtí zhoubné novotvary. </w:t>
      </w:r>
    </w:p>
    <w:p w:rsidR="007C2FB6" w:rsidRPr="00D94E51" w:rsidRDefault="007C2FB6" w:rsidP="007C2FB6">
      <w:pPr>
        <w:spacing w:before="120"/>
        <w:jc w:val="both"/>
      </w:pPr>
      <w:r w:rsidRPr="00D94E51">
        <w:rPr>
          <w:b/>
        </w:rPr>
        <w:t>U dětí do 14 let</w:t>
      </w:r>
      <w:r w:rsidRPr="00D94E51">
        <w:t xml:space="preserve"> je výčet finančně nejnáročnějších diagnóz z hlediska výdajů zdravotních pojišťoven odlišný. Jedná se zejména o nemoci </w:t>
      </w:r>
      <w:r w:rsidRPr="00D94E51">
        <w:rPr>
          <w:b/>
        </w:rPr>
        <w:t xml:space="preserve">dýchací soustavy </w:t>
      </w:r>
      <w:r w:rsidRPr="00D94E51">
        <w:t>a</w:t>
      </w:r>
      <w:r w:rsidRPr="00D94E51">
        <w:rPr>
          <w:b/>
        </w:rPr>
        <w:t xml:space="preserve"> stavy vzniklé v perinatálním období </w:t>
      </w:r>
      <w:r w:rsidRPr="00D94E51">
        <w:t>(shodně pokrývají desetinu výdajů), což je pravděpodobně ovlivněno nárůstem počtu předčasně narozených dětí s nízkou či velmi nízkou porodní hmotností.</w:t>
      </w:r>
    </w:p>
    <w:p w:rsidR="007C2FB6" w:rsidRPr="00D94E51" w:rsidRDefault="007C2FB6" w:rsidP="007C2FB6">
      <w:pPr>
        <w:spacing w:before="240" w:after="120" w:line="240" w:lineRule="auto"/>
        <w:rPr>
          <w:b/>
          <w:bCs/>
          <w:spacing w:val="-6"/>
          <w:sz w:val="18"/>
          <w:szCs w:val="18"/>
        </w:rPr>
      </w:pPr>
      <w:r w:rsidRPr="00D94E51">
        <w:rPr>
          <w:b/>
          <w:bCs/>
          <w:spacing w:val="-6"/>
          <w:sz w:val="18"/>
          <w:szCs w:val="18"/>
        </w:rPr>
        <w:t xml:space="preserve">Graf č. 2.9. Struktura výdajů zdravotních pojišťoven v Česku podle věkových skupin a diagnóz MKN-10, 2018 (%) </w:t>
      </w:r>
    </w:p>
    <w:p w:rsidR="007C2FB6" w:rsidRPr="00D94E51" w:rsidRDefault="007C2FB6" w:rsidP="007C2FB6">
      <w:pPr>
        <w:spacing w:before="240"/>
        <w:rPr>
          <w:b/>
          <w:bCs/>
          <w:spacing w:val="-6"/>
          <w:sz w:val="18"/>
          <w:szCs w:val="18"/>
        </w:rPr>
      </w:pPr>
      <w:r w:rsidRPr="00D94E51">
        <w:rPr>
          <w:noProof/>
        </w:rPr>
        <w:drawing>
          <wp:inline distT="0" distB="0" distL="0" distR="0" wp14:anchorId="7E431778" wp14:editId="6EE85512">
            <wp:extent cx="6066693" cy="2497015"/>
            <wp:effectExtent l="0" t="0" r="10795" b="1778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C2FB6" w:rsidRPr="00D94E51" w:rsidRDefault="007C2FB6" w:rsidP="007C2FB6">
      <w:pPr>
        <w:spacing w:before="120" w:after="120"/>
        <w:jc w:val="both"/>
        <w:rPr>
          <w:b/>
          <w:bCs/>
          <w:i/>
          <w:sz w:val="12"/>
          <w:szCs w:val="16"/>
        </w:rPr>
      </w:pPr>
      <w:r w:rsidRPr="00D94E51">
        <w:rPr>
          <w:sz w:val="16"/>
        </w:rPr>
        <w:t>Poznámka: výdaje zdravotních pojišťoven na zdravotní péči v ČR podle diagnóz MKN-10 uvedené v tomto grafu neobsahují výdaje, které není možné rozčlenit na konkrétní diagnózy. Jedná se například o kapitační platby registrujícím lékařům, návštěvní službu v rámci domácí péče, léky na recept, různé bonusy a příspěvky a také náklady pojišťoven na správu a provoz vlastních organizací</w:t>
      </w:r>
    </w:p>
    <w:p w:rsidR="007C2FB6" w:rsidRPr="00D94E51" w:rsidRDefault="007C2FB6" w:rsidP="007C2FB6">
      <w:pPr>
        <w:keepNext/>
        <w:spacing w:before="120" w:line="240" w:lineRule="auto"/>
        <w:jc w:val="right"/>
        <w:rPr>
          <w:b/>
          <w:bCs/>
          <w:i/>
          <w:sz w:val="16"/>
          <w:szCs w:val="16"/>
        </w:rPr>
      </w:pPr>
      <w:r w:rsidRPr="00D94E51">
        <w:rPr>
          <w:b/>
          <w:bCs/>
          <w:i/>
          <w:sz w:val="16"/>
          <w:szCs w:val="16"/>
        </w:rPr>
        <w:t>Zdroj: ČSÚ 2020, Zdravotnické účty ČR 2010</w:t>
      </w:r>
      <w:r w:rsidRPr="00D94E51">
        <w:rPr>
          <w:b/>
          <w:sz w:val="16"/>
          <w:szCs w:val="16"/>
        </w:rPr>
        <w:t>–</w:t>
      </w:r>
      <w:r w:rsidRPr="00D94E51">
        <w:rPr>
          <w:b/>
          <w:bCs/>
          <w:i/>
          <w:sz w:val="16"/>
          <w:szCs w:val="16"/>
        </w:rPr>
        <w:t>2018</w:t>
      </w:r>
    </w:p>
    <w:p w:rsidR="007C2FB6" w:rsidRPr="00D94E51" w:rsidRDefault="007C2FB6" w:rsidP="007C2FB6">
      <w:pPr>
        <w:spacing w:before="120" w:line="240" w:lineRule="auto"/>
        <w:rPr>
          <w:rFonts w:eastAsia="MS Gothic"/>
          <w:b/>
          <w:i/>
        </w:rPr>
      </w:pPr>
      <w:r w:rsidRPr="00D94E51">
        <w:rPr>
          <w:rFonts w:eastAsia="MS Gothic"/>
          <w:b/>
          <w:i/>
        </w:rPr>
        <w:t xml:space="preserve">Výdaje na léčení nemocí oběhové soustavy jsou u mužů téměř o třetinu vyšší než u žen </w:t>
      </w:r>
    </w:p>
    <w:p w:rsidR="007C2FB6" w:rsidRPr="00D94E51" w:rsidRDefault="007C2FB6" w:rsidP="007C2FB6">
      <w:pPr>
        <w:spacing w:before="120"/>
        <w:jc w:val="both"/>
        <w:rPr>
          <w:szCs w:val="20"/>
        </w:rPr>
      </w:pPr>
      <w:r w:rsidRPr="00D94E51">
        <w:rPr>
          <w:szCs w:val="20"/>
        </w:rPr>
        <w:t>Následující graf podává přehled o průměrných výdajích zdravotních pojišťoven podle diagnóz přepočtených na jednoho pojištěnce daného pohlaví. Je zde patrná převaha výdajů na zdravotní péči o</w:t>
      </w:r>
      <w:r w:rsidRPr="00D94E51">
        <w:rPr>
          <w:b/>
          <w:szCs w:val="20"/>
        </w:rPr>
        <w:t xml:space="preserve"> ženy</w:t>
      </w:r>
      <w:r w:rsidRPr="00D94E51">
        <w:rPr>
          <w:szCs w:val="20"/>
        </w:rPr>
        <w:t xml:space="preserve"> u nemocí svalové a kosterní soustavy, které se nejčastěji objevují ve vyšším věku, kdy ženy početně muže převyšují, ale také u diagnóz ze skupiny faktory ovlivňující zdravotní stav (častěji své děti v nemocnici doprovází ženy).  Také u nemocí močové a pohlavní soustavy a nemocí nervové soustavy jsou průměrné výdaje pojišťoven vyšší u žen než u mužů. </w:t>
      </w:r>
    </w:p>
    <w:p w:rsidR="007C2FB6" w:rsidRPr="00D94E51" w:rsidRDefault="007C2FB6" w:rsidP="007C2FB6">
      <w:pPr>
        <w:spacing w:before="120"/>
        <w:jc w:val="both"/>
        <w:rPr>
          <w:szCs w:val="20"/>
        </w:rPr>
      </w:pPr>
      <w:r w:rsidRPr="00D94E51">
        <w:rPr>
          <w:szCs w:val="20"/>
        </w:rPr>
        <w:t>Naopak poměrně vysoké výdaje zdravotních pojišťoven na zdravotní péči o </w:t>
      </w:r>
      <w:r w:rsidRPr="00D94E51">
        <w:rPr>
          <w:b/>
          <w:szCs w:val="20"/>
        </w:rPr>
        <w:t xml:space="preserve">muže </w:t>
      </w:r>
      <w:r w:rsidRPr="00D94E51">
        <w:rPr>
          <w:szCs w:val="20"/>
        </w:rPr>
        <w:t>jsou zaznamenány u onemocnění oběhové soustavy. Mírně převažují i novotvary a nemoci dýchací soustavy. S vyrovnanými výdaji se setkáváme u onemocnění trávicího systému, duševních poruch a v kategorii poranění a otrav. I v těchto případech odrážejí průměrné náklady jak četnost onemocnění, která může být pro muže a ženy různá, tak i nákladnost léčby. Při tom v jedné skupině diagnóz často najdeme diagnózy typické jak pro muže, tak pro ženy, které se svou frekvencí i nákladností léčby mohou velmi lišit.</w:t>
      </w:r>
    </w:p>
    <w:p w:rsidR="007C2FB6" w:rsidRPr="00D94E51" w:rsidRDefault="007C2FB6" w:rsidP="007C2FB6">
      <w:pPr>
        <w:spacing w:before="240" w:after="120" w:line="240" w:lineRule="auto"/>
        <w:jc w:val="both"/>
        <w:rPr>
          <w:b/>
          <w:bCs/>
          <w:sz w:val="18"/>
          <w:szCs w:val="18"/>
        </w:rPr>
      </w:pPr>
    </w:p>
    <w:p w:rsidR="007C2FB6" w:rsidRPr="00D94E51" w:rsidRDefault="007C2FB6" w:rsidP="007C2FB6">
      <w:pPr>
        <w:spacing w:before="240" w:after="120" w:line="240" w:lineRule="auto"/>
        <w:jc w:val="both"/>
        <w:rPr>
          <w:b/>
          <w:bCs/>
          <w:sz w:val="18"/>
          <w:szCs w:val="18"/>
        </w:rPr>
      </w:pPr>
    </w:p>
    <w:p w:rsidR="007C2FB6" w:rsidRPr="00D94E51" w:rsidRDefault="007C2FB6" w:rsidP="007C2FB6">
      <w:pPr>
        <w:spacing w:before="240" w:after="120" w:line="240" w:lineRule="auto"/>
        <w:jc w:val="both"/>
        <w:rPr>
          <w:b/>
          <w:bCs/>
          <w:sz w:val="18"/>
          <w:szCs w:val="18"/>
        </w:rPr>
      </w:pPr>
    </w:p>
    <w:p w:rsidR="007C2FB6" w:rsidRPr="00D94E51" w:rsidRDefault="007C2FB6" w:rsidP="007C2FB6">
      <w:pPr>
        <w:spacing w:before="240" w:after="120" w:line="240" w:lineRule="auto"/>
        <w:jc w:val="both"/>
        <w:rPr>
          <w:b/>
          <w:bCs/>
          <w:sz w:val="18"/>
          <w:szCs w:val="18"/>
        </w:rPr>
      </w:pPr>
      <w:r w:rsidRPr="00D94E51">
        <w:rPr>
          <w:b/>
          <w:bCs/>
          <w:sz w:val="18"/>
          <w:szCs w:val="18"/>
        </w:rPr>
        <w:lastRenderedPageBreak/>
        <w:t xml:space="preserve">Graf č. 2.10. Výdaje zdravotních pojišťoven v Česku na 1 pojištěnce podle pohlaví a diagnóz MKN-10, 2018 (Kč) </w:t>
      </w:r>
    </w:p>
    <w:p w:rsidR="007C2FB6" w:rsidRPr="00D94E51" w:rsidRDefault="007C2FB6" w:rsidP="007C2FB6">
      <w:pPr>
        <w:spacing w:line="240" w:lineRule="auto"/>
        <w:jc w:val="right"/>
        <w:rPr>
          <w:noProof/>
        </w:rPr>
      </w:pPr>
      <w:r w:rsidRPr="00D94E51">
        <w:rPr>
          <w:i/>
          <w:noProof/>
        </w:rPr>
        <w:drawing>
          <wp:inline distT="0" distB="0" distL="0" distR="0" wp14:anchorId="621484C1" wp14:editId="4835CBA3">
            <wp:extent cx="6082747" cy="3124862"/>
            <wp:effectExtent l="0" t="0" r="13335" b="18415"/>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C2FB6" w:rsidRPr="00D94E51" w:rsidRDefault="007C2FB6" w:rsidP="007C2FB6">
      <w:pPr>
        <w:keepNext/>
        <w:spacing w:before="120" w:line="240" w:lineRule="auto"/>
        <w:jc w:val="right"/>
        <w:rPr>
          <w:b/>
          <w:bCs/>
          <w:i/>
          <w:sz w:val="16"/>
          <w:szCs w:val="16"/>
        </w:rPr>
      </w:pPr>
      <w:r w:rsidRPr="00D94E51">
        <w:rPr>
          <w:b/>
          <w:bCs/>
          <w:i/>
          <w:sz w:val="16"/>
          <w:szCs w:val="16"/>
        </w:rPr>
        <w:t xml:space="preserve">         Zdroj: ČSÚ 2020, Zdravotnické účty ČR 2010</w:t>
      </w:r>
      <w:r w:rsidRPr="00D94E51">
        <w:rPr>
          <w:b/>
          <w:sz w:val="16"/>
          <w:szCs w:val="16"/>
        </w:rPr>
        <w:t>–</w:t>
      </w:r>
      <w:r w:rsidRPr="00D94E51">
        <w:rPr>
          <w:b/>
          <w:bCs/>
          <w:i/>
          <w:sz w:val="16"/>
          <w:szCs w:val="16"/>
        </w:rPr>
        <w:t>2018</w:t>
      </w:r>
      <w:r w:rsidRPr="00D94E51">
        <w:rPr>
          <w:noProof/>
        </w:rPr>
        <w:tab/>
      </w:r>
    </w:p>
    <w:p w:rsidR="007C2FB6" w:rsidRPr="00D94E51" w:rsidRDefault="007C2FB6" w:rsidP="007C2FB6">
      <w:pPr>
        <w:keepNext/>
        <w:keepLines/>
        <w:spacing w:before="240" w:after="120"/>
        <w:outlineLvl w:val="2"/>
        <w:rPr>
          <w:rFonts w:eastAsia="MS Gothic"/>
          <w:b/>
          <w:bCs/>
          <w:color w:val="BC091B"/>
          <w:sz w:val="24"/>
        </w:rPr>
      </w:pPr>
      <w:r w:rsidRPr="00D94E51">
        <w:rPr>
          <w:rFonts w:eastAsia="MS Gothic"/>
          <w:b/>
          <w:bCs/>
          <w:color w:val="BC091B"/>
          <w:sz w:val="24"/>
        </w:rPr>
        <w:t>2.</w:t>
      </w:r>
      <w:r w:rsidRPr="00D94E51" w:rsidDel="004950DF">
        <w:rPr>
          <w:rFonts w:eastAsia="MS Gothic"/>
          <w:b/>
          <w:bCs/>
          <w:color w:val="BC091B"/>
          <w:sz w:val="24"/>
        </w:rPr>
        <w:t xml:space="preserve"> </w:t>
      </w:r>
      <w:r w:rsidRPr="00D94E51">
        <w:rPr>
          <w:rFonts w:eastAsia="MS Gothic"/>
          <w:b/>
          <w:bCs/>
          <w:color w:val="BC091B"/>
          <w:sz w:val="24"/>
        </w:rPr>
        <w:t>4. Výdaje zdravotních pojišťoven podle věku a pohlaví</w:t>
      </w:r>
    </w:p>
    <w:p w:rsidR="007C2FB6" w:rsidRPr="00D94E51" w:rsidRDefault="007C2FB6" w:rsidP="007C2FB6">
      <w:pPr>
        <w:widowControl w:val="0"/>
        <w:spacing w:before="120"/>
        <w:jc w:val="both"/>
      </w:pPr>
      <w:r w:rsidRPr="00D94E51">
        <w:t>Následující část je zaměřena na výdaje pojišťoven na zdravotní péči členěné</w:t>
      </w:r>
      <w:r w:rsidRPr="00D94E51">
        <w:rPr>
          <w:b/>
        </w:rPr>
        <w:t xml:space="preserve"> podle věku </w:t>
      </w:r>
      <w:r w:rsidRPr="00D94E51">
        <w:t>a</w:t>
      </w:r>
      <w:r w:rsidRPr="00D94E51">
        <w:rPr>
          <w:b/>
        </w:rPr>
        <w:t xml:space="preserve"> pohlaví pojištěnců</w:t>
      </w:r>
      <w:r w:rsidRPr="00D94E51">
        <w:t xml:space="preserve">, na které byla tato péče vykázána. </w:t>
      </w:r>
      <w:r w:rsidRPr="00D94E51">
        <w:rPr>
          <w:i/>
        </w:rPr>
        <w:t>Každá věková skupina má odlišný počet pojištěnců, který přímo úměrně ovlivňuje výši celkových vynaložených výdajů. Při vyčíslení výdajů na jednoho pojištěnce se ukazuje jako potřebné vzít v úvahu i věk pojištěnce, protože v různém věku se stejná nemoc může projevovat různě, mít odlišnou délku léčení, specifické komplikace, odlišný průběh a tudíž rozdílné náklady</w:t>
      </w:r>
      <w:r w:rsidRPr="00D94E51">
        <w:t>.</w:t>
      </w:r>
    </w:p>
    <w:p w:rsidR="007C2FB6" w:rsidRPr="00D94E51" w:rsidRDefault="007C2FB6" w:rsidP="007C2FB6">
      <w:pPr>
        <w:widowControl w:val="0"/>
        <w:spacing w:before="120"/>
        <w:jc w:val="both"/>
        <w:rPr>
          <w:b/>
          <w:sz w:val="18"/>
          <w:szCs w:val="18"/>
        </w:rPr>
      </w:pPr>
      <w:r w:rsidRPr="00D94E51">
        <w:rPr>
          <w:b/>
          <w:sz w:val="18"/>
          <w:szCs w:val="18"/>
        </w:rPr>
        <w:t>Graf č. 2.11. Výdaje zdravotních pojišťoven v Česku podle věku a pohlaví, 2018 (mil. Kč)</w:t>
      </w:r>
    </w:p>
    <w:p w:rsidR="007C2FB6" w:rsidRPr="00D94E51" w:rsidRDefault="007C2FB6" w:rsidP="007C2FB6">
      <w:pPr>
        <w:widowControl w:val="0"/>
        <w:spacing w:before="120"/>
        <w:jc w:val="both"/>
      </w:pPr>
      <w:r w:rsidRPr="00D94E51">
        <w:rPr>
          <w:noProof/>
        </w:rPr>
        <w:drawing>
          <wp:inline distT="0" distB="0" distL="0" distR="0" wp14:anchorId="52D1F8CA" wp14:editId="5C424FA6">
            <wp:extent cx="6162261" cy="2663687"/>
            <wp:effectExtent l="0" t="0" r="10160" b="22860"/>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C2FB6" w:rsidRPr="00D94E51" w:rsidRDefault="007C2FB6" w:rsidP="007C2FB6">
      <w:pPr>
        <w:tabs>
          <w:tab w:val="left" w:pos="480"/>
          <w:tab w:val="right" w:pos="9638"/>
        </w:tabs>
        <w:spacing w:before="120" w:after="120"/>
        <w:jc w:val="right"/>
        <w:rPr>
          <w:b/>
          <w:bCs/>
          <w:sz w:val="18"/>
          <w:szCs w:val="18"/>
        </w:rPr>
      </w:pPr>
      <w:r w:rsidRPr="00D94E51">
        <w:rPr>
          <w:b/>
          <w:i/>
          <w:sz w:val="16"/>
          <w:szCs w:val="16"/>
        </w:rPr>
        <w:t xml:space="preserve">Zdroj: ČSÚ 2020, Zdravotnické účty ČR </w:t>
      </w:r>
      <w:r w:rsidRPr="00D94E51">
        <w:rPr>
          <w:b/>
          <w:bCs/>
          <w:i/>
          <w:sz w:val="16"/>
          <w:szCs w:val="16"/>
        </w:rPr>
        <w:t>2010</w:t>
      </w:r>
      <w:r w:rsidRPr="00D94E51">
        <w:rPr>
          <w:b/>
          <w:sz w:val="16"/>
          <w:szCs w:val="16"/>
        </w:rPr>
        <w:t>–</w:t>
      </w:r>
      <w:r w:rsidRPr="00D94E51">
        <w:rPr>
          <w:b/>
          <w:bCs/>
          <w:i/>
          <w:sz w:val="16"/>
          <w:szCs w:val="16"/>
        </w:rPr>
        <w:t>2018</w:t>
      </w:r>
    </w:p>
    <w:p w:rsidR="00BB1E19" w:rsidRDefault="00BB1E19" w:rsidP="007C2FB6">
      <w:pPr>
        <w:widowControl w:val="0"/>
        <w:spacing w:before="240" w:after="120"/>
        <w:rPr>
          <w:rFonts w:eastAsia="MS Gothic"/>
          <w:b/>
          <w:i/>
          <w:color w:val="000000" w:themeColor="text1"/>
        </w:rPr>
      </w:pPr>
    </w:p>
    <w:p w:rsidR="00BB1E19" w:rsidRDefault="00BB1E19" w:rsidP="007C2FB6">
      <w:pPr>
        <w:widowControl w:val="0"/>
        <w:spacing w:before="240" w:after="120"/>
        <w:rPr>
          <w:rFonts w:eastAsia="MS Gothic"/>
          <w:b/>
          <w:i/>
          <w:color w:val="000000" w:themeColor="text1"/>
        </w:rPr>
      </w:pPr>
    </w:p>
    <w:p w:rsidR="00BB1E19" w:rsidRDefault="00BB1E19" w:rsidP="007C2FB6">
      <w:pPr>
        <w:widowControl w:val="0"/>
        <w:spacing w:before="240" w:after="120"/>
        <w:rPr>
          <w:rFonts w:eastAsia="MS Gothic"/>
          <w:b/>
          <w:i/>
          <w:color w:val="000000" w:themeColor="text1"/>
        </w:rPr>
      </w:pPr>
    </w:p>
    <w:p w:rsidR="007C2FB6" w:rsidRPr="00D94E51" w:rsidRDefault="007C2FB6" w:rsidP="007C2FB6">
      <w:pPr>
        <w:widowControl w:val="0"/>
        <w:spacing w:before="240" w:after="120"/>
        <w:rPr>
          <w:rFonts w:eastAsia="MS Gothic"/>
          <w:b/>
          <w:i/>
          <w:color w:val="000000" w:themeColor="text1"/>
        </w:rPr>
      </w:pPr>
      <w:r w:rsidRPr="00D94E51">
        <w:rPr>
          <w:rFonts w:eastAsia="MS Gothic"/>
          <w:b/>
          <w:i/>
          <w:color w:val="000000" w:themeColor="text1"/>
        </w:rPr>
        <w:lastRenderedPageBreak/>
        <w:t>Zdravotní pojišťovny vydaly nejvíce peněz na péči o muže ve věku 60-69 let</w:t>
      </w:r>
    </w:p>
    <w:p w:rsidR="007C2FB6" w:rsidRPr="00D94E51" w:rsidRDefault="007C2FB6" w:rsidP="007C2FB6">
      <w:pPr>
        <w:spacing w:before="120"/>
        <w:jc w:val="both"/>
      </w:pPr>
      <w:r w:rsidRPr="00D94E51">
        <w:t>Z celkových výdajů zdravotních pojišťoven na zdravotní péči 283,9 mld. Kč připadlo zhruba 52 % na péči o</w:t>
      </w:r>
      <w:r w:rsidRPr="00D94E51">
        <w:rPr>
          <w:b/>
        </w:rPr>
        <w:t xml:space="preserve"> ženy</w:t>
      </w:r>
      <w:r w:rsidRPr="00D94E51">
        <w:t xml:space="preserve"> a 48 % na péči o</w:t>
      </w:r>
      <w:r w:rsidRPr="00D94E51">
        <w:rPr>
          <w:b/>
        </w:rPr>
        <w:t> muže</w:t>
      </w:r>
      <w:r w:rsidRPr="00D94E51">
        <w:t xml:space="preserve">. Vyšší výdaje na zdravotní péči o muže byly zaznamenány v roce 2018 v nejmladší věkové skupině </w:t>
      </w:r>
      <w:r w:rsidRPr="00D94E51">
        <w:rPr>
          <w:b/>
        </w:rPr>
        <w:t>0</w:t>
      </w:r>
      <w:r w:rsidRPr="00D94E51">
        <w:rPr>
          <w:b/>
          <w:bCs/>
        </w:rPr>
        <w:t>–9 let a 60–69 let</w:t>
      </w:r>
      <w:r w:rsidRPr="00D94E51">
        <w:rPr>
          <w:b/>
        </w:rPr>
        <w:t xml:space="preserve">. </w:t>
      </w:r>
      <w:r w:rsidRPr="00D94E51">
        <w:t xml:space="preserve">V ostatních věkových skupinách byly výraznější výdaje na zdravotní péči o ženy. Absolutně nejvyšší částka objevuje u mužů ve věkové skupině </w:t>
      </w:r>
      <w:r w:rsidRPr="00D94E51">
        <w:rPr>
          <w:b/>
        </w:rPr>
        <w:t>60</w:t>
      </w:r>
      <w:r w:rsidRPr="00D94E51">
        <w:rPr>
          <w:b/>
          <w:bCs/>
        </w:rPr>
        <w:t>–</w:t>
      </w:r>
      <w:r w:rsidRPr="00D94E51">
        <w:rPr>
          <w:b/>
        </w:rPr>
        <w:t>69 let</w:t>
      </w:r>
      <w:r w:rsidRPr="00D94E51">
        <w:t xml:space="preserve"> (32,3 mld. Kč) a u žen ve věkové skupině </w:t>
      </w:r>
      <w:r w:rsidRPr="00D94E51">
        <w:rPr>
          <w:b/>
        </w:rPr>
        <w:t>70</w:t>
      </w:r>
      <w:r w:rsidRPr="00D94E51">
        <w:rPr>
          <w:b/>
          <w:bCs/>
        </w:rPr>
        <w:t>–</w:t>
      </w:r>
      <w:r w:rsidRPr="00D94E51">
        <w:rPr>
          <w:b/>
        </w:rPr>
        <w:t>79 let</w:t>
      </w:r>
      <w:r w:rsidRPr="00D94E51">
        <w:t xml:space="preserve"> (29,8 mld. Kč).</w:t>
      </w:r>
    </w:p>
    <w:p w:rsidR="007C2FB6" w:rsidRPr="00D94E51" w:rsidRDefault="007C2FB6" w:rsidP="007C2FB6">
      <w:pPr>
        <w:spacing w:before="240"/>
        <w:rPr>
          <w:rFonts w:eastAsia="MS Gothic"/>
          <w:b/>
          <w:i/>
        </w:rPr>
      </w:pPr>
      <w:r w:rsidRPr="00D94E51">
        <w:rPr>
          <w:rFonts w:eastAsia="MS Gothic"/>
          <w:b/>
          <w:i/>
        </w:rPr>
        <w:t>Výdaje na léčení žen jsou v průměru o 6 % vyšší než na léčení mužů</w:t>
      </w:r>
    </w:p>
    <w:p w:rsidR="007C2FB6" w:rsidRPr="00D94E51" w:rsidRDefault="007C2FB6" w:rsidP="007C2FB6">
      <w:pPr>
        <w:keepNext/>
        <w:spacing w:before="120" w:after="120"/>
        <w:jc w:val="both"/>
        <w:rPr>
          <w:bCs/>
          <w:szCs w:val="17"/>
        </w:rPr>
      </w:pPr>
      <w:r w:rsidRPr="00D94E51">
        <w:t xml:space="preserve">Vývoj průměrných ročních výdajů zdravotních pojišťoven na zdravotní péči </w:t>
      </w:r>
      <w:r w:rsidRPr="00D94E51">
        <w:rPr>
          <w:b/>
        </w:rPr>
        <w:t>na jednoho pojištěnce podle věku a pohlaví</w:t>
      </w:r>
      <w:r w:rsidRPr="00D94E51">
        <w:rPr>
          <w:bCs/>
          <w:szCs w:val="17"/>
          <w:vertAlign w:val="superscript"/>
        </w:rPr>
        <w:footnoteReference w:id="2"/>
      </w:r>
      <w:r w:rsidRPr="00D94E51">
        <w:t xml:space="preserve"> v roce 2018 zachycuje následující graf č. 2.12. </w:t>
      </w:r>
      <w:r w:rsidRPr="00D94E51">
        <w:rPr>
          <w:bCs/>
          <w:szCs w:val="17"/>
        </w:rPr>
        <w:t>Obecně lze říci, že výdaje na zdravotní péči rostou spolu s věkem a v jednotlivých věkových skupinách se jejich výše liší i v závislosti na pohlaví.</w:t>
      </w:r>
    </w:p>
    <w:p w:rsidR="007C2FB6" w:rsidRPr="00D94E51" w:rsidRDefault="007C2FB6" w:rsidP="007C2FB6">
      <w:pPr>
        <w:spacing w:line="240" w:lineRule="auto"/>
        <w:jc w:val="both"/>
        <w:rPr>
          <w:rFonts w:cs="Arial"/>
          <w:b/>
          <w:bCs/>
          <w:color w:val="000000"/>
          <w:sz w:val="18"/>
          <w:szCs w:val="18"/>
        </w:rPr>
      </w:pPr>
      <w:r w:rsidRPr="00D94E51">
        <w:rPr>
          <w:rFonts w:cs="Arial"/>
          <w:b/>
          <w:bCs/>
          <w:color w:val="000000"/>
          <w:sz w:val="18"/>
          <w:szCs w:val="18"/>
        </w:rPr>
        <w:t>Graf č. 2.12. Výdaje zdravotních pojišťoven za 1 pojištěnce podle věku a pohlaví, 2018 (v Kč)</w:t>
      </w:r>
    </w:p>
    <w:p w:rsidR="007C2FB6" w:rsidRPr="00D94E51" w:rsidRDefault="007C2FB6" w:rsidP="007C2FB6">
      <w:pPr>
        <w:keepNext/>
        <w:spacing w:before="120"/>
        <w:jc w:val="both"/>
      </w:pPr>
      <w:r w:rsidRPr="00D94E51">
        <w:rPr>
          <w:noProof/>
        </w:rPr>
        <w:drawing>
          <wp:inline distT="0" distB="0" distL="0" distR="0" wp14:anchorId="76F66D37" wp14:editId="66C8D5FB">
            <wp:extent cx="6074796" cy="2743200"/>
            <wp:effectExtent l="0" t="0" r="21590" b="19050"/>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C2FB6" w:rsidRPr="00D94E51" w:rsidRDefault="007C2FB6" w:rsidP="007C2FB6">
      <w:pPr>
        <w:tabs>
          <w:tab w:val="left" w:pos="480"/>
          <w:tab w:val="right" w:pos="9638"/>
        </w:tabs>
        <w:spacing w:before="120" w:after="120"/>
        <w:jc w:val="right"/>
        <w:rPr>
          <w:b/>
          <w:bCs/>
          <w:sz w:val="18"/>
          <w:szCs w:val="18"/>
        </w:rPr>
      </w:pPr>
      <w:r w:rsidRPr="00D94E51">
        <w:rPr>
          <w:b/>
          <w:i/>
          <w:sz w:val="16"/>
          <w:szCs w:val="16"/>
        </w:rPr>
        <w:t xml:space="preserve">Zdroj: ČSÚ 2020, Zdravotnické účty ČR </w:t>
      </w:r>
      <w:r w:rsidRPr="00D94E51">
        <w:rPr>
          <w:b/>
          <w:bCs/>
          <w:i/>
          <w:sz w:val="16"/>
          <w:szCs w:val="16"/>
        </w:rPr>
        <w:t>2010</w:t>
      </w:r>
      <w:r w:rsidRPr="00D94E51">
        <w:rPr>
          <w:b/>
          <w:sz w:val="16"/>
          <w:szCs w:val="16"/>
        </w:rPr>
        <w:t>–</w:t>
      </w:r>
      <w:r w:rsidRPr="00D94E51">
        <w:rPr>
          <w:b/>
          <w:bCs/>
          <w:i/>
          <w:sz w:val="16"/>
          <w:szCs w:val="16"/>
        </w:rPr>
        <w:t>2018</w:t>
      </w:r>
    </w:p>
    <w:p w:rsidR="007C2FB6" w:rsidRPr="00D94E51" w:rsidRDefault="007C2FB6" w:rsidP="007C2FB6">
      <w:pPr>
        <w:keepNext/>
        <w:spacing w:before="120"/>
        <w:jc w:val="both"/>
      </w:pPr>
      <w:r w:rsidRPr="00D94E51">
        <w:t>Celkově byly v roce 2018 průměrné výdaje zdravotních pojišťoven na jednu pojištěnou ženu (</w:t>
      </w:r>
      <w:r w:rsidRPr="00D94E51">
        <w:rPr>
          <w:b/>
        </w:rPr>
        <w:t>28 155 Kč</w:t>
      </w:r>
      <w:r w:rsidRPr="00D94E51">
        <w:t>) o 6 % vyšší než průměrné výdaje na jednoho pojištěného muže (</w:t>
      </w:r>
      <w:r w:rsidRPr="00D94E51">
        <w:rPr>
          <w:b/>
        </w:rPr>
        <w:t>26 553 Kč</w:t>
      </w:r>
      <w:r w:rsidRPr="00D94E51">
        <w:t>).</w:t>
      </w:r>
    </w:p>
    <w:p w:rsidR="007C2FB6" w:rsidRPr="00D94E51" w:rsidRDefault="007C2FB6" w:rsidP="007C2FB6">
      <w:pPr>
        <w:keepNext/>
        <w:spacing w:before="120"/>
        <w:jc w:val="both"/>
      </w:pPr>
      <w:r w:rsidRPr="00D94E51">
        <w:t>Důvodem je čerpání velmi odlišné zdravotní péče u každé věkové skupiny. Poměrně vysoké výdaje na jednoho pojištěnce jsou vykazovány v nejmladší věkové, což je dáno nákladnější péčí o novorozence (každý novorozenec je po porodu hospitalizován), zejména u předčasně narozených dětí. U obou pohlaví jsou průměrné výdaje na jednoho pojištěnce ovlivněny očkovacím kalendářem, nabídkou nepovinných očkování nebo preventivními prohlídkami. S vyrovnanými výdaji na jednoho pojištěnce se setkáváme u obou pohlaví ve věku 10</w:t>
      </w:r>
      <w:r w:rsidRPr="00D94E51">
        <w:rPr>
          <w:bCs/>
        </w:rPr>
        <w:t xml:space="preserve">–19 let. </w:t>
      </w:r>
      <w:r w:rsidRPr="00D94E51">
        <w:t>V následujících věkových skupinách se u mužů do 39 let hodnota průměrných ročních výdajů na jednoho pojištěnce pohybuje kolem 12,0 tisíc Kč. Od 40. roku věku se průměrné výdaje na zdravotní péči zvyšují s narůstajícím věkem. U žen ve věku 20</w:t>
      </w:r>
      <w:r w:rsidRPr="00D94E51">
        <w:rPr>
          <w:bCs/>
        </w:rPr>
        <w:t>–</w:t>
      </w:r>
      <w:r w:rsidRPr="00D94E51">
        <w:t xml:space="preserve">29 let jsou výdaje na jednu pojištěnou ženu téměř totožné s předchozí věkovou kategorií a pohybují se okolo 13,0 tisíc Kč. U žen od 30 do 49 let činily průměrné roční výdaje 23,9 tisíc Kč. Výdaje na zdravotní péči na jednu pojištěnou ženu v uvedené věkové kategorii jsou výrazně vyšší než v případě mužů, jelikož tato skupina žen čerpá často zdravotní péči také v souvislosti s těhotenstvím a mateřstvím. U padesátníků se výdaje na jednu pojištěnou ženu i muže opět vyrovnávají a mezi 60 a 90 lety průměrné výdaje na jednoho muže značně převyšují výdaje na jednu ženu. </w:t>
      </w:r>
    </w:p>
    <w:p w:rsidR="007C2FB6" w:rsidRPr="00D94E51" w:rsidRDefault="007C2FB6" w:rsidP="007C2FB6">
      <w:pPr>
        <w:tabs>
          <w:tab w:val="left" w:pos="480"/>
          <w:tab w:val="right" w:pos="9638"/>
        </w:tabs>
        <w:spacing w:before="240" w:after="120" w:line="240" w:lineRule="auto"/>
        <w:jc w:val="both"/>
        <w:rPr>
          <w:rFonts w:cs="Arial"/>
          <w:sz w:val="18"/>
          <w:szCs w:val="18"/>
        </w:rPr>
      </w:pPr>
    </w:p>
    <w:p w:rsidR="007C2FB6" w:rsidRPr="00D94E51" w:rsidRDefault="007C2FB6" w:rsidP="007C2FB6">
      <w:pPr>
        <w:tabs>
          <w:tab w:val="left" w:pos="480"/>
          <w:tab w:val="right" w:pos="9638"/>
        </w:tabs>
        <w:spacing w:before="240" w:after="120" w:line="240" w:lineRule="auto"/>
        <w:jc w:val="both"/>
        <w:rPr>
          <w:rFonts w:cs="Arial"/>
          <w:sz w:val="18"/>
          <w:szCs w:val="18"/>
        </w:rPr>
      </w:pPr>
    </w:p>
    <w:p w:rsidR="007C2FB6" w:rsidRPr="00D94E51" w:rsidRDefault="007C2FB6" w:rsidP="007C2FB6">
      <w:pPr>
        <w:tabs>
          <w:tab w:val="left" w:pos="480"/>
          <w:tab w:val="right" w:pos="9638"/>
        </w:tabs>
        <w:spacing w:before="120"/>
        <w:jc w:val="both"/>
        <w:rPr>
          <w:rFonts w:cs="Arial"/>
          <w:sz w:val="18"/>
          <w:szCs w:val="18"/>
        </w:rPr>
      </w:pPr>
      <w:bookmarkStart w:id="0" w:name="_GoBack"/>
      <w:bookmarkEnd w:id="0"/>
      <w:r w:rsidRPr="00D94E51">
        <w:rPr>
          <w:rFonts w:cs="Arial"/>
          <w:sz w:val="18"/>
          <w:szCs w:val="18"/>
        </w:rPr>
        <w:lastRenderedPageBreak/>
        <w:t>Vývoj průměrných ročních výdajů zdravotních pojišťoven na zdravotní péči na jednoho pojištěnce za uplynulých devět let přehledně zachycuje následující graf.</w:t>
      </w:r>
    </w:p>
    <w:p w:rsidR="007C2FB6" w:rsidRPr="00D94E51" w:rsidRDefault="007C2FB6" w:rsidP="007C2FB6">
      <w:pPr>
        <w:tabs>
          <w:tab w:val="left" w:pos="480"/>
          <w:tab w:val="right" w:pos="9638"/>
        </w:tabs>
        <w:spacing w:before="120" w:line="240" w:lineRule="auto"/>
        <w:rPr>
          <w:rFonts w:cs="Arial"/>
          <w:b/>
          <w:sz w:val="18"/>
          <w:szCs w:val="18"/>
        </w:rPr>
      </w:pPr>
      <w:r w:rsidRPr="00D94E51">
        <w:rPr>
          <w:rFonts w:cs="Arial"/>
          <w:b/>
          <w:sz w:val="18"/>
          <w:szCs w:val="18"/>
        </w:rPr>
        <w:t>Graf č. 2.13. Průměrné výdaje zdravotních pojišťoven v Česku na 1 pojištěnce v letech 2010</w:t>
      </w:r>
      <w:r w:rsidRPr="00D94E51">
        <w:rPr>
          <w:b/>
          <w:sz w:val="16"/>
          <w:szCs w:val="16"/>
        </w:rPr>
        <w:t>–</w:t>
      </w:r>
      <w:r w:rsidRPr="00D94E51">
        <w:rPr>
          <w:rFonts w:cs="Arial"/>
          <w:b/>
          <w:sz w:val="18"/>
          <w:szCs w:val="18"/>
        </w:rPr>
        <w:t>2018 (v Kč)</w:t>
      </w:r>
    </w:p>
    <w:p w:rsidR="007C2FB6" w:rsidRPr="00D94E51" w:rsidRDefault="007C2FB6" w:rsidP="007C2FB6">
      <w:pPr>
        <w:tabs>
          <w:tab w:val="left" w:pos="2977"/>
        </w:tabs>
        <w:spacing w:before="240" w:after="120"/>
        <w:rPr>
          <w:b/>
          <w:bCs/>
          <w:sz w:val="18"/>
          <w:szCs w:val="18"/>
        </w:rPr>
      </w:pPr>
      <w:r w:rsidRPr="00D94E51">
        <w:rPr>
          <w:noProof/>
        </w:rPr>
        <w:drawing>
          <wp:inline distT="0" distB="0" distL="0" distR="0" wp14:anchorId="41C5F9E4" wp14:editId="63107565">
            <wp:extent cx="6098650" cy="2934031"/>
            <wp:effectExtent l="0" t="0" r="16510" b="19050"/>
            <wp:docPr id="48" name="Graf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C2FB6" w:rsidRPr="00D94E51" w:rsidRDefault="007C2FB6" w:rsidP="007C2FB6">
      <w:pPr>
        <w:tabs>
          <w:tab w:val="left" w:pos="480"/>
          <w:tab w:val="right" w:pos="9638"/>
        </w:tabs>
        <w:spacing w:before="120" w:after="120"/>
        <w:jc w:val="right"/>
        <w:rPr>
          <w:b/>
          <w:bCs/>
          <w:sz w:val="18"/>
          <w:szCs w:val="18"/>
        </w:rPr>
      </w:pPr>
      <w:r w:rsidRPr="00D94E51">
        <w:rPr>
          <w:b/>
          <w:i/>
          <w:sz w:val="16"/>
          <w:szCs w:val="16"/>
        </w:rPr>
        <w:t xml:space="preserve">Zdroj: ČSÚ 2020, Zdravotnické účty ČR </w:t>
      </w:r>
      <w:r w:rsidRPr="00D94E51">
        <w:rPr>
          <w:b/>
          <w:bCs/>
          <w:i/>
          <w:sz w:val="16"/>
          <w:szCs w:val="16"/>
        </w:rPr>
        <w:t>2010</w:t>
      </w:r>
      <w:r w:rsidRPr="00D94E51">
        <w:rPr>
          <w:b/>
          <w:sz w:val="16"/>
          <w:szCs w:val="16"/>
        </w:rPr>
        <w:t>–</w:t>
      </w:r>
      <w:r w:rsidRPr="00D94E51">
        <w:rPr>
          <w:b/>
          <w:bCs/>
          <w:i/>
          <w:sz w:val="16"/>
          <w:szCs w:val="16"/>
        </w:rPr>
        <w:t>2018</w:t>
      </w:r>
    </w:p>
    <w:p w:rsidR="007C2FB6" w:rsidRPr="00D94E51" w:rsidRDefault="007C2FB6" w:rsidP="007C2FB6">
      <w:pPr>
        <w:tabs>
          <w:tab w:val="left" w:pos="2977"/>
        </w:tabs>
        <w:spacing w:before="240" w:after="120"/>
        <w:rPr>
          <w:b/>
          <w:bCs/>
          <w:sz w:val="18"/>
          <w:szCs w:val="18"/>
        </w:rPr>
      </w:pPr>
    </w:p>
    <w:p w:rsidR="006067DA" w:rsidRPr="007C2FB6" w:rsidRDefault="006067DA" w:rsidP="007C2FB6"/>
    <w:sectPr w:rsidR="006067DA" w:rsidRPr="007C2FB6" w:rsidSect="00201E4B">
      <w:headerReference w:type="even" r:id="rId22"/>
      <w:headerReference w:type="default" r:id="rId23"/>
      <w:footerReference w:type="even" r:id="rId24"/>
      <w:footerReference w:type="default" r:id="rId25"/>
      <w:pgSz w:w="11906" w:h="16838" w:code="9"/>
      <w:pgMar w:top="1134" w:right="1134" w:bottom="1418" w:left="1134" w:header="680" w:footer="68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B60" w:rsidRDefault="00BF3B60" w:rsidP="00E71A58">
      <w:r>
        <w:separator/>
      </w:r>
    </w:p>
  </w:endnote>
  <w:endnote w:type="continuationSeparator" w:id="0">
    <w:p w:rsidR="00BF3B60" w:rsidRDefault="00BF3B60"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Minion Pro">
    <w:charset w:val="00"/>
    <w:family w:val="auto"/>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D41" w:rsidRDefault="00831D41" w:rsidP="003A6B38">
    <w:pPr>
      <w:pStyle w:val="Zpat"/>
      <w:tabs>
        <w:tab w:val="clear" w:pos="4536"/>
        <w:tab w:val="clear" w:pos="9072"/>
        <w:tab w:val="center" w:pos="4820"/>
        <w:tab w:val="right" w:pos="9639"/>
      </w:tabs>
    </w:pPr>
    <w:r>
      <w:rPr>
        <w:noProof/>
        <w:lang w:eastAsia="cs-CZ"/>
      </w:rPr>
      <w:drawing>
        <wp:anchor distT="0" distB="0" distL="114300" distR="114300" simplePos="0" relativeHeight="251658240" behindDoc="0" locked="0" layoutInCell="1" allowOverlap="1" wp14:anchorId="513623F3" wp14:editId="250DF726">
          <wp:simplePos x="0" y="0"/>
          <wp:positionH relativeFrom="column">
            <wp:posOffset>5660390</wp:posOffset>
          </wp:positionH>
          <wp:positionV relativeFrom="paragraph">
            <wp:posOffset>-52070</wp:posOffset>
          </wp:positionV>
          <wp:extent cx="466725" cy="219075"/>
          <wp:effectExtent l="0" t="0" r="9525" b="9525"/>
          <wp:wrapNone/>
          <wp:docPr id="2" name="obrázek 4"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Descriptio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pic:spPr>
              </pic:pic>
            </a:graphicData>
          </a:graphic>
        </wp:anchor>
      </w:drawing>
    </w:r>
    <w:r w:rsidRPr="005A21E0">
      <w:rPr>
        <w:rFonts w:ascii="Arial" w:hAnsi="Arial" w:cs="Arial"/>
        <w:sz w:val="16"/>
        <w:szCs w:val="16"/>
      </w:rPr>
      <w:fldChar w:fldCharType="begin"/>
    </w:r>
    <w:r w:rsidRPr="005A21E0">
      <w:rPr>
        <w:rFonts w:ascii="Arial" w:hAnsi="Arial" w:cs="Arial"/>
        <w:sz w:val="16"/>
        <w:szCs w:val="16"/>
      </w:rPr>
      <w:instrText>PAGE   \* MERGEFORMAT</w:instrText>
    </w:r>
    <w:r w:rsidRPr="005A21E0">
      <w:rPr>
        <w:rFonts w:ascii="Arial" w:hAnsi="Arial" w:cs="Arial"/>
        <w:sz w:val="16"/>
        <w:szCs w:val="16"/>
      </w:rPr>
      <w:fldChar w:fldCharType="separate"/>
    </w:r>
    <w:r w:rsidR="00BB1E19">
      <w:rPr>
        <w:rFonts w:ascii="Arial" w:hAnsi="Arial" w:cs="Arial"/>
        <w:noProof/>
        <w:sz w:val="16"/>
        <w:szCs w:val="16"/>
      </w:rPr>
      <w:t>8</w:t>
    </w:r>
    <w:r w:rsidRPr="005A21E0">
      <w:rPr>
        <w:rFonts w:ascii="Arial" w:hAnsi="Arial" w:cs="Arial"/>
        <w:sz w:val="16"/>
        <w:szCs w:val="16"/>
      </w:rPr>
      <w:fldChar w:fldCharType="end"/>
    </w:r>
    <w:r>
      <w:rPr>
        <w:rFonts w:ascii="Arial" w:hAnsi="Arial" w:cs="Arial"/>
        <w:sz w:val="16"/>
        <w:szCs w:val="16"/>
      </w:rPr>
      <w:tab/>
      <w:t>20</w:t>
    </w:r>
    <w:r w:rsidR="007C2FB6">
      <w:rPr>
        <w:rFonts w:ascii="Arial" w:hAnsi="Arial" w:cs="Arial"/>
        <w:sz w:val="16"/>
        <w:szCs w:val="16"/>
      </w:rPr>
      <w:t>20</w:t>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D41" w:rsidRDefault="00831D41" w:rsidP="003A6B38">
    <w:pPr>
      <w:pStyle w:val="Zpat"/>
      <w:tabs>
        <w:tab w:val="clear" w:pos="4536"/>
        <w:tab w:val="clear" w:pos="9072"/>
        <w:tab w:val="left" w:pos="1134"/>
        <w:tab w:val="left" w:pos="1920"/>
        <w:tab w:val="center" w:pos="4820"/>
        <w:tab w:val="right" w:pos="9639"/>
      </w:tabs>
    </w:pPr>
    <w:r>
      <w:rPr>
        <w:noProof/>
        <w:lang w:eastAsia="cs-CZ"/>
      </w:rPr>
      <w:drawing>
        <wp:anchor distT="0" distB="0" distL="114300" distR="114300" simplePos="0" relativeHeight="251657216" behindDoc="0" locked="0" layoutInCell="1" allowOverlap="1" wp14:anchorId="486A7B6A" wp14:editId="380D7A8F">
          <wp:simplePos x="0" y="0"/>
          <wp:positionH relativeFrom="column">
            <wp:posOffset>3810</wp:posOffset>
          </wp:positionH>
          <wp:positionV relativeFrom="paragraph">
            <wp:posOffset>90170</wp:posOffset>
          </wp:positionV>
          <wp:extent cx="495300" cy="266700"/>
          <wp:effectExtent l="0" t="0" r="0" b="0"/>
          <wp:wrapNone/>
          <wp:docPr id="1" name="obrázek 3"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Descriptio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pic:spPr>
              </pic:pic>
            </a:graphicData>
          </a:graphic>
        </wp:anchor>
      </w:drawing>
    </w:r>
    <w:r>
      <w:tab/>
    </w:r>
    <w:r>
      <w:tab/>
    </w:r>
  </w:p>
  <w:p w:rsidR="00831D41" w:rsidRDefault="00831D41" w:rsidP="00EE3E78">
    <w:pPr>
      <w:pStyle w:val="Zpat"/>
      <w:tabs>
        <w:tab w:val="clear" w:pos="4536"/>
        <w:tab w:val="clear" w:pos="9072"/>
        <w:tab w:val="left" w:pos="1134"/>
        <w:tab w:val="left" w:pos="1920"/>
        <w:tab w:val="center" w:pos="4820"/>
        <w:tab w:val="left" w:pos="9495"/>
        <w:tab w:val="right" w:pos="9639"/>
      </w:tabs>
    </w:pPr>
    <w:r>
      <w:rPr>
        <w:rFonts w:ascii="Arial" w:hAnsi="Arial" w:cs="Arial"/>
        <w:sz w:val="16"/>
        <w:szCs w:val="16"/>
      </w:rPr>
      <w:tab/>
    </w:r>
    <w:r>
      <w:rPr>
        <w:rFonts w:ascii="Arial" w:hAnsi="Arial" w:cs="Arial"/>
        <w:sz w:val="16"/>
        <w:szCs w:val="16"/>
      </w:rPr>
      <w:tab/>
    </w:r>
    <w:r>
      <w:rPr>
        <w:rFonts w:ascii="Arial" w:hAnsi="Arial" w:cs="Arial"/>
        <w:sz w:val="16"/>
        <w:szCs w:val="16"/>
      </w:rPr>
      <w:tab/>
      <w:t>20</w:t>
    </w:r>
    <w:r w:rsidR="007C2FB6">
      <w:rPr>
        <w:rFonts w:ascii="Arial" w:hAnsi="Arial" w:cs="Arial"/>
        <w:sz w:val="16"/>
        <w:szCs w:val="16"/>
      </w:rPr>
      <w:t>20</w:t>
    </w:r>
    <w:r>
      <w:tab/>
    </w:r>
    <w:r>
      <w:tab/>
    </w:r>
    <w:r w:rsidRPr="00B6608F">
      <w:rPr>
        <w:rFonts w:ascii="Arial" w:hAnsi="Arial" w:cs="Arial"/>
        <w:sz w:val="16"/>
        <w:szCs w:val="16"/>
      </w:rPr>
      <w:fldChar w:fldCharType="begin"/>
    </w:r>
    <w:r w:rsidRPr="00B6608F">
      <w:rPr>
        <w:rFonts w:ascii="Arial" w:hAnsi="Arial" w:cs="Arial"/>
        <w:sz w:val="16"/>
        <w:szCs w:val="16"/>
      </w:rPr>
      <w:instrText>PAGE   \* MERGEFORMAT</w:instrText>
    </w:r>
    <w:r w:rsidRPr="00B6608F">
      <w:rPr>
        <w:rFonts w:ascii="Arial" w:hAnsi="Arial" w:cs="Arial"/>
        <w:sz w:val="16"/>
        <w:szCs w:val="16"/>
      </w:rPr>
      <w:fldChar w:fldCharType="separate"/>
    </w:r>
    <w:r w:rsidR="00BB1E19">
      <w:rPr>
        <w:rFonts w:ascii="Arial" w:hAnsi="Arial" w:cs="Arial"/>
        <w:noProof/>
        <w:sz w:val="16"/>
        <w:szCs w:val="16"/>
      </w:rPr>
      <w:t>7</w:t>
    </w:r>
    <w:r w:rsidRPr="00B6608F">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B60" w:rsidRDefault="00BF3B60" w:rsidP="00E71A58">
      <w:r>
        <w:separator/>
      </w:r>
    </w:p>
  </w:footnote>
  <w:footnote w:type="continuationSeparator" w:id="0">
    <w:p w:rsidR="00BF3B60" w:rsidRDefault="00BF3B60" w:rsidP="00E71A58">
      <w:r>
        <w:continuationSeparator/>
      </w:r>
    </w:p>
  </w:footnote>
  <w:footnote w:id="1">
    <w:p w:rsidR="007C2FB6" w:rsidRDefault="007C2FB6" w:rsidP="007C2FB6">
      <w:pPr>
        <w:pStyle w:val="Textpoznpodarou"/>
      </w:pPr>
      <w:r w:rsidRPr="00991FEF">
        <w:rPr>
          <w:rStyle w:val="Znakapoznpodarou"/>
        </w:rPr>
        <w:footnoteRef/>
      </w:r>
      <w:r w:rsidRPr="00991FEF">
        <w:t xml:space="preserve"> Nejsou zde samostatně </w:t>
      </w:r>
      <w:r>
        <w:t>uvedeny</w:t>
      </w:r>
      <w:r w:rsidRPr="00991FEF">
        <w:t xml:space="preserve"> diagnózy z kapitoly - Faktory ovlivňující zdravotní stav a kontakt se zdravotnickými službami, které</w:t>
      </w:r>
      <w:r>
        <w:t> </w:t>
      </w:r>
      <w:r w:rsidRPr="00991FEF">
        <w:t xml:space="preserve">jsou </w:t>
      </w:r>
      <w:r>
        <w:t>zahrnuty</w:t>
      </w:r>
      <w:r w:rsidRPr="00991FEF">
        <w:t xml:space="preserve"> v položce ostatní.</w:t>
      </w:r>
    </w:p>
    <w:p w:rsidR="007C2FB6" w:rsidRDefault="007C2FB6" w:rsidP="007C2FB6">
      <w:pPr>
        <w:pStyle w:val="Textpoznpodarou"/>
      </w:pPr>
    </w:p>
  </w:footnote>
  <w:footnote w:id="2">
    <w:p w:rsidR="007C2FB6" w:rsidRDefault="007C2FB6" w:rsidP="007C2FB6">
      <w:pPr>
        <w:pStyle w:val="Textpoznpodarou"/>
      </w:pPr>
      <w:r>
        <w:rPr>
          <w:rStyle w:val="Znakapoznpodarou"/>
        </w:rPr>
        <w:footnoteRef/>
      </w:r>
      <w:r>
        <w:t xml:space="preserve"> </w:t>
      </w:r>
      <w:r w:rsidRPr="00B23596">
        <w:t xml:space="preserve">Tabulka počtu pojištěnců podle věku a pohlaví je uvedena </w:t>
      </w:r>
      <w:r w:rsidRPr="00223335">
        <w:t xml:space="preserve">v příloze (viz tabulka </w:t>
      </w:r>
      <w:proofErr w:type="gramStart"/>
      <w:r w:rsidRPr="00223335">
        <w:t>č.</w:t>
      </w:r>
      <w:r w:rsidR="00BB1E19">
        <w:t>21</w:t>
      </w:r>
      <w:proofErr w:type="gramEnd"/>
      <w:r w:rsidR="00BB1E19">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D41" w:rsidRPr="002175EE" w:rsidRDefault="00831D41" w:rsidP="00D67975">
    <w:pPr>
      <w:pStyle w:val="Nadpis1"/>
      <w:rPr>
        <w:b w:val="0"/>
        <w:color w:val="auto"/>
        <w:sz w:val="16"/>
        <w:szCs w:val="16"/>
      </w:rPr>
    </w:pPr>
    <w:r w:rsidRPr="002175EE">
      <w:rPr>
        <w:b w:val="0"/>
        <w:color w:val="auto"/>
        <w:sz w:val="16"/>
        <w:szCs w:val="16"/>
      </w:rPr>
      <w:t>Výs</w:t>
    </w:r>
    <w:r>
      <w:rPr>
        <w:b w:val="0"/>
        <w:color w:val="auto"/>
        <w:sz w:val="16"/>
        <w:szCs w:val="16"/>
      </w:rPr>
      <w:t>ledky zdravotnických účtů ČR 2010–201</w:t>
    </w:r>
    <w:r w:rsidR="007C2FB6">
      <w:rPr>
        <w:b w:val="0"/>
        <w:color w:val="auto"/>
        <w:sz w:val="16"/>
        <w:szCs w:val="16"/>
      </w:rPr>
      <w:t>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D41" w:rsidRPr="002175EE" w:rsidRDefault="00831D41" w:rsidP="002175EE">
    <w:pPr>
      <w:pStyle w:val="Nadpis1"/>
      <w:rPr>
        <w:b w:val="0"/>
        <w:color w:val="auto"/>
        <w:sz w:val="16"/>
        <w:szCs w:val="16"/>
      </w:rPr>
    </w:pPr>
    <w:r w:rsidRPr="002175EE">
      <w:rPr>
        <w:b w:val="0"/>
        <w:color w:val="auto"/>
        <w:sz w:val="16"/>
        <w:szCs w:val="16"/>
      </w:rPr>
      <w:t xml:space="preserve">Výsledky </w:t>
    </w:r>
    <w:r>
      <w:rPr>
        <w:b w:val="0"/>
        <w:color w:val="auto"/>
        <w:sz w:val="16"/>
        <w:szCs w:val="16"/>
      </w:rPr>
      <w:t>zdravotnických účtů ČR 2010–201</w:t>
    </w:r>
    <w:r w:rsidR="007C2FB6">
      <w:rPr>
        <w:b w:val="0"/>
        <w:color w:val="auto"/>
        <w:sz w:val="16"/>
        <w:szCs w:val="16"/>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81C21"/>
    <w:multiLevelType w:val="hybridMultilevel"/>
    <w:tmpl w:val="99D61F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48D550C"/>
    <w:multiLevelType w:val="hybridMultilevel"/>
    <w:tmpl w:val="86B43882"/>
    <w:lvl w:ilvl="0" w:tplc="46C2DFC0">
      <w:start w:val="1"/>
      <w:numFmt w:val="decimal"/>
      <w:lvlText w:val="(%1)"/>
      <w:lvlJc w:val="left"/>
      <w:pPr>
        <w:ind w:left="540" w:hanging="360"/>
      </w:pPr>
      <w:rPr>
        <w:rFonts w:hint="default"/>
      </w:rPr>
    </w:lvl>
    <w:lvl w:ilvl="1" w:tplc="04050019" w:tentative="1">
      <w:start w:val="1"/>
      <w:numFmt w:val="lowerLetter"/>
      <w:lvlText w:val="%2."/>
      <w:lvlJc w:val="left"/>
      <w:pPr>
        <w:ind w:left="1260" w:hanging="360"/>
      </w:pPr>
    </w:lvl>
    <w:lvl w:ilvl="2" w:tplc="0405001B" w:tentative="1">
      <w:start w:val="1"/>
      <w:numFmt w:val="lowerRoman"/>
      <w:lvlText w:val="%3."/>
      <w:lvlJc w:val="right"/>
      <w:pPr>
        <w:ind w:left="1980" w:hanging="180"/>
      </w:pPr>
    </w:lvl>
    <w:lvl w:ilvl="3" w:tplc="0405000F" w:tentative="1">
      <w:start w:val="1"/>
      <w:numFmt w:val="decimal"/>
      <w:lvlText w:val="%4."/>
      <w:lvlJc w:val="left"/>
      <w:pPr>
        <w:ind w:left="2700" w:hanging="360"/>
      </w:pPr>
    </w:lvl>
    <w:lvl w:ilvl="4" w:tplc="04050019" w:tentative="1">
      <w:start w:val="1"/>
      <w:numFmt w:val="lowerLetter"/>
      <w:lvlText w:val="%5."/>
      <w:lvlJc w:val="left"/>
      <w:pPr>
        <w:ind w:left="3420" w:hanging="360"/>
      </w:pPr>
    </w:lvl>
    <w:lvl w:ilvl="5" w:tplc="0405001B" w:tentative="1">
      <w:start w:val="1"/>
      <w:numFmt w:val="lowerRoman"/>
      <w:lvlText w:val="%6."/>
      <w:lvlJc w:val="right"/>
      <w:pPr>
        <w:ind w:left="4140" w:hanging="180"/>
      </w:pPr>
    </w:lvl>
    <w:lvl w:ilvl="6" w:tplc="0405000F" w:tentative="1">
      <w:start w:val="1"/>
      <w:numFmt w:val="decimal"/>
      <w:lvlText w:val="%7."/>
      <w:lvlJc w:val="left"/>
      <w:pPr>
        <w:ind w:left="4860" w:hanging="360"/>
      </w:pPr>
    </w:lvl>
    <w:lvl w:ilvl="7" w:tplc="04050019" w:tentative="1">
      <w:start w:val="1"/>
      <w:numFmt w:val="lowerLetter"/>
      <w:lvlText w:val="%8."/>
      <w:lvlJc w:val="left"/>
      <w:pPr>
        <w:ind w:left="5580" w:hanging="360"/>
      </w:pPr>
    </w:lvl>
    <w:lvl w:ilvl="8" w:tplc="0405001B" w:tentative="1">
      <w:start w:val="1"/>
      <w:numFmt w:val="lowerRoman"/>
      <w:lvlText w:val="%9."/>
      <w:lvlJc w:val="right"/>
      <w:pPr>
        <w:ind w:left="6300" w:hanging="180"/>
      </w:pPr>
    </w:lvl>
  </w:abstractNum>
  <w:abstractNum w:abstractNumId="2">
    <w:nsid w:val="07A27793"/>
    <w:multiLevelType w:val="hybridMultilevel"/>
    <w:tmpl w:val="D486A0E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8AF5F6D"/>
    <w:multiLevelType w:val="hybridMultilevel"/>
    <w:tmpl w:val="5824D116"/>
    <w:lvl w:ilvl="0" w:tplc="F9388996">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08D16AC4"/>
    <w:multiLevelType w:val="hybridMultilevel"/>
    <w:tmpl w:val="371460E6"/>
    <w:lvl w:ilvl="0" w:tplc="4DA05DE2">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nsid w:val="0BA26586"/>
    <w:multiLevelType w:val="hybridMultilevel"/>
    <w:tmpl w:val="5F2EFD9C"/>
    <w:lvl w:ilvl="0" w:tplc="04050001">
      <w:start w:val="5"/>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2087D8F"/>
    <w:multiLevelType w:val="hybridMultilevel"/>
    <w:tmpl w:val="5DE801E0"/>
    <w:lvl w:ilvl="0" w:tplc="267E35CE">
      <w:start w:val="1"/>
      <w:numFmt w:val="decimal"/>
      <w:lvlText w:val="(%1)"/>
      <w:lvlJc w:val="left"/>
      <w:pPr>
        <w:ind w:left="720" w:hanging="360"/>
      </w:pPr>
      <w:rPr>
        <w:rFonts w:hint="default"/>
        <w:b/>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4DB521B"/>
    <w:multiLevelType w:val="hybridMultilevel"/>
    <w:tmpl w:val="2DC43A6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6D80405"/>
    <w:multiLevelType w:val="multilevel"/>
    <w:tmpl w:val="B9441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421244"/>
    <w:multiLevelType w:val="hybridMultilevel"/>
    <w:tmpl w:val="939657B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D9632BB"/>
    <w:multiLevelType w:val="hybridMultilevel"/>
    <w:tmpl w:val="29F85DA0"/>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1">
    <w:nsid w:val="1FFD6DEF"/>
    <w:multiLevelType w:val="multilevel"/>
    <w:tmpl w:val="58CE67C4"/>
    <w:lvl w:ilvl="0">
      <w:start w:val="1"/>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206C0299"/>
    <w:multiLevelType w:val="hybridMultilevel"/>
    <w:tmpl w:val="B5E0FF56"/>
    <w:lvl w:ilvl="0" w:tplc="C02A922C">
      <w:start w:val="1"/>
      <w:numFmt w:val="bullet"/>
      <w:pStyle w:val="normalnsodrkami"/>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25666454"/>
    <w:multiLevelType w:val="hybridMultilevel"/>
    <w:tmpl w:val="936055BA"/>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nsid w:val="25AC752F"/>
    <w:multiLevelType w:val="hybridMultilevel"/>
    <w:tmpl w:val="F1DE7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28504B67"/>
    <w:multiLevelType w:val="hybridMultilevel"/>
    <w:tmpl w:val="141024E0"/>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nsid w:val="2C8760B6"/>
    <w:multiLevelType w:val="hybridMultilevel"/>
    <w:tmpl w:val="2EF6101A"/>
    <w:lvl w:ilvl="0" w:tplc="04050017">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7">
    <w:nsid w:val="2E814446"/>
    <w:multiLevelType w:val="hybridMultilevel"/>
    <w:tmpl w:val="12C803C8"/>
    <w:lvl w:ilvl="0" w:tplc="CD9C6B54">
      <w:start w:val="2"/>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2F952F38"/>
    <w:multiLevelType w:val="multilevel"/>
    <w:tmpl w:val="7BD287E4"/>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3F919ED"/>
    <w:multiLevelType w:val="multilevel"/>
    <w:tmpl w:val="B0E2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D815B2"/>
    <w:multiLevelType w:val="hybridMultilevel"/>
    <w:tmpl w:val="132CDB4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nsid w:val="3CB35327"/>
    <w:multiLevelType w:val="hybridMultilevel"/>
    <w:tmpl w:val="0CBCD77C"/>
    <w:lvl w:ilvl="0" w:tplc="C80617D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3D0A6F9C"/>
    <w:multiLevelType w:val="hybridMultilevel"/>
    <w:tmpl w:val="5C0CA8E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3F6F4090"/>
    <w:multiLevelType w:val="hybridMultilevel"/>
    <w:tmpl w:val="1794E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A737E1"/>
    <w:multiLevelType w:val="hybridMultilevel"/>
    <w:tmpl w:val="89AAB47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322D3E"/>
    <w:multiLevelType w:val="hybridMultilevel"/>
    <w:tmpl w:val="2DA69084"/>
    <w:lvl w:ilvl="0" w:tplc="F9388996">
      <w:start w:val="1"/>
      <w:numFmt w:val="bullet"/>
      <w:lvlText w:val="-"/>
      <w:lvlJc w:val="left"/>
      <w:pPr>
        <w:tabs>
          <w:tab w:val="num" w:pos="765"/>
        </w:tabs>
        <w:ind w:left="765" w:hanging="405"/>
      </w:pPr>
      <w:rPr>
        <w:rFonts w:ascii="Times New Roman" w:eastAsia="Times New Roman" w:hAnsi="Times New Roman" w:cs="Times New Roman" w:hint="default"/>
      </w:rPr>
    </w:lvl>
    <w:lvl w:ilvl="1" w:tplc="F9388996">
      <w:start w:val="1"/>
      <w:numFmt w:val="bullet"/>
      <w:lvlText w:val="-"/>
      <w:lvlJc w:val="left"/>
      <w:pPr>
        <w:tabs>
          <w:tab w:val="num" w:pos="1440"/>
        </w:tabs>
        <w:ind w:left="1440" w:hanging="360"/>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nsid w:val="4251525A"/>
    <w:multiLevelType w:val="multilevel"/>
    <w:tmpl w:val="1B6E9F1A"/>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37647E6"/>
    <w:multiLevelType w:val="hybridMultilevel"/>
    <w:tmpl w:val="7D3E41A0"/>
    <w:lvl w:ilvl="0" w:tplc="F9388996">
      <w:start w:val="1"/>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nsid w:val="45645A0C"/>
    <w:multiLevelType w:val="hybridMultilevel"/>
    <w:tmpl w:val="D004DAF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496F7E70"/>
    <w:multiLevelType w:val="hybridMultilevel"/>
    <w:tmpl w:val="0128A08A"/>
    <w:lvl w:ilvl="0" w:tplc="49A0ED0E">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497844F8"/>
    <w:multiLevelType w:val="hybridMultilevel"/>
    <w:tmpl w:val="1C3A2F2C"/>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1">
    <w:nsid w:val="4AFF5011"/>
    <w:multiLevelType w:val="hybridMultilevel"/>
    <w:tmpl w:val="AAAE5906"/>
    <w:lvl w:ilvl="0" w:tplc="BB2899F4">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4CC32522"/>
    <w:multiLevelType w:val="hybridMultilevel"/>
    <w:tmpl w:val="7F9C2826"/>
    <w:lvl w:ilvl="0" w:tplc="F9388996">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5256672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3854D3E"/>
    <w:multiLevelType w:val="multilevel"/>
    <w:tmpl w:val="C57A87AC"/>
    <w:lvl w:ilvl="0">
      <w:start w:val="2"/>
      <w:numFmt w:val="decimal"/>
      <w:lvlText w:val="%1."/>
      <w:lvlJc w:val="left"/>
      <w:pPr>
        <w:ind w:left="36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35">
    <w:nsid w:val="58544EA5"/>
    <w:multiLevelType w:val="hybridMultilevel"/>
    <w:tmpl w:val="E0D623B2"/>
    <w:lvl w:ilvl="0" w:tplc="E0F4A91A">
      <w:numFmt w:val="bullet"/>
      <w:lvlText w:val="•"/>
      <w:lvlJc w:val="left"/>
      <w:pPr>
        <w:ind w:left="1065" w:hanging="70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B952ED8"/>
    <w:multiLevelType w:val="multilevel"/>
    <w:tmpl w:val="83DAB85A"/>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63050CCD"/>
    <w:multiLevelType w:val="multilevel"/>
    <w:tmpl w:val="61B826CE"/>
    <w:lvl w:ilvl="0">
      <w:start w:val="2"/>
      <w:numFmt w:val="decimal"/>
      <w:lvlText w:val="%1."/>
      <w:lvlJc w:val="left"/>
      <w:pPr>
        <w:ind w:left="360" w:hanging="360"/>
      </w:pPr>
      <w:rPr>
        <w:rFonts w:hint="default"/>
      </w:rPr>
    </w:lvl>
    <w:lvl w:ilvl="1">
      <w:start w:val="2"/>
      <w:numFmt w:val="decimal"/>
      <w:isLgl/>
      <w:lvlText w:val="%1.%2"/>
      <w:lvlJc w:val="left"/>
      <w:pPr>
        <w:ind w:left="480" w:hanging="360"/>
      </w:pPr>
      <w:rPr>
        <w:rFonts w:hint="default"/>
      </w:rPr>
    </w:lvl>
    <w:lvl w:ilvl="2">
      <w:start w:val="1"/>
      <w:numFmt w:val="decimal"/>
      <w:isLgl/>
      <w:lvlText w:val="%1.%2.%3"/>
      <w:lvlJc w:val="left"/>
      <w:pPr>
        <w:ind w:left="60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200" w:hanging="72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1920" w:hanging="1080"/>
      </w:pPr>
      <w:rPr>
        <w:rFonts w:hint="default"/>
      </w:rPr>
    </w:lvl>
    <w:lvl w:ilvl="8">
      <w:start w:val="1"/>
      <w:numFmt w:val="decimal"/>
      <w:isLgl/>
      <w:lvlText w:val="%1.%2.%3.%4.%5.%6.%7.%8.%9"/>
      <w:lvlJc w:val="left"/>
      <w:pPr>
        <w:ind w:left="2400" w:hanging="1440"/>
      </w:pPr>
      <w:rPr>
        <w:rFonts w:hint="default"/>
      </w:rPr>
    </w:lvl>
  </w:abstractNum>
  <w:abstractNum w:abstractNumId="38">
    <w:nsid w:val="6F893287"/>
    <w:multiLevelType w:val="multilevel"/>
    <w:tmpl w:val="418C03A2"/>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73FE39F3"/>
    <w:multiLevelType w:val="hybridMultilevel"/>
    <w:tmpl w:val="405C553E"/>
    <w:lvl w:ilvl="0" w:tplc="04050001">
      <w:start w:val="7"/>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76415C6D"/>
    <w:multiLevelType w:val="hybridMultilevel"/>
    <w:tmpl w:val="A598291C"/>
    <w:lvl w:ilvl="0" w:tplc="5F1AC2C0">
      <w:start w:val="1"/>
      <w:numFmt w:val="lowerLetter"/>
      <w:lvlText w:val="%1)"/>
      <w:lvlJc w:val="left"/>
      <w:pPr>
        <w:ind w:left="360" w:hanging="360"/>
      </w:pPr>
      <w:rPr>
        <w:rFonts w:hint="default"/>
        <w:i w:val="0"/>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1">
    <w:nsid w:val="79B90EB4"/>
    <w:multiLevelType w:val="hybridMultilevel"/>
    <w:tmpl w:val="98F67A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020001"/>
    <w:multiLevelType w:val="multilevel"/>
    <w:tmpl w:val="4A3A04D4"/>
    <w:lvl w:ilvl="0">
      <w:start w:val="2"/>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7B762E6D"/>
    <w:multiLevelType w:val="hybridMultilevel"/>
    <w:tmpl w:val="586A2F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7E571231"/>
    <w:multiLevelType w:val="hybridMultilevel"/>
    <w:tmpl w:val="EF7631D6"/>
    <w:lvl w:ilvl="0" w:tplc="D4C2B7B4">
      <w:start w:val="1"/>
      <w:numFmt w:val="lowerLetter"/>
      <w:lvlText w:val="%1)"/>
      <w:lvlJc w:val="left"/>
      <w:pPr>
        <w:ind w:left="705" w:hanging="705"/>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5">
    <w:nsid w:val="7F9F4163"/>
    <w:multiLevelType w:val="hybridMultilevel"/>
    <w:tmpl w:val="A78ADFC6"/>
    <w:lvl w:ilvl="0" w:tplc="242AA788">
      <w:numFmt w:val="bullet"/>
      <w:lvlText w:val="-"/>
      <w:lvlJc w:val="left"/>
      <w:pPr>
        <w:ind w:left="306" w:hanging="360"/>
      </w:pPr>
      <w:rPr>
        <w:rFonts w:ascii="Arial" w:eastAsia="Times New Roman" w:hAnsi="Arial" w:cs="Arial" w:hint="default"/>
      </w:rPr>
    </w:lvl>
    <w:lvl w:ilvl="1" w:tplc="04050003" w:tentative="1">
      <w:start w:val="1"/>
      <w:numFmt w:val="bullet"/>
      <w:lvlText w:val="o"/>
      <w:lvlJc w:val="left"/>
      <w:pPr>
        <w:ind w:left="1026" w:hanging="360"/>
      </w:pPr>
      <w:rPr>
        <w:rFonts w:ascii="Courier New" w:hAnsi="Courier New" w:cs="Courier New" w:hint="default"/>
      </w:rPr>
    </w:lvl>
    <w:lvl w:ilvl="2" w:tplc="04050005" w:tentative="1">
      <w:start w:val="1"/>
      <w:numFmt w:val="bullet"/>
      <w:lvlText w:val=""/>
      <w:lvlJc w:val="left"/>
      <w:pPr>
        <w:ind w:left="1746" w:hanging="360"/>
      </w:pPr>
      <w:rPr>
        <w:rFonts w:ascii="Wingdings" w:hAnsi="Wingdings" w:hint="default"/>
      </w:rPr>
    </w:lvl>
    <w:lvl w:ilvl="3" w:tplc="04050001" w:tentative="1">
      <w:start w:val="1"/>
      <w:numFmt w:val="bullet"/>
      <w:lvlText w:val=""/>
      <w:lvlJc w:val="left"/>
      <w:pPr>
        <w:ind w:left="2466" w:hanging="360"/>
      </w:pPr>
      <w:rPr>
        <w:rFonts w:ascii="Symbol" w:hAnsi="Symbol" w:hint="default"/>
      </w:rPr>
    </w:lvl>
    <w:lvl w:ilvl="4" w:tplc="04050003" w:tentative="1">
      <w:start w:val="1"/>
      <w:numFmt w:val="bullet"/>
      <w:lvlText w:val="o"/>
      <w:lvlJc w:val="left"/>
      <w:pPr>
        <w:ind w:left="3186" w:hanging="360"/>
      </w:pPr>
      <w:rPr>
        <w:rFonts w:ascii="Courier New" w:hAnsi="Courier New" w:cs="Courier New" w:hint="default"/>
      </w:rPr>
    </w:lvl>
    <w:lvl w:ilvl="5" w:tplc="04050005" w:tentative="1">
      <w:start w:val="1"/>
      <w:numFmt w:val="bullet"/>
      <w:lvlText w:val=""/>
      <w:lvlJc w:val="left"/>
      <w:pPr>
        <w:ind w:left="3906" w:hanging="360"/>
      </w:pPr>
      <w:rPr>
        <w:rFonts w:ascii="Wingdings" w:hAnsi="Wingdings" w:hint="default"/>
      </w:rPr>
    </w:lvl>
    <w:lvl w:ilvl="6" w:tplc="04050001" w:tentative="1">
      <w:start w:val="1"/>
      <w:numFmt w:val="bullet"/>
      <w:lvlText w:val=""/>
      <w:lvlJc w:val="left"/>
      <w:pPr>
        <w:ind w:left="4626" w:hanging="360"/>
      </w:pPr>
      <w:rPr>
        <w:rFonts w:ascii="Symbol" w:hAnsi="Symbol" w:hint="default"/>
      </w:rPr>
    </w:lvl>
    <w:lvl w:ilvl="7" w:tplc="04050003" w:tentative="1">
      <w:start w:val="1"/>
      <w:numFmt w:val="bullet"/>
      <w:lvlText w:val="o"/>
      <w:lvlJc w:val="left"/>
      <w:pPr>
        <w:ind w:left="5346" w:hanging="360"/>
      </w:pPr>
      <w:rPr>
        <w:rFonts w:ascii="Courier New" w:hAnsi="Courier New" w:cs="Courier New" w:hint="default"/>
      </w:rPr>
    </w:lvl>
    <w:lvl w:ilvl="8" w:tplc="04050005" w:tentative="1">
      <w:start w:val="1"/>
      <w:numFmt w:val="bullet"/>
      <w:lvlText w:val=""/>
      <w:lvlJc w:val="left"/>
      <w:pPr>
        <w:ind w:left="6066" w:hanging="360"/>
      </w:pPr>
      <w:rPr>
        <w:rFonts w:ascii="Wingdings" w:hAnsi="Wingdings" w:hint="default"/>
      </w:rPr>
    </w:lvl>
  </w:abstractNum>
  <w:num w:numId="1">
    <w:abstractNumId w:val="25"/>
  </w:num>
  <w:num w:numId="2">
    <w:abstractNumId w:val="32"/>
  </w:num>
  <w:num w:numId="3">
    <w:abstractNumId w:val="6"/>
  </w:num>
  <w:num w:numId="4">
    <w:abstractNumId w:val="33"/>
  </w:num>
  <w:num w:numId="5">
    <w:abstractNumId w:val="3"/>
  </w:num>
  <w:num w:numId="6">
    <w:abstractNumId w:val="12"/>
  </w:num>
  <w:num w:numId="7">
    <w:abstractNumId w:val="27"/>
  </w:num>
  <w:num w:numId="8">
    <w:abstractNumId w:val="38"/>
  </w:num>
  <w:num w:numId="9">
    <w:abstractNumId w:val="26"/>
  </w:num>
  <w:num w:numId="10">
    <w:abstractNumId w:val="36"/>
  </w:num>
  <w:num w:numId="11">
    <w:abstractNumId w:val="11"/>
  </w:num>
  <w:num w:numId="12">
    <w:abstractNumId w:val="42"/>
  </w:num>
  <w:num w:numId="13">
    <w:abstractNumId w:val="31"/>
  </w:num>
  <w:num w:numId="14">
    <w:abstractNumId w:val="34"/>
  </w:num>
  <w:num w:numId="15">
    <w:abstractNumId w:val="37"/>
  </w:num>
  <w:num w:numId="16">
    <w:abstractNumId w:val="5"/>
  </w:num>
  <w:num w:numId="17">
    <w:abstractNumId w:val="17"/>
  </w:num>
  <w:num w:numId="18">
    <w:abstractNumId w:val="39"/>
  </w:num>
  <w:num w:numId="19">
    <w:abstractNumId w:val="0"/>
  </w:num>
  <w:num w:numId="20">
    <w:abstractNumId w:val="45"/>
  </w:num>
  <w:num w:numId="21">
    <w:abstractNumId w:val="7"/>
  </w:num>
  <w:num w:numId="22">
    <w:abstractNumId w:val="30"/>
  </w:num>
  <w:num w:numId="23">
    <w:abstractNumId w:val="18"/>
  </w:num>
  <w:num w:numId="24">
    <w:abstractNumId w:val="15"/>
  </w:num>
  <w:num w:numId="25">
    <w:abstractNumId w:val="44"/>
  </w:num>
  <w:num w:numId="26">
    <w:abstractNumId w:val="20"/>
  </w:num>
  <w:num w:numId="27">
    <w:abstractNumId w:val="13"/>
  </w:num>
  <w:num w:numId="28">
    <w:abstractNumId w:val="40"/>
  </w:num>
  <w:num w:numId="29">
    <w:abstractNumId w:val="16"/>
  </w:num>
  <w:num w:numId="30">
    <w:abstractNumId w:val="22"/>
  </w:num>
  <w:num w:numId="31">
    <w:abstractNumId w:val="10"/>
  </w:num>
  <w:num w:numId="32">
    <w:abstractNumId w:val="43"/>
  </w:num>
  <w:num w:numId="33">
    <w:abstractNumId w:val="28"/>
  </w:num>
  <w:num w:numId="34">
    <w:abstractNumId w:val="8"/>
  </w:num>
  <w:num w:numId="35">
    <w:abstractNumId w:val="19"/>
  </w:num>
  <w:num w:numId="36">
    <w:abstractNumId w:val="21"/>
  </w:num>
  <w:num w:numId="37">
    <w:abstractNumId w:val="14"/>
  </w:num>
  <w:num w:numId="38">
    <w:abstractNumId w:val="1"/>
  </w:num>
  <w:num w:numId="39">
    <w:abstractNumId w:val="9"/>
  </w:num>
  <w:num w:numId="40">
    <w:abstractNumId w:val="29"/>
  </w:num>
  <w:num w:numId="41">
    <w:abstractNumId w:val="2"/>
  </w:num>
  <w:num w:numId="42">
    <w:abstractNumId w:val="41"/>
  </w:num>
  <w:num w:numId="43">
    <w:abstractNumId w:val="24"/>
  </w:num>
  <w:num w:numId="44">
    <w:abstractNumId w:val="4"/>
  </w:num>
  <w:num w:numId="45">
    <w:abstractNumId w:val="35"/>
  </w:num>
  <w:num w:numId="46">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attachedTemplate r:id="rId1"/>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641"/>
    <w:rsid w:val="00002F19"/>
    <w:rsid w:val="00005515"/>
    <w:rsid w:val="00005868"/>
    <w:rsid w:val="0000767A"/>
    <w:rsid w:val="00007BF6"/>
    <w:rsid w:val="00010702"/>
    <w:rsid w:val="0002040C"/>
    <w:rsid w:val="00025165"/>
    <w:rsid w:val="000307D2"/>
    <w:rsid w:val="000353CA"/>
    <w:rsid w:val="0004694F"/>
    <w:rsid w:val="00052153"/>
    <w:rsid w:val="00052D0B"/>
    <w:rsid w:val="00060D56"/>
    <w:rsid w:val="00062320"/>
    <w:rsid w:val="00062EC5"/>
    <w:rsid w:val="0006345C"/>
    <w:rsid w:val="00065BAE"/>
    <w:rsid w:val="00074403"/>
    <w:rsid w:val="0007543A"/>
    <w:rsid w:val="00083528"/>
    <w:rsid w:val="00087634"/>
    <w:rsid w:val="000915F5"/>
    <w:rsid w:val="00096004"/>
    <w:rsid w:val="000A1183"/>
    <w:rsid w:val="000A2D10"/>
    <w:rsid w:val="000C3408"/>
    <w:rsid w:val="000C547E"/>
    <w:rsid w:val="000D0933"/>
    <w:rsid w:val="000D1765"/>
    <w:rsid w:val="000D21E1"/>
    <w:rsid w:val="000D2433"/>
    <w:rsid w:val="000D3D85"/>
    <w:rsid w:val="000D3E6C"/>
    <w:rsid w:val="000D5E39"/>
    <w:rsid w:val="000E5DE5"/>
    <w:rsid w:val="000F2D17"/>
    <w:rsid w:val="000F6E14"/>
    <w:rsid w:val="0010041E"/>
    <w:rsid w:val="00101535"/>
    <w:rsid w:val="00110E3B"/>
    <w:rsid w:val="001149A1"/>
    <w:rsid w:val="0011701D"/>
    <w:rsid w:val="00121C92"/>
    <w:rsid w:val="00123EF0"/>
    <w:rsid w:val="001319EB"/>
    <w:rsid w:val="00133BA8"/>
    <w:rsid w:val="001351C9"/>
    <w:rsid w:val="001405FA"/>
    <w:rsid w:val="001425C3"/>
    <w:rsid w:val="001466BB"/>
    <w:rsid w:val="00146973"/>
    <w:rsid w:val="00154ED5"/>
    <w:rsid w:val="00157587"/>
    <w:rsid w:val="00162BF0"/>
    <w:rsid w:val="00162D56"/>
    <w:rsid w:val="00163793"/>
    <w:rsid w:val="00164260"/>
    <w:rsid w:val="0016731E"/>
    <w:rsid w:val="001714F2"/>
    <w:rsid w:val="00172311"/>
    <w:rsid w:val="00175160"/>
    <w:rsid w:val="0017745B"/>
    <w:rsid w:val="0017751B"/>
    <w:rsid w:val="00185010"/>
    <w:rsid w:val="0018680D"/>
    <w:rsid w:val="00190B38"/>
    <w:rsid w:val="00193560"/>
    <w:rsid w:val="001A177C"/>
    <w:rsid w:val="001A3B66"/>
    <w:rsid w:val="001A4ACA"/>
    <w:rsid w:val="001A552F"/>
    <w:rsid w:val="001B176A"/>
    <w:rsid w:val="001B3110"/>
    <w:rsid w:val="001B61BC"/>
    <w:rsid w:val="001C1996"/>
    <w:rsid w:val="001C1D52"/>
    <w:rsid w:val="001D189A"/>
    <w:rsid w:val="001E1749"/>
    <w:rsid w:val="001E3731"/>
    <w:rsid w:val="001F4597"/>
    <w:rsid w:val="00200B56"/>
    <w:rsid w:val="00201D3A"/>
    <w:rsid w:val="00201E4B"/>
    <w:rsid w:val="002075A8"/>
    <w:rsid w:val="00207936"/>
    <w:rsid w:val="00210AA5"/>
    <w:rsid w:val="00213704"/>
    <w:rsid w:val="00213C72"/>
    <w:rsid w:val="00214E6F"/>
    <w:rsid w:val="00216072"/>
    <w:rsid w:val="002175EE"/>
    <w:rsid w:val="0022139E"/>
    <w:rsid w:val="00222564"/>
    <w:rsid w:val="00223026"/>
    <w:rsid w:val="00223335"/>
    <w:rsid w:val="002237C6"/>
    <w:rsid w:val="002252E0"/>
    <w:rsid w:val="002255F6"/>
    <w:rsid w:val="00226272"/>
    <w:rsid w:val="00227AA9"/>
    <w:rsid w:val="002339D2"/>
    <w:rsid w:val="00236443"/>
    <w:rsid w:val="0024085E"/>
    <w:rsid w:val="00240B6D"/>
    <w:rsid w:val="002436BA"/>
    <w:rsid w:val="00244A15"/>
    <w:rsid w:val="0024799E"/>
    <w:rsid w:val="00247A40"/>
    <w:rsid w:val="00254100"/>
    <w:rsid w:val="0026319A"/>
    <w:rsid w:val="00264C1E"/>
    <w:rsid w:val="00270041"/>
    <w:rsid w:val="00271AC3"/>
    <w:rsid w:val="00277062"/>
    <w:rsid w:val="00277DC6"/>
    <w:rsid w:val="00281EE4"/>
    <w:rsid w:val="00282A20"/>
    <w:rsid w:val="0028438F"/>
    <w:rsid w:val="00290B98"/>
    <w:rsid w:val="00290F1C"/>
    <w:rsid w:val="002A310D"/>
    <w:rsid w:val="002A795D"/>
    <w:rsid w:val="002B4648"/>
    <w:rsid w:val="002B6C95"/>
    <w:rsid w:val="002B7526"/>
    <w:rsid w:val="002C1EDC"/>
    <w:rsid w:val="002C43BD"/>
    <w:rsid w:val="002D036A"/>
    <w:rsid w:val="002D1024"/>
    <w:rsid w:val="002D246F"/>
    <w:rsid w:val="002D700F"/>
    <w:rsid w:val="002E02A1"/>
    <w:rsid w:val="002E7C59"/>
    <w:rsid w:val="002F59C4"/>
    <w:rsid w:val="00304771"/>
    <w:rsid w:val="00306C5B"/>
    <w:rsid w:val="00313FC3"/>
    <w:rsid w:val="003209D6"/>
    <w:rsid w:val="00320E92"/>
    <w:rsid w:val="00323231"/>
    <w:rsid w:val="00330C8E"/>
    <w:rsid w:val="0034055C"/>
    <w:rsid w:val="00341C9C"/>
    <w:rsid w:val="00341E61"/>
    <w:rsid w:val="00344398"/>
    <w:rsid w:val="003446FE"/>
    <w:rsid w:val="00344A9F"/>
    <w:rsid w:val="003452B6"/>
    <w:rsid w:val="00345347"/>
    <w:rsid w:val="0035195A"/>
    <w:rsid w:val="00352ACB"/>
    <w:rsid w:val="00356E1F"/>
    <w:rsid w:val="003657F3"/>
    <w:rsid w:val="00370B28"/>
    <w:rsid w:val="00375B3D"/>
    <w:rsid w:val="00380B0F"/>
    <w:rsid w:val="00381C1A"/>
    <w:rsid w:val="0038205A"/>
    <w:rsid w:val="00385D98"/>
    <w:rsid w:val="00394B23"/>
    <w:rsid w:val="00396A34"/>
    <w:rsid w:val="00397972"/>
    <w:rsid w:val="003A2B4D"/>
    <w:rsid w:val="003A478C"/>
    <w:rsid w:val="003A5525"/>
    <w:rsid w:val="003A6B38"/>
    <w:rsid w:val="003A7223"/>
    <w:rsid w:val="003B0B06"/>
    <w:rsid w:val="003B34FF"/>
    <w:rsid w:val="003B4169"/>
    <w:rsid w:val="003B5A32"/>
    <w:rsid w:val="003B5B99"/>
    <w:rsid w:val="003C1109"/>
    <w:rsid w:val="003C627D"/>
    <w:rsid w:val="003C6CC2"/>
    <w:rsid w:val="003D5919"/>
    <w:rsid w:val="003E037E"/>
    <w:rsid w:val="003E0671"/>
    <w:rsid w:val="003E76A0"/>
    <w:rsid w:val="003F144E"/>
    <w:rsid w:val="003F174C"/>
    <w:rsid w:val="003F313C"/>
    <w:rsid w:val="004004F4"/>
    <w:rsid w:val="0040155D"/>
    <w:rsid w:val="00403034"/>
    <w:rsid w:val="00403484"/>
    <w:rsid w:val="00406353"/>
    <w:rsid w:val="004117C8"/>
    <w:rsid w:val="00416281"/>
    <w:rsid w:val="00416C0A"/>
    <w:rsid w:val="004236AB"/>
    <w:rsid w:val="004242B2"/>
    <w:rsid w:val="00426A61"/>
    <w:rsid w:val="00437926"/>
    <w:rsid w:val="00437DC6"/>
    <w:rsid w:val="00441783"/>
    <w:rsid w:val="0044625F"/>
    <w:rsid w:val="00452B8C"/>
    <w:rsid w:val="00452EBE"/>
    <w:rsid w:val="00467087"/>
    <w:rsid w:val="00470E57"/>
    <w:rsid w:val="00476265"/>
    <w:rsid w:val="004775D1"/>
    <w:rsid w:val="0048086F"/>
    <w:rsid w:val="00480E40"/>
    <w:rsid w:val="0048139F"/>
    <w:rsid w:val="004859A8"/>
    <w:rsid w:val="004868D6"/>
    <w:rsid w:val="004A081C"/>
    <w:rsid w:val="004A44A2"/>
    <w:rsid w:val="004A77DF"/>
    <w:rsid w:val="004B2C1E"/>
    <w:rsid w:val="004B55B7"/>
    <w:rsid w:val="004B7591"/>
    <w:rsid w:val="004C3867"/>
    <w:rsid w:val="004C4ABE"/>
    <w:rsid w:val="004C4CD0"/>
    <w:rsid w:val="004C70DC"/>
    <w:rsid w:val="004D0211"/>
    <w:rsid w:val="004D5E24"/>
    <w:rsid w:val="004E1007"/>
    <w:rsid w:val="004E3E1A"/>
    <w:rsid w:val="004F06F5"/>
    <w:rsid w:val="004F0E28"/>
    <w:rsid w:val="004F209C"/>
    <w:rsid w:val="004F78C3"/>
    <w:rsid w:val="00501EFA"/>
    <w:rsid w:val="005108C0"/>
    <w:rsid w:val="00511873"/>
    <w:rsid w:val="00513B7E"/>
    <w:rsid w:val="00514041"/>
    <w:rsid w:val="0051478D"/>
    <w:rsid w:val="005151FB"/>
    <w:rsid w:val="00520DCA"/>
    <w:rsid w:val="005221B3"/>
    <w:rsid w:val="0052495E"/>
    <w:rsid w:val="00525137"/>
    <w:rsid w:val="005251DD"/>
    <w:rsid w:val="00527720"/>
    <w:rsid w:val="00531985"/>
    <w:rsid w:val="00532D7D"/>
    <w:rsid w:val="005376AD"/>
    <w:rsid w:val="005376E3"/>
    <w:rsid w:val="00542E84"/>
    <w:rsid w:val="00544082"/>
    <w:rsid w:val="00550483"/>
    <w:rsid w:val="00550FE5"/>
    <w:rsid w:val="005513E1"/>
    <w:rsid w:val="00551573"/>
    <w:rsid w:val="00557A96"/>
    <w:rsid w:val="00561D72"/>
    <w:rsid w:val="00572C92"/>
    <w:rsid w:val="00583FFD"/>
    <w:rsid w:val="0058445D"/>
    <w:rsid w:val="00586971"/>
    <w:rsid w:val="00591143"/>
    <w:rsid w:val="00593152"/>
    <w:rsid w:val="00593E87"/>
    <w:rsid w:val="005956E7"/>
    <w:rsid w:val="005A21E0"/>
    <w:rsid w:val="005A54EB"/>
    <w:rsid w:val="005A7305"/>
    <w:rsid w:val="005A7316"/>
    <w:rsid w:val="005B20AA"/>
    <w:rsid w:val="005B2486"/>
    <w:rsid w:val="005C04E2"/>
    <w:rsid w:val="005C2045"/>
    <w:rsid w:val="005D1BF3"/>
    <w:rsid w:val="005D514D"/>
    <w:rsid w:val="005D5495"/>
    <w:rsid w:val="005D5802"/>
    <w:rsid w:val="005E0178"/>
    <w:rsid w:val="005E0676"/>
    <w:rsid w:val="005E1DD5"/>
    <w:rsid w:val="005E316C"/>
    <w:rsid w:val="005E5711"/>
    <w:rsid w:val="005E73F3"/>
    <w:rsid w:val="005F153A"/>
    <w:rsid w:val="005F2EE2"/>
    <w:rsid w:val="006016D1"/>
    <w:rsid w:val="00602EF3"/>
    <w:rsid w:val="00604307"/>
    <w:rsid w:val="0060487F"/>
    <w:rsid w:val="006067DA"/>
    <w:rsid w:val="00606B1B"/>
    <w:rsid w:val="0061689B"/>
    <w:rsid w:val="00624093"/>
    <w:rsid w:val="00625E0F"/>
    <w:rsid w:val="00633AEB"/>
    <w:rsid w:val="00633F6D"/>
    <w:rsid w:val="006352A8"/>
    <w:rsid w:val="00635866"/>
    <w:rsid w:val="00635B35"/>
    <w:rsid w:val="00635FC7"/>
    <w:rsid w:val="006366C8"/>
    <w:rsid w:val="006374C2"/>
    <w:rsid w:val="006404A7"/>
    <w:rsid w:val="00640637"/>
    <w:rsid w:val="006419F8"/>
    <w:rsid w:val="006451E4"/>
    <w:rsid w:val="00645EF8"/>
    <w:rsid w:val="006472BA"/>
    <w:rsid w:val="006523BB"/>
    <w:rsid w:val="00653860"/>
    <w:rsid w:val="00655906"/>
    <w:rsid w:val="0065667A"/>
    <w:rsid w:val="00657E87"/>
    <w:rsid w:val="006710C9"/>
    <w:rsid w:val="00674BA1"/>
    <w:rsid w:val="00675DD1"/>
    <w:rsid w:val="00675E37"/>
    <w:rsid w:val="00677696"/>
    <w:rsid w:val="0068260E"/>
    <w:rsid w:val="0069246C"/>
    <w:rsid w:val="006941CE"/>
    <w:rsid w:val="00695BEF"/>
    <w:rsid w:val="00696417"/>
    <w:rsid w:val="00697219"/>
    <w:rsid w:val="006977F6"/>
    <w:rsid w:val="00697A13"/>
    <w:rsid w:val="00697C9B"/>
    <w:rsid w:val="006A109C"/>
    <w:rsid w:val="006A31C8"/>
    <w:rsid w:val="006A420D"/>
    <w:rsid w:val="006A4247"/>
    <w:rsid w:val="006A429F"/>
    <w:rsid w:val="006B1874"/>
    <w:rsid w:val="006B7581"/>
    <w:rsid w:val="006B78D8"/>
    <w:rsid w:val="006C0C43"/>
    <w:rsid w:val="006C113F"/>
    <w:rsid w:val="006C47BD"/>
    <w:rsid w:val="006D211A"/>
    <w:rsid w:val="006D3ACC"/>
    <w:rsid w:val="006D61F6"/>
    <w:rsid w:val="006D640E"/>
    <w:rsid w:val="006E09D5"/>
    <w:rsid w:val="006E1FDB"/>
    <w:rsid w:val="006E279A"/>
    <w:rsid w:val="006E313B"/>
    <w:rsid w:val="006E5DFC"/>
    <w:rsid w:val="006E71FE"/>
    <w:rsid w:val="007051F5"/>
    <w:rsid w:val="0070676A"/>
    <w:rsid w:val="0070691C"/>
    <w:rsid w:val="00711D97"/>
    <w:rsid w:val="007211F5"/>
    <w:rsid w:val="007271FD"/>
    <w:rsid w:val="00730AE8"/>
    <w:rsid w:val="00736D17"/>
    <w:rsid w:val="0073795D"/>
    <w:rsid w:val="00741493"/>
    <w:rsid w:val="00746E1B"/>
    <w:rsid w:val="0074736D"/>
    <w:rsid w:val="00747BB9"/>
    <w:rsid w:val="00750951"/>
    <w:rsid w:val="00752180"/>
    <w:rsid w:val="00755D3A"/>
    <w:rsid w:val="007572C9"/>
    <w:rsid w:val="0075757C"/>
    <w:rsid w:val="007609C6"/>
    <w:rsid w:val="00760D36"/>
    <w:rsid w:val="00761C28"/>
    <w:rsid w:val="007632B9"/>
    <w:rsid w:val="0077264D"/>
    <w:rsid w:val="00774CA3"/>
    <w:rsid w:val="00776527"/>
    <w:rsid w:val="00777353"/>
    <w:rsid w:val="00784861"/>
    <w:rsid w:val="007949E3"/>
    <w:rsid w:val="007A01BD"/>
    <w:rsid w:val="007A4E4E"/>
    <w:rsid w:val="007A68E8"/>
    <w:rsid w:val="007A7B9B"/>
    <w:rsid w:val="007B47EE"/>
    <w:rsid w:val="007B60D9"/>
    <w:rsid w:val="007C01B3"/>
    <w:rsid w:val="007C2FB6"/>
    <w:rsid w:val="007C740E"/>
    <w:rsid w:val="007D3A47"/>
    <w:rsid w:val="007D6E98"/>
    <w:rsid w:val="007E0D3A"/>
    <w:rsid w:val="007E12CE"/>
    <w:rsid w:val="007E7E61"/>
    <w:rsid w:val="007F3932"/>
    <w:rsid w:val="007F4A5E"/>
    <w:rsid w:val="007F6B36"/>
    <w:rsid w:val="00802A57"/>
    <w:rsid w:val="00810120"/>
    <w:rsid w:val="00814887"/>
    <w:rsid w:val="00814A8E"/>
    <w:rsid w:val="008207EF"/>
    <w:rsid w:val="00821FF6"/>
    <w:rsid w:val="00830E10"/>
    <w:rsid w:val="0083143E"/>
    <w:rsid w:val="00831D41"/>
    <w:rsid w:val="00834FAA"/>
    <w:rsid w:val="0083596D"/>
    <w:rsid w:val="00836086"/>
    <w:rsid w:val="00836B26"/>
    <w:rsid w:val="0084681E"/>
    <w:rsid w:val="00853E06"/>
    <w:rsid w:val="0085489F"/>
    <w:rsid w:val="00855FB6"/>
    <w:rsid w:val="00857578"/>
    <w:rsid w:val="0086041E"/>
    <w:rsid w:val="008605E5"/>
    <w:rsid w:val="00860953"/>
    <w:rsid w:val="008620CA"/>
    <w:rsid w:val="00863FDA"/>
    <w:rsid w:val="0087055B"/>
    <w:rsid w:val="00876086"/>
    <w:rsid w:val="0088462E"/>
    <w:rsid w:val="008877B0"/>
    <w:rsid w:val="008B0974"/>
    <w:rsid w:val="008B309A"/>
    <w:rsid w:val="008B5772"/>
    <w:rsid w:val="008B7C02"/>
    <w:rsid w:val="008C0E88"/>
    <w:rsid w:val="008C1793"/>
    <w:rsid w:val="008D1923"/>
    <w:rsid w:val="008D2A16"/>
    <w:rsid w:val="008D7DD3"/>
    <w:rsid w:val="008E31FF"/>
    <w:rsid w:val="008E401B"/>
    <w:rsid w:val="008E41B4"/>
    <w:rsid w:val="008E54ED"/>
    <w:rsid w:val="008F60FD"/>
    <w:rsid w:val="009003A8"/>
    <w:rsid w:val="00900962"/>
    <w:rsid w:val="00901E8E"/>
    <w:rsid w:val="009020FE"/>
    <w:rsid w:val="00902EFF"/>
    <w:rsid w:val="0090382A"/>
    <w:rsid w:val="00903ADB"/>
    <w:rsid w:val="00917F10"/>
    <w:rsid w:val="00921F14"/>
    <w:rsid w:val="009233F1"/>
    <w:rsid w:val="009248E3"/>
    <w:rsid w:val="00930D23"/>
    <w:rsid w:val="00930E84"/>
    <w:rsid w:val="00931794"/>
    <w:rsid w:val="0094427A"/>
    <w:rsid w:val="00944EA6"/>
    <w:rsid w:val="009552B1"/>
    <w:rsid w:val="00957CD1"/>
    <w:rsid w:val="0096414A"/>
    <w:rsid w:val="00972CA2"/>
    <w:rsid w:val="00973454"/>
    <w:rsid w:val="00974923"/>
    <w:rsid w:val="0098715D"/>
    <w:rsid w:val="00991A9E"/>
    <w:rsid w:val="0099411B"/>
    <w:rsid w:val="009A0CC8"/>
    <w:rsid w:val="009A23E5"/>
    <w:rsid w:val="009A76CB"/>
    <w:rsid w:val="009B35D8"/>
    <w:rsid w:val="009B6FD3"/>
    <w:rsid w:val="009C00F3"/>
    <w:rsid w:val="009C3912"/>
    <w:rsid w:val="009C7B08"/>
    <w:rsid w:val="009D15E0"/>
    <w:rsid w:val="009D2120"/>
    <w:rsid w:val="009D307C"/>
    <w:rsid w:val="009D7138"/>
    <w:rsid w:val="009E14B5"/>
    <w:rsid w:val="009E3131"/>
    <w:rsid w:val="009E3D07"/>
    <w:rsid w:val="009E5300"/>
    <w:rsid w:val="009E5C6B"/>
    <w:rsid w:val="009F30E4"/>
    <w:rsid w:val="009F4437"/>
    <w:rsid w:val="00A00BE4"/>
    <w:rsid w:val="00A0275E"/>
    <w:rsid w:val="00A074EF"/>
    <w:rsid w:val="00A077BC"/>
    <w:rsid w:val="00A10D66"/>
    <w:rsid w:val="00A11757"/>
    <w:rsid w:val="00A15646"/>
    <w:rsid w:val="00A1636E"/>
    <w:rsid w:val="00A202A7"/>
    <w:rsid w:val="00A204CF"/>
    <w:rsid w:val="00A219A9"/>
    <w:rsid w:val="00A2383F"/>
    <w:rsid w:val="00A23E43"/>
    <w:rsid w:val="00A33EFD"/>
    <w:rsid w:val="00A34DA0"/>
    <w:rsid w:val="00A35033"/>
    <w:rsid w:val="00A460B2"/>
    <w:rsid w:val="00A4618B"/>
    <w:rsid w:val="00A46DE0"/>
    <w:rsid w:val="00A475AC"/>
    <w:rsid w:val="00A5222D"/>
    <w:rsid w:val="00A52B44"/>
    <w:rsid w:val="00A52EC2"/>
    <w:rsid w:val="00A5555E"/>
    <w:rsid w:val="00A55FDE"/>
    <w:rsid w:val="00A57446"/>
    <w:rsid w:val="00A62CE1"/>
    <w:rsid w:val="00A75E40"/>
    <w:rsid w:val="00A84BAF"/>
    <w:rsid w:val="00A857C0"/>
    <w:rsid w:val="00A90201"/>
    <w:rsid w:val="00A902A5"/>
    <w:rsid w:val="00A91F5C"/>
    <w:rsid w:val="00A94AB5"/>
    <w:rsid w:val="00A953D4"/>
    <w:rsid w:val="00AA0168"/>
    <w:rsid w:val="00AA315F"/>
    <w:rsid w:val="00AA3BA1"/>
    <w:rsid w:val="00AA559A"/>
    <w:rsid w:val="00AB2AF1"/>
    <w:rsid w:val="00AB3CE2"/>
    <w:rsid w:val="00AB64E8"/>
    <w:rsid w:val="00AC1752"/>
    <w:rsid w:val="00AC4A24"/>
    <w:rsid w:val="00AD239A"/>
    <w:rsid w:val="00AD306C"/>
    <w:rsid w:val="00AD4FBF"/>
    <w:rsid w:val="00AD5913"/>
    <w:rsid w:val="00AE33C2"/>
    <w:rsid w:val="00AE6C8E"/>
    <w:rsid w:val="00AF25EE"/>
    <w:rsid w:val="00B01CAD"/>
    <w:rsid w:val="00B17C49"/>
    <w:rsid w:val="00B17E71"/>
    <w:rsid w:val="00B17FDE"/>
    <w:rsid w:val="00B2098B"/>
    <w:rsid w:val="00B32BCC"/>
    <w:rsid w:val="00B32DDB"/>
    <w:rsid w:val="00B36A65"/>
    <w:rsid w:val="00B372C8"/>
    <w:rsid w:val="00B40A03"/>
    <w:rsid w:val="00B40CFB"/>
    <w:rsid w:val="00B44676"/>
    <w:rsid w:val="00B448FC"/>
    <w:rsid w:val="00B46099"/>
    <w:rsid w:val="00B4643E"/>
    <w:rsid w:val="00B513EB"/>
    <w:rsid w:val="00B551E6"/>
    <w:rsid w:val="00B63AFC"/>
    <w:rsid w:val="00B63BD5"/>
    <w:rsid w:val="00B6608F"/>
    <w:rsid w:val="00B76CB5"/>
    <w:rsid w:val="00B76D1E"/>
    <w:rsid w:val="00B801AF"/>
    <w:rsid w:val="00B80EDA"/>
    <w:rsid w:val="00B81475"/>
    <w:rsid w:val="00B85CB1"/>
    <w:rsid w:val="00B90EFA"/>
    <w:rsid w:val="00B95940"/>
    <w:rsid w:val="00B97BEC"/>
    <w:rsid w:val="00BA0E5F"/>
    <w:rsid w:val="00BA493B"/>
    <w:rsid w:val="00BA4D62"/>
    <w:rsid w:val="00BB0015"/>
    <w:rsid w:val="00BB10A9"/>
    <w:rsid w:val="00BB1E19"/>
    <w:rsid w:val="00BB5FF0"/>
    <w:rsid w:val="00BC2F06"/>
    <w:rsid w:val="00BC3543"/>
    <w:rsid w:val="00BC39BB"/>
    <w:rsid w:val="00BC5568"/>
    <w:rsid w:val="00BC66E8"/>
    <w:rsid w:val="00BD2BDC"/>
    <w:rsid w:val="00BD366B"/>
    <w:rsid w:val="00BD3FB1"/>
    <w:rsid w:val="00BD6D50"/>
    <w:rsid w:val="00BD7706"/>
    <w:rsid w:val="00BE23F8"/>
    <w:rsid w:val="00BF011D"/>
    <w:rsid w:val="00BF0BA2"/>
    <w:rsid w:val="00BF26C4"/>
    <w:rsid w:val="00BF3B60"/>
    <w:rsid w:val="00C01506"/>
    <w:rsid w:val="00C107E7"/>
    <w:rsid w:val="00C148E2"/>
    <w:rsid w:val="00C21F94"/>
    <w:rsid w:val="00C22FC8"/>
    <w:rsid w:val="00C274E0"/>
    <w:rsid w:val="00C3177E"/>
    <w:rsid w:val="00C36AC9"/>
    <w:rsid w:val="00C41EFF"/>
    <w:rsid w:val="00C41FBD"/>
    <w:rsid w:val="00C45E27"/>
    <w:rsid w:val="00C47265"/>
    <w:rsid w:val="00C51E92"/>
    <w:rsid w:val="00C54836"/>
    <w:rsid w:val="00C556F4"/>
    <w:rsid w:val="00C64B75"/>
    <w:rsid w:val="00C6634F"/>
    <w:rsid w:val="00C728E0"/>
    <w:rsid w:val="00C8098B"/>
    <w:rsid w:val="00C80F44"/>
    <w:rsid w:val="00C85E96"/>
    <w:rsid w:val="00C901F9"/>
    <w:rsid w:val="00C90CF4"/>
    <w:rsid w:val="00C91D7C"/>
    <w:rsid w:val="00C92654"/>
    <w:rsid w:val="00C93389"/>
    <w:rsid w:val="00C93C0D"/>
    <w:rsid w:val="00C97E34"/>
    <w:rsid w:val="00CA0463"/>
    <w:rsid w:val="00CA24C7"/>
    <w:rsid w:val="00CA5A12"/>
    <w:rsid w:val="00CB7349"/>
    <w:rsid w:val="00CC14C1"/>
    <w:rsid w:val="00CC1931"/>
    <w:rsid w:val="00CC1CC4"/>
    <w:rsid w:val="00CC2E9C"/>
    <w:rsid w:val="00CC475C"/>
    <w:rsid w:val="00CC6A28"/>
    <w:rsid w:val="00CD288B"/>
    <w:rsid w:val="00CE26E9"/>
    <w:rsid w:val="00CE3173"/>
    <w:rsid w:val="00CE45A3"/>
    <w:rsid w:val="00CE6149"/>
    <w:rsid w:val="00CF26A8"/>
    <w:rsid w:val="00CF3148"/>
    <w:rsid w:val="00CF51EC"/>
    <w:rsid w:val="00D03353"/>
    <w:rsid w:val="00D03693"/>
    <w:rsid w:val="00D040DD"/>
    <w:rsid w:val="00D10241"/>
    <w:rsid w:val="00D10A68"/>
    <w:rsid w:val="00D15A3E"/>
    <w:rsid w:val="00D16F21"/>
    <w:rsid w:val="00D30233"/>
    <w:rsid w:val="00D31387"/>
    <w:rsid w:val="00D32AAF"/>
    <w:rsid w:val="00D347C8"/>
    <w:rsid w:val="00D3681A"/>
    <w:rsid w:val="00D41CE2"/>
    <w:rsid w:val="00D51522"/>
    <w:rsid w:val="00D516DE"/>
    <w:rsid w:val="00D51805"/>
    <w:rsid w:val="00D56ADA"/>
    <w:rsid w:val="00D602CE"/>
    <w:rsid w:val="00D60433"/>
    <w:rsid w:val="00D615CD"/>
    <w:rsid w:val="00D61A47"/>
    <w:rsid w:val="00D67975"/>
    <w:rsid w:val="00D709E7"/>
    <w:rsid w:val="00D719DF"/>
    <w:rsid w:val="00D7363A"/>
    <w:rsid w:val="00D76ECF"/>
    <w:rsid w:val="00D842D3"/>
    <w:rsid w:val="00D849E3"/>
    <w:rsid w:val="00D85D2F"/>
    <w:rsid w:val="00DA2A27"/>
    <w:rsid w:val="00DA3AAF"/>
    <w:rsid w:val="00DA45FF"/>
    <w:rsid w:val="00DA5852"/>
    <w:rsid w:val="00DA5900"/>
    <w:rsid w:val="00DB210A"/>
    <w:rsid w:val="00DB4F3B"/>
    <w:rsid w:val="00DB5AED"/>
    <w:rsid w:val="00DC2E00"/>
    <w:rsid w:val="00DC5B3B"/>
    <w:rsid w:val="00DD0AC7"/>
    <w:rsid w:val="00DD39C0"/>
    <w:rsid w:val="00DE2D8F"/>
    <w:rsid w:val="00DE3724"/>
    <w:rsid w:val="00DE6B5D"/>
    <w:rsid w:val="00DE6F11"/>
    <w:rsid w:val="00DF00E1"/>
    <w:rsid w:val="00DF1554"/>
    <w:rsid w:val="00DF1593"/>
    <w:rsid w:val="00DF4DBA"/>
    <w:rsid w:val="00DF5641"/>
    <w:rsid w:val="00E01C0E"/>
    <w:rsid w:val="00E03893"/>
    <w:rsid w:val="00E045F9"/>
    <w:rsid w:val="00E04694"/>
    <w:rsid w:val="00E069D1"/>
    <w:rsid w:val="00E17090"/>
    <w:rsid w:val="00E1763E"/>
    <w:rsid w:val="00E22935"/>
    <w:rsid w:val="00E23CFF"/>
    <w:rsid w:val="00E263D4"/>
    <w:rsid w:val="00E2712D"/>
    <w:rsid w:val="00E40102"/>
    <w:rsid w:val="00E42B4D"/>
    <w:rsid w:val="00E438DF"/>
    <w:rsid w:val="00E471F8"/>
    <w:rsid w:val="00E5040E"/>
    <w:rsid w:val="00E54EBD"/>
    <w:rsid w:val="00E55504"/>
    <w:rsid w:val="00E578A9"/>
    <w:rsid w:val="00E63EC2"/>
    <w:rsid w:val="00E644C5"/>
    <w:rsid w:val="00E65D1A"/>
    <w:rsid w:val="00E663CD"/>
    <w:rsid w:val="00E71A58"/>
    <w:rsid w:val="00E75DA1"/>
    <w:rsid w:val="00E81B7C"/>
    <w:rsid w:val="00E8493B"/>
    <w:rsid w:val="00E90C72"/>
    <w:rsid w:val="00E93764"/>
    <w:rsid w:val="00E97C6C"/>
    <w:rsid w:val="00EA0C68"/>
    <w:rsid w:val="00EA29F0"/>
    <w:rsid w:val="00EB3661"/>
    <w:rsid w:val="00EB7DA1"/>
    <w:rsid w:val="00EC6E8A"/>
    <w:rsid w:val="00ED286F"/>
    <w:rsid w:val="00EE1E7F"/>
    <w:rsid w:val="00EE39DC"/>
    <w:rsid w:val="00EE3E78"/>
    <w:rsid w:val="00EE5A6E"/>
    <w:rsid w:val="00EF1AEF"/>
    <w:rsid w:val="00EF1F5A"/>
    <w:rsid w:val="00EF3E4D"/>
    <w:rsid w:val="00EF4D97"/>
    <w:rsid w:val="00EF5416"/>
    <w:rsid w:val="00F014FF"/>
    <w:rsid w:val="00F02F8E"/>
    <w:rsid w:val="00F0328F"/>
    <w:rsid w:val="00F03967"/>
    <w:rsid w:val="00F04811"/>
    <w:rsid w:val="00F0488C"/>
    <w:rsid w:val="00F12246"/>
    <w:rsid w:val="00F127ED"/>
    <w:rsid w:val="00F15BEF"/>
    <w:rsid w:val="00F24FAA"/>
    <w:rsid w:val="00F3364D"/>
    <w:rsid w:val="00F41C6D"/>
    <w:rsid w:val="00F42351"/>
    <w:rsid w:val="00F45E8A"/>
    <w:rsid w:val="00F53404"/>
    <w:rsid w:val="00F5536C"/>
    <w:rsid w:val="00F6371C"/>
    <w:rsid w:val="00F63DDE"/>
    <w:rsid w:val="00F63FB7"/>
    <w:rsid w:val="00F6458A"/>
    <w:rsid w:val="00F67236"/>
    <w:rsid w:val="00F70B9D"/>
    <w:rsid w:val="00F71B42"/>
    <w:rsid w:val="00F725A0"/>
    <w:rsid w:val="00F73A0C"/>
    <w:rsid w:val="00F77FB0"/>
    <w:rsid w:val="00F85872"/>
    <w:rsid w:val="00F954C5"/>
    <w:rsid w:val="00F95636"/>
    <w:rsid w:val="00FA499A"/>
    <w:rsid w:val="00FB007E"/>
    <w:rsid w:val="00FB2302"/>
    <w:rsid w:val="00FC0B39"/>
    <w:rsid w:val="00FC0C8F"/>
    <w:rsid w:val="00FC0E5F"/>
    <w:rsid w:val="00FC12FB"/>
    <w:rsid w:val="00FC1CDE"/>
    <w:rsid w:val="00FC56DE"/>
    <w:rsid w:val="00FD0311"/>
    <w:rsid w:val="00FD0F42"/>
    <w:rsid w:val="00FD497D"/>
    <w:rsid w:val="00FD730E"/>
    <w:rsid w:val="00FD778F"/>
    <w:rsid w:val="00FE04DC"/>
    <w:rsid w:val="00FE2F7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ln">
    <w:name w:val="Normal"/>
    <w:qFormat/>
    <w:rsid w:val="007B47EE"/>
    <w:pPr>
      <w:spacing w:line="288" w:lineRule="auto"/>
    </w:pPr>
    <w:rPr>
      <w:rFonts w:ascii="Arial" w:eastAsia="Times New Roman" w:hAnsi="Arial"/>
      <w:szCs w:val="24"/>
    </w:rPr>
  </w:style>
  <w:style w:type="paragraph" w:styleId="Nadpis1">
    <w:name w:val="heading 1"/>
    <w:next w:val="Normln"/>
    <w:link w:val="Nadpis1Char"/>
    <w:qFormat/>
    <w:rsid w:val="00BC3543"/>
    <w:pPr>
      <w:keepNext/>
      <w:keepLines/>
      <w:spacing w:after="200" w:line="288" w:lineRule="auto"/>
      <w:outlineLvl w:val="0"/>
    </w:pPr>
    <w:rPr>
      <w:rFonts w:ascii="Arial" w:eastAsia="MS Gothic" w:hAnsi="Arial"/>
      <w:b/>
      <w:bCs/>
      <w:color w:val="BC091B"/>
      <w:sz w:val="32"/>
      <w:szCs w:val="28"/>
    </w:rPr>
  </w:style>
  <w:style w:type="paragraph" w:styleId="Nadpis2">
    <w:name w:val="heading 2"/>
    <w:next w:val="Normln"/>
    <w:link w:val="Nadpis2Char"/>
    <w:qFormat/>
    <w:rsid w:val="00A1636E"/>
    <w:pPr>
      <w:keepNext/>
      <w:keepLines/>
      <w:spacing w:before="120" w:after="240" w:line="288" w:lineRule="auto"/>
      <w:outlineLvl w:val="1"/>
    </w:pPr>
    <w:rPr>
      <w:rFonts w:ascii="Arial" w:eastAsia="MS Gothic" w:hAnsi="Arial"/>
      <w:b/>
      <w:bCs/>
      <w:color w:val="BC091B"/>
      <w:sz w:val="28"/>
      <w:szCs w:val="26"/>
    </w:rPr>
  </w:style>
  <w:style w:type="paragraph" w:styleId="Nadpis3">
    <w:name w:val="heading 3"/>
    <w:next w:val="Normln"/>
    <w:link w:val="Nadpis3Char"/>
    <w:qFormat/>
    <w:rsid w:val="00EE39DC"/>
    <w:pPr>
      <w:keepNext/>
      <w:keepLines/>
      <w:spacing w:before="240" w:after="120" w:line="288" w:lineRule="auto"/>
      <w:outlineLvl w:val="2"/>
    </w:pPr>
    <w:rPr>
      <w:rFonts w:ascii="Arial" w:eastAsia="MS Gothic" w:hAnsi="Arial"/>
      <w:b/>
      <w:bCs/>
      <w:color w:val="BC091B"/>
      <w:sz w:val="24"/>
      <w:szCs w:val="24"/>
    </w:rPr>
  </w:style>
  <w:style w:type="paragraph" w:styleId="Nadpis4">
    <w:name w:val="heading 4"/>
    <w:next w:val="Normln"/>
    <w:link w:val="Nadpis4Char"/>
    <w:qFormat/>
    <w:rsid w:val="005108C0"/>
    <w:pPr>
      <w:keepNext/>
      <w:keepLines/>
      <w:spacing w:line="288" w:lineRule="auto"/>
      <w:outlineLvl w:val="3"/>
    </w:pPr>
    <w:rPr>
      <w:rFonts w:ascii="Arial" w:eastAsia="MS Gothic" w:hAnsi="Arial"/>
      <w:b/>
      <w:bCs/>
      <w:iCs/>
      <w:szCs w:val="24"/>
    </w:rPr>
  </w:style>
  <w:style w:type="paragraph" w:styleId="Nadpis5">
    <w:name w:val="heading 5"/>
    <w:basedOn w:val="Normln"/>
    <w:next w:val="Normln"/>
    <w:link w:val="Nadpis5Char"/>
    <w:qFormat/>
    <w:rsid w:val="00110E3B"/>
    <w:pPr>
      <w:keepNext/>
      <w:spacing w:before="120" w:after="120" w:line="240" w:lineRule="auto"/>
      <w:jc w:val="center"/>
      <w:outlineLvl w:val="4"/>
    </w:pPr>
    <w:rPr>
      <w:b/>
      <w:bCs/>
      <w:sz w:val="16"/>
      <w:szCs w:val="16"/>
    </w:rPr>
  </w:style>
  <w:style w:type="paragraph" w:styleId="Nadpis6">
    <w:name w:val="heading 6"/>
    <w:basedOn w:val="Normln"/>
    <w:next w:val="Normln"/>
    <w:link w:val="Nadpis6Char"/>
    <w:qFormat/>
    <w:rsid w:val="00110E3B"/>
    <w:pPr>
      <w:keepNext/>
      <w:spacing w:before="120" w:after="120" w:line="240" w:lineRule="auto"/>
      <w:jc w:val="both"/>
      <w:outlineLvl w:val="5"/>
    </w:pPr>
    <w:rPr>
      <w:b/>
      <w:bCs/>
      <w:sz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E71A58"/>
    <w:rPr>
      <w:color w:val="0000FF"/>
      <w:u w:val="single"/>
    </w:rPr>
  </w:style>
  <w:style w:type="paragraph" w:customStyle="1" w:styleId="Styl1">
    <w:name w:val="Styl1"/>
    <w:rsid w:val="00E71A58"/>
    <w:pPr>
      <w:suppressAutoHyphens/>
      <w:autoSpaceDE w:val="0"/>
    </w:pPr>
    <w:rPr>
      <w:rFonts w:ascii="Arial" w:eastAsia="Times New Roman" w:hAnsi="Arial"/>
      <w:sz w:val="24"/>
      <w:szCs w:val="24"/>
      <w:lang w:eastAsia="ar-SA"/>
    </w:rPr>
  </w:style>
  <w:style w:type="paragraph" w:styleId="Zhlav">
    <w:name w:val="header"/>
    <w:basedOn w:val="Normln"/>
    <w:link w:val="ZhlavChar"/>
    <w:unhideWhenUsed/>
    <w:rsid w:val="00E71A58"/>
    <w:pPr>
      <w:tabs>
        <w:tab w:val="center" w:pos="4536"/>
        <w:tab w:val="right" w:pos="9072"/>
      </w:tabs>
    </w:pPr>
    <w:rPr>
      <w:rFonts w:ascii="Calibri" w:eastAsia="Calibri" w:hAnsi="Calibri"/>
      <w:sz w:val="22"/>
      <w:szCs w:val="22"/>
      <w:lang w:eastAsia="en-US"/>
    </w:rPr>
  </w:style>
  <w:style w:type="character" w:customStyle="1" w:styleId="ZhlavChar">
    <w:name w:val="Záhlaví Char"/>
    <w:basedOn w:val="Standardnpsmoodstavce"/>
    <w:link w:val="Zhlav"/>
    <w:rsid w:val="00E71A58"/>
  </w:style>
  <w:style w:type="paragraph" w:styleId="Zpat">
    <w:name w:val="footer"/>
    <w:basedOn w:val="Normln"/>
    <w:link w:val="ZpatChar"/>
    <w:uiPriority w:val="99"/>
    <w:unhideWhenUsed/>
    <w:rsid w:val="00E71A58"/>
    <w:pPr>
      <w:tabs>
        <w:tab w:val="center" w:pos="4536"/>
        <w:tab w:val="right" w:pos="9072"/>
      </w:tabs>
    </w:pPr>
    <w:rPr>
      <w:rFonts w:ascii="Calibri" w:eastAsia="Calibri" w:hAnsi="Calibri"/>
      <w:sz w:val="22"/>
      <w:szCs w:val="22"/>
      <w:lang w:eastAsia="en-US"/>
    </w:rPr>
  </w:style>
  <w:style w:type="character" w:customStyle="1" w:styleId="ZpatChar">
    <w:name w:val="Zápatí Char"/>
    <w:basedOn w:val="Standardnpsmoodstavce"/>
    <w:link w:val="Zpat"/>
    <w:uiPriority w:val="99"/>
    <w:rsid w:val="00E71A58"/>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basedOn w:val="Normln"/>
    <w:link w:val="ZkladnodstavecChar"/>
    <w:uiPriority w:val="99"/>
    <w:rsid w:val="001714F2"/>
    <w:pPr>
      <w:autoSpaceDE w:val="0"/>
      <w:autoSpaceDN w:val="0"/>
      <w:adjustRightInd w:val="0"/>
      <w:textAlignment w:val="center"/>
    </w:pPr>
    <w:rPr>
      <w:rFonts w:ascii="Minion Pro" w:eastAsia="Calibri" w:hAnsi="Minion Pro"/>
      <w:color w:val="000000"/>
      <w:sz w:val="24"/>
    </w:rPr>
  </w:style>
  <w:style w:type="paragraph" w:styleId="Nzev">
    <w:name w:val="Title"/>
    <w:next w:val="Normln"/>
    <w:link w:val="NzevChar"/>
    <w:qFormat/>
    <w:rsid w:val="0048086F"/>
    <w:pPr>
      <w:spacing w:line="288" w:lineRule="auto"/>
      <w:contextualSpacing/>
      <w:outlineLvl w:val="0"/>
    </w:pPr>
    <w:rPr>
      <w:rFonts w:ascii="Arial" w:eastAsia="MS Gothic" w:hAnsi="Arial"/>
      <w:b/>
      <w:caps/>
      <w:color w:val="BC091B"/>
      <w:sz w:val="56"/>
      <w:szCs w:val="52"/>
    </w:rPr>
  </w:style>
  <w:style w:type="character" w:customStyle="1" w:styleId="NzevChar">
    <w:name w:val="Název Char"/>
    <w:link w:val="Nzev"/>
    <w:rsid w:val="0048086F"/>
    <w:rPr>
      <w:rFonts w:ascii="Arial" w:eastAsia="MS Gothic" w:hAnsi="Arial"/>
      <w:b/>
      <w:caps/>
      <w:color w:val="BC091B"/>
      <w:sz w:val="56"/>
      <w:szCs w:val="52"/>
      <w:lang w:bidi="ar-SA"/>
    </w:rPr>
  </w:style>
  <w:style w:type="paragraph" w:styleId="Podtitul">
    <w:name w:val="Subtitle"/>
    <w:next w:val="Normln"/>
    <w:link w:val="PodtitulChar"/>
    <w:uiPriority w:val="11"/>
    <w:qFormat/>
    <w:rsid w:val="00BC3543"/>
    <w:pPr>
      <w:numPr>
        <w:ilvl w:val="1"/>
      </w:numPr>
      <w:spacing w:line="288" w:lineRule="auto"/>
    </w:pPr>
    <w:rPr>
      <w:rFonts w:ascii="Arial" w:eastAsia="MS Gothic" w:hAnsi="Arial"/>
      <w:b/>
      <w:iCs/>
      <w:color w:val="BC091B"/>
      <w:sz w:val="28"/>
      <w:szCs w:val="24"/>
    </w:rPr>
  </w:style>
  <w:style w:type="character" w:customStyle="1" w:styleId="PodtitulChar">
    <w:name w:val="Podtitul Char"/>
    <w:link w:val="Podtitul"/>
    <w:uiPriority w:val="11"/>
    <w:rsid w:val="00BC3543"/>
    <w:rPr>
      <w:rFonts w:ascii="Arial" w:eastAsia="MS Gothic" w:hAnsi="Arial"/>
      <w:b/>
      <w:iCs/>
      <w:color w:val="BC091B"/>
      <w:sz w:val="28"/>
      <w:szCs w:val="24"/>
      <w:lang w:bidi="ar-SA"/>
    </w:rPr>
  </w:style>
  <w:style w:type="character" w:customStyle="1" w:styleId="Nadpis1Char">
    <w:name w:val="Nadpis 1 Char"/>
    <w:link w:val="Nadpis1"/>
    <w:rsid w:val="00BC3543"/>
    <w:rPr>
      <w:rFonts w:ascii="Arial" w:eastAsia="MS Gothic" w:hAnsi="Arial"/>
      <w:b/>
      <w:bCs/>
      <w:color w:val="BC091B"/>
      <w:sz w:val="32"/>
      <w:szCs w:val="28"/>
      <w:lang w:bidi="ar-SA"/>
    </w:rPr>
  </w:style>
  <w:style w:type="character" w:customStyle="1" w:styleId="Nadpis2Char">
    <w:name w:val="Nadpis 2 Char"/>
    <w:link w:val="Nadpis2"/>
    <w:rsid w:val="00A1636E"/>
    <w:rPr>
      <w:rFonts w:ascii="Arial" w:eastAsia="MS Gothic" w:hAnsi="Arial"/>
      <w:b/>
      <w:bCs/>
      <w:color w:val="BC091B"/>
      <w:sz w:val="28"/>
      <w:szCs w:val="26"/>
    </w:rPr>
  </w:style>
  <w:style w:type="character" w:customStyle="1" w:styleId="Nadpis3Char">
    <w:name w:val="Nadpis 3 Char"/>
    <w:link w:val="Nadpis3"/>
    <w:rsid w:val="00EE39DC"/>
    <w:rPr>
      <w:rFonts w:ascii="Arial" w:eastAsia="MS Gothic" w:hAnsi="Arial"/>
      <w:b/>
      <w:bCs/>
      <w:color w:val="BC091B"/>
      <w:sz w:val="24"/>
      <w:szCs w:val="24"/>
    </w:rPr>
  </w:style>
  <w:style w:type="character" w:customStyle="1" w:styleId="Nadpis4Char">
    <w:name w:val="Nadpis 4 Char"/>
    <w:link w:val="Nadpis4"/>
    <w:rsid w:val="005108C0"/>
    <w:rPr>
      <w:rFonts w:ascii="Arial" w:eastAsia="MS Gothic" w:hAnsi="Arial"/>
      <w:b/>
      <w:bCs/>
      <w:iCs/>
      <w:szCs w:val="24"/>
      <w:lang w:bidi="ar-SA"/>
    </w:rPr>
  </w:style>
  <w:style w:type="paragraph" w:customStyle="1" w:styleId="Stednmka21">
    <w:name w:val="Střední mřížka 21"/>
    <w:aliases w:val="Bez zarážky"/>
    <w:link w:val="Stednmka2Char"/>
    <w:uiPriority w:val="1"/>
    <w:qFormat/>
    <w:rsid w:val="008D2A16"/>
    <w:pPr>
      <w:spacing w:line="288" w:lineRule="auto"/>
    </w:pPr>
    <w:rPr>
      <w:rFonts w:ascii="Arial" w:eastAsia="Times New Roman" w:hAnsi="Arial"/>
      <w:szCs w:val="24"/>
    </w:rPr>
  </w:style>
  <w:style w:type="paragraph" w:customStyle="1" w:styleId="Box1">
    <w:name w:val="Box 1"/>
    <w:basedOn w:val="Zkladnodstavec"/>
    <w:next w:val="Normln"/>
    <w:qFormat/>
    <w:rsid w:val="00BC3543"/>
    <w:pPr>
      <w:ind w:left="1134"/>
    </w:pPr>
    <w:rPr>
      <w:rFonts w:ascii="Arial" w:hAnsi="Arial" w:cs="Arial"/>
      <w:color w:val="BC091B"/>
      <w:sz w:val="20"/>
      <w:szCs w:val="20"/>
    </w:rPr>
  </w:style>
  <w:style w:type="paragraph" w:customStyle="1" w:styleId="Box2">
    <w:name w:val="Box 2"/>
    <w:basedOn w:val="Zkladnodstavec"/>
    <w:link w:val="Box2Char"/>
    <w:rsid w:val="00010702"/>
    <w:pPr>
      <w:shd w:val="clear" w:color="auto" w:fill="CCC0D9"/>
      <w:tabs>
        <w:tab w:val="left" w:pos="9638"/>
      </w:tabs>
      <w:ind w:left="1134" w:right="-1"/>
      <w:jc w:val="both"/>
    </w:pPr>
    <w:rPr>
      <w:rFonts w:ascii="Arial" w:hAnsi="Arial"/>
      <w:b/>
    </w:rPr>
  </w:style>
  <w:style w:type="paragraph" w:customStyle="1" w:styleId="Box">
    <w:name w:val="Box"/>
    <w:next w:val="Normln"/>
    <w:link w:val="BoxChar"/>
    <w:qFormat/>
    <w:rsid w:val="00210AA5"/>
    <w:pPr>
      <w:shd w:val="clear" w:color="auto" w:fill="F5DADD"/>
      <w:spacing w:line="288" w:lineRule="auto"/>
      <w:ind w:left="1134"/>
    </w:pPr>
    <w:rPr>
      <w:rFonts w:ascii="Arial" w:hAnsi="Arial"/>
      <w:color w:val="000000"/>
      <w:sz w:val="24"/>
      <w:szCs w:val="24"/>
    </w:rPr>
  </w:style>
  <w:style w:type="paragraph" w:customStyle="1" w:styleId="TL-Kontakty">
    <w:name w:val="TL - Kontakty"/>
    <w:next w:val="Normln"/>
    <w:link w:val="TL-KontaktyChar"/>
    <w:qFormat/>
    <w:rsid w:val="004F06F5"/>
    <w:pPr>
      <w:spacing w:after="80"/>
    </w:pPr>
    <w:rPr>
      <w:rFonts w:ascii="Arial" w:eastAsia="Times New Roman" w:hAnsi="Arial"/>
      <w:b/>
      <w:caps/>
      <w:color w:val="BD1B21"/>
      <w:sz w:val="24"/>
      <w:szCs w:val="24"/>
    </w:rPr>
  </w:style>
  <w:style w:type="character" w:customStyle="1" w:styleId="ZkladnodstavecChar">
    <w:name w:val="[Základní odstavec] Char"/>
    <w:link w:val="Zkladnodstavec"/>
    <w:uiPriority w:val="99"/>
    <w:rsid w:val="006710C9"/>
    <w:rPr>
      <w:rFonts w:ascii="Minion Pro" w:hAnsi="Minion Pro" w:cs="Minion Pro"/>
      <w:color w:val="000000"/>
      <w:sz w:val="24"/>
      <w:szCs w:val="24"/>
    </w:rPr>
  </w:style>
  <w:style w:type="character" w:customStyle="1" w:styleId="Box2Char">
    <w:name w:val="Box 2 Char"/>
    <w:link w:val="Box2"/>
    <w:rsid w:val="006710C9"/>
    <w:rPr>
      <w:rFonts w:ascii="Arial" w:hAnsi="Arial" w:cs="Arial"/>
      <w:b/>
      <w:color w:val="000000"/>
      <w:sz w:val="24"/>
      <w:szCs w:val="24"/>
      <w:shd w:val="clear" w:color="auto" w:fill="CCC0D9"/>
    </w:rPr>
  </w:style>
  <w:style w:type="character" w:customStyle="1" w:styleId="BoxChar">
    <w:name w:val="Box Char"/>
    <w:link w:val="Box"/>
    <w:rsid w:val="00210AA5"/>
    <w:rPr>
      <w:rFonts w:ascii="Arial" w:hAnsi="Arial"/>
      <w:color w:val="000000"/>
      <w:sz w:val="24"/>
      <w:szCs w:val="24"/>
      <w:shd w:val="clear" w:color="auto" w:fill="F5DADD"/>
      <w:lang w:bidi="ar-SA"/>
    </w:rPr>
  </w:style>
  <w:style w:type="paragraph" w:customStyle="1" w:styleId="TL-Identifikace">
    <w:name w:val="TL - Identifikace"/>
    <w:next w:val="Normln"/>
    <w:link w:val="TL-IdentifikaceChar"/>
    <w:qFormat/>
    <w:rsid w:val="004F06F5"/>
    <w:pPr>
      <w:spacing w:after="200" w:line="288" w:lineRule="auto"/>
    </w:pPr>
    <w:rPr>
      <w:rFonts w:ascii="Arial" w:eastAsia="Times New Roman" w:hAnsi="Arial"/>
      <w:sz w:val="24"/>
      <w:szCs w:val="24"/>
    </w:rPr>
  </w:style>
  <w:style w:type="character" w:customStyle="1" w:styleId="TL-KontaktyChar">
    <w:name w:val="TL - Kontakty Char"/>
    <w:link w:val="TL-Kontakty"/>
    <w:rsid w:val="004F06F5"/>
    <w:rPr>
      <w:rFonts w:ascii="Arial" w:eastAsia="Times New Roman" w:hAnsi="Arial"/>
      <w:b/>
      <w:caps/>
      <w:color w:val="BD1B21"/>
      <w:sz w:val="24"/>
      <w:szCs w:val="24"/>
      <w:lang w:bidi="ar-SA"/>
    </w:rPr>
  </w:style>
  <w:style w:type="character" w:customStyle="1" w:styleId="TL-IdentifikaceChar">
    <w:name w:val="TL - Identifikace Char"/>
    <w:link w:val="TL-Identifikace"/>
    <w:rsid w:val="004F06F5"/>
    <w:rPr>
      <w:rFonts w:ascii="Arial" w:eastAsia="Times New Roman" w:hAnsi="Arial"/>
      <w:sz w:val="24"/>
      <w:szCs w:val="24"/>
      <w:lang w:bidi="ar-SA"/>
    </w:rPr>
  </w:style>
  <w:style w:type="paragraph" w:customStyle="1" w:styleId="3372873BB58A4DED866D2BE34882C06C">
    <w:name w:val="3372873BB58A4DED866D2BE34882C06C"/>
    <w:rsid w:val="00EE3E78"/>
    <w:pPr>
      <w:spacing w:after="200" w:line="276" w:lineRule="auto"/>
    </w:pPr>
    <w:rPr>
      <w:rFonts w:eastAsia="MS Mincho"/>
      <w:sz w:val="22"/>
      <w:szCs w:val="22"/>
    </w:rPr>
  </w:style>
  <w:style w:type="paragraph" w:customStyle="1" w:styleId="233E5CD5853943F4BD7E8C4B124C0E1D">
    <w:name w:val="233E5CD5853943F4BD7E8C4B124C0E1D"/>
    <w:rsid w:val="00EE3E78"/>
    <w:pPr>
      <w:spacing w:after="200" w:line="276" w:lineRule="auto"/>
    </w:pPr>
    <w:rPr>
      <w:rFonts w:eastAsia="MS Mincho"/>
      <w:sz w:val="22"/>
      <w:szCs w:val="22"/>
    </w:rPr>
  </w:style>
  <w:style w:type="paragraph" w:customStyle="1" w:styleId="D345FF3D873148C5AE3FBF3267827368">
    <w:name w:val="D345FF3D873148C5AE3FBF3267827368"/>
    <w:rsid w:val="00EE3E78"/>
    <w:pPr>
      <w:spacing w:after="200" w:line="276" w:lineRule="auto"/>
    </w:pPr>
    <w:rPr>
      <w:rFonts w:eastAsia="MS Mincho"/>
      <w:sz w:val="22"/>
      <w:szCs w:val="22"/>
    </w:rPr>
  </w:style>
  <w:style w:type="character" w:customStyle="1" w:styleId="Stednmka2Char">
    <w:name w:val="Střední mřížka 2 Char"/>
    <w:aliases w:val="Bez zarážky Char"/>
    <w:link w:val="Stednmka21"/>
    <w:uiPriority w:val="1"/>
    <w:rsid w:val="00EE3E78"/>
    <w:rPr>
      <w:rFonts w:ascii="Arial" w:eastAsia="Times New Roman" w:hAnsi="Arial"/>
      <w:szCs w:val="24"/>
      <w:lang w:bidi="ar-SA"/>
    </w:rPr>
  </w:style>
  <w:style w:type="paragraph" w:customStyle="1" w:styleId="TL-identifikace-sted">
    <w:name w:val="TL - identifikace - střed"/>
    <w:basedOn w:val="Normln"/>
    <w:link w:val="TL-identifikace-stedChar"/>
    <w:qFormat/>
    <w:rsid w:val="006C113F"/>
    <w:pPr>
      <w:spacing w:after="200"/>
    </w:pPr>
    <w:rPr>
      <w:sz w:val="24"/>
    </w:rPr>
  </w:style>
  <w:style w:type="paragraph" w:customStyle="1" w:styleId="TL-Identifikace-dole">
    <w:name w:val="TL - Identifikace - dole"/>
    <w:basedOn w:val="Normln"/>
    <w:link w:val="TL-Identifikace-doleChar"/>
    <w:qFormat/>
    <w:rsid w:val="006C113F"/>
    <w:pPr>
      <w:spacing w:after="200"/>
    </w:pPr>
    <w:rPr>
      <w:szCs w:val="20"/>
      <w:lang w:eastAsia="ar-SA"/>
    </w:rPr>
  </w:style>
  <w:style w:type="character" w:customStyle="1" w:styleId="TL-identifikace-stedChar">
    <w:name w:val="TL - identifikace - střed Char"/>
    <w:link w:val="TL-identifikace-sted"/>
    <w:rsid w:val="006C113F"/>
    <w:rPr>
      <w:rFonts w:ascii="Arial" w:eastAsia="Times New Roman" w:hAnsi="Arial"/>
      <w:sz w:val="24"/>
      <w:szCs w:val="24"/>
    </w:rPr>
  </w:style>
  <w:style w:type="character" w:customStyle="1" w:styleId="TL-Identifikace-doleChar">
    <w:name w:val="TL - Identifikace - dole Char"/>
    <w:link w:val="TL-Identifikace-dole"/>
    <w:rsid w:val="006C113F"/>
    <w:rPr>
      <w:rFonts w:ascii="Arial" w:eastAsia="Times New Roman" w:hAnsi="Arial" w:cs="Arial"/>
      <w:lang w:eastAsia="ar-SA"/>
    </w:rPr>
  </w:style>
  <w:style w:type="paragraph" w:customStyle="1" w:styleId="Box-Lideaspolecnost">
    <w:name w:val="Box - Lide a spolecnost"/>
    <w:next w:val="Normln"/>
    <w:link w:val="Box-LideaspolecnostChar"/>
    <w:rsid w:val="00BC3543"/>
    <w:pPr>
      <w:shd w:val="clear" w:color="auto" w:fill="F5DADD"/>
      <w:spacing w:line="288" w:lineRule="auto"/>
      <w:ind w:left="1134"/>
    </w:pPr>
    <w:rPr>
      <w:rFonts w:ascii="Arial" w:hAnsi="Arial" w:cs="Arial"/>
    </w:rPr>
  </w:style>
  <w:style w:type="character" w:customStyle="1" w:styleId="Box-LideaspolecnostChar">
    <w:name w:val="Box - Lide a spolecnost Char"/>
    <w:link w:val="Box-Lideaspolecnost"/>
    <w:rsid w:val="00BC3543"/>
    <w:rPr>
      <w:rFonts w:ascii="Arial" w:hAnsi="Arial" w:cs="Arial"/>
      <w:shd w:val="clear" w:color="auto" w:fill="F5DADD"/>
      <w:lang w:val="cs-CZ" w:eastAsia="cs-CZ" w:bidi="ar-SA"/>
    </w:rPr>
  </w:style>
  <w:style w:type="paragraph" w:customStyle="1" w:styleId="Obsah">
    <w:name w:val="Obsah"/>
    <w:next w:val="Normln"/>
    <w:link w:val="ObsahChar"/>
    <w:qFormat/>
    <w:rsid w:val="007B47EE"/>
    <w:pPr>
      <w:spacing w:after="200"/>
    </w:pPr>
    <w:rPr>
      <w:rFonts w:ascii="Arial" w:eastAsia="MS Gothic" w:hAnsi="Arial"/>
      <w:b/>
      <w:bCs/>
      <w:color w:val="BC091B"/>
      <w:sz w:val="32"/>
      <w:szCs w:val="28"/>
    </w:rPr>
  </w:style>
  <w:style w:type="character" w:customStyle="1" w:styleId="ObsahChar">
    <w:name w:val="Obsah Char"/>
    <w:link w:val="Obsah"/>
    <w:rsid w:val="007B47EE"/>
    <w:rPr>
      <w:rFonts w:ascii="Arial" w:eastAsia="MS Gothic" w:hAnsi="Arial"/>
      <w:b/>
      <w:bCs/>
      <w:color w:val="BC091B"/>
      <w:sz w:val="32"/>
      <w:szCs w:val="28"/>
      <w:lang w:bidi="ar-SA"/>
    </w:rPr>
  </w:style>
  <w:style w:type="paragraph" w:styleId="Textpoznpodarou">
    <w:name w:val="footnote text"/>
    <w:basedOn w:val="Normln"/>
    <w:link w:val="TextpoznpodarouChar"/>
    <w:semiHidden/>
    <w:rsid w:val="00542E84"/>
    <w:pPr>
      <w:spacing w:before="120" w:after="120" w:line="240" w:lineRule="auto"/>
      <w:jc w:val="both"/>
    </w:pPr>
    <w:rPr>
      <w:sz w:val="16"/>
      <w:szCs w:val="20"/>
    </w:rPr>
  </w:style>
  <w:style w:type="character" w:customStyle="1" w:styleId="TextpoznpodarouChar">
    <w:name w:val="Text pozn. pod čarou Char"/>
    <w:basedOn w:val="Standardnpsmoodstavce"/>
    <w:link w:val="Textpoznpodarou"/>
    <w:semiHidden/>
    <w:rsid w:val="00542E84"/>
    <w:rPr>
      <w:rFonts w:ascii="Arial" w:eastAsia="Times New Roman" w:hAnsi="Arial"/>
      <w:sz w:val="16"/>
    </w:rPr>
  </w:style>
  <w:style w:type="character" w:styleId="Znakapoznpodarou">
    <w:name w:val="footnote reference"/>
    <w:basedOn w:val="Standardnpsmoodstavce"/>
    <w:semiHidden/>
    <w:rsid w:val="00542E84"/>
    <w:rPr>
      <w:vertAlign w:val="superscript"/>
    </w:rPr>
  </w:style>
  <w:style w:type="paragraph" w:customStyle="1" w:styleId="Poznamkapodcarou">
    <w:name w:val="Poznamka pod carou"/>
    <w:basedOn w:val="Normln"/>
    <w:rsid w:val="00542E84"/>
    <w:pPr>
      <w:spacing w:before="120" w:after="120" w:line="240" w:lineRule="auto"/>
    </w:pPr>
    <w:rPr>
      <w:sz w:val="16"/>
      <w:szCs w:val="20"/>
    </w:rPr>
  </w:style>
  <w:style w:type="character" w:customStyle="1" w:styleId="Nadpis5Char">
    <w:name w:val="Nadpis 5 Char"/>
    <w:basedOn w:val="Standardnpsmoodstavce"/>
    <w:link w:val="Nadpis5"/>
    <w:rsid w:val="00110E3B"/>
    <w:rPr>
      <w:rFonts w:ascii="Arial" w:eastAsia="Times New Roman" w:hAnsi="Arial"/>
      <w:b/>
      <w:bCs/>
      <w:sz w:val="16"/>
      <w:szCs w:val="16"/>
    </w:rPr>
  </w:style>
  <w:style w:type="character" w:customStyle="1" w:styleId="Nadpis6Char">
    <w:name w:val="Nadpis 6 Char"/>
    <w:basedOn w:val="Standardnpsmoodstavce"/>
    <w:link w:val="Nadpis6"/>
    <w:rsid w:val="00110E3B"/>
    <w:rPr>
      <w:rFonts w:ascii="Arial" w:eastAsia="Times New Roman" w:hAnsi="Arial"/>
      <w:b/>
      <w:bCs/>
      <w:sz w:val="16"/>
      <w:szCs w:val="24"/>
    </w:rPr>
  </w:style>
  <w:style w:type="paragraph" w:customStyle="1" w:styleId="Nadpisvlastn1">
    <w:name w:val="Nadpis vlastní 1"/>
    <w:basedOn w:val="Normln"/>
    <w:rsid w:val="00110E3B"/>
    <w:pPr>
      <w:spacing w:before="120" w:after="360" w:line="240" w:lineRule="auto"/>
      <w:jc w:val="both"/>
    </w:pPr>
    <w:rPr>
      <w:b/>
      <w:bCs/>
      <w:sz w:val="36"/>
      <w:szCs w:val="20"/>
    </w:rPr>
  </w:style>
  <w:style w:type="paragraph" w:customStyle="1" w:styleId="Nadpisvlastn2">
    <w:name w:val="Nadpis vlastní 2"/>
    <w:basedOn w:val="Nadpisvlastn1"/>
    <w:rsid w:val="00110E3B"/>
    <w:rPr>
      <w14:shadow w14:blurRad="50800" w14:dist="38100" w14:dir="2700000" w14:sx="100000" w14:sy="100000" w14:kx="0" w14:ky="0" w14:algn="tl">
        <w14:srgbClr w14:val="000000">
          <w14:alpha w14:val="60000"/>
        </w14:srgbClr>
      </w14:shadow>
    </w:rPr>
  </w:style>
  <w:style w:type="paragraph" w:styleId="Zkladntextodsazen">
    <w:name w:val="Body Text Indent"/>
    <w:basedOn w:val="Normln"/>
    <w:link w:val="ZkladntextodsazenChar"/>
    <w:semiHidden/>
    <w:rsid w:val="00110E3B"/>
    <w:pPr>
      <w:spacing w:before="120" w:after="120" w:line="240" w:lineRule="auto"/>
      <w:ind w:firstLine="720"/>
      <w:jc w:val="both"/>
    </w:pPr>
  </w:style>
  <w:style w:type="character" w:customStyle="1" w:styleId="ZkladntextodsazenChar">
    <w:name w:val="Základní text odsazený Char"/>
    <w:basedOn w:val="Standardnpsmoodstavce"/>
    <w:link w:val="Zkladntextodsazen"/>
    <w:semiHidden/>
    <w:rsid w:val="00110E3B"/>
    <w:rPr>
      <w:rFonts w:ascii="Arial" w:eastAsia="Times New Roman" w:hAnsi="Arial"/>
      <w:szCs w:val="24"/>
    </w:rPr>
  </w:style>
  <w:style w:type="paragraph" w:customStyle="1" w:styleId="xl25">
    <w:name w:val="xl2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cs="Arial"/>
      <w:sz w:val="16"/>
      <w:szCs w:val="16"/>
    </w:rPr>
  </w:style>
  <w:style w:type="paragraph" w:customStyle="1" w:styleId="xl26">
    <w:name w:val="xl2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6"/>
      <w:szCs w:val="16"/>
    </w:rPr>
  </w:style>
  <w:style w:type="paragraph" w:customStyle="1" w:styleId="xl27">
    <w:name w:val="xl2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cs="Arial"/>
      <w:sz w:val="16"/>
      <w:szCs w:val="16"/>
    </w:rPr>
  </w:style>
  <w:style w:type="paragraph" w:customStyle="1" w:styleId="xl28">
    <w:name w:val="xl28"/>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cs="Arial"/>
      <w:sz w:val="16"/>
      <w:szCs w:val="16"/>
    </w:rPr>
  </w:style>
  <w:style w:type="paragraph" w:customStyle="1" w:styleId="xl29">
    <w:name w:val="xl29"/>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0">
    <w:name w:val="xl30"/>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1">
    <w:name w:val="xl31"/>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2">
    <w:name w:val="xl32"/>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3">
    <w:name w:val="xl33"/>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4">
    <w:name w:val="xl34"/>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5">
    <w:name w:val="xl35"/>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cs="Arial"/>
      <w:b/>
      <w:bCs/>
      <w:sz w:val="16"/>
      <w:szCs w:val="16"/>
    </w:rPr>
  </w:style>
  <w:style w:type="paragraph" w:customStyle="1" w:styleId="xl24">
    <w:name w:val="xl24"/>
    <w:basedOn w:val="Normln"/>
    <w:rsid w:val="00110E3B"/>
    <w:pPr>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36">
    <w:name w:val="xl36"/>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7">
    <w:name w:val="xl37"/>
    <w:basedOn w:val="Normln"/>
    <w:rsid w:val="00110E3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8">
    <w:name w:val="xl38"/>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39">
    <w:name w:val="xl39"/>
    <w:basedOn w:val="Normln"/>
    <w:rsid w:val="00110E3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0">
    <w:name w:val="xl40"/>
    <w:basedOn w:val="Normln"/>
    <w:rsid w:val="00110E3B"/>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1">
    <w:name w:val="xl41"/>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w:sz w:val="16"/>
      <w:szCs w:val="16"/>
    </w:rPr>
  </w:style>
  <w:style w:type="paragraph" w:customStyle="1" w:styleId="xl42">
    <w:name w:val="xl42"/>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3">
    <w:name w:val="xl43"/>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4">
    <w:name w:val="xl44"/>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5">
    <w:name w:val="xl4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6">
    <w:name w:val="xl4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7">
    <w:name w:val="xl47"/>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48">
    <w:name w:val="xl48"/>
    <w:basedOn w:val="Normln"/>
    <w:rsid w:val="00110E3B"/>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both"/>
    </w:pPr>
    <w:rPr>
      <w:rFonts w:eastAsia="Arial Unicode MS" w:cs="Arial"/>
      <w:b/>
      <w:bCs/>
      <w:color w:val="000000"/>
      <w:sz w:val="16"/>
      <w:szCs w:val="16"/>
    </w:rPr>
  </w:style>
  <w:style w:type="paragraph" w:customStyle="1" w:styleId="xl49">
    <w:name w:val="xl49"/>
    <w:basedOn w:val="Normln"/>
    <w:rsid w:val="00110E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eastAsia="Arial Unicode MS" w:cs="Arial Unicode MS"/>
      <w:sz w:val="16"/>
      <w:szCs w:val="16"/>
    </w:rPr>
  </w:style>
  <w:style w:type="paragraph" w:customStyle="1" w:styleId="xl50">
    <w:name w:val="xl50"/>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1">
    <w:name w:val="xl51"/>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2">
    <w:name w:val="xl52"/>
    <w:basedOn w:val="Normln"/>
    <w:rsid w:val="00110E3B"/>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3">
    <w:name w:val="xl53"/>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54">
    <w:name w:val="xl54"/>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Arial Unicode MS" w:cs="Arial Unicode MS"/>
      <w:sz w:val="16"/>
      <w:szCs w:val="16"/>
    </w:rPr>
  </w:style>
  <w:style w:type="paragraph" w:customStyle="1" w:styleId="xl55">
    <w:name w:val="xl55"/>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eastAsia="Arial Unicode MS" w:cs="Arial Unicode MS"/>
      <w:sz w:val="16"/>
      <w:szCs w:val="16"/>
    </w:rPr>
  </w:style>
  <w:style w:type="paragraph" w:customStyle="1" w:styleId="xl56">
    <w:name w:val="xl56"/>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57">
    <w:name w:val="xl5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b/>
      <w:bCs/>
      <w:sz w:val="16"/>
      <w:szCs w:val="16"/>
    </w:rPr>
  </w:style>
  <w:style w:type="paragraph" w:customStyle="1" w:styleId="xl58">
    <w:name w:val="xl58"/>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9">
    <w:name w:val="xl59"/>
    <w:basedOn w:val="Normln"/>
    <w:rsid w:val="00110E3B"/>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eastAsia="Arial Unicode MS" w:cs="Arial"/>
      <w:color w:val="000000"/>
    </w:rPr>
  </w:style>
  <w:style w:type="paragraph" w:customStyle="1" w:styleId="xl60">
    <w:name w:val="xl60"/>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1">
    <w:name w:val="xl61"/>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2">
    <w:name w:val="xl62"/>
    <w:basedOn w:val="Normln"/>
    <w:rsid w:val="00110E3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3">
    <w:name w:val="xl63"/>
    <w:basedOn w:val="Normln"/>
    <w:rsid w:val="00110E3B"/>
    <w:pPr>
      <w:pBdr>
        <w:top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4">
    <w:name w:val="xl64"/>
    <w:basedOn w:val="Normln"/>
    <w:rsid w:val="00110E3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5">
    <w:name w:val="xl65"/>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6">
    <w:name w:val="xl66"/>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7">
    <w:name w:val="xl67"/>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8">
    <w:name w:val="xl68"/>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9">
    <w:name w:val="xl69"/>
    <w:basedOn w:val="Normln"/>
    <w:rsid w:val="00110E3B"/>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both"/>
    </w:pPr>
    <w:rPr>
      <w:rFonts w:eastAsia="Arial Unicode MS" w:cs="Arial"/>
      <w:sz w:val="16"/>
      <w:szCs w:val="16"/>
    </w:rPr>
  </w:style>
  <w:style w:type="paragraph" w:customStyle="1" w:styleId="xl70">
    <w:name w:val="xl70"/>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1">
    <w:name w:val="xl71"/>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2">
    <w:name w:val="xl72"/>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3">
    <w:name w:val="xl73"/>
    <w:basedOn w:val="Normln"/>
    <w:rsid w:val="00110E3B"/>
    <w:pPr>
      <w:pBdr>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4">
    <w:name w:val="xl74"/>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5">
    <w:name w:val="xl75"/>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76">
    <w:name w:val="xl76"/>
    <w:basedOn w:val="Normln"/>
    <w:rsid w:val="00110E3B"/>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7">
    <w:name w:val="xl77"/>
    <w:basedOn w:val="Normln"/>
    <w:rsid w:val="00110E3B"/>
    <w:pPr>
      <w:pBdr>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8">
    <w:name w:val="xl78"/>
    <w:basedOn w:val="Normln"/>
    <w:rsid w:val="00110E3B"/>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character" w:styleId="slostrnky">
    <w:name w:val="page number"/>
    <w:basedOn w:val="Standardnpsmoodstavce"/>
    <w:semiHidden/>
    <w:rsid w:val="00110E3B"/>
  </w:style>
  <w:style w:type="paragraph" w:styleId="Zkladntext">
    <w:name w:val="Body Text"/>
    <w:basedOn w:val="Normln"/>
    <w:link w:val="ZkladntextChar"/>
    <w:semiHidden/>
    <w:rsid w:val="00110E3B"/>
    <w:pPr>
      <w:spacing w:before="120" w:after="120" w:line="240" w:lineRule="auto"/>
      <w:jc w:val="both"/>
    </w:pPr>
  </w:style>
  <w:style w:type="character" w:customStyle="1" w:styleId="ZkladntextChar">
    <w:name w:val="Základní text Char"/>
    <w:basedOn w:val="Standardnpsmoodstavce"/>
    <w:link w:val="Zkladntext"/>
    <w:semiHidden/>
    <w:rsid w:val="00110E3B"/>
    <w:rPr>
      <w:rFonts w:ascii="Arial" w:eastAsia="Times New Roman" w:hAnsi="Arial"/>
      <w:szCs w:val="24"/>
    </w:rPr>
  </w:style>
  <w:style w:type="paragraph" w:styleId="Obsah1">
    <w:name w:val="toc 1"/>
    <w:basedOn w:val="Normln"/>
    <w:next w:val="Normln"/>
    <w:autoRedefine/>
    <w:uiPriority w:val="39"/>
    <w:rsid w:val="00110E3B"/>
    <w:pPr>
      <w:spacing w:before="120" w:after="120" w:line="240" w:lineRule="auto"/>
      <w:jc w:val="both"/>
    </w:pPr>
  </w:style>
  <w:style w:type="paragraph" w:styleId="Obsah2">
    <w:name w:val="toc 2"/>
    <w:basedOn w:val="Normln"/>
    <w:next w:val="Normln"/>
    <w:autoRedefine/>
    <w:uiPriority w:val="39"/>
    <w:rsid w:val="00110E3B"/>
    <w:pPr>
      <w:spacing w:before="120" w:after="120" w:line="240" w:lineRule="auto"/>
      <w:ind w:left="240"/>
      <w:jc w:val="both"/>
    </w:pPr>
  </w:style>
  <w:style w:type="paragraph" w:styleId="Obsah3">
    <w:name w:val="toc 3"/>
    <w:basedOn w:val="Normln"/>
    <w:next w:val="Normln"/>
    <w:autoRedefine/>
    <w:uiPriority w:val="39"/>
    <w:rsid w:val="00110E3B"/>
    <w:pPr>
      <w:spacing w:before="120" w:after="120" w:line="240" w:lineRule="auto"/>
      <w:ind w:left="480"/>
      <w:jc w:val="both"/>
    </w:pPr>
  </w:style>
  <w:style w:type="paragraph" w:styleId="Obsah4">
    <w:name w:val="toc 4"/>
    <w:basedOn w:val="Normln"/>
    <w:next w:val="Normln"/>
    <w:autoRedefine/>
    <w:semiHidden/>
    <w:rsid w:val="00110E3B"/>
    <w:pPr>
      <w:spacing w:before="120" w:after="120" w:line="240" w:lineRule="auto"/>
      <w:ind w:left="720"/>
      <w:jc w:val="both"/>
    </w:pPr>
  </w:style>
  <w:style w:type="paragraph" w:styleId="Obsah5">
    <w:name w:val="toc 5"/>
    <w:basedOn w:val="Normln"/>
    <w:next w:val="Normln"/>
    <w:autoRedefine/>
    <w:semiHidden/>
    <w:rsid w:val="00110E3B"/>
    <w:pPr>
      <w:spacing w:before="120" w:after="120" w:line="240" w:lineRule="auto"/>
      <w:ind w:left="960"/>
      <w:jc w:val="both"/>
    </w:pPr>
  </w:style>
  <w:style w:type="paragraph" w:styleId="Obsah6">
    <w:name w:val="toc 6"/>
    <w:basedOn w:val="Normln"/>
    <w:next w:val="Normln"/>
    <w:autoRedefine/>
    <w:semiHidden/>
    <w:rsid w:val="00110E3B"/>
    <w:pPr>
      <w:spacing w:before="120" w:after="120" w:line="240" w:lineRule="auto"/>
      <w:ind w:left="1200"/>
      <w:jc w:val="both"/>
    </w:pPr>
  </w:style>
  <w:style w:type="paragraph" w:styleId="Obsah7">
    <w:name w:val="toc 7"/>
    <w:basedOn w:val="Normln"/>
    <w:next w:val="Normln"/>
    <w:autoRedefine/>
    <w:semiHidden/>
    <w:rsid w:val="00110E3B"/>
    <w:pPr>
      <w:spacing w:before="120" w:after="120" w:line="240" w:lineRule="auto"/>
      <w:ind w:left="1440"/>
      <w:jc w:val="both"/>
    </w:pPr>
  </w:style>
  <w:style w:type="paragraph" w:styleId="Obsah8">
    <w:name w:val="toc 8"/>
    <w:basedOn w:val="Normln"/>
    <w:next w:val="Normln"/>
    <w:autoRedefine/>
    <w:semiHidden/>
    <w:rsid w:val="00110E3B"/>
    <w:pPr>
      <w:spacing w:before="120" w:after="120" w:line="240" w:lineRule="auto"/>
      <w:ind w:left="1680"/>
      <w:jc w:val="both"/>
    </w:pPr>
  </w:style>
  <w:style w:type="paragraph" w:styleId="Obsah9">
    <w:name w:val="toc 9"/>
    <w:basedOn w:val="Normln"/>
    <w:next w:val="Normln"/>
    <w:autoRedefine/>
    <w:semiHidden/>
    <w:rsid w:val="00110E3B"/>
    <w:pPr>
      <w:spacing w:before="120" w:after="120" w:line="240" w:lineRule="auto"/>
      <w:ind w:left="1920"/>
      <w:jc w:val="both"/>
    </w:pPr>
  </w:style>
  <w:style w:type="character" w:styleId="Sledovanodkaz">
    <w:name w:val="FollowedHyperlink"/>
    <w:basedOn w:val="Standardnpsmoodstavce"/>
    <w:semiHidden/>
    <w:rsid w:val="00110E3B"/>
    <w:rPr>
      <w:color w:val="800080"/>
      <w:u w:val="single"/>
    </w:rPr>
  </w:style>
  <w:style w:type="paragraph" w:customStyle="1" w:styleId="normalnsodrkami">
    <w:name w:val="normalní s odrážkami"/>
    <w:basedOn w:val="Normln"/>
    <w:rsid w:val="00110E3B"/>
    <w:pPr>
      <w:numPr>
        <w:numId w:val="6"/>
      </w:numPr>
      <w:spacing w:before="120" w:after="120" w:line="240" w:lineRule="auto"/>
      <w:jc w:val="both"/>
    </w:pPr>
  </w:style>
  <w:style w:type="paragraph" w:styleId="Zkladntext2">
    <w:name w:val="Body Text 2"/>
    <w:basedOn w:val="Normln"/>
    <w:link w:val="Zkladntext2Char"/>
    <w:semiHidden/>
    <w:rsid w:val="00110E3B"/>
    <w:pPr>
      <w:spacing w:before="120" w:after="120" w:line="240" w:lineRule="auto"/>
      <w:jc w:val="both"/>
    </w:pPr>
    <w:rPr>
      <w:rFonts w:cs="Arial"/>
    </w:rPr>
  </w:style>
  <w:style w:type="character" w:customStyle="1" w:styleId="Zkladntext2Char">
    <w:name w:val="Základní text 2 Char"/>
    <w:basedOn w:val="Standardnpsmoodstavce"/>
    <w:link w:val="Zkladntext2"/>
    <w:semiHidden/>
    <w:rsid w:val="00110E3B"/>
    <w:rPr>
      <w:rFonts w:ascii="Arial" w:eastAsia="Times New Roman" w:hAnsi="Arial" w:cs="Arial"/>
      <w:szCs w:val="24"/>
    </w:rPr>
  </w:style>
  <w:style w:type="paragraph" w:customStyle="1" w:styleId="Default">
    <w:name w:val="Default"/>
    <w:rsid w:val="00110E3B"/>
    <w:pPr>
      <w:autoSpaceDE w:val="0"/>
      <w:autoSpaceDN w:val="0"/>
      <w:adjustRightInd w:val="0"/>
    </w:pPr>
    <w:rPr>
      <w:rFonts w:ascii="Times New Roman" w:eastAsia="Times New Roman" w:hAnsi="Times New Roman"/>
      <w:color w:val="000000"/>
      <w:sz w:val="24"/>
      <w:szCs w:val="24"/>
    </w:rPr>
  </w:style>
  <w:style w:type="paragraph" w:styleId="Zkladntext3">
    <w:name w:val="Body Text 3"/>
    <w:basedOn w:val="Normln"/>
    <w:link w:val="Zkladntext3Char"/>
    <w:semiHidden/>
    <w:rsid w:val="00110E3B"/>
    <w:pPr>
      <w:spacing w:before="120" w:after="120" w:line="240" w:lineRule="auto"/>
      <w:jc w:val="both"/>
    </w:pPr>
    <w:rPr>
      <w:rFonts w:cs="Arial"/>
    </w:rPr>
  </w:style>
  <w:style w:type="character" w:customStyle="1" w:styleId="Zkladntext3Char">
    <w:name w:val="Základní text 3 Char"/>
    <w:basedOn w:val="Standardnpsmoodstavce"/>
    <w:link w:val="Zkladntext3"/>
    <w:semiHidden/>
    <w:rsid w:val="00110E3B"/>
    <w:rPr>
      <w:rFonts w:ascii="Arial" w:eastAsia="Times New Roman" w:hAnsi="Arial" w:cs="Arial"/>
      <w:szCs w:val="24"/>
    </w:rPr>
  </w:style>
  <w:style w:type="paragraph" w:styleId="Textvysvtlivek">
    <w:name w:val="endnote text"/>
    <w:basedOn w:val="Normln"/>
    <w:link w:val="TextvysvtlivekChar"/>
    <w:semiHidden/>
    <w:rsid w:val="00110E3B"/>
    <w:pPr>
      <w:spacing w:before="120" w:after="120" w:line="240" w:lineRule="auto"/>
      <w:jc w:val="both"/>
    </w:pPr>
    <w:rPr>
      <w:szCs w:val="20"/>
    </w:rPr>
  </w:style>
  <w:style w:type="character" w:customStyle="1" w:styleId="TextvysvtlivekChar">
    <w:name w:val="Text vysvětlivek Char"/>
    <w:basedOn w:val="Standardnpsmoodstavce"/>
    <w:link w:val="Textvysvtlivek"/>
    <w:semiHidden/>
    <w:rsid w:val="00110E3B"/>
    <w:rPr>
      <w:rFonts w:ascii="Arial" w:eastAsia="Times New Roman" w:hAnsi="Arial"/>
    </w:rPr>
  </w:style>
  <w:style w:type="character" w:styleId="Odkaznavysvtlivky">
    <w:name w:val="endnote reference"/>
    <w:basedOn w:val="Standardnpsmoodstavce"/>
    <w:semiHidden/>
    <w:rsid w:val="00110E3B"/>
    <w:rPr>
      <w:vertAlign w:val="superscript"/>
    </w:rPr>
  </w:style>
  <w:style w:type="character" w:styleId="Siln">
    <w:name w:val="Strong"/>
    <w:basedOn w:val="Standardnpsmoodstavce"/>
    <w:uiPriority w:val="22"/>
    <w:qFormat/>
    <w:rsid w:val="00110E3B"/>
    <w:rPr>
      <w:b/>
      <w:bCs/>
    </w:rPr>
  </w:style>
  <w:style w:type="character" w:customStyle="1" w:styleId="longtext1">
    <w:name w:val="long_text1"/>
    <w:basedOn w:val="Standardnpsmoodstavce"/>
    <w:rsid w:val="00110E3B"/>
    <w:rPr>
      <w:sz w:val="20"/>
      <w:szCs w:val="20"/>
    </w:rPr>
  </w:style>
  <w:style w:type="paragraph" w:styleId="Normlnweb">
    <w:name w:val="Normal (Web)"/>
    <w:basedOn w:val="Normln"/>
    <w:uiPriority w:val="99"/>
    <w:unhideWhenUsed/>
    <w:rsid w:val="00110E3B"/>
    <w:pPr>
      <w:spacing w:before="100" w:beforeAutospacing="1" w:after="100" w:afterAutospacing="1" w:line="240" w:lineRule="auto"/>
      <w:jc w:val="both"/>
    </w:pPr>
  </w:style>
  <w:style w:type="paragraph" w:customStyle="1" w:styleId="nazevtabulky">
    <w:name w:val="nazev tabulky"/>
    <w:basedOn w:val="Normln"/>
    <w:qFormat/>
    <w:rsid w:val="00110E3B"/>
    <w:pPr>
      <w:spacing w:before="240" w:after="240" w:line="240" w:lineRule="auto"/>
    </w:pPr>
    <w:rPr>
      <w:b/>
      <w:bCs/>
      <w:szCs w:val="17"/>
    </w:rPr>
  </w:style>
  <w:style w:type="paragraph" w:styleId="Odstavecseseznamem">
    <w:name w:val="List Paragraph"/>
    <w:basedOn w:val="Normln"/>
    <w:uiPriority w:val="34"/>
    <w:qFormat/>
    <w:rsid w:val="00110E3B"/>
    <w:pPr>
      <w:spacing w:before="120" w:after="120" w:line="240" w:lineRule="auto"/>
      <w:ind w:left="720"/>
      <w:contextualSpacing/>
      <w:jc w:val="both"/>
    </w:pPr>
  </w:style>
  <w:style w:type="numbering" w:customStyle="1" w:styleId="Bezseznamu1">
    <w:name w:val="Bez seznamu1"/>
    <w:next w:val="Bezseznamu"/>
    <w:uiPriority w:val="99"/>
    <w:semiHidden/>
    <w:unhideWhenUsed/>
    <w:rsid w:val="00DB4F3B"/>
  </w:style>
  <w:style w:type="table" w:styleId="Mkatabulky">
    <w:name w:val="Table Grid"/>
    <w:basedOn w:val="Normlntabulka"/>
    <w:uiPriority w:val="59"/>
    <w:rsid w:val="00DB4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vlastn">
    <w:name w:val="Text vlastní"/>
    <w:basedOn w:val="Normln"/>
    <w:rsid w:val="00DB4F3B"/>
    <w:pPr>
      <w:spacing w:before="120" w:line="240" w:lineRule="auto"/>
      <w:jc w:val="both"/>
    </w:pPr>
    <w:rPr>
      <w:sz w:val="18"/>
      <w:szCs w:val="20"/>
    </w:rPr>
  </w:style>
  <w:style w:type="character" w:styleId="Odkaznakoment">
    <w:name w:val="annotation reference"/>
    <w:basedOn w:val="Standardnpsmoodstavce"/>
    <w:uiPriority w:val="99"/>
    <w:semiHidden/>
    <w:unhideWhenUsed/>
    <w:rsid w:val="00DB4F3B"/>
    <w:rPr>
      <w:sz w:val="16"/>
      <w:szCs w:val="16"/>
    </w:rPr>
  </w:style>
  <w:style w:type="paragraph" w:styleId="Textkomente">
    <w:name w:val="annotation text"/>
    <w:basedOn w:val="Normln"/>
    <w:link w:val="TextkomenteChar"/>
    <w:uiPriority w:val="99"/>
    <w:semiHidden/>
    <w:unhideWhenUsed/>
    <w:rsid w:val="00DB4F3B"/>
    <w:pPr>
      <w:keepNext/>
      <w:spacing w:line="240" w:lineRule="auto"/>
      <w:jc w:val="both"/>
    </w:pPr>
    <w:rPr>
      <w:szCs w:val="20"/>
    </w:rPr>
  </w:style>
  <w:style w:type="character" w:customStyle="1" w:styleId="TextkomenteChar">
    <w:name w:val="Text komentáře Char"/>
    <w:basedOn w:val="Standardnpsmoodstavce"/>
    <w:link w:val="Textkomente"/>
    <w:uiPriority w:val="99"/>
    <w:semiHidden/>
    <w:rsid w:val="00DB4F3B"/>
    <w:rPr>
      <w:rFonts w:ascii="Arial" w:eastAsia="Times New Roman" w:hAnsi="Arial"/>
    </w:rPr>
  </w:style>
  <w:style w:type="paragraph" w:styleId="Pedmtkomente">
    <w:name w:val="annotation subject"/>
    <w:basedOn w:val="Textkomente"/>
    <w:next w:val="Textkomente"/>
    <w:link w:val="PedmtkomenteChar"/>
    <w:uiPriority w:val="99"/>
    <w:semiHidden/>
    <w:unhideWhenUsed/>
    <w:rsid w:val="00DB4F3B"/>
    <w:rPr>
      <w:b/>
      <w:bCs/>
    </w:rPr>
  </w:style>
  <w:style w:type="character" w:customStyle="1" w:styleId="PedmtkomenteChar">
    <w:name w:val="Předmět komentáře Char"/>
    <w:basedOn w:val="TextkomenteChar"/>
    <w:link w:val="Pedmtkomente"/>
    <w:uiPriority w:val="99"/>
    <w:semiHidden/>
    <w:rsid w:val="00DB4F3B"/>
    <w:rPr>
      <w:rFonts w:ascii="Arial" w:eastAsia="Times New Roman" w:hAnsi="Arial"/>
      <w:b/>
      <w:bCs/>
    </w:rPr>
  </w:style>
  <w:style w:type="table" w:styleId="Stednmka3zvraznn2">
    <w:name w:val="Medium Grid 3 Accent 2"/>
    <w:basedOn w:val="Normlntabulka"/>
    <w:uiPriority w:val="60"/>
    <w:rsid w:val="003519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numbering" w:customStyle="1" w:styleId="Bezseznamu2">
    <w:name w:val="Bez seznamu2"/>
    <w:next w:val="Bezseznamu"/>
    <w:uiPriority w:val="99"/>
    <w:semiHidden/>
    <w:unhideWhenUsed/>
    <w:rsid w:val="00DE3724"/>
  </w:style>
  <w:style w:type="paragraph" w:styleId="Nadpisobsahu">
    <w:name w:val="TOC Heading"/>
    <w:basedOn w:val="Nadpis1"/>
    <w:next w:val="Normln"/>
    <w:uiPriority w:val="39"/>
    <w:semiHidden/>
    <w:unhideWhenUsed/>
    <w:qFormat/>
    <w:rsid w:val="00DE3724"/>
    <w:pPr>
      <w:spacing w:before="480" w:after="0" w:line="276" w:lineRule="auto"/>
      <w:outlineLvl w:val="9"/>
    </w:pPr>
    <w:rPr>
      <w:rFonts w:asciiTheme="majorHAnsi" w:eastAsiaTheme="majorEastAsia" w:hAnsiTheme="majorHAnsi" w:cstheme="majorBidi"/>
      <w:color w:val="365F91" w:themeColor="accent1" w:themeShade="BF"/>
      <w:sz w:val="28"/>
    </w:rPr>
  </w:style>
  <w:style w:type="numbering" w:customStyle="1" w:styleId="Bezseznamu3">
    <w:name w:val="Bez seznamu3"/>
    <w:next w:val="Bezseznamu"/>
    <w:uiPriority w:val="99"/>
    <w:semiHidden/>
    <w:unhideWhenUsed/>
    <w:rsid w:val="00F41C6D"/>
  </w:style>
  <w:style w:type="table" w:customStyle="1" w:styleId="Mkatabulky1">
    <w:name w:val="Mřížka tabulky1"/>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46708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46708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Standardnpsmoodstavce"/>
    <w:rsid w:val="00214E6F"/>
  </w:style>
  <w:style w:type="character" w:styleId="Zvraznn">
    <w:name w:val="Emphasis"/>
    <w:basedOn w:val="Standardnpsmoodstavce"/>
    <w:uiPriority w:val="20"/>
    <w:qFormat/>
    <w:rsid w:val="00214E6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ln">
    <w:name w:val="Normal"/>
    <w:qFormat/>
    <w:rsid w:val="007B47EE"/>
    <w:pPr>
      <w:spacing w:line="288" w:lineRule="auto"/>
    </w:pPr>
    <w:rPr>
      <w:rFonts w:ascii="Arial" w:eastAsia="Times New Roman" w:hAnsi="Arial"/>
      <w:szCs w:val="24"/>
    </w:rPr>
  </w:style>
  <w:style w:type="paragraph" w:styleId="Nadpis1">
    <w:name w:val="heading 1"/>
    <w:next w:val="Normln"/>
    <w:link w:val="Nadpis1Char"/>
    <w:qFormat/>
    <w:rsid w:val="00BC3543"/>
    <w:pPr>
      <w:keepNext/>
      <w:keepLines/>
      <w:spacing w:after="200" w:line="288" w:lineRule="auto"/>
      <w:outlineLvl w:val="0"/>
    </w:pPr>
    <w:rPr>
      <w:rFonts w:ascii="Arial" w:eastAsia="MS Gothic" w:hAnsi="Arial"/>
      <w:b/>
      <w:bCs/>
      <w:color w:val="BC091B"/>
      <w:sz w:val="32"/>
      <w:szCs w:val="28"/>
    </w:rPr>
  </w:style>
  <w:style w:type="paragraph" w:styleId="Nadpis2">
    <w:name w:val="heading 2"/>
    <w:next w:val="Normln"/>
    <w:link w:val="Nadpis2Char"/>
    <w:qFormat/>
    <w:rsid w:val="00A1636E"/>
    <w:pPr>
      <w:keepNext/>
      <w:keepLines/>
      <w:spacing w:before="120" w:after="240" w:line="288" w:lineRule="auto"/>
      <w:outlineLvl w:val="1"/>
    </w:pPr>
    <w:rPr>
      <w:rFonts w:ascii="Arial" w:eastAsia="MS Gothic" w:hAnsi="Arial"/>
      <w:b/>
      <w:bCs/>
      <w:color w:val="BC091B"/>
      <w:sz w:val="28"/>
      <w:szCs w:val="26"/>
    </w:rPr>
  </w:style>
  <w:style w:type="paragraph" w:styleId="Nadpis3">
    <w:name w:val="heading 3"/>
    <w:next w:val="Normln"/>
    <w:link w:val="Nadpis3Char"/>
    <w:qFormat/>
    <w:rsid w:val="00EE39DC"/>
    <w:pPr>
      <w:keepNext/>
      <w:keepLines/>
      <w:spacing w:before="240" w:after="120" w:line="288" w:lineRule="auto"/>
      <w:outlineLvl w:val="2"/>
    </w:pPr>
    <w:rPr>
      <w:rFonts w:ascii="Arial" w:eastAsia="MS Gothic" w:hAnsi="Arial"/>
      <w:b/>
      <w:bCs/>
      <w:color w:val="BC091B"/>
      <w:sz w:val="24"/>
      <w:szCs w:val="24"/>
    </w:rPr>
  </w:style>
  <w:style w:type="paragraph" w:styleId="Nadpis4">
    <w:name w:val="heading 4"/>
    <w:next w:val="Normln"/>
    <w:link w:val="Nadpis4Char"/>
    <w:qFormat/>
    <w:rsid w:val="005108C0"/>
    <w:pPr>
      <w:keepNext/>
      <w:keepLines/>
      <w:spacing w:line="288" w:lineRule="auto"/>
      <w:outlineLvl w:val="3"/>
    </w:pPr>
    <w:rPr>
      <w:rFonts w:ascii="Arial" w:eastAsia="MS Gothic" w:hAnsi="Arial"/>
      <w:b/>
      <w:bCs/>
      <w:iCs/>
      <w:szCs w:val="24"/>
    </w:rPr>
  </w:style>
  <w:style w:type="paragraph" w:styleId="Nadpis5">
    <w:name w:val="heading 5"/>
    <w:basedOn w:val="Normln"/>
    <w:next w:val="Normln"/>
    <w:link w:val="Nadpis5Char"/>
    <w:qFormat/>
    <w:rsid w:val="00110E3B"/>
    <w:pPr>
      <w:keepNext/>
      <w:spacing w:before="120" w:after="120" w:line="240" w:lineRule="auto"/>
      <w:jc w:val="center"/>
      <w:outlineLvl w:val="4"/>
    </w:pPr>
    <w:rPr>
      <w:b/>
      <w:bCs/>
      <w:sz w:val="16"/>
      <w:szCs w:val="16"/>
    </w:rPr>
  </w:style>
  <w:style w:type="paragraph" w:styleId="Nadpis6">
    <w:name w:val="heading 6"/>
    <w:basedOn w:val="Normln"/>
    <w:next w:val="Normln"/>
    <w:link w:val="Nadpis6Char"/>
    <w:qFormat/>
    <w:rsid w:val="00110E3B"/>
    <w:pPr>
      <w:keepNext/>
      <w:spacing w:before="120" w:after="120" w:line="240" w:lineRule="auto"/>
      <w:jc w:val="both"/>
      <w:outlineLvl w:val="5"/>
    </w:pPr>
    <w:rPr>
      <w:b/>
      <w:bCs/>
      <w:sz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E71A58"/>
    <w:rPr>
      <w:color w:val="0000FF"/>
      <w:u w:val="single"/>
    </w:rPr>
  </w:style>
  <w:style w:type="paragraph" w:customStyle="1" w:styleId="Styl1">
    <w:name w:val="Styl1"/>
    <w:rsid w:val="00E71A58"/>
    <w:pPr>
      <w:suppressAutoHyphens/>
      <w:autoSpaceDE w:val="0"/>
    </w:pPr>
    <w:rPr>
      <w:rFonts w:ascii="Arial" w:eastAsia="Times New Roman" w:hAnsi="Arial"/>
      <w:sz w:val="24"/>
      <w:szCs w:val="24"/>
      <w:lang w:eastAsia="ar-SA"/>
    </w:rPr>
  </w:style>
  <w:style w:type="paragraph" w:styleId="Zhlav">
    <w:name w:val="header"/>
    <w:basedOn w:val="Normln"/>
    <w:link w:val="ZhlavChar"/>
    <w:unhideWhenUsed/>
    <w:rsid w:val="00E71A58"/>
    <w:pPr>
      <w:tabs>
        <w:tab w:val="center" w:pos="4536"/>
        <w:tab w:val="right" w:pos="9072"/>
      </w:tabs>
    </w:pPr>
    <w:rPr>
      <w:rFonts w:ascii="Calibri" w:eastAsia="Calibri" w:hAnsi="Calibri"/>
      <w:sz w:val="22"/>
      <w:szCs w:val="22"/>
      <w:lang w:eastAsia="en-US"/>
    </w:rPr>
  </w:style>
  <w:style w:type="character" w:customStyle="1" w:styleId="ZhlavChar">
    <w:name w:val="Záhlaví Char"/>
    <w:basedOn w:val="Standardnpsmoodstavce"/>
    <w:link w:val="Zhlav"/>
    <w:rsid w:val="00E71A58"/>
  </w:style>
  <w:style w:type="paragraph" w:styleId="Zpat">
    <w:name w:val="footer"/>
    <w:basedOn w:val="Normln"/>
    <w:link w:val="ZpatChar"/>
    <w:uiPriority w:val="99"/>
    <w:unhideWhenUsed/>
    <w:rsid w:val="00E71A58"/>
    <w:pPr>
      <w:tabs>
        <w:tab w:val="center" w:pos="4536"/>
        <w:tab w:val="right" w:pos="9072"/>
      </w:tabs>
    </w:pPr>
    <w:rPr>
      <w:rFonts w:ascii="Calibri" w:eastAsia="Calibri" w:hAnsi="Calibri"/>
      <w:sz w:val="22"/>
      <w:szCs w:val="22"/>
      <w:lang w:eastAsia="en-US"/>
    </w:rPr>
  </w:style>
  <w:style w:type="character" w:customStyle="1" w:styleId="ZpatChar">
    <w:name w:val="Zápatí Char"/>
    <w:basedOn w:val="Standardnpsmoodstavce"/>
    <w:link w:val="Zpat"/>
    <w:uiPriority w:val="99"/>
    <w:rsid w:val="00E71A58"/>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basedOn w:val="Normln"/>
    <w:link w:val="ZkladnodstavecChar"/>
    <w:uiPriority w:val="99"/>
    <w:rsid w:val="001714F2"/>
    <w:pPr>
      <w:autoSpaceDE w:val="0"/>
      <w:autoSpaceDN w:val="0"/>
      <w:adjustRightInd w:val="0"/>
      <w:textAlignment w:val="center"/>
    </w:pPr>
    <w:rPr>
      <w:rFonts w:ascii="Minion Pro" w:eastAsia="Calibri" w:hAnsi="Minion Pro"/>
      <w:color w:val="000000"/>
      <w:sz w:val="24"/>
    </w:rPr>
  </w:style>
  <w:style w:type="paragraph" w:styleId="Nzev">
    <w:name w:val="Title"/>
    <w:next w:val="Normln"/>
    <w:link w:val="NzevChar"/>
    <w:qFormat/>
    <w:rsid w:val="0048086F"/>
    <w:pPr>
      <w:spacing w:line="288" w:lineRule="auto"/>
      <w:contextualSpacing/>
      <w:outlineLvl w:val="0"/>
    </w:pPr>
    <w:rPr>
      <w:rFonts w:ascii="Arial" w:eastAsia="MS Gothic" w:hAnsi="Arial"/>
      <w:b/>
      <w:caps/>
      <w:color w:val="BC091B"/>
      <w:sz w:val="56"/>
      <w:szCs w:val="52"/>
    </w:rPr>
  </w:style>
  <w:style w:type="character" w:customStyle="1" w:styleId="NzevChar">
    <w:name w:val="Název Char"/>
    <w:link w:val="Nzev"/>
    <w:rsid w:val="0048086F"/>
    <w:rPr>
      <w:rFonts w:ascii="Arial" w:eastAsia="MS Gothic" w:hAnsi="Arial"/>
      <w:b/>
      <w:caps/>
      <w:color w:val="BC091B"/>
      <w:sz w:val="56"/>
      <w:szCs w:val="52"/>
      <w:lang w:bidi="ar-SA"/>
    </w:rPr>
  </w:style>
  <w:style w:type="paragraph" w:styleId="Podtitul">
    <w:name w:val="Subtitle"/>
    <w:next w:val="Normln"/>
    <w:link w:val="PodtitulChar"/>
    <w:uiPriority w:val="11"/>
    <w:qFormat/>
    <w:rsid w:val="00BC3543"/>
    <w:pPr>
      <w:numPr>
        <w:ilvl w:val="1"/>
      </w:numPr>
      <w:spacing w:line="288" w:lineRule="auto"/>
    </w:pPr>
    <w:rPr>
      <w:rFonts w:ascii="Arial" w:eastAsia="MS Gothic" w:hAnsi="Arial"/>
      <w:b/>
      <w:iCs/>
      <w:color w:val="BC091B"/>
      <w:sz w:val="28"/>
      <w:szCs w:val="24"/>
    </w:rPr>
  </w:style>
  <w:style w:type="character" w:customStyle="1" w:styleId="PodtitulChar">
    <w:name w:val="Podtitul Char"/>
    <w:link w:val="Podtitul"/>
    <w:uiPriority w:val="11"/>
    <w:rsid w:val="00BC3543"/>
    <w:rPr>
      <w:rFonts w:ascii="Arial" w:eastAsia="MS Gothic" w:hAnsi="Arial"/>
      <w:b/>
      <w:iCs/>
      <w:color w:val="BC091B"/>
      <w:sz w:val="28"/>
      <w:szCs w:val="24"/>
      <w:lang w:bidi="ar-SA"/>
    </w:rPr>
  </w:style>
  <w:style w:type="character" w:customStyle="1" w:styleId="Nadpis1Char">
    <w:name w:val="Nadpis 1 Char"/>
    <w:link w:val="Nadpis1"/>
    <w:rsid w:val="00BC3543"/>
    <w:rPr>
      <w:rFonts w:ascii="Arial" w:eastAsia="MS Gothic" w:hAnsi="Arial"/>
      <w:b/>
      <w:bCs/>
      <w:color w:val="BC091B"/>
      <w:sz w:val="32"/>
      <w:szCs w:val="28"/>
      <w:lang w:bidi="ar-SA"/>
    </w:rPr>
  </w:style>
  <w:style w:type="character" w:customStyle="1" w:styleId="Nadpis2Char">
    <w:name w:val="Nadpis 2 Char"/>
    <w:link w:val="Nadpis2"/>
    <w:rsid w:val="00A1636E"/>
    <w:rPr>
      <w:rFonts w:ascii="Arial" w:eastAsia="MS Gothic" w:hAnsi="Arial"/>
      <w:b/>
      <w:bCs/>
      <w:color w:val="BC091B"/>
      <w:sz w:val="28"/>
      <w:szCs w:val="26"/>
    </w:rPr>
  </w:style>
  <w:style w:type="character" w:customStyle="1" w:styleId="Nadpis3Char">
    <w:name w:val="Nadpis 3 Char"/>
    <w:link w:val="Nadpis3"/>
    <w:rsid w:val="00EE39DC"/>
    <w:rPr>
      <w:rFonts w:ascii="Arial" w:eastAsia="MS Gothic" w:hAnsi="Arial"/>
      <w:b/>
      <w:bCs/>
      <w:color w:val="BC091B"/>
      <w:sz w:val="24"/>
      <w:szCs w:val="24"/>
    </w:rPr>
  </w:style>
  <w:style w:type="character" w:customStyle="1" w:styleId="Nadpis4Char">
    <w:name w:val="Nadpis 4 Char"/>
    <w:link w:val="Nadpis4"/>
    <w:rsid w:val="005108C0"/>
    <w:rPr>
      <w:rFonts w:ascii="Arial" w:eastAsia="MS Gothic" w:hAnsi="Arial"/>
      <w:b/>
      <w:bCs/>
      <w:iCs/>
      <w:szCs w:val="24"/>
      <w:lang w:bidi="ar-SA"/>
    </w:rPr>
  </w:style>
  <w:style w:type="paragraph" w:customStyle="1" w:styleId="Stednmka21">
    <w:name w:val="Střední mřížka 21"/>
    <w:aliases w:val="Bez zarážky"/>
    <w:link w:val="Stednmka2Char"/>
    <w:uiPriority w:val="1"/>
    <w:qFormat/>
    <w:rsid w:val="008D2A16"/>
    <w:pPr>
      <w:spacing w:line="288" w:lineRule="auto"/>
    </w:pPr>
    <w:rPr>
      <w:rFonts w:ascii="Arial" w:eastAsia="Times New Roman" w:hAnsi="Arial"/>
      <w:szCs w:val="24"/>
    </w:rPr>
  </w:style>
  <w:style w:type="paragraph" w:customStyle="1" w:styleId="Box1">
    <w:name w:val="Box 1"/>
    <w:basedOn w:val="Zkladnodstavec"/>
    <w:next w:val="Normln"/>
    <w:qFormat/>
    <w:rsid w:val="00BC3543"/>
    <w:pPr>
      <w:ind w:left="1134"/>
    </w:pPr>
    <w:rPr>
      <w:rFonts w:ascii="Arial" w:hAnsi="Arial" w:cs="Arial"/>
      <w:color w:val="BC091B"/>
      <w:sz w:val="20"/>
      <w:szCs w:val="20"/>
    </w:rPr>
  </w:style>
  <w:style w:type="paragraph" w:customStyle="1" w:styleId="Box2">
    <w:name w:val="Box 2"/>
    <w:basedOn w:val="Zkladnodstavec"/>
    <w:link w:val="Box2Char"/>
    <w:rsid w:val="00010702"/>
    <w:pPr>
      <w:shd w:val="clear" w:color="auto" w:fill="CCC0D9"/>
      <w:tabs>
        <w:tab w:val="left" w:pos="9638"/>
      </w:tabs>
      <w:ind w:left="1134" w:right="-1"/>
      <w:jc w:val="both"/>
    </w:pPr>
    <w:rPr>
      <w:rFonts w:ascii="Arial" w:hAnsi="Arial"/>
      <w:b/>
    </w:rPr>
  </w:style>
  <w:style w:type="paragraph" w:customStyle="1" w:styleId="Box">
    <w:name w:val="Box"/>
    <w:next w:val="Normln"/>
    <w:link w:val="BoxChar"/>
    <w:qFormat/>
    <w:rsid w:val="00210AA5"/>
    <w:pPr>
      <w:shd w:val="clear" w:color="auto" w:fill="F5DADD"/>
      <w:spacing w:line="288" w:lineRule="auto"/>
      <w:ind w:left="1134"/>
    </w:pPr>
    <w:rPr>
      <w:rFonts w:ascii="Arial" w:hAnsi="Arial"/>
      <w:color w:val="000000"/>
      <w:sz w:val="24"/>
      <w:szCs w:val="24"/>
    </w:rPr>
  </w:style>
  <w:style w:type="paragraph" w:customStyle="1" w:styleId="TL-Kontakty">
    <w:name w:val="TL - Kontakty"/>
    <w:next w:val="Normln"/>
    <w:link w:val="TL-KontaktyChar"/>
    <w:qFormat/>
    <w:rsid w:val="004F06F5"/>
    <w:pPr>
      <w:spacing w:after="80"/>
    </w:pPr>
    <w:rPr>
      <w:rFonts w:ascii="Arial" w:eastAsia="Times New Roman" w:hAnsi="Arial"/>
      <w:b/>
      <w:caps/>
      <w:color w:val="BD1B21"/>
      <w:sz w:val="24"/>
      <w:szCs w:val="24"/>
    </w:rPr>
  </w:style>
  <w:style w:type="character" w:customStyle="1" w:styleId="ZkladnodstavecChar">
    <w:name w:val="[Základní odstavec] Char"/>
    <w:link w:val="Zkladnodstavec"/>
    <w:uiPriority w:val="99"/>
    <w:rsid w:val="006710C9"/>
    <w:rPr>
      <w:rFonts w:ascii="Minion Pro" w:hAnsi="Minion Pro" w:cs="Minion Pro"/>
      <w:color w:val="000000"/>
      <w:sz w:val="24"/>
      <w:szCs w:val="24"/>
    </w:rPr>
  </w:style>
  <w:style w:type="character" w:customStyle="1" w:styleId="Box2Char">
    <w:name w:val="Box 2 Char"/>
    <w:link w:val="Box2"/>
    <w:rsid w:val="006710C9"/>
    <w:rPr>
      <w:rFonts w:ascii="Arial" w:hAnsi="Arial" w:cs="Arial"/>
      <w:b/>
      <w:color w:val="000000"/>
      <w:sz w:val="24"/>
      <w:szCs w:val="24"/>
      <w:shd w:val="clear" w:color="auto" w:fill="CCC0D9"/>
    </w:rPr>
  </w:style>
  <w:style w:type="character" w:customStyle="1" w:styleId="BoxChar">
    <w:name w:val="Box Char"/>
    <w:link w:val="Box"/>
    <w:rsid w:val="00210AA5"/>
    <w:rPr>
      <w:rFonts w:ascii="Arial" w:hAnsi="Arial"/>
      <w:color w:val="000000"/>
      <w:sz w:val="24"/>
      <w:szCs w:val="24"/>
      <w:shd w:val="clear" w:color="auto" w:fill="F5DADD"/>
      <w:lang w:bidi="ar-SA"/>
    </w:rPr>
  </w:style>
  <w:style w:type="paragraph" w:customStyle="1" w:styleId="TL-Identifikace">
    <w:name w:val="TL - Identifikace"/>
    <w:next w:val="Normln"/>
    <w:link w:val="TL-IdentifikaceChar"/>
    <w:qFormat/>
    <w:rsid w:val="004F06F5"/>
    <w:pPr>
      <w:spacing w:after="200" w:line="288" w:lineRule="auto"/>
    </w:pPr>
    <w:rPr>
      <w:rFonts w:ascii="Arial" w:eastAsia="Times New Roman" w:hAnsi="Arial"/>
      <w:sz w:val="24"/>
      <w:szCs w:val="24"/>
    </w:rPr>
  </w:style>
  <w:style w:type="character" w:customStyle="1" w:styleId="TL-KontaktyChar">
    <w:name w:val="TL - Kontakty Char"/>
    <w:link w:val="TL-Kontakty"/>
    <w:rsid w:val="004F06F5"/>
    <w:rPr>
      <w:rFonts w:ascii="Arial" w:eastAsia="Times New Roman" w:hAnsi="Arial"/>
      <w:b/>
      <w:caps/>
      <w:color w:val="BD1B21"/>
      <w:sz w:val="24"/>
      <w:szCs w:val="24"/>
      <w:lang w:bidi="ar-SA"/>
    </w:rPr>
  </w:style>
  <w:style w:type="character" w:customStyle="1" w:styleId="TL-IdentifikaceChar">
    <w:name w:val="TL - Identifikace Char"/>
    <w:link w:val="TL-Identifikace"/>
    <w:rsid w:val="004F06F5"/>
    <w:rPr>
      <w:rFonts w:ascii="Arial" w:eastAsia="Times New Roman" w:hAnsi="Arial"/>
      <w:sz w:val="24"/>
      <w:szCs w:val="24"/>
      <w:lang w:bidi="ar-SA"/>
    </w:rPr>
  </w:style>
  <w:style w:type="paragraph" w:customStyle="1" w:styleId="3372873BB58A4DED866D2BE34882C06C">
    <w:name w:val="3372873BB58A4DED866D2BE34882C06C"/>
    <w:rsid w:val="00EE3E78"/>
    <w:pPr>
      <w:spacing w:after="200" w:line="276" w:lineRule="auto"/>
    </w:pPr>
    <w:rPr>
      <w:rFonts w:eastAsia="MS Mincho"/>
      <w:sz w:val="22"/>
      <w:szCs w:val="22"/>
    </w:rPr>
  </w:style>
  <w:style w:type="paragraph" w:customStyle="1" w:styleId="233E5CD5853943F4BD7E8C4B124C0E1D">
    <w:name w:val="233E5CD5853943F4BD7E8C4B124C0E1D"/>
    <w:rsid w:val="00EE3E78"/>
    <w:pPr>
      <w:spacing w:after="200" w:line="276" w:lineRule="auto"/>
    </w:pPr>
    <w:rPr>
      <w:rFonts w:eastAsia="MS Mincho"/>
      <w:sz w:val="22"/>
      <w:szCs w:val="22"/>
    </w:rPr>
  </w:style>
  <w:style w:type="paragraph" w:customStyle="1" w:styleId="D345FF3D873148C5AE3FBF3267827368">
    <w:name w:val="D345FF3D873148C5AE3FBF3267827368"/>
    <w:rsid w:val="00EE3E78"/>
    <w:pPr>
      <w:spacing w:after="200" w:line="276" w:lineRule="auto"/>
    </w:pPr>
    <w:rPr>
      <w:rFonts w:eastAsia="MS Mincho"/>
      <w:sz w:val="22"/>
      <w:szCs w:val="22"/>
    </w:rPr>
  </w:style>
  <w:style w:type="character" w:customStyle="1" w:styleId="Stednmka2Char">
    <w:name w:val="Střední mřížka 2 Char"/>
    <w:aliases w:val="Bez zarážky Char"/>
    <w:link w:val="Stednmka21"/>
    <w:uiPriority w:val="1"/>
    <w:rsid w:val="00EE3E78"/>
    <w:rPr>
      <w:rFonts w:ascii="Arial" w:eastAsia="Times New Roman" w:hAnsi="Arial"/>
      <w:szCs w:val="24"/>
      <w:lang w:bidi="ar-SA"/>
    </w:rPr>
  </w:style>
  <w:style w:type="paragraph" w:customStyle="1" w:styleId="TL-identifikace-sted">
    <w:name w:val="TL - identifikace - střed"/>
    <w:basedOn w:val="Normln"/>
    <w:link w:val="TL-identifikace-stedChar"/>
    <w:qFormat/>
    <w:rsid w:val="006C113F"/>
    <w:pPr>
      <w:spacing w:after="200"/>
    </w:pPr>
    <w:rPr>
      <w:sz w:val="24"/>
    </w:rPr>
  </w:style>
  <w:style w:type="paragraph" w:customStyle="1" w:styleId="TL-Identifikace-dole">
    <w:name w:val="TL - Identifikace - dole"/>
    <w:basedOn w:val="Normln"/>
    <w:link w:val="TL-Identifikace-doleChar"/>
    <w:qFormat/>
    <w:rsid w:val="006C113F"/>
    <w:pPr>
      <w:spacing w:after="200"/>
    </w:pPr>
    <w:rPr>
      <w:szCs w:val="20"/>
      <w:lang w:eastAsia="ar-SA"/>
    </w:rPr>
  </w:style>
  <w:style w:type="character" w:customStyle="1" w:styleId="TL-identifikace-stedChar">
    <w:name w:val="TL - identifikace - střed Char"/>
    <w:link w:val="TL-identifikace-sted"/>
    <w:rsid w:val="006C113F"/>
    <w:rPr>
      <w:rFonts w:ascii="Arial" w:eastAsia="Times New Roman" w:hAnsi="Arial"/>
      <w:sz w:val="24"/>
      <w:szCs w:val="24"/>
    </w:rPr>
  </w:style>
  <w:style w:type="character" w:customStyle="1" w:styleId="TL-Identifikace-doleChar">
    <w:name w:val="TL - Identifikace - dole Char"/>
    <w:link w:val="TL-Identifikace-dole"/>
    <w:rsid w:val="006C113F"/>
    <w:rPr>
      <w:rFonts w:ascii="Arial" w:eastAsia="Times New Roman" w:hAnsi="Arial" w:cs="Arial"/>
      <w:lang w:eastAsia="ar-SA"/>
    </w:rPr>
  </w:style>
  <w:style w:type="paragraph" w:customStyle="1" w:styleId="Box-Lideaspolecnost">
    <w:name w:val="Box - Lide a spolecnost"/>
    <w:next w:val="Normln"/>
    <w:link w:val="Box-LideaspolecnostChar"/>
    <w:rsid w:val="00BC3543"/>
    <w:pPr>
      <w:shd w:val="clear" w:color="auto" w:fill="F5DADD"/>
      <w:spacing w:line="288" w:lineRule="auto"/>
      <w:ind w:left="1134"/>
    </w:pPr>
    <w:rPr>
      <w:rFonts w:ascii="Arial" w:hAnsi="Arial" w:cs="Arial"/>
    </w:rPr>
  </w:style>
  <w:style w:type="character" w:customStyle="1" w:styleId="Box-LideaspolecnostChar">
    <w:name w:val="Box - Lide a spolecnost Char"/>
    <w:link w:val="Box-Lideaspolecnost"/>
    <w:rsid w:val="00BC3543"/>
    <w:rPr>
      <w:rFonts w:ascii="Arial" w:hAnsi="Arial" w:cs="Arial"/>
      <w:shd w:val="clear" w:color="auto" w:fill="F5DADD"/>
      <w:lang w:val="cs-CZ" w:eastAsia="cs-CZ" w:bidi="ar-SA"/>
    </w:rPr>
  </w:style>
  <w:style w:type="paragraph" w:customStyle="1" w:styleId="Obsah">
    <w:name w:val="Obsah"/>
    <w:next w:val="Normln"/>
    <w:link w:val="ObsahChar"/>
    <w:qFormat/>
    <w:rsid w:val="007B47EE"/>
    <w:pPr>
      <w:spacing w:after="200"/>
    </w:pPr>
    <w:rPr>
      <w:rFonts w:ascii="Arial" w:eastAsia="MS Gothic" w:hAnsi="Arial"/>
      <w:b/>
      <w:bCs/>
      <w:color w:val="BC091B"/>
      <w:sz w:val="32"/>
      <w:szCs w:val="28"/>
    </w:rPr>
  </w:style>
  <w:style w:type="character" w:customStyle="1" w:styleId="ObsahChar">
    <w:name w:val="Obsah Char"/>
    <w:link w:val="Obsah"/>
    <w:rsid w:val="007B47EE"/>
    <w:rPr>
      <w:rFonts w:ascii="Arial" w:eastAsia="MS Gothic" w:hAnsi="Arial"/>
      <w:b/>
      <w:bCs/>
      <w:color w:val="BC091B"/>
      <w:sz w:val="32"/>
      <w:szCs w:val="28"/>
      <w:lang w:bidi="ar-SA"/>
    </w:rPr>
  </w:style>
  <w:style w:type="paragraph" w:styleId="Textpoznpodarou">
    <w:name w:val="footnote text"/>
    <w:basedOn w:val="Normln"/>
    <w:link w:val="TextpoznpodarouChar"/>
    <w:semiHidden/>
    <w:rsid w:val="00542E84"/>
    <w:pPr>
      <w:spacing w:before="120" w:after="120" w:line="240" w:lineRule="auto"/>
      <w:jc w:val="both"/>
    </w:pPr>
    <w:rPr>
      <w:sz w:val="16"/>
      <w:szCs w:val="20"/>
    </w:rPr>
  </w:style>
  <w:style w:type="character" w:customStyle="1" w:styleId="TextpoznpodarouChar">
    <w:name w:val="Text pozn. pod čarou Char"/>
    <w:basedOn w:val="Standardnpsmoodstavce"/>
    <w:link w:val="Textpoznpodarou"/>
    <w:semiHidden/>
    <w:rsid w:val="00542E84"/>
    <w:rPr>
      <w:rFonts w:ascii="Arial" w:eastAsia="Times New Roman" w:hAnsi="Arial"/>
      <w:sz w:val="16"/>
    </w:rPr>
  </w:style>
  <w:style w:type="character" w:styleId="Znakapoznpodarou">
    <w:name w:val="footnote reference"/>
    <w:basedOn w:val="Standardnpsmoodstavce"/>
    <w:semiHidden/>
    <w:rsid w:val="00542E84"/>
    <w:rPr>
      <w:vertAlign w:val="superscript"/>
    </w:rPr>
  </w:style>
  <w:style w:type="paragraph" w:customStyle="1" w:styleId="Poznamkapodcarou">
    <w:name w:val="Poznamka pod carou"/>
    <w:basedOn w:val="Normln"/>
    <w:rsid w:val="00542E84"/>
    <w:pPr>
      <w:spacing w:before="120" w:after="120" w:line="240" w:lineRule="auto"/>
    </w:pPr>
    <w:rPr>
      <w:sz w:val="16"/>
      <w:szCs w:val="20"/>
    </w:rPr>
  </w:style>
  <w:style w:type="character" w:customStyle="1" w:styleId="Nadpis5Char">
    <w:name w:val="Nadpis 5 Char"/>
    <w:basedOn w:val="Standardnpsmoodstavce"/>
    <w:link w:val="Nadpis5"/>
    <w:rsid w:val="00110E3B"/>
    <w:rPr>
      <w:rFonts w:ascii="Arial" w:eastAsia="Times New Roman" w:hAnsi="Arial"/>
      <w:b/>
      <w:bCs/>
      <w:sz w:val="16"/>
      <w:szCs w:val="16"/>
    </w:rPr>
  </w:style>
  <w:style w:type="character" w:customStyle="1" w:styleId="Nadpis6Char">
    <w:name w:val="Nadpis 6 Char"/>
    <w:basedOn w:val="Standardnpsmoodstavce"/>
    <w:link w:val="Nadpis6"/>
    <w:rsid w:val="00110E3B"/>
    <w:rPr>
      <w:rFonts w:ascii="Arial" w:eastAsia="Times New Roman" w:hAnsi="Arial"/>
      <w:b/>
      <w:bCs/>
      <w:sz w:val="16"/>
      <w:szCs w:val="24"/>
    </w:rPr>
  </w:style>
  <w:style w:type="paragraph" w:customStyle="1" w:styleId="Nadpisvlastn1">
    <w:name w:val="Nadpis vlastní 1"/>
    <w:basedOn w:val="Normln"/>
    <w:rsid w:val="00110E3B"/>
    <w:pPr>
      <w:spacing w:before="120" w:after="360" w:line="240" w:lineRule="auto"/>
      <w:jc w:val="both"/>
    </w:pPr>
    <w:rPr>
      <w:b/>
      <w:bCs/>
      <w:sz w:val="36"/>
      <w:szCs w:val="20"/>
    </w:rPr>
  </w:style>
  <w:style w:type="paragraph" w:customStyle="1" w:styleId="Nadpisvlastn2">
    <w:name w:val="Nadpis vlastní 2"/>
    <w:basedOn w:val="Nadpisvlastn1"/>
    <w:rsid w:val="00110E3B"/>
    <w:rPr>
      <w14:shadow w14:blurRad="50800" w14:dist="38100" w14:dir="2700000" w14:sx="100000" w14:sy="100000" w14:kx="0" w14:ky="0" w14:algn="tl">
        <w14:srgbClr w14:val="000000">
          <w14:alpha w14:val="60000"/>
        </w14:srgbClr>
      </w14:shadow>
    </w:rPr>
  </w:style>
  <w:style w:type="paragraph" w:styleId="Zkladntextodsazen">
    <w:name w:val="Body Text Indent"/>
    <w:basedOn w:val="Normln"/>
    <w:link w:val="ZkladntextodsazenChar"/>
    <w:semiHidden/>
    <w:rsid w:val="00110E3B"/>
    <w:pPr>
      <w:spacing w:before="120" w:after="120" w:line="240" w:lineRule="auto"/>
      <w:ind w:firstLine="720"/>
      <w:jc w:val="both"/>
    </w:pPr>
  </w:style>
  <w:style w:type="character" w:customStyle="1" w:styleId="ZkladntextodsazenChar">
    <w:name w:val="Základní text odsazený Char"/>
    <w:basedOn w:val="Standardnpsmoodstavce"/>
    <w:link w:val="Zkladntextodsazen"/>
    <w:semiHidden/>
    <w:rsid w:val="00110E3B"/>
    <w:rPr>
      <w:rFonts w:ascii="Arial" w:eastAsia="Times New Roman" w:hAnsi="Arial"/>
      <w:szCs w:val="24"/>
    </w:rPr>
  </w:style>
  <w:style w:type="paragraph" w:customStyle="1" w:styleId="xl25">
    <w:name w:val="xl2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cs="Arial"/>
      <w:sz w:val="16"/>
      <w:szCs w:val="16"/>
    </w:rPr>
  </w:style>
  <w:style w:type="paragraph" w:customStyle="1" w:styleId="xl26">
    <w:name w:val="xl2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6"/>
      <w:szCs w:val="16"/>
    </w:rPr>
  </w:style>
  <w:style w:type="paragraph" w:customStyle="1" w:styleId="xl27">
    <w:name w:val="xl2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cs="Arial"/>
      <w:sz w:val="16"/>
      <w:szCs w:val="16"/>
    </w:rPr>
  </w:style>
  <w:style w:type="paragraph" w:customStyle="1" w:styleId="xl28">
    <w:name w:val="xl28"/>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cs="Arial"/>
      <w:sz w:val="16"/>
      <w:szCs w:val="16"/>
    </w:rPr>
  </w:style>
  <w:style w:type="paragraph" w:customStyle="1" w:styleId="xl29">
    <w:name w:val="xl29"/>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0">
    <w:name w:val="xl30"/>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1">
    <w:name w:val="xl31"/>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2">
    <w:name w:val="xl32"/>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3">
    <w:name w:val="xl33"/>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4">
    <w:name w:val="xl34"/>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5">
    <w:name w:val="xl35"/>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cs="Arial"/>
      <w:b/>
      <w:bCs/>
      <w:sz w:val="16"/>
      <w:szCs w:val="16"/>
    </w:rPr>
  </w:style>
  <w:style w:type="paragraph" w:customStyle="1" w:styleId="xl24">
    <w:name w:val="xl24"/>
    <w:basedOn w:val="Normln"/>
    <w:rsid w:val="00110E3B"/>
    <w:pPr>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36">
    <w:name w:val="xl36"/>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7">
    <w:name w:val="xl37"/>
    <w:basedOn w:val="Normln"/>
    <w:rsid w:val="00110E3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8">
    <w:name w:val="xl38"/>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39">
    <w:name w:val="xl39"/>
    <w:basedOn w:val="Normln"/>
    <w:rsid w:val="00110E3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0">
    <w:name w:val="xl40"/>
    <w:basedOn w:val="Normln"/>
    <w:rsid w:val="00110E3B"/>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1">
    <w:name w:val="xl41"/>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w:sz w:val="16"/>
      <w:szCs w:val="16"/>
    </w:rPr>
  </w:style>
  <w:style w:type="paragraph" w:customStyle="1" w:styleId="xl42">
    <w:name w:val="xl42"/>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3">
    <w:name w:val="xl43"/>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4">
    <w:name w:val="xl44"/>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5">
    <w:name w:val="xl4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6">
    <w:name w:val="xl4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7">
    <w:name w:val="xl47"/>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48">
    <w:name w:val="xl48"/>
    <w:basedOn w:val="Normln"/>
    <w:rsid w:val="00110E3B"/>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both"/>
    </w:pPr>
    <w:rPr>
      <w:rFonts w:eastAsia="Arial Unicode MS" w:cs="Arial"/>
      <w:b/>
      <w:bCs/>
      <w:color w:val="000000"/>
      <w:sz w:val="16"/>
      <w:szCs w:val="16"/>
    </w:rPr>
  </w:style>
  <w:style w:type="paragraph" w:customStyle="1" w:styleId="xl49">
    <w:name w:val="xl49"/>
    <w:basedOn w:val="Normln"/>
    <w:rsid w:val="00110E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eastAsia="Arial Unicode MS" w:cs="Arial Unicode MS"/>
      <w:sz w:val="16"/>
      <w:szCs w:val="16"/>
    </w:rPr>
  </w:style>
  <w:style w:type="paragraph" w:customStyle="1" w:styleId="xl50">
    <w:name w:val="xl50"/>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1">
    <w:name w:val="xl51"/>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2">
    <w:name w:val="xl52"/>
    <w:basedOn w:val="Normln"/>
    <w:rsid w:val="00110E3B"/>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3">
    <w:name w:val="xl53"/>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54">
    <w:name w:val="xl54"/>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Arial Unicode MS" w:cs="Arial Unicode MS"/>
      <w:sz w:val="16"/>
      <w:szCs w:val="16"/>
    </w:rPr>
  </w:style>
  <w:style w:type="paragraph" w:customStyle="1" w:styleId="xl55">
    <w:name w:val="xl55"/>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eastAsia="Arial Unicode MS" w:cs="Arial Unicode MS"/>
      <w:sz w:val="16"/>
      <w:szCs w:val="16"/>
    </w:rPr>
  </w:style>
  <w:style w:type="paragraph" w:customStyle="1" w:styleId="xl56">
    <w:name w:val="xl56"/>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57">
    <w:name w:val="xl5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b/>
      <w:bCs/>
      <w:sz w:val="16"/>
      <w:szCs w:val="16"/>
    </w:rPr>
  </w:style>
  <w:style w:type="paragraph" w:customStyle="1" w:styleId="xl58">
    <w:name w:val="xl58"/>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9">
    <w:name w:val="xl59"/>
    <w:basedOn w:val="Normln"/>
    <w:rsid w:val="00110E3B"/>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eastAsia="Arial Unicode MS" w:cs="Arial"/>
      <w:color w:val="000000"/>
    </w:rPr>
  </w:style>
  <w:style w:type="paragraph" w:customStyle="1" w:styleId="xl60">
    <w:name w:val="xl60"/>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1">
    <w:name w:val="xl61"/>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2">
    <w:name w:val="xl62"/>
    <w:basedOn w:val="Normln"/>
    <w:rsid w:val="00110E3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3">
    <w:name w:val="xl63"/>
    <w:basedOn w:val="Normln"/>
    <w:rsid w:val="00110E3B"/>
    <w:pPr>
      <w:pBdr>
        <w:top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4">
    <w:name w:val="xl64"/>
    <w:basedOn w:val="Normln"/>
    <w:rsid w:val="00110E3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5">
    <w:name w:val="xl65"/>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6">
    <w:name w:val="xl66"/>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7">
    <w:name w:val="xl67"/>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8">
    <w:name w:val="xl68"/>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9">
    <w:name w:val="xl69"/>
    <w:basedOn w:val="Normln"/>
    <w:rsid w:val="00110E3B"/>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both"/>
    </w:pPr>
    <w:rPr>
      <w:rFonts w:eastAsia="Arial Unicode MS" w:cs="Arial"/>
      <w:sz w:val="16"/>
      <w:szCs w:val="16"/>
    </w:rPr>
  </w:style>
  <w:style w:type="paragraph" w:customStyle="1" w:styleId="xl70">
    <w:name w:val="xl70"/>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1">
    <w:name w:val="xl71"/>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2">
    <w:name w:val="xl72"/>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3">
    <w:name w:val="xl73"/>
    <w:basedOn w:val="Normln"/>
    <w:rsid w:val="00110E3B"/>
    <w:pPr>
      <w:pBdr>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4">
    <w:name w:val="xl74"/>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5">
    <w:name w:val="xl75"/>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76">
    <w:name w:val="xl76"/>
    <w:basedOn w:val="Normln"/>
    <w:rsid w:val="00110E3B"/>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7">
    <w:name w:val="xl77"/>
    <w:basedOn w:val="Normln"/>
    <w:rsid w:val="00110E3B"/>
    <w:pPr>
      <w:pBdr>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8">
    <w:name w:val="xl78"/>
    <w:basedOn w:val="Normln"/>
    <w:rsid w:val="00110E3B"/>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character" w:styleId="slostrnky">
    <w:name w:val="page number"/>
    <w:basedOn w:val="Standardnpsmoodstavce"/>
    <w:semiHidden/>
    <w:rsid w:val="00110E3B"/>
  </w:style>
  <w:style w:type="paragraph" w:styleId="Zkladntext">
    <w:name w:val="Body Text"/>
    <w:basedOn w:val="Normln"/>
    <w:link w:val="ZkladntextChar"/>
    <w:semiHidden/>
    <w:rsid w:val="00110E3B"/>
    <w:pPr>
      <w:spacing w:before="120" w:after="120" w:line="240" w:lineRule="auto"/>
      <w:jc w:val="both"/>
    </w:pPr>
  </w:style>
  <w:style w:type="character" w:customStyle="1" w:styleId="ZkladntextChar">
    <w:name w:val="Základní text Char"/>
    <w:basedOn w:val="Standardnpsmoodstavce"/>
    <w:link w:val="Zkladntext"/>
    <w:semiHidden/>
    <w:rsid w:val="00110E3B"/>
    <w:rPr>
      <w:rFonts w:ascii="Arial" w:eastAsia="Times New Roman" w:hAnsi="Arial"/>
      <w:szCs w:val="24"/>
    </w:rPr>
  </w:style>
  <w:style w:type="paragraph" w:styleId="Obsah1">
    <w:name w:val="toc 1"/>
    <w:basedOn w:val="Normln"/>
    <w:next w:val="Normln"/>
    <w:autoRedefine/>
    <w:uiPriority w:val="39"/>
    <w:rsid w:val="00110E3B"/>
    <w:pPr>
      <w:spacing w:before="120" w:after="120" w:line="240" w:lineRule="auto"/>
      <w:jc w:val="both"/>
    </w:pPr>
  </w:style>
  <w:style w:type="paragraph" w:styleId="Obsah2">
    <w:name w:val="toc 2"/>
    <w:basedOn w:val="Normln"/>
    <w:next w:val="Normln"/>
    <w:autoRedefine/>
    <w:uiPriority w:val="39"/>
    <w:rsid w:val="00110E3B"/>
    <w:pPr>
      <w:spacing w:before="120" w:after="120" w:line="240" w:lineRule="auto"/>
      <w:ind w:left="240"/>
      <w:jc w:val="both"/>
    </w:pPr>
  </w:style>
  <w:style w:type="paragraph" w:styleId="Obsah3">
    <w:name w:val="toc 3"/>
    <w:basedOn w:val="Normln"/>
    <w:next w:val="Normln"/>
    <w:autoRedefine/>
    <w:uiPriority w:val="39"/>
    <w:rsid w:val="00110E3B"/>
    <w:pPr>
      <w:spacing w:before="120" w:after="120" w:line="240" w:lineRule="auto"/>
      <w:ind w:left="480"/>
      <w:jc w:val="both"/>
    </w:pPr>
  </w:style>
  <w:style w:type="paragraph" w:styleId="Obsah4">
    <w:name w:val="toc 4"/>
    <w:basedOn w:val="Normln"/>
    <w:next w:val="Normln"/>
    <w:autoRedefine/>
    <w:semiHidden/>
    <w:rsid w:val="00110E3B"/>
    <w:pPr>
      <w:spacing w:before="120" w:after="120" w:line="240" w:lineRule="auto"/>
      <w:ind w:left="720"/>
      <w:jc w:val="both"/>
    </w:pPr>
  </w:style>
  <w:style w:type="paragraph" w:styleId="Obsah5">
    <w:name w:val="toc 5"/>
    <w:basedOn w:val="Normln"/>
    <w:next w:val="Normln"/>
    <w:autoRedefine/>
    <w:semiHidden/>
    <w:rsid w:val="00110E3B"/>
    <w:pPr>
      <w:spacing w:before="120" w:after="120" w:line="240" w:lineRule="auto"/>
      <w:ind w:left="960"/>
      <w:jc w:val="both"/>
    </w:pPr>
  </w:style>
  <w:style w:type="paragraph" w:styleId="Obsah6">
    <w:name w:val="toc 6"/>
    <w:basedOn w:val="Normln"/>
    <w:next w:val="Normln"/>
    <w:autoRedefine/>
    <w:semiHidden/>
    <w:rsid w:val="00110E3B"/>
    <w:pPr>
      <w:spacing w:before="120" w:after="120" w:line="240" w:lineRule="auto"/>
      <w:ind w:left="1200"/>
      <w:jc w:val="both"/>
    </w:pPr>
  </w:style>
  <w:style w:type="paragraph" w:styleId="Obsah7">
    <w:name w:val="toc 7"/>
    <w:basedOn w:val="Normln"/>
    <w:next w:val="Normln"/>
    <w:autoRedefine/>
    <w:semiHidden/>
    <w:rsid w:val="00110E3B"/>
    <w:pPr>
      <w:spacing w:before="120" w:after="120" w:line="240" w:lineRule="auto"/>
      <w:ind w:left="1440"/>
      <w:jc w:val="both"/>
    </w:pPr>
  </w:style>
  <w:style w:type="paragraph" w:styleId="Obsah8">
    <w:name w:val="toc 8"/>
    <w:basedOn w:val="Normln"/>
    <w:next w:val="Normln"/>
    <w:autoRedefine/>
    <w:semiHidden/>
    <w:rsid w:val="00110E3B"/>
    <w:pPr>
      <w:spacing w:before="120" w:after="120" w:line="240" w:lineRule="auto"/>
      <w:ind w:left="1680"/>
      <w:jc w:val="both"/>
    </w:pPr>
  </w:style>
  <w:style w:type="paragraph" w:styleId="Obsah9">
    <w:name w:val="toc 9"/>
    <w:basedOn w:val="Normln"/>
    <w:next w:val="Normln"/>
    <w:autoRedefine/>
    <w:semiHidden/>
    <w:rsid w:val="00110E3B"/>
    <w:pPr>
      <w:spacing w:before="120" w:after="120" w:line="240" w:lineRule="auto"/>
      <w:ind w:left="1920"/>
      <w:jc w:val="both"/>
    </w:pPr>
  </w:style>
  <w:style w:type="character" w:styleId="Sledovanodkaz">
    <w:name w:val="FollowedHyperlink"/>
    <w:basedOn w:val="Standardnpsmoodstavce"/>
    <w:semiHidden/>
    <w:rsid w:val="00110E3B"/>
    <w:rPr>
      <w:color w:val="800080"/>
      <w:u w:val="single"/>
    </w:rPr>
  </w:style>
  <w:style w:type="paragraph" w:customStyle="1" w:styleId="normalnsodrkami">
    <w:name w:val="normalní s odrážkami"/>
    <w:basedOn w:val="Normln"/>
    <w:rsid w:val="00110E3B"/>
    <w:pPr>
      <w:numPr>
        <w:numId w:val="6"/>
      </w:numPr>
      <w:spacing w:before="120" w:after="120" w:line="240" w:lineRule="auto"/>
      <w:jc w:val="both"/>
    </w:pPr>
  </w:style>
  <w:style w:type="paragraph" w:styleId="Zkladntext2">
    <w:name w:val="Body Text 2"/>
    <w:basedOn w:val="Normln"/>
    <w:link w:val="Zkladntext2Char"/>
    <w:semiHidden/>
    <w:rsid w:val="00110E3B"/>
    <w:pPr>
      <w:spacing w:before="120" w:after="120" w:line="240" w:lineRule="auto"/>
      <w:jc w:val="both"/>
    </w:pPr>
    <w:rPr>
      <w:rFonts w:cs="Arial"/>
    </w:rPr>
  </w:style>
  <w:style w:type="character" w:customStyle="1" w:styleId="Zkladntext2Char">
    <w:name w:val="Základní text 2 Char"/>
    <w:basedOn w:val="Standardnpsmoodstavce"/>
    <w:link w:val="Zkladntext2"/>
    <w:semiHidden/>
    <w:rsid w:val="00110E3B"/>
    <w:rPr>
      <w:rFonts w:ascii="Arial" w:eastAsia="Times New Roman" w:hAnsi="Arial" w:cs="Arial"/>
      <w:szCs w:val="24"/>
    </w:rPr>
  </w:style>
  <w:style w:type="paragraph" w:customStyle="1" w:styleId="Default">
    <w:name w:val="Default"/>
    <w:rsid w:val="00110E3B"/>
    <w:pPr>
      <w:autoSpaceDE w:val="0"/>
      <w:autoSpaceDN w:val="0"/>
      <w:adjustRightInd w:val="0"/>
    </w:pPr>
    <w:rPr>
      <w:rFonts w:ascii="Times New Roman" w:eastAsia="Times New Roman" w:hAnsi="Times New Roman"/>
      <w:color w:val="000000"/>
      <w:sz w:val="24"/>
      <w:szCs w:val="24"/>
    </w:rPr>
  </w:style>
  <w:style w:type="paragraph" w:styleId="Zkladntext3">
    <w:name w:val="Body Text 3"/>
    <w:basedOn w:val="Normln"/>
    <w:link w:val="Zkladntext3Char"/>
    <w:semiHidden/>
    <w:rsid w:val="00110E3B"/>
    <w:pPr>
      <w:spacing w:before="120" w:after="120" w:line="240" w:lineRule="auto"/>
      <w:jc w:val="both"/>
    </w:pPr>
    <w:rPr>
      <w:rFonts w:cs="Arial"/>
    </w:rPr>
  </w:style>
  <w:style w:type="character" w:customStyle="1" w:styleId="Zkladntext3Char">
    <w:name w:val="Základní text 3 Char"/>
    <w:basedOn w:val="Standardnpsmoodstavce"/>
    <w:link w:val="Zkladntext3"/>
    <w:semiHidden/>
    <w:rsid w:val="00110E3B"/>
    <w:rPr>
      <w:rFonts w:ascii="Arial" w:eastAsia="Times New Roman" w:hAnsi="Arial" w:cs="Arial"/>
      <w:szCs w:val="24"/>
    </w:rPr>
  </w:style>
  <w:style w:type="paragraph" w:styleId="Textvysvtlivek">
    <w:name w:val="endnote text"/>
    <w:basedOn w:val="Normln"/>
    <w:link w:val="TextvysvtlivekChar"/>
    <w:semiHidden/>
    <w:rsid w:val="00110E3B"/>
    <w:pPr>
      <w:spacing w:before="120" w:after="120" w:line="240" w:lineRule="auto"/>
      <w:jc w:val="both"/>
    </w:pPr>
    <w:rPr>
      <w:szCs w:val="20"/>
    </w:rPr>
  </w:style>
  <w:style w:type="character" w:customStyle="1" w:styleId="TextvysvtlivekChar">
    <w:name w:val="Text vysvětlivek Char"/>
    <w:basedOn w:val="Standardnpsmoodstavce"/>
    <w:link w:val="Textvysvtlivek"/>
    <w:semiHidden/>
    <w:rsid w:val="00110E3B"/>
    <w:rPr>
      <w:rFonts w:ascii="Arial" w:eastAsia="Times New Roman" w:hAnsi="Arial"/>
    </w:rPr>
  </w:style>
  <w:style w:type="character" w:styleId="Odkaznavysvtlivky">
    <w:name w:val="endnote reference"/>
    <w:basedOn w:val="Standardnpsmoodstavce"/>
    <w:semiHidden/>
    <w:rsid w:val="00110E3B"/>
    <w:rPr>
      <w:vertAlign w:val="superscript"/>
    </w:rPr>
  </w:style>
  <w:style w:type="character" w:styleId="Siln">
    <w:name w:val="Strong"/>
    <w:basedOn w:val="Standardnpsmoodstavce"/>
    <w:uiPriority w:val="22"/>
    <w:qFormat/>
    <w:rsid w:val="00110E3B"/>
    <w:rPr>
      <w:b/>
      <w:bCs/>
    </w:rPr>
  </w:style>
  <w:style w:type="character" w:customStyle="1" w:styleId="longtext1">
    <w:name w:val="long_text1"/>
    <w:basedOn w:val="Standardnpsmoodstavce"/>
    <w:rsid w:val="00110E3B"/>
    <w:rPr>
      <w:sz w:val="20"/>
      <w:szCs w:val="20"/>
    </w:rPr>
  </w:style>
  <w:style w:type="paragraph" w:styleId="Normlnweb">
    <w:name w:val="Normal (Web)"/>
    <w:basedOn w:val="Normln"/>
    <w:uiPriority w:val="99"/>
    <w:unhideWhenUsed/>
    <w:rsid w:val="00110E3B"/>
    <w:pPr>
      <w:spacing w:before="100" w:beforeAutospacing="1" w:after="100" w:afterAutospacing="1" w:line="240" w:lineRule="auto"/>
      <w:jc w:val="both"/>
    </w:pPr>
  </w:style>
  <w:style w:type="paragraph" w:customStyle="1" w:styleId="nazevtabulky">
    <w:name w:val="nazev tabulky"/>
    <w:basedOn w:val="Normln"/>
    <w:qFormat/>
    <w:rsid w:val="00110E3B"/>
    <w:pPr>
      <w:spacing w:before="240" w:after="240" w:line="240" w:lineRule="auto"/>
    </w:pPr>
    <w:rPr>
      <w:b/>
      <w:bCs/>
      <w:szCs w:val="17"/>
    </w:rPr>
  </w:style>
  <w:style w:type="paragraph" w:styleId="Odstavecseseznamem">
    <w:name w:val="List Paragraph"/>
    <w:basedOn w:val="Normln"/>
    <w:uiPriority w:val="34"/>
    <w:qFormat/>
    <w:rsid w:val="00110E3B"/>
    <w:pPr>
      <w:spacing w:before="120" w:after="120" w:line="240" w:lineRule="auto"/>
      <w:ind w:left="720"/>
      <w:contextualSpacing/>
      <w:jc w:val="both"/>
    </w:pPr>
  </w:style>
  <w:style w:type="numbering" w:customStyle="1" w:styleId="Bezseznamu1">
    <w:name w:val="Bez seznamu1"/>
    <w:next w:val="Bezseznamu"/>
    <w:uiPriority w:val="99"/>
    <w:semiHidden/>
    <w:unhideWhenUsed/>
    <w:rsid w:val="00DB4F3B"/>
  </w:style>
  <w:style w:type="table" w:styleId="Mkatabulky">
    <w:name w:val="Table Grid"/>
    <w:basedOn w:val="Normlntabulka"/>
    <w:uiPriority w:val="59"/>
    <w:rsid w:val="00DB4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vlastn">
    <w:name w:val="Text vlastní"/>
    <w:basedOn w:val="Normln"/>
    <w:rsid w:val="00DB4F3B"/>
    <w:pPr>
      <w:spacing w:before="120" w:line="240" w:lineRule="auto"/>
      <w:jc w:val="both"/>
    </w:pPr>
    <w:rPr>
      <w:sz w:val="18"/>
      <w:szCs w:val="20"/>
    </w:rPr>
  </w:style>
  <w:style w:type="character" w:styleId="Odkaznakoment">
    <w:name w:val="annotation reference"/>
    <w:basedOn w:val="Standardnpsmoodstavce"/>
    <w:uiPriority w:val="99"/>
    <w:semiHidden/>
    <w:unhideWhenUsed/>
    <w:rsid w:val="00DB4F3B"/>
    <w:rPr>
      <w:sz w:val="16"/>
      <w:szCs w:val="16"/>
    </w:rPr>
  </w:style>
  <w:style w:type="paragraph" w:styleId="Textkomente">
    <w:name w:val="annotation text"/>
    <w:basedOn w:val="Normln"/>
    <w:link w:val="TextkomenteChar"/>
    <w:uiPriority w:val="99"/>
    <w:semiHidden/>
    <w:unhideWhenUsed/>
    <w:rsid w:val="00DB4F3B"/>
    <w:pPr>
      <w:keepNext/>
      <w:spacing w:line="240" w:lineRule="auto"/>
      <w:jc w:val="both"/>
    </w:pPr>
    <w:rPr>
      <w:szCs w:val="20"/>
    </w:rPr>
  </w:style>
  <w:style w:type="character" w:customStyle="1" w:styleId="TextkomenteChar">
    <w:name w:val="Text komentáře Char"/>
    <w:basedOn w:val="Standardnpsmoodstavce"/>
    <w:link w:val="Textkomente"/>
    <w:uiPriority w:val="99"/>
    <w:semiHidden/>
    <w:rsid w:val="00DB4F3B"/>
    <w:rPr>
      <w:rFonts w:ascii="Arial" w:eastAsia="Times New Roman" w:hAnsi="Arial"/>
    </w:rPr>
  </w:style>
  <w:style w:type="paragraph" w:styleId="Pedmtkomente">
    <w:name w:val="annotation subject"/>
    <w:basedOn w:val="Textkomente"/>
    <w:next w:val="Textkomente"/>
    <w:link w:val="PedmtkomenteChar"/>
    <w:uiPriority w:val="99"/>
    <w:semiHidden/>
    <w:unhideWhenUsed/>
    <w:rsid w:val="00DB4F3B"/>
    <w:rPr>
      <w:b/>
      <w:bCs/>
    </w:rPr>
  </w:style>
  <w:style w:type="character" w:customStyle="1" w:styleId="PedmtkomenteChar">
    <w:name w:val="Předmět komentáře Char"/>
    <w:basedOn w:val="TextkomenteChar"/>
    <w:link w:val="Pedmtkomente"/>
    <w:uiPriority w:val="99"/>
    <w:semiHidden/>
    <w:rsid w:val="00DB4F3B"/>
    <w:rPr>
      <w:rFonts w:ascii="Arial" w:eastAsia="Times New Roman" w:hAnsi="Arial"/>
      <w:b/>
      <w:bCs/>
    </w:rPr>
  </w:style>
  <w:style w:type="table" w:styleId="Stednmka3zvraznn2">
    <w:name w:val="Medium Grid 3 Accent 2"/>
    <w:basedOn w:val="Normlntabulka"/>
    <w:uiPriority w:val="60"/>
    <w:rsid w:val="003519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numbering" w:customStyle="1" w:styleId="Bezseznamu2">
    <w:name w:val="Bez seznamu2"/>
    <w:next w:val="Bezseznamu"/>
    <w:uiPriority w:val="99"/>
    <w:semiHidden/>
    <w:unhideWhenUsed/>
    <w:rsid w:val="00DE3724"/>
  </w:style>
  <w:style w:type="paragraph" w:styleId="Nadpisobsahu">
    <w:name w:val="TOC Heading"/>
    <w:basedOn w:val="Nadpis1"/>
    <w:next w:val="Normln"/>
    <w:uiPriority w:val="39"/>
    <w:semiHidden/>
    <w:unhideWhenUsed/>
    <w:qFormat/>
    <w:rsid w:val="00DE3724"/>
    <w:pPr>
      <w:spacing w:before="480" w:after="0" w:line="276" w:lineRule="auto"/>
      <w:outlineLvl w:val="9"/>
    </w:pPr>
    <w:rPr>
      <w:rFonts w:asciiTheme="majorHAnsi" w:eastAsiaTheme="majorEastAsia" w:hAnsiTheme="majorHAnsi" w:cstheme="majorBidi"/>
      <w:color w:val="365F91" w:themeColor="accent1" w:themeShade="BF"/>
      <w:sz w:val="28"/>
    </w:rPr>
  </w:style>
  <w:style w:type="numbering" w:customStyle="1" w:styleId="Bezseznamu3">
    <w:name w:val="Bez seznamu3"/>
    <w:next w:val="Bezseznamu"/>
    <w:uiPriority w:val="99"/>
    <w:semiHidden/>
    <w:unhideWhenUsed/>
    <w:rsid w:val="00F41C6D"/>
  </w:style>
  <w:style w:type="table" w:customStyle="1" w:styleId="Mkatabulky1">
    <w:name w:val="Mřížka tabulky1"/>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46708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46708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Standardnpsmoodstavce"/>
    <w:rsid w:val="00214E6F"/>
  </w:style>
  <w:style w:type="character" w:styleId="Zvraznn">
    <w:name w:val="Emphasis"/>
    <w:basedOn w:val="Standardnpsmoodstavce"/>
    <w:uiPriority w:val="20"/>
    <w:qFormat/>
    <w:rsid w:val="00214E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364866142">
      <w:bodyDiv w:val="1"/>
      <w:marLeft w:val="60"/>
      <w:marRight w:val="60"/>
      <w:marTop w:val="60"/>
      <w:marBottom w:val="15"/>
      <w:divBdr>
        <w:top w:val="none" w:sz="0" w:space="0" w:color="auto"/>
        <w:left w:val="none" w:sz="0" w:space="0" w:color="auto"/>
        <w:bottom w:val="none" w:sz="0" w:space="0" w:color="auto"/>
        <w:right w:val="none" w:sz="0" w:space="0" w:color="auto"/>
      </w:divBdr>
      <w:divsChild>
        <w:div w:id="1891261821">
          <w:marLeft w:val="0"/>
          <w:marRight w:val="0"/>
          <w:marTop w:val="0"/>
          <w:marBottom w:val="0"/>
          <w:divBdr>
            <w:top w:val="none" w:sz="0" w:space="0" w:color="auto"/>
            <w:left w:val="none" w:sz="0" w:space="0" w:color="auto"/>
            <w:bottom w:val="none" w:sz="0" w:space="0" w:color="auto"/>
            <w:right w:val="none" w:sz="0" w:space="0" w:color="auto"/>
          </w:divBdr>
          <w:divsChild>
            <w:div w:id="79456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698822910">
      <w:bodyDiv w:val="1"/>
      <w:marLeft w:val="0"/>
      <w:marRight w:val="0"/>
      <w:marTop w:val="0"/>
      <w:marBottom w:val="0"/>
      <w:divBdr>
        <w:top w:val="none" w:sz="0" w:space="0" w:color="auto"/>
        <w:left w:val="none" w:sz="0" w:space="0" w:color="auto"/>
        <w:bottom w:val="none" w:sz="0" w:space="0" w:color="auto"/>
        <w:right w:val="none" w:sz="0" w:space="0" w:color="auto"/>
      </w:divBdr>
    </w:div>
    <w:div w:id="889415061">
      <w:bodyDiv w:val="1"/>
      <w:marLeft w:val="0"/>
      <w:marRight w:val="0"/>
      <w:marTop w:val="0"/>
      <w:marBottom w:val="0"/>
      <w:divBdr>
        <w:top w:val="none" w:sz="0" w:space="0" w:color="auto"/>
        <w:left w:val="none" w:sz="0" w:space="0" w:color="auto"/>
        <w:bottom w:val="none" w:sz="0" w:space="0" w:color="auto"/>
        <w:right w:val="none" w:sz="0" w:space="0" w:color="auto"/>
      </w:divBdr>
    </w:div>
    <w:div w:id="915171869">
      <w:bodyDiv w:val="1"/>
      <w:marLeft w:val="0"/>
      <w:marRight w:val="0"/>
      <w:marTop w:val="0"/>
      <w:marBottom w:val="0"/>
      <w:divBdr>
        <w:top w:val="none" w:sz="0" w:space="0" w:color="auto"/>
        <w:left w:val="none" w:sz="0" w:space="0" w:color="auto"/>
        <w:bottom w:val="none" w:sz="0" w:space="0" w:color="auto"/>
        <w:right w:val="none" w:sz="0" w:space="0" w:color="auto"/>
      </w:divBdr>
    </w:div>
    <w:div w:id="1162425717">
      <w:bodyDiv w:val="1"/>
      <w:marLeft w:val="0"/>
      <w:marRight w:val="0"/>
      <w:marTop w:val="0"/>
      <w:marBottom w:val="0"/>
      <w:divBdr>
        <w:top w:val="none" w:sz="0" w:space="0" w:color="auto"/>
        <w:left w:val="none" w:sz="0" w:space="0" w:color="auto"/>
        <w:bottom w:val="none" w:sz="0" w:space="0" w:color="auto"/>
        <w:right w:val="none" w:sz="0" w:space="0" w:color="auto"/>
      </w:divBdr>
    </w:div>
    <w:div w:id="1280798522">
      <w:bodyDiv w:val="1"/>
      <w:marLeft w:val="0"/>
      <w:marRight w:val="0"/>
      <w:marTop w:val="0"/>
      <w:marBottom w:val="0"/>
      <w:divBdr>
        <w:top w:val="none" w:sz="0" w:space="0" w:color="auto"/>
        <w:left w:val="none" w:sz="0" w:space="0" w:color="auto"/>
        <w:bottom w:val="none" w:sz="0" w:space="0" w:color="auto"/>
        <w:right w:val="none" w:sz="0" w:space="0" w:color="auto"/>
      </w:divBdr>
    </w:div>
    <w:div w:id="1336567908">
      <w:bodyDiv w:val="1"/>
      <w:marLeft w:val="0"/>
      <w:marRight w:val="0"/>
      <w:marTop w:val="0"/>
      <w:marBottom w:val="0"/>
      <w:divBdr>
        <w:top w:val="none" w:sz="0" w:space="0" w:color="auto"/>
        <w:left w:val="none" w:sz="0" w:space="0" w:color="auto"/>
        <w:bottom w:val="none" w:sz="0" w:space="0" w:color="auto"/>
        <w:right w:val="none" w:sz="0" w:space="0" w:color="auto"/>
      </w:divBdr>
    </w:div>
    <w:div w:id="1367951400">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518301331">
      <w:bodyDiv w:val="1"/>
      <w:marLeft w:val="0"/>
      <w:marRight w:val="0"/>
      <w:marTop w:val="0"/>
      <w:marBottom w:val="0"/>
      <w:divBdr>
        <w:top w:val="none" w:sz="0" w:space="0" w:color="auto"/>
        <w:left w:val="none" w:sz="0" w:space="0" w:color="auto"/>
        <w:bottom w:val="none" w:sz="0" w:space="0" w:color="auto"/>
        <w:right w:val="none" w:sz="0" w:space="0" w:color="auto"/>
      </w:divBdr>
    </w:div>
    <w:div w:id="1855724239">
      <w:bodyDiv w:val="1"/>
      <w:marLeft w:val="0"/>
      <w:marRight w:val="0"/>
      <w:marTop w:val="0"/>
      <w:marBottom w:val="0"/>
      <w:divBdr>
        <w:top w:val="none" w:sz="0" w:space="0" w:color="auto"/>
        <w:left w:val="none" w:sz="0" w:space="0" w:color="auto"/>
        <w:bottom w:val="none" w:sz="0" w:space="0" w:color="auto"/>
        <w:right w:val="none" w:sz="0" w:space="0" w:color="auto"/>
      </w:divBdr>
    </w:div>
    <w:div w:id="2051029145">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LNIC~1\AppData\Local\Temp\publikace%20bar_lide%20a%20spolecnost.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681144885097923E-2"/>
          <c:y val="2.5996536971880195E-2"/>
          <c:w val="0.86533068789408019"/>
          <c:h val="0.8289249311627459"/>
        </c:manualLayout>
      </c:layout>
      <c:barChart>
        <c:barDir val="col"/>
        <c:grouping val="stacked"/>
        <c:varyColors val="0"/>
        <c:ser>
          <c:idx val="0"/>
          <c:order val="0"/>
          <c:tx>
            <c:strRef>
              <c:f>'3_1_1'!$A$3</c:f>
              <c:strCache>
                <c:ptCount val="1"/>
                <c:pt idx="0">
                  <c:v>Celkem v mld. Kč - běžné ceny</c:v>
                </c:pt>
              </c:strCache>
            </c:strRef>
          </c:tx>
          <c:spPr>
            <a:solidFill>
              <a:srgbClr val="D96D70"/>
            </a:solidFill>
          </c:spPr>
          <c:invertIfNegative val="0"/>
          <c:dLbls>
            <c:spPr>
              <a:noFill/>
              <a:ln>
                <a:noFill/>
              </a:ln>
              <a:effectLst/>
            </c:spPr>
            <c:txPr>
              <a:bodyPr/>
              <a:lstStyle/>
              <a:p>
                <a:pPr>
                  <a:defRPr b="1">
                    <a:solidFill>
                      <a:schemeClr val="bg1">
                        <a:lumMod val="95000"/>
                      </a:schemeClr>
                    </a:solidFill>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'3_1_1'!$B$2:$J$2</c:f>
              <c:strCache>
                <c:ptCount val="9"/>
                <c:pt idx="0">
                  <c:v>2010</c:v>
                </c:pt>
                <c:pt idx="1">
                  <c:v>2011</c:v>
                </c:pt>
                <c:pt idx="2">
                  <c:v>2012</c:v>
                </c:pt>
                <c:pt idx="3">
                  <c:v>2013</c:v>
                </c:pt>
                <c:pt idx="4">
                  <c:v>2014</c:v>
                </c:pt>
                <c:pt idx="5">
                  <c:v>2015</c:v>
                </c:pt>
                <c:pt idx="6">
                  <c:v>2016</c:v>
                </c:pt>
                <c:pt idx="7">
                  <c:v>2017</c:v>
                </c:pt>
                <c:pt idx="8">
                  <c:v>2018</c:v>
                </c:pt>
              </c:strCache>
            </c:strRef>
          </c:cat>
          <c:val>
            <c:numRef>
              <c:f>'3_1_1'!$B$3:$J$3</c:f>
              <c:numCache>
                <c:formatCode>0.0</c:formatCode>
                <c:ptCount val="9"/>
                <c:pt idx="0" formatCode="#,##0.0">
                  <c:v>231.8889781</c:v>
                </c:pt>
                <c:pt idx="1">
                  <c:v>234.337413</c:v>
                </c:pt>
                <c:pt idx="2">
                  <c:v>237.9272799</c:v>
                </c:pt>
                <c:pt idx="3">
                  <c:v>238.3540485</c:v>
                </c:pt>
                <c:pt idx="4">
                  <c:v>234.60161369999997</c:v>
                </c:pt>
                <c:pt idx="5">
                  <c:v>234.46049150000002</c:v>
                </c:pt>
                <c:pt idx="6">
                  <c:v>237.70046429999999</c:v>
                </c:pt>
                <c:pt idx="7">
                  <c:v>252.16859688999747</c:v>
                </c:pt>
                <c:pt idx="8" formatCode="#,##0.0">
                  <c:v>283.91330959999999</c:v>
                </c:pt>
              </c:numCache>
            </c:numRef>
          </c:val>
          <c:extLst xmlns:c16r2="http://schemas.microsoft.com/office/drawing/2015/06/chart">
            <c:ext xmlns:c16="http://schemas.microsoft.com/office/drawing/2014/chart" uri="{C3380CC4-5D6E-409C-BE32-E72D297353CC}">
              <c16:uniqueId val="{00000000-A71E-49BD-B0A9-EECB228FE57D}"/>
            </c:ext>
          </c:extLst>
        </c:ser>
        <c:dLbls>
          <c:showLegendKey val="0"/>
          <c:showVal val="0"/>
          <c:showCatName val="0"/>
          <c:showSerName val="0"/>
          <c:showPercent val="0"/>
          <c:showBubbleSize val="0"/>
        </c:dLbls>
        <c:gapWidth val="70"/>
        <c:overlap val="100"/>
        <c:axId val="702827520"/>
        <c:axId val="450814528"/>
      </c:barChart>
      <c:lineChart>
        <c:grouping val="stacked"/>
        <c:varyColors val="0"/>
        <c:ser>
          <c:idx val="1"/>
          <c:order val="1"/>
          <c:tx>
            <c:strRef>
              <c:f>'3_1_1'!$A$5</c:f>
              <c:strCache>
                <c:ptCount val="1"/>
                <c:pt idx="0">
                  <c:v>na 1 pojištěnce v Kč</c:v>
                </c:pt>
              </c:strCache>
            </c:strRef>
          </c:tx>
          <c:spPr>
            <a:ln>
              <a:solidFill>
                <a:srgbClr val="0070C0"/>
              </a:solidFill>
            </a:ln>
          </c:spPr>
          <c:marker>
            <c:symbol val="diamond"/>
            <c:size val="7"/>
            <c:spPr>
              <a:solidFill>
                <a:srgbClr val="0070C0"/>
              </a:solidFill>
              <a:ln>
                <a:solidFill>
                  <a:srgbClr val="0070C0"/>
                </a:solidFill>
              </a:ln>
            </c:spPr>
          </c:marker>
          <c:dLbls>
            <c:numFmt formatCode="#,##0" sourceLinked="0"/>
            <c:spPr>
              <a:noFill/>
              <a:ln>
                <a:noFill/>
              </a:ln>
              <a:effectLst/>
            </c:spPr>
            <c:txPr>
              <a:bodyPr/>
              <a:lstStyle/>
              <a:p>
                <a:pPr>
                  <a:defRPr b="1"/>
                </a:pPr>
                <a:endParaRPr lang="cs-CZ"/>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'3_1_1'!$B$2:$J$2</c:f>
              <c:strCache>
                <c:ptCount val="9"/>
                <c:pt idx="0">
                  <c:v>2010</c:v>
                </c:pt>
                <c:pt idx="1">
                  <c:v>2011</c:v>
                </c:pt>
                <c:pt idx="2">
                  <c:v>2012</c:v>
                </c:pt>
                <c:pt idx="3">
                  <c:v>2013</c:v>
                </c:pt>
                <c:pt idx="4">
                  <c:v>2014</c:v>
                </c:pt>
                <c:pt idx="5">
                  <c:v>2015</c:v>
                </c:pt>
                <c:pt idx="6">
                  <c:v>2016</c:v>
                </c:pt>
                <c:pt idx="7">
                  <c:v>2017</c:v>
                </c:pt>
                <c:pt idx="8">
                  <c:v>2018</c:v>
                </c:pt>
              </c:strCache>
            </c:strRef>
          </c:cat>
          <c:val>
            <c:numRef>
              <c:f>'3_1_1'!$B$5:$J$5</c:f>
              <c:numCache>
                <c:formatCode>#,##0.0</c:formatCode>
                <c:ptCount val="9"/>
                <c:pt idx="0">
                  <c:v>22374.7</c:v>
                </c:pt>
                <c:pt idx="1">
                  <c:v>22599.3</c:v>
                </c:pt>
                <c:pt idx="2">
                  <c:v>22924.9</c:v>
                </c:pt>
                <c:pt idx="3">
                  <c:v>22930.2</c:v>
                </c:pt>
                <c:pt idx="4">
                  <c:v>22533.3</c:v>
                </c:pt>
                <c:pt idx="5">
                  <c:v>22490.6</c:v>
                </c:pt>
                <c:pt idx="6">
                  <c:v>22710.6</c:v>
                </c:pt>
                <c:pt idx="7">
                  <c:v>24334.230776653516</c:v>
                </c:pt>
                <c:pt idx="8">
                  <c:v>27365.040683710329</c:v>
                </c:pt>
              </c:numCache>
            </c:numRef>
          </c:val>
          <c:smooth val="0"/>
          <c:extLst xmlns:c16r2="http://schemas.microsoft.com/office/drawing/2015/06/chart">
            <c:ext xmlns:c16="http://schemas.microsoft.com/office/drawing/2014/chart" uri="{C3380CC4-5D6E-409C-BE32-E72D297353CC}">
              <c16:uniqueId val="{00000001-A71E-49BD-B0A9-EECB228FE57D}"/>
            </c:ext>
          </c:extLst>
        </c:ser>
        <c:dLbls>
          <c:showLegendKey val="0"/>
          <c:showVal val="0"/>
          <c:showCatName val="0"/>
          <c:showSerName val="0"/>
          <c:showPercent val="0"/>
          <c:showBubbleSize val="0"/>
        </c:dLbls>
        <c:marker val="1"/>
        <c:smooth val="0"/>
        <c:axId val="702826496"/>
        <c:axId val="449817984"/>
      </c:lineChart>
      <c:catAx>
        <c:axId val="702826496"/>
        <c:scaling>
          <c:orientation val="minMax"/>
        </c:scaling>
        <c:delete val="0"/>
        <c:axPos val="b"/>
        <c:numFmt formatCode="General" sourceLinked="0"/>
        <c:majorTickMark val="out"/>
        <c:minorTickMark val="none"/>
        <c:tickLblPos val="nextTo"/>
        <c:spPr>
          <a:ln>
            <a:solidFill>
              <a:schemeClr val="bg1">
                <a:lumMod val="75000"/>
              </a:schemeClr>
            </a:solidFill>
          </a:ln>
        </c:spPr>
        <c:txPr>
          <a:bodyPr/>
          <a:lstStyle/>
          <a:p>
            <a:pPr>
              <a:defRPr b="1"/>
            </a:pPr>
            <a:endParaRPr lang="cs-CZ"/>
          </a:p>
        </c:txPr>
        <c:crossAx val="449817984"/>
        <c:crossesAt val="0"/>
        <c:auto val="1"/>
        <c:lblAlgn val="ctr"/>
        <c:lblOffset val="100"/>
        <c:noMultiLvlLbl val="0"/>
      </c:catAx>
      <c:valAx>
        <c:axId val="449817984"/>
        <c:scaling>
          <c:orientation val="minMax"/>
          <c:max val="30000"/>
          <c:min val="0"/>
        </c:scaling>
        <c:delete val="0"/>
        <c:axPos val="l"/>
        <c:majorGridlines>
          <c:spPr>
            <a:ln>
              <a:solidFill>
                <a:sysClr val="window" lastClr="FFFFFF">
                  <a:lumMod val="85000"/>
                </a:sysClr>
              </a:solidFill>
              <a:prstDash val="dash"/>
            </a:ln>
          </c:spPr>
        </c:majorGridlines>
        <c:numFmt formatCode="#,##0" sourceLinked="0"/>
        <c:majorTickMark val="out"/>
        <c:minorTickMark val="none"/>
        <c:tickLblPos val="nextTo"/>
        <c:spPr>
          <a:ln>
            <a:solidFill>
              <a:schemeClr val="bg1">
                <a:lumMod val="75000"/>
              </a:schemeClr>
            </a:solidFill>
          </a:ln>
        </c:spPr>
        <c:txPr>
          <a:bodyPr/>
          <a:lstStyle/>
          <a:p>
            <a:pPr>
              <a:defRPr>
                <a:solidFill>
                  <a:schemeClr val="bg1"/>
                </a:solidFill>
              </a:defRPr>
            </a:pPr>
            <a:endParaRPr lang="cs-CZ"/>
          </a:p>
        </c:txPr>
        <c:crossAx val="702826496"/>
        <c:crosses val="autoZero"/>
        <c:crossBetween val="between"/>
        <c:majorUnit val="10000"/>
      </c:valAx>
      <c:valAx>
        <c:axId val="450814528"/>
        <c:scaling>
          <c:orientation val="minMax"/>
          <c:max val="360"/>
          <c:min val="0"/>
        </c:scaling>
        <c:delete val="0"/>
        <c:axPos val="r"/>
        <c:numFmt formatCode="#,##0.0" sourceLinked="1"/>
        <c:majorTickMark val="out"/>
        <c:minorTickMark val="none"/>
        <c:tickLblPos val="nextTo"/>
        <c:spPr>
          <a:ln>
            <a:solidFill>
              <a:sysClr val="window" lastClr="FFFFFF"/>
            </a:solidFill>
          </a:ln>
        </c:spPr>
        <c:txPr>
          <a:bodyPr/>
          <a:lstStyle/>
          <a:p>
            <a:pPr>
              <a:defRPr>
                <a:solidFill>
                  <a:schemeClr val="bg1"/>
                </a:solidFill>
              </a:defRPr>
            </a:pPr>
            <a:endParaRPr lang="cs-CZ"/>
          </a:p>
        </c:txPr>
        <c:crossAx val="702827520"/>
        <c:crosses val="max"/>
        <c:crossBetween val="between"/>
        <c:majorUnit val="90"/>
      </c:valAx>
      <c:catAx>
        <c:axId val="702827520"/>
        <c:scaling>
          <c:orientation val="minMax"/>
        </c:scaling>
        <c:delete val="1"/>
        <c:axPos val="b"/>
        <c:numFmt formatCode="General" sourceLinked="1"/>
        <c:majorTickMark val="out"/>
        <c:minorTickMark val="none"/>
        <c:tickLblPos val="nextTo"/>
        <c:crossAx val="450814528"/>
        <c:crosses val="autoZero"/>
        <c:auto val="1"/>
        <c:lblAlgn val="ctr"/>
        <c:lblOffset val="100"/>
        <c:noMultiLvlLbl val="0"/>
      </c:catAx>
      <c:spPr>
        <a:ln>
          <a:noFill/>
        </a:ln>
      </c:spPr>
    </c:plotArea>
    <c:legend>
      <c:legendPos val="b"/>
      <c:layout>
        <c:manualLayout>
          <c:xMode val="edge"/>
          <c:yMode val="edge"/>
          <c:x val="0.20655355958657798"/>
          <c:y val="0.95825800694466923"/>
          <c:w val="0.58689283348144405"/>
          <c:h val="4.1741993055330794E-2"/>
        </c:manualLayout>
      </c:layout>
      <c:overlay val="0"/>
    </c:legend>
    <c:plotVisOnly val="1"/>
    <c:dispBlanksAs val="gap"/>
    <c:showDLblsOverMax val="0"/>
  </c:chart>
  <c:spPr>
    <a:ln>
      <a:solidFill>
        <a:sysClr val="window" lastClr="FFFFFF">
          <a:lumMod val="85000"/>
        </a:sysClr>
      </a:solid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34485197122378"/>
          <c:y val="6.6042617922705757E-2"/>
          <c:w val="0.6888082570759736"/>
          <c:h val="0.89225891576500915"/>
        </c:manualLayout>
      </c:layout>
      <c:barChart>
        <c:barDir val="bar"/>
        <c:grouping val="clustered"/>
        <c:varyColors val="0"/>
        <c:ser>
          <c:idx val="3"/>
          <c:order val="0"/>
          <c:spPr>
            <a:solidFill>
              <a:srgbClr val="D96D75"/>
            </a:solidFill>
            <a:ln w="9525">
              <a:solidFill>
                <a:srgbClr val="C0504D">
                  <a:lumMod val="60000"/>
                  <a:lumOff val="40000"/>
                </a:srgbClr>
              </a:solidFill>
              <a:prstDash val="solid"/>
            </a:ln>
          </c:spPr>
          <c:invertIfNegative val="0"/>
          <c:dLbls>
            <c:dLbl>
              <c:idx val="0"/>
              <c:spPr>
                <a:noFill/>
                <a:ln>
                  <a:noFill/>
                </a:ln>
                <a:effectLst/>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93B-4DE6-9914-22EB322FAD33}"/>
                </c:ext>
              </c:extLst>
            </c:dLbl>
            <c:dLbl>
              <c:idx val="1"/>
              <c:spPr>
                <a:noFill/>
                <a:ln>
                  <a:noFill/>
                </a:ln>
                <a:effectLst/>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93B-4DE6-9914-22EB322FAD33}"/>
                </c:ext>
              </c:extLst>
            </c:dLbl>
            <c:dLbl>
              <c:idx val="2"/>
              <c:spPr>
                <a:noFill/>
                <a:ln>
                  <a:noFill/>
                </a:ln>
                <a:effectLst/>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93B-4DE6-9914-22EB322FAD33}"/>
                </c:ext>
              </c:extLst>
            </c:dLbl>
            <c:dLbl>
              <c:idx val="3"/>
              <c:spPr>
                <a:noFill/>
                <a:ln>
                  <a:noFill/>
                </a:ln>
                <a:effectLst/>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93B-4DE6-9914-22EB322FAD33}"/>
                </c:ext>
              </c:extLst>
            </c:dLbl>
            <c:dLbl>
              <c:idx val="4"/>
              <c:spPr>
                <a:noFill/>
                <a:ln>
                  <a:noFill/>
                </a:ln>
                <a:effectLst/>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C93B-4DE6-9914-22EB322FAD33}"/>
                </c:ext>
              </c:extLst>
            </c:dLbl>
            <c:dLbl>
              <c:idx val="5"/>
              <c:spPr>
                <a:noFill/>
                <a:ln>
                  <a:noFill/>
                </a:ln>
                <a:effectLst/>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93B-4DE6-9914-22EB322FAD33}"/>
                </c:ext>
              </c:extLst>
            </c:dLbl>
            <c:dLbl>
              <c:idx val="6"/>
              <c:spPr>
                <a:noFill/>
                <a:ln>
                  <a:noFill/>
                </a:ln>
                <a:effectLst/>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C93B-4DE6-9914-22EB322FAD33}"/>
                </c:ext>
              </c:extLst>
            </c:dLbl>
            <c:dLbl>
              <c:idx val="7"/>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C93B-4DE6-9914-22EB322FAD33}"/>
                </c:ext>
              </c:extLst>
            </c:dLbl>
            <c:dLbl>
              <c:idx val="8"/>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C93B-4DE6-9914-22EB322FAD33}"/>
                </c:ext>
              </c:extLst>
            </c:dLbl>
            <c:dLbl>
              <c:idx val="9"/>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C93B-4DE6-9914-22EB322FAD33}"/>
                </c:ext>
              </c:extLst>
            </c:dLbl>
            <c:dLbl>
              <c:idx val="10"/>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C93B-4DE6-9914-22EB322FAD33}"/>
                </c:ext>
              </c:extLst>
            </c:dLbl>
            <c:dLbl>
              <c:idx val="11"/>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C93B-4DE6-9914-22EB322FAD33}"/>
                </c:ext>
              </c:extLst>
            </c:dLbl>
            <c:dLbl>
              <c:idx val="12"/>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C93B-4DE6-9914-22EB322FAD33}"/>
                </c:ext>
              </c:extLst>
            </c:dLbl>
            <c:dLbl>
              <c:idx val="13"/>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C93B-4DE6-9914-22EB322FAD33}"/>
                </c:ext>
              </c:extLst>
            </c:dLbl>
            <c:dLbl>
              <c:idx val="14"/>
              <c:numFmt formatCode="#,##0" sourceLinked="0"/>
              <c:spPr>
                <a:noFill/>
                <a:ln>
                  <a:noFill/>
                </a:ln>
                <a:effectLst/>
              </c:spPr>
              <c:txPr>
                <a:bodyPr/>
                <a:lstStyle/>
                <a:p>
                  <a:pPr>
                    <a:defRPr b="1">
                      <a:solidFill>
                        <a:schemeClr val="bg1"/>
                      </a:solidFill>
                    </a:defRPr>
                  </a:pPr>
                  <a:endParaRPr lang="cs-CZ"/>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C93B-4DE6-9914-22EB322FAD33}"/>
                </c:ext>
              </c:extLst>
            </c:dLbl>
            <c:dLbl>
              <c:idx val="15"/>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C93B-4DE6-9914-22EB322FAD33}"/>
                </c:ext>
              </c:extLst>
            </c:dLbl>
            <c:dLbl>
              <c:idx val="16"/>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C93B-4DE6-9914-22EB322FAD33}"/>
                </c:ext>
              </c:extLst>
            </c:dLbl>
            <c:dLbl>
              <c:idx val="17"/>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C93B-4DE6-9914-22EB322FAD33}"/>
                </c:ext>
              </c:extLst>
            </c:dLbl>
            <c:dLbl>
              <c:idx val="18"/>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C93B-4DE6-9914-22EB322FAD33}"/>
                </c:ext>
              </c:extLst>
            </c:dLbl>
            <c:dLbl>
              <c:idx val="19"/>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C93B-4DE6-9914-22EB322FAD33}"/>
                </c:ext>
              </c:extLst>
            </c:dLbl>
            <c:spPr>
              <a:noFill/>
              <a:ln>
                <a:noFill/>
              </a:ln>
              <a:effectLst/>
            </c:spPr>
            <c:txPr>
              <a:bodyPr/>
              <a:lstStyle/>
              <a:p>
                <a:pPr>
                  <a:defRPr b="1">
                    <a:solidFill>
                      <a:schemeClr val="bg1"/>
                    </a:solidFill>
                  </a:defRPr>
                </a:pPr>
                <a:endParaRPr lang="cs-CZ"/>
              </a:p>
            </c:txPr>
            <c:dLblPos val="in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'3_1_6'!$S$84:$S$103</c:f>
              <c:strCache>
                <c:ptCount val="20"/>
                <c:pt idx="0">
                  <c:v>Vrozené vady a deformace</c:v>
                </c:pt>
                <c:pt idx="1">
                  <c:v>Nemoci ucha</c:v>
                </c:pt>
                <c:pt idx="2">
                  <c:v>Stavy vzniklé v perinatálním období</c:v>
                </c:pt>
                <c:pt idx="3">
                  <c:v>Nemoci kůže</c:v>
                </c:pt>
                <c:pt idx="4">
                  <c:v>Nemoci oka</c:v>
                </c:pt>
                <c:pt idx="5">
                  <c:v>Nemoci krve a krvetvorných orgánů</c:v>
                </c:pt>
                <c:pt idx="6">
                  <c:v>Infekční a parazitární nemoci</c:v>
                </c:pt>
                <c:pt idx="7">
                  <c:v>Těhotenství, porod a šestinedělí</c:v>
                </c:pt>
                <c:pt idx="8">
                  <c:v>Nemoci endokrinní a metabolické</c:v>
                </c:pt>
                <c:pt idx="9">
                  <c:v>Příznaky, znaky</c:v>
                </c:pt>
                <c:pt idx="10">
                  <c:v>Nemoci nervové soustavy</c:v>
                </c:pt>
                <c:pt idx="11">
                  <c:v>Poruchy duševní a poruchy chování</c:v>
                </c:pt>
                <c:pt idx="12">
                  <c:v>Nemoci dýchací soustavy</c:v>
                </c:pt>
                <c:pt idx="13">
                  <c:v>Poranění, otravy aj.</c:v>
                </c:pt>
                <c:pt idx="14">
                  <c:v>Nemoci svalové, kosterní a pojivové tkáně</c:v>
                </c:pt>
                <c:pt idx="15">
                  <c:v>Nemoci močové a pohlavní soustavy</c:v>
                </c:pt>
                <c:pt idx="16">
                  <c:v>Nemoci trávicí soustavy</c:v>
                </c:pt>
                <c:pt idx="17">
                  <c:v>Faktory ovlivňující zdravotní stav</c:v>
                </c:pt>
                <c:pt idx="18">
                  <c:v>Novotvary</c:v>
                </c:pt>
                <c:pt idx="19">
                  <c:v>Nemoci oběhové soustavy</c:v>
                </c:pt>
              </c:strCache>
            </c:strRef>
          </c:cat>
          <c:val>
            <c:numRef>
              <c:f>'3_1_6'!$T$84:$T$103</c:f>
              <c:numCache>
                <c:formatCode>#,##0</c:formatCode>
                <c:ptCount val="20"/>
                <c:pt idx="0">
                  <c:v>119.21037534906112</c:v>
                </c:pt>
                <c:pt idx="1">
                  <c:v>161.80038421255483</c:v>
                </c:pt>
                <c:pt idx="2">
                  <c:v>127.13206129867284</c:v>
                </c:pt>
                <c:pt idx="3">
                  <c:v>321.00065465924689</c:v>
                </c:pt>
                <c:pt idx="4">
                  <c:v>545.03596125165564</c:v>
                </c:pt>
                <c:pt idx="5">
                  <c:v>337.64220639341255</c:v>
                </c:pt>
                <c:pt idx="6">
                  <c:v>320.794400769682</c:v>
                </c:pt>
                <c:pt idx="7" formatCode="0">
                  <c:v>582.21684444101743</c:v>
                </c:pt>
                <c:pt idx="8">
                  <c:v>922.80356530182883</c:v>
                </c:pt>
                <c:pt idx="9">
                  <c:v>956.65689056985354</c:v>
                </c:pt>
                <c:pt idx="10">
                  <c:v>1141.0051308106219</c:v>
                </c:pt>
                <c:pt idx="11">
                  <c:v>1029.7221214762994</c:v>
                </c:pt>
                <c:pt idx="12">
                  <c:v>1055.6861148057799</c:v>
                </c:pt>
                <c:pt idx="13">
                  <c:v>1137.4812380619042</c:v>
                </c:pt>
                <c:pt idx="14" formatCode="General">
                  <c:v>2153.0460469025193</c:v>
                </c:pt>
                <c:pt idx="15">
                  <c:v>1665.5402779615736</c:v>
                </c:pt>
                <c:pt idx="16">
                  <c:v>1559.1056833645798</c:v>
                </c:pt>
                <c:pt idx="17">
                  <c:v>2161.6046501566721</c:v>
                </c:pt>
                <c:pt idx="18">
                  <c:v>2529.381389643022</c:v>
                </c:pt>
                <c:pt idx="19">
                  <c:v>2389.0552935879814</c:v>
                </c:pt>
              </c:numCache>
            </c:numRef>
          </c:val>
          <c:extLst xmlns:c16r2="http://schemas.microsoft.com/office/drawing/2015/06/chart">
            <c:ext xmlns:c16="http://schemas.microsoft.com/office/drawing/2014/chart" uri="{C3380CC4-5D6E-409C-BE32-E72D297353CC}">
              <c16:uniqueId val="{00000009-B325-4230-93C7-16FBB712274E}"/>
            </c:ext>
          </c:extLst>
        </c:ser>
        <c:ser>
          <c:idx val="0"/>
          <c:order val="1"/>
          <c:spPr>
            <a:solidFill>
              <a:srgbClr val="0071BC"/>
            </a:solidFill>
            <a:ln>
              <a:solidFill>
                <a:srgbClr val="0062A4"/>
              </a:solidFill>
            </a:ln>
          </c:spPr>
          <c:invertIfNegative val="0"/>
          <c:dLbls>
            <c:dLbl>
              <c:idx val="0"/>
              <c:numFmt formatCode="#,##0;#,##0" sourceLinked="0"/>
              <c:spPr>
                <a:noFill/>
                <a:ln>
                  <a:noFill/>
                </a:ln>
                <a:effectLst/>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C93B-4DE6-9914-22EB322FAD33}"/>
                </c:ext>
              </c:extLst>
            </c:dLbl>
            <c:dLbl>
              <c:idx val="1"/>
              <c:numFmt formatCode="#,##0;#,##0" sourceLinked="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B325-4230-93C7-16FBB712274E}"/>
                </c:ext>
              </c:extLst>
            </c:dLbl>
            <c:dLbl>
              <c:idx val="2"/>
              <c:numFmt formatCode="#,##0;#,##0" sourceLinked="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B325-4230-93C7-16FBB712274E}"/>
                </c:ext>
              </c:extLst>
            </c:dLbl>
            <c:dLbl>
              <c:idx val="3"/>
              <c:numFmt formatCode="#,##0;#,##0" sourceLinked="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B325-4230-93C7-16FBB712274E}"/>
                </c:ext>
              </c:extLst>
            </c:dLbl>
            <c:dLbl>
              <c:idx val="4"/>
              <c:numFmt formatCode="#,##0;#,##0" sourceLinked="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B325-4230-93C7-16FBB712274E}"/>
                </c:ext>
              </c:extLst>
            </c:dLbl>
            <c:dLbl>
              <c:idx val="5"/>
              <c:numFmt formatCode="#,##0;#,##0" sourceLinked="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B325-4230-93C7-16FBB712274E}"/>
                </c:ext>
              </c:extLst>
            </c:dLbl>
            <c:dLbl>
              <c:idx val="6"/>
              <c:numFmt formatCode="#,##0;#,##0" sourceLinked="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B325-4230-93C7-16FBB712274E}"/>
                </c:ext>
              </c:extLst>
            </c:dLbl>
            <c:dLbl>
              <c:idx val="7"/>
              <c:numFmt formatCode="#,##0;#,##0" sourceLinked="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B325-4230-93C7-16FBB712274E}"/>
                </c:ext>
              </c:extLst>
            </c:dLbl>
            <c:numFmt formatCode="#,##0;#,##0" sourceLinked="0"/>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'3_1_6'!$S$84:$S$103</c:f>
              <c:strCache>
                <c:ptCount val="20"/>
                <c:pt idx="0">
                  <c:v>Vrozené vady a deformace</c:v>
                </c:pt>
                <c:pt idx="1">
                  <c:v>Nemoci ucha</c:v>
                </c:pt>
                <c:pt idx="2">
                  <c:v>Stavy vzniklé v perinatálním období</c:v>
                </c:pt>
                <c:pt idx="3">
                  <c:v>Nemoci kůže</c:v>
                </c:pt>
                <c:pt idx="4">
                  <c:v>Nemoci oka</c:v>
                </c:pt>
                <c:pt idx="5">
                  <c:v>Nemoci krve a krvetvorných orgánů</c:v>
                </c:pt>
                <c:pt idx="6">
                  <c:v>Infekční a parazitární nemoci</c:v>
                </c:pt>
                <c:pt idx="7">
                  <c:v>Těhotenství, porod a šestinedělí</c:v>
                </c:pt>
                <c:pt idx="8">
                  <c:v>Nemoci endokrinní a metabolické</c:v>
                </c:pt>
                <c:pt idx="9">
                  <c:v>Příznaky, znaky</c:v>
                </c:pt>
                <c:pt idx="10">
                  <c:v>Nemoci nervové soustavy</c:v>
                </c:pt>
                <c:pt idx="11">
                  <c:v>Poruchy duševní a poruchy chování</c:v>
                </c:pt>
                <c:pt idx="12">
                  <c:v>Nemoci dýchací soustavy</c:v>
                </c:pt>
                <c:pt idx="13">
                  <c:v>Poranění, otravy aj.</c:v>
                </c:pt>
                <c:pt idx="14">
                  <c:v>Nemoci svalové, kosterní a pojivové tkáně</c:v>
                </c:pt>
                <c:pt idx="15">
                  <c:v>Nemoci močové a pohlavní soustavy</c:v>
                </c:pt>
                <c:pt idx="16">
                  <c:v>Nemoci trávicí soustavy</c:v>
                </c:pt>
                <c:pt idx="17">
                  <c:v>Faktory ovlivňující zdravotní stav</c:v>
                </c:pt>
                <c:pt idx="18">
                  <c:v>Novotvary</c:v>
                </c:pt>
                <c:pt idx="19">
                  <c:v>Nemoci oběhové soustavy</c:v>
                </c:pt>
              </c:strCache>
            </c:strRef>
          </c:cat>
          <c:val>
            <c:numRef>
              <c:f>'3_1_6'!$U$84:$U$103</c:f>
              <c:numCache>
                <c:formatCode>#,##0</c:formatCode>
                <c:ptCount val="20"/>
                <c:pt idx="0">
                  <c:v>-141.02071693836797</c:v>
                </c:pt>
                <c:pt idx="1">
                  <c:v>-147.24415202235434</c:v>
                </c:pt>
                <c:pt idx="2">
                  <c:v>-172.25504389507452</c:v>
                </c:pt>
                <c:pt idx="3">
                  <c:v>-311.60929383153211</c:v>
                </c:pt>
                <c:pt idx="4">
                  <c:v>-398.40335701030085</c:v>
                </c:pt>
                <c:pt idx="5">
                  <c:v>-399.89115280500852</c:v>
                </c:pt>
                <c:pt idx="6">
                  <c:v>-441.20808024662915</c:v>
                </c:pt>
                <c:pt idx="8">
                  <c:v>-715.53390885488136</c:v>
                </c:pt>
                <c:pt idx="9">
                  <c:v>-805.22224596857518</c:v>
                </c:pt>
                <c:pt idx="10">
                  <c:v>-820.32947342818613</c:v>
                </c:pt>
                <c:pt idx="11">
                  <c:v>-1106.6475947344954</c:v>
                </c:pt>
                <c:pt idx="12">
                  <c:v>-1208.8541529673303</c:v>
                </c:pt>
                <c:pt idx="13">
                  <c:v>-1257.6573193032584</c:v>
                </c:pt>
                <c:pt idx="14">
                  <c:v>-1352.9137779919938</c:v>
                </c:pt>
                <c:pt idx="15">
                  <c:v>-1445.1172409911308</c:v>
                </c:pt>
                <c:pt idx="16" formatCode="General">
                  <c:v>-1602.3280246078727</c:v>
                </c:pt>
                <c:pt idx="17">
                  <c:v>-1752.1481404607296</c:v>
                </c:pt>
                <c:pt idx="18">
                  <c:v>-2762.4848490001286</c:v>
                </c:pt>
                <c:pt idx="19">
                  <c:v>-3116.1159419780242</c:v>
                </c:pt>
              </c:numCache>
            </c:numRef>
          </c:val>
          <c:extLst xmlns:c16r2="http://schemas.microsoft.com/office/drawing/2015/06/chart">
            <c:ext xmlns:c16="http://schemas.microsoft.com/office/drawing/2014/chart" uri="{C3380CC4-5D6E-409C-BE32-E72D297353CC}">
              <c16:uniqueId val="{00000012-B325-4230-93C7-16FBB712274E}"/>
            </c:ext>
          </c:extLst>
        </c:ser>
        <c:ser>
          <c:idx val="1"/>
          <c:order val="2"/>
          <c:tx>
            <c:v>Ženy</c:v>
          </c:tx>
          <c:invertIfNegative val="0"/>
          <c:val>
            <c:numLit>
              <c:formatCode>General</c:formatCode>
              <c:ptCount val="1"/>
              <c:pt idx="0">
                <c:v>1</c:v>
              </c:pt>
            </c:numLit>
          </c:val>
          <c:extLst xmlns:c16r2="http://schemas.microsoft.com/office/drawing/2015/06/chart">
            <c:ext xmlns:c16="http://schemas.microsoft.com/office/drawing/2014/chart" uri="{C3380CC4-5D6E-409C-BE32-E72D297353CC}">
              <c16:uniqueId val="{00000013-B325-4230-93C7-16FBB712274E}"/>
            </c:ext>
          </c:extLst>
        </c:ser>
        <c:ser>
          <c:idx val="2"/>
          <c:order val="3"/>
          <c:tx>
            <c:v>Muži</c:v>
          </c:tx>
          <c:spPr>
            <a:solidFill>
              <a:srgbClr val="0070C0"/>
            </a:solidFill>
          </c:spPr>
          <c:invertIfNegative val="0"/>
          <c:val>
            <c:numLit>
              <c:formatCode>General</c:formatCode>
              <c:ptCount val="1"/>
              <c:pt idx="0">
                <c:v>1</c:v>
              </c:pt>
            </c:numLit>
          </c:val>
          <c:extLst xmlns:c16r2="http://schemas.microsoft.com/office/drawing/2015/06/chart">
            <c:ext xmlns:c16="http://schemas.microsoft.com/office/drawing/2014/chart" uri="{C3380CC4-5D6E-409C-BE32-E72D297353CC}">
              <c16:uniqueId val="{00000014-B325-4230-93C7-16FBB712274E}"/>
            </c:ext>
          </c:extLst>
        </c:ser>
        <c:dLbls>
          <c:showLegendKey val="0"/>
          <c:showVal val="0"/>
          <c:showCatName val="0"/>
          <c:showSerName val="0"/>
          <c:showPercent val="0"/>
          <c:showBubbleSize val="0"/>
        </c:dLbls>
        <c:gapWidth val="0"/>
        <c:overlap val="100"/>
        <c:axId val="705503744"/>
        <c:axId val="513119296"/>
      </c:barChart>
      <c:catAx>
        <c:axId val="705503744"/>
        <c:scaling>
          <c:orientation val="minMax"/>
        </c:scaling>
        <c:delete val="0"/>
        <c:axPos val="l"/>
        <c:numFmt formatCode="General" sourceLinked="1"/>
        <c:majorTickMark val="out"/>
        <c:minorTickMark val="none"/>
        <c:tickLblPos val="low"/>
        <c:spPr>
          <a:ln w="3175">
            <a:solidFill>
              <a:schemeClr val="tx1">
                <a:lumMod val="50000"/>
                <a:lumOff val="50000"/>
              </a:schemeClr>
            </a:solidFill>
            <a:prstDash val="solid"/>
          </a:ln>
        </c:spPr>
        <c:txPr>
          <a:bodyPr rot="0" vert="horz"/>
          <a:lstStyle/>
          <a:p>
            <a:pPr>
              <a:defRPr/>
            </a:pPr>
            <a:endParaRPr lang="cs-CZ"/>
          </a:p>
        </c:txPr>
        <c:crossAx val="513119296"/>
        <c:crosses val="autoZero"/>
        <c:auto val="1"/>
        <c:lblAlgn val="ctr"/>
        <c:lblOffset val="100"/>
        <c:tickLblSkip val="1"/>
        <c:tickMarkSkip val="1"/>
        <c:noMultiLvlLbl val="0"/>
      </c:catAx>
      <c:valAx>
        <c:axId val="513119296"/>
        <c:scaling>
          <c:orientation val="minMax"/>
          <c:max val="3500"/>
          <c:min val="-3500"/>
        </c:scaling>
        <c:delete val="0"/>
        <c:axPos val="b"/>
        <c:majorGridlines>
          <c:spPr>
            <a:ln w="9525">
              <a:solidFill>
                <a:sysClr val="window" lastClr="FFFFFF">
                  <a:lumMod val="85000"/>
                </a:sysClr>
              </a:solidFill>
              <a:prstDash val="dash"/>
            </a:ln>
          </c:spPr>
        </c:majorGridlines>
        <c:numFmt formatCode="0;0" sourceLinked="0"/>
        <c:majorTickMark val="out"/>
        <c:minorTickMark val="none"/>
        <c:tickLblPos val="nextTo"/>
        <c:spPr>
          <a:ln w="3175">
            <a:solidFill>
              <a:sysClr val="window" lastClr="FFFFFF">
                <a:lumMod val="85000"/>
              </a:sysClr>
            </a:solidFill>
            <a:prstDash val="solid"/>
          </a:ln>
        </c:spPr>
        <c:txPr>
          <a:bodyPr rot="0" vert="horz"/>
          <a:lstStyle/>
          <a:p>
            <a:pPr>
              <a:defRPr/>
            </a:pPr>
            <a:endParaRPr lang="cs-CZ"/>
          </a:p>
        </c:txPr>
        <c:crossAx val="705503744"/>
        <c:crosses val="autoZero"/>
        <c:crossBetween val="between"/>
        <c:majorUnit val="1000"/>
        <c:minorUnit val="20"/>
      </c:valAx>
      <c:spPr>
        <a:solidFill>
          <a:srgbClr val="FFFFFF"/>
        </a:solidFill>
        <a:ln w="3175">
          <a:noFill/>
          <a:prstDash val="solid"/>
        </a:ln>
      </c:spPr>
    </c:plotArea>
    <c:legend>
      <c:legendPos val="r"/>
      <c:legendEntry>
        <c:idx val="2"/>
        <c:delete val="1"/>
      </c:legendEntry>
      <c:legendEntry>
        <c:idx val="3"/>
        <c:delete val="1"/>
      </c:legendEntry>
      <c:layout>
        <c:manualLayout>
          <c:xMode val="edge"/>
          <c:yMode val="edge"/>
          <c:x val="0.89259738700771185"/>
          <c:y val="0.45752322384581434"/>
          <c:w val="7.2791982584377191E-2"/>
          <c:h val="9.9259481882888259E-2"/>
        </c:manualLayout>
      </c:layout>
      <c:overlay val="0"/>
      <c:spPr>
        <a:solidFill>
          <a:srgbClr val="FFFFFF"/>
        </a:solidFill>
        <a:ln w="3175">
          <a:noFill/>
          <a:prstDash val="solid"/>
        </a:ln>
      </c:spPr>
    </c:legend>
    <c:plotVisOnly val="1"/>
    <c:dispBlanksAs val="gap"/>
    <c:showDLblsOverMax val="0"/>
  </c:chart>
  <c:spPr>
    <a:solidFill>
      <a:srgbClr val="FFFFFF"/>
    </a:solidFill>
    <a:ln w="3175">
      <a:solidFill>
        <a:sysClr val="window" lastClr="FFFFFF">
          <a:lumMod val="85000"/>
        </a:sysClr>
      </a:solidFill>
      <a:prstDash val="solid"/>
    </a:ln>
  </c:spPr>
  <c:txPr>
    <a:bodyPr/>
    <a:lstStyle/>
    <a:p>
      <a:pPr>
        <a:defRPr sz="800" b="0" i="0" u="none" strike="noStrike" baseline="0">
          <a:solidFill>
            <a:srgbClr val="000000"/>
          </a:solidFill>
          <a:latin typeface="Arial"/>
          <a:ea typeface="Arial"/>
          <a:cs typeface="Arial"/>
        </a:defRPr>
      </a:pPr>
      <a:endParaRPr lang="cs-CZ"/>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857746505091126E-2"/>
          <c:y val="5.0925925925925923E-2"/>
          <c:w val="0.88450159155637464"/>
          <c:h val="0.75755905511811028"/>
        </c:manualLayout>
      </c:layout>
      <c:barChart>
        <c:barDir val="col"/>
        <c:grouping val="clustered"/>
        <c:varyColors val="0"/>
        <c:ser>
          <c:idx val="0"/>
          <c:order val="0"/>
          <c:tx>
            <c:strRef>
              <c:f>List2!$E$76</c:f>
              <c:strCache>
                <c:ptCount val="1"/>
                <c:pt idx="0">
                  <c:v>Muži</c:v>
                </c:pt>
              </c:strCache>
            </c:strRef>
          </c:tx>
          <c:spPr>
            <a:solidFill>
              <a:srgbClr val="0071BC"/>
            </a:solidFill>
            <a:ln>
              <a:solidFill>
                <a:srgbClr val="0071BC"/>
              </a:solidFill>
            </a:ln>
          </c:spPr>
          <c:invertIfNegative val="0"/>
          <c:cat>
            <c:strRef>
              <c:f>List2!$D$77:$D$86</c:f>
              <c:strCache>
                <c:ptCount val="10"/>
                <c:pt idx="0">
                  <c:v>0–9</c:v>
                </c:pt>
                <c:pt idx="1">
                  <c:v>10–19</c:v>
                </c:pt>
                <c:pt idx="2">
                  <c:v>20–29</c:v>
                </c:pt>
                <c:pt idx="3">
                  <c:v>30–39</c:v>
                </c:pt>
                <c:pt idx="4">
                  <c:v>40–49</c:v>
                </c:pt>
                <c:pt idx="5">
                  <c:v>50–59</c:v>
                </c:pt>
                <c:pt idx="6">
                  <c:v>60–69</c:v>
                </c:pt>
                <c:pt idx="7">
                  <c:v>70–79</c:v>
                </c:pt>
                <c:pt idx="8">
                  <c:v>80-89</c:v>
                </c:pt>
                <c:pt idx="9">
                  <c:v>90+</c:v>
                </c:pt>
              </c:strCache>
            </c:strRef>
          </c:cat>
          <c:val>
            <c:numRef>
              <c:f>List2!$E$77:$E$86</c:f>
              <c:numCache>
                <c:formatCode>#,##0</c:formatCode>
                <c:ptCount val="10"/>
                <c:pt idx="0">
                  <c:v>9649.9007430000001</c:v>
                </c:pt>
                <c:pt idx="1">
                  <c:v>6183.5706819999996</c:v>
                </c:pt>
                <c:pt idx="2">
                  <c:v>6513.9934880000001</c:v>
                </c:pt>
                <c:pt idx="3">
                  <c:v>10176.981741</c:v>
                </c:pt>
                <c:pt idx="4">
                  <c:v>14862.750194</c:v>
                </c:pt>
                <c:pt idx="5">
                  <c:v>16278.430338999999</c:v>
                </c:pt>
                <c:pt idx="6">
                  <c:v>32316.086869999999</c:v>
                </c:pt>
                <c:pt idx="7">
                  <c:v>28591.81911</c:v>
                </c:pt>
                <c:pt idx="8">
                  <c:v>10133.678071999999</c:v>
                </c:pt>
                <c:pt idx="9">
                  <c:v>1151.8559468000001</c:v>
                </c:pt>
              </c:numCache>
            </c:numRef>
          </c:val>
          <c:extLst xmlns:c16r2="http://schemas.microsoft.com/office/drawing/2015/06/chart">
            <c:ext xmlns:c16="http://schemas.microsoft.com/office/drawing/2014/chart" uri="{C3380CC4-5D6E-409C-BE32-E72D297353CC}">
              <c16:uniqueId val="{00000000-29AE-4DB4-A00A-A88BC823A4E7}"/>
            </c:ext>
          </c:extLst>
        </c:ser>
        <c:ser>
          <c:idx val="1"/>
          <c:order val="1"/>
          <c:tx>
            <c:strRef>
              <c:f>List2!$F$76</c:f>
              <c:strCache>
                <c:ptCount val="1"/>
                <c:pt idx="0">
                  <c:v>Ženy</c:v>
                </c:pt>
              </c:strCache>
            </c:strRef>
          </c:tx>
          <c:spPr>
            <a:solidFill>
              <a:srgbClr val="D96D75"/>
            </a:solidFill>
            <a:ln>
              <a:solidFill>
                <a:srgbClr val="D96D75"/>
              </a:solidFill>
            </a:ln>
          </c:spPr>
          <c:invertIfNegative val="0"/>
          <c:cat>
            <c:strRef>
              <c:f>List2!$D$77:$D$86</c:f>
              <c:strCache>
                <c:ptCount val="10"/>
                <c:pt idx="0">
                  <c:v>0–9</c:v>
                </c:pt>
                <c:pt idx="1">
                  <c:v>10–19</c:v>
                </c:pt>
                <c:pt idx="2">
                  <c:v>20–29</c:v>
                </c:pt>
                <c:pt idx="3">
                  <c:v>30–39</c:v>
                </c:pt>
                <c:pt idx="4">
                  <c:v>40–49</c:v>
                </c:pt>
                <c:pt idx="5">
                  <c:v>50–59</c:v>
                </c:pt>
                <c:pt idx="6">
                  <c:v>60–69</c:v>
                </c:pt>
                <c:pt idx="7">
                  <c:v>70–79</c:v>
                </c:pt>
                <c:pt idx="8">
                  <c:v>80-89</c:v>
                </c:pt>
                <c:pt idx="9">
                  <c:v>90+</c:v>
                </c:pt>
              </c:strCache>
            </c:strRef>
          </c:cat>
          <c:val>
            <c:numRef>
              <c:f>List2!$F$77:$F$86</c:f>
              <c:numCache>
                <c:formatCode>#,##0</c:formatCode>
                <c:ptCount val="10"/>
                <c:pt idx="0">
                  <c:v>8001.0473680000005</c:v>
                </c:pt>
                <c:pt idx="1">
                  <c:v>6102.1996920000001</c:v>
                </c:pt>
                <c:pt idx="2">
                  <c:v>7880.5963179999999</c:v>
                </c:pt>
                <c:pt idx="3">
                  <c:v>13951.540341</c:v>
                </c:pt>
                <c:pt idx="4">
                  <c:v>16905.150602000002</c:v>
                </c:pt>
                <c:pt idx="5">
                  <c:v>17088.951512</c:v>
                </c:pt>
                <c:pt idx="6">
                  <c:v>28310.670870000002</c:v>
                </c:pt>
                <c:pt idx="7">
                  <c:v>29842.312750000001</c:v>
                </c:pt>
                <c:pt idx="8">
                  <c:v>16530.061831999999</c:v>
                </c:pt>
                <c:pt idx="9">
                  <c:v>3441.7110943000002</c:v>
                </c:pt>
              </c:numCache>
            </c:numRef>
          </c:val>
          <c:extLst xmlns:c16r2="http://schemas.microsoft.com/office/drawing/2015/06/chart">
            <c:ext xmlns:c16="http://schemas.microsoft.com/office/drawing/2014/chart" uri="{C3380CC4-5D6E-409C-BE32-E72D297353CC}">
              <c16:uniqueId val="{00000001-29AE-4DB4-A00A-A88BC823A4E7}"/>
            </c:ext>
          </c:extLst>
        </c:ser>
        <c:dLbls>
          <c:showLegendKey val="0"/>
          <c:showVal val="0"/>
          <c:showCatName val="0"/>
          <c:showSerName val="0"/>
          <c:showPercent val="0"/>
          <c:showBubbleSize val="0"/>
        </c:dLbls>
        <c:gapWidth val="70"/>
        <c:axId val="705505280"/>
        <c:axId val="633554048"/>
      </c:barChart>
      <c:catAx>
        <c:axId val="705505280"/>
        <c:scaling>
          <c:orientation val="minMax"/>
        </c:scaling>
        <c:delete val="0"/>
        <c:axPos val="b"/>
        <c:numFmt formatCode="General" sourceLinked="0"/>
        <c:majorTickMark val="out"/>
        <c:minorTickMark val="none"/>
        <c:tickLblPos val="nextTo"/>
        <c:spPr>
          <a:ln>
            <a:solidFill>
              <a:schemeClr val="bg1">
                <a:lumMod val="85000"/>
              </a:schemeClr>
            </a:solidFill>
          </a:ln>
        </c:spPr>
        <c:crossAx val="633554048"/>
        <c:crosses val="autoZero"/>
        <c:auto val="1"/>
        <c:lblAlgn val="ctr"/>
        <c:lblOffset val="100"/>
        <c:noMultiLvlLbl val="0"/>
      </c:catAx>
      <c:valAx>
        <c:axId val="633554048"/>
        <c:scaling>
          <c:orientation val="minMax"/>
          <c:max val="40000"/>
        </c:scaling>
        <c:delete val="0"/>
        <c:axPos val="l"/>
        <c:majorGridlines>
          <c:spPr>
            <a:ln>
              <a:solidFill>
                <a:schemeClr val="bg1">
                  <a:lumMod val="85000"/>
                </a:schemeClr>
              </a:solidFill>
              <a:prstDash val="dash"/>
            </a:ln>
          </c:spPr>
        </c:majorGridlines>
        <c:numFmt formatCode="#,##0" sourceLinked="1"/>
        <c:majorTickMark val="out"/>
        <c:minorTickMark val="none"/>
        <c:tickLblPos val="nextTo"/>
        <c:spPr>
          <a:ln>
            <a:solidFill>
              <a:schemeClr val="bg1">
                <a:lumMod val="85000"/>
              </a:schemeClr>
            </a:solidFill>
          </a:ln>
        </c:spPr>
        <c:crossAx val="705505280"/>
        <c:crosses val="autoZero"/>
        <c:crossBetween val="between"/>
        <c:majorUnit val="10000"/>
      </c:valAx>
    </c:plotArea>
    <c:legend>
      <c:legendPos val="b"/>
      <c:overlay val="0"/>
    </c:legend>
    <c:plotVisOnly val="1"/>
    <c:dispBlanksAs val="gap"/>
    <c:showDLblsOverMax val="0"/>
  </c:chart>
  <c:spPr>
    <a:ln>
      <a:solidFill>
        <a:schemeClr val="bg1">
          <a:lumMod val="85000"/>
        </a:schemeClr>
      </a:solid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783889146209678E-2"/>
          <c:y val="6.0185185185185182E-2"/>
          <c:w val="0.88025532654006489"/>
          <c:h val="0.75755905511811028"/>
        </c:manualLayout>
      </c:layout>
      <c:barChart>
        <c:barDir val="col"/>
        <c:grouping val="clustered"/>
        <c:varyColors val="0"/>
        <c:ser>
          <c:idx val="0"/>
          <c:order val="0"/>
          <c:tx>
            <c:strRef>
              <c:f>List2!$C$92</c:f>
              <c:strCache>
                <c:ptCount val="1"/>
                <c:pt idx="0">
                  <c:v>Muži</c:v>
                </c:pt>
              </c:strCache>
            </c:strRef>
          </c:tx>
          <c:spPr>
            <a:solidFill>
              <a:srgbClr val="0071BC"/>
            </a:solidFill>
            <a:ln>
              <a:solidFill>
                <a:srgbClr val="0071BC"/>
              </a:solidFill>
            </a:ln>
          </c:spPr>
          <c:invertIfNegative val="0"/>
          <c:cat>
            <c:strRef>
              <c:f>List2!$B$93:$B$103</c:f>
              <c:strCache>
                <c:ptCount val="11"/>
                <c:pt idx="0">
                  <c:v>0–9</c:v>
                </c:pt>
                <c:pt idx="1">
                  <c:v>10–19</c:v>
                </c:pt>
                <c:pt idx="2">
                  <c:v>20–29</c:v>
                </c:pt>
                <c:pt idx="3">
                  <c:v>30–39</c:v>
                </c:pt>
                <c:pt idx="4">
                  <c:v>40–49</c:v>
                </c:pt>
                <c:pt idx="5">
                  <c:v>50–59</c:v>
                </c:pt>
                <c:pt idx="6">
                  <c:v>60–69</c:v>
                </c:pt>
                <c:pt idx="7">
                  <c:v>70–79</c:v>
                </c:pt>
                <c:pt idx="8">
                  <c:v>80-89</c:v>
                </c:pt>
                <c:pt idx="9">
                  <c:v>90+</c:v>
                </c:pt>
                <c:pt idx="10">
                  <c:v>Celkem</c:v>
                </c:pt>
              </c:strCache>
            </c:strRef>
          </c:cat>
          <c:val>
            <c:numRef>
              <c:f>List2!$C$93:$C$103</c:f>
              <c:numCache>
                <c:formatCode>#,##0</c:formatCode>
                <c:ptCount val="11"/>
                <c:pt idx="0">
                  <c:v>16599.209668236013</c:v>
                </c:pt>
                <c:pt idx="1">
                  <c:v>12462.830980266486</c:v>
                </c:pt>
                <c:pt idx="2">
                  <c:v>10717.171822069105</c:v>
                </c:pt>
                <c:pt idx="3">
                  <c:v>13263.643893265074</c:v>
                </c:pt>
                <c:pt idx="4">
                  <c:v>18027.844826686945</c:v>
                </c:pt>
                <c:pt idx="5">
                  <c:v>24591.371250700573</c:v>
                </c:pt>
                <c:pt idx="6">
                  <c:v>49889.366921135304</c:v>
                </c:pt>
                <c:pt idx="7">
                  <c:v>73926.133151653979</c:v>
                </c:pt>
                <c:pt idx="8">
                  <c:v>79192.870320876507</c:v>
                </c:pt>
                <c:pt idx="9">
                  <c:v>76251.552151462995</c:v>
                </c:pt>
                <c:pt idx="10">
                  <c:v>26552.731198715705</c:v>
                </c:pt>
              </c:numCache>
            </c:numRef>
          </c:val>
          <c:extLst xmlns:c16r2="http://schemas.microsoft.com/office/drawing/2015/06/chart">
            <c:ext xmlns:c16="http://schemas.microsoft.com/office/drawing/2014/chart" uri="{C3380CC4-5D6E-409C-BE32-E72D297353CC}">
              <c16:uniqueId val="{00000000-D6C2-4AD0-A0A3-7692C2015130}"/>
            </c:ext>
          </c:extLst>
        </c:ser>
        <c:ser>
          <c:idx val="1"/>
          <c:order val="1"/>
          <c:tx>
            <c:strRef>
              <c:f>List2!$D$92</c:f>
              <c:strCache>
                <c:ptCount val="1"/>
                <c:pt idx="0">
                  <c:v>Ženy</c:v>
                </c:pt>
              </c:strCache>
            </c:strRef>
          </c:tx>
          <c:spPr>
            <a:solidFill>
              <a:srgbClr val="D96D75"/>
            </a:solidFill>
            <a:ln>
              <a:solidFill>
                <a:srgbClr val="D96D75"/>
              </a:solidFill>
            </a:ln>
          </c:spPr>
          <c:invertIfNegative val="0"/>
          <c:cat>
            <c:strRef>
              <c:f>List2!$B$93:$B$103</c:f>
              <c:strCache>
                <c:ptCount val="11"/>
                <c:pt idx="0">
                  <c:v>0–9</c:v>
                </c:pt>
                <c:pt idx="1">
                  <c:v>10–19</c:v>
                </c:pt>
                <c:pt idx="2">
                  <c:v>20–29</c:v>
                </c:pt>
                <c:pt idx="3">
                  <c:v>30–39</c:v>
                </c:pt>
                <c:pt idx="4">
                  <c:v>40–49</c:v>
                </c:pt>
                <c:pt idx="5">
                  <c:v>50–59</c:v>
                </c:pt>
                <c:pt idx="6">
                  <c:v>60–69</c:v>
                </c:pt>
                <c:pt idx="7">
                  <c:v>70–79</c:v>
                </c:pt>
                <c:pt idx="8">
                  <c:v>80-89</c:v>
                </c:pt>
                <c:pt idx="9">
                  <c:v>90+</c:v>
                </c:pt>
                <c:pt idx="10">
                  <c:v>Celkem</c:v>
                </c:pt>
              </c:strCache>
            </c:strRef>
          </c:cat>
          <c:val>
            <c:numRef>
              <c:f>List2!$D$93:$D$103</c:f>
              <c:numCache>
                <c:formatCode>#,##0</c:formatCode>
                <c:ptCount val="11"/>
                <c:pt idx="0">
                  <c:v>14439.691262062333</c:v>
                </c:pt>
                <c:pt idx="1">
                  <c:v>13045.243605859265</c:v>
                </c:pt>
                <c:pt idx="2">
                  <c:v>13659.536370096892</c:v>
                </c:pt>
                <c:pt idx="3">
                  <c:v>19637.306398240016</c:v>
                </c:pt>
                <c:pt idx="4">
                  <c:v>21460.617296049786</c:v>
                </c:pt>
                <c:pt idx="5">
                  <c:v>26379.817833789231</c:v>
                </c:pt>
                <c:pt idx="6">
                  <c:v>39790.176613038107</c:v>
                </c:pt>
                <c:pt idx="7">
                  <c:v>57777.281870878556</c:v>
                </c:pt>
                <c:pt idx="8">
                  <c:v>68608.826689688372</c:v>
                </c:pt>
                <c:pt idx="9">
                  <c:v>76952.735479038587</c:v>
                </c:pt>
                <c:pt idx="10">
                  <c:v>28155.442949978311</c:v>
                </c:pt>
              </c:numCache>
            </c:numRef>
          </c:val>
          <c:extLst xmlns:c16r2="http://schemas.microsoft.com/office/drawing/2015/06/chart">
            <c:ext xmlns:c16="http://schemas.microsoft.com/office/drawing/2014/chart" uri="{C3380CC4-5D6E-409C-BE32-E72D297353CC}">
              <c16:uniqueId val="{00000001-D6C2-4AD0-A0A3-7692C2015130}"/>
            </c:ext>
          </c:extLst>
        </c:ser>
        <c:dLbls>
          <c:showLegendKey val="0"/>
          <c:showVal val="0"/>
          <c:showCatName val="0"/>
          <c:showSerName val="0"/>
          <c:showPercent val="0"/>
          <c:showBubbleSize val="0"/>
        </c:dLbls>
        <c:gapWidth val="70"/>
        <c:axId val="705506816"/>
        <c:axId val="633556352"/>
      </c:barChart>
      <c:catAx>
        <c:axId val="705506816"/>
        <c:scaling>
          <c:orientation val="minMax"/>
        </c:scaling>
        <c:delete val="0"/>
        <c:axPos val="b"/>
        <c:numFmt formatCode="General" sourceLinked="0"/>
        <c:majorTickMark val="out"/>
        <c:minorTickMark val="none"/>
        <c:tickLblPos val="nextTo"/>
        <c:spPr>
          <a:ln>
            <a:solidFill>
              <a:schemeClr val="bg1">
                <a:lumMod val="85000"/>
              </a:schemeClr>
            </a:solidFill>
          </a:ln>
        </c:spPr>
        <c:crossAx val="633556352"/>
        <c:crosses val="autoZero"/>
        <c:auto val="1"/>
        <c:lblAlgn val="ctr"/>
        <c:lblOffset val="100"/>
        <c:noMultiLvlLbl val="0"/>
      </c:catAx>
      <c:valAx>
        <c:axId val="633556352"/>
        <c:scaling>
          <c:orientation val="minMax"/>
          <c:max val="80000"/>
        </c:scaling>
        <c:delete val="0"/>
        <c:axPos val="l"/>
        <c:majorGridlines>
          <c:spPr>
            <a:ln>
              <a:solidFill>
                <a:schemeClr val="bg1">
                  <a:lumMod val="85000"/>
                </a:schemeClr>
              </a:solidFill>
              <a:prstDash val="dash"/>
            </a:ln>
          </c:spPr>
        </c:majorGridlines>
        <c:numFmt formatCode="#,##0" sourceLinked="1"/>
        <c:majorTickMark val="out"/>
        <c:minorTickMark val="none"/>
        <c:tickLblPos val="nextTo"/>
        <c:spPr>
          <a:ln>
            <a:solidFill>
              <a:schemeClr val="bg1">
                <a:lumMod val="85000"/>
              </a:schemeClr>
            </a:solidFill>
          </a:ln>
        </c:spPr>
        <c:crossAx val="705506816"/>
        <c:crosses val="autoZero"/>
        <c:crossBetween val="between"/>
        <c:majorUnit val="20000"/>
      </c:valAx>
    </c:plotArea>
    <c:legend>
      <c:legendPos val="b"/>
      <c:overlay val="0"/>
    </c:legend>
    <c:plotVisOnly val="1"/>
    <c:dispBlanksAs val="gap"/>
    <c:showDLblsOverMax val="0"/>
  </c:chart>
  <c:spPr>
    <a:ln>
      <a:solidFill>
        <a:sysClr val="window" lastClr="FFFFFF">
          <a:lumMod val="85000"/>
        </a:sysClr>
      </a:solid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013038169301482E-2"/>
          <c:y val="4.9645390070921988E-2"/>
          <c:w val="0.89931823437062641"/>
          <c:h val="0.87850477466912369"/>
        </c:manualLayout>
      </c:layout>
      <c:barChart>
        <c:barDir val="col"/>
        <c:grouping val="clustered"/>
        <c:varyColors val="0"/>
        <c:ser>
          <c:idx val="2"/>
          <c:order val="0"/>
          <c:tx>
            <c:strRef>
              <c:f>'Graf 12'!$D$2</c:f>
              <c:strCache>
                <c:ptCount val="1"/>
                <c:pt idx="0">
                  <c:v>Celkem</c:v>
                </c:pt>
              </c:strCache>
            </c:strRef>
          </c:tx>
          <c:spPr>
            <a:solidFill>
              <a:srgbClr val="D96D70"/>
            </a:solidFill>
            <a:ln>
              <a:solidFill>
                <a:srgbClr val="D96D70"/>
              </a:solidFill>
            </a:ln>
          </c:spPr>
          <c:invertIfNegative val="0"/>
          <c:dLbls>
            <c:spPr>
              <a:noFill/>
              <a:ln>
                <a:noFill/>
              </a:ln>
              <a:effectLst/>
            </c:spPr>
            <c:txPr>
              <a:bodyPr rot="-5400000" vert="horz"/>
              <a:lstStyle/>
              <a:p>
                <a:pPr>
                  <a:defRPr sz="800" b="1">
                    <a:solidFill>
                      <a:schemeClr val="bg1"/>
                    </a:solidFill>
                    <a:latin typeface="Arial" panose="020B0604020202020204" pitchFamily="34" charset="0"/>
                    <a:cs typeface="Arial" panose="020B0604020202020204" pitchFamily="34" charset="0"/>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'Graf 12'!$A$3:$A$11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'Graf 12'!$D$3:$D$11</c:f>
              <c:numCache>
                <c:formatCode>#,##0</c:formatCode>
                <c:ptCount val="9"/>
                <c:pt idx="0">
                  <c:v>22356</c:v>
                </c:pt>
                <c:pt idx="1">
                  <c:v>22664</c:v>
                </c:pt>
                <c:pt idx="2">
                  <c:v>22623</c:v>
                </c:pt>
                <c:pt idx="3">
                  <c:v>22930</c:v>
                </c:pt>
                <c:pt idx="4">
                  <c:v>22536</c:v>
                </c:pt>
                <c:pt idx="5">
                  <c:v>22514</c:v>
                </c:pt>
                <c:pt idx="6">
                  <c:v>22744</c:v>
                </c:pt>
                <c:pt idx="7">
                  <c:v>24327</c:v>
                </c:pt>
                <c:pt idx="8">
                  <c:v>27365</c:v>
                </c:pt>
              </c:numCache>
            </c:numRef>
          </c:val>
          <c:extLst xmlns:c16r2="http://schemas.microsoft.com/office/drawing/2015/06/chart">
            <c:ext xmlns:c16="http://schemas.microsoft.com/office/drawing/2014/chart" uri="{C3380CC4-5D6E-409C-BE32-E72D297353CC}">
              <c16:uniqueId val="{00000000-22DB-4A17-90E3-AA452933F040}"/>
            </c:ext>
          </c:extLst>
        </c:ser>
        <c:dLbls>
          <c:showLegendKey val="0"/>
          <c:showVal val="0"/>
          <c:showCatName val="0"/>
          <c:showSerName val="0"/>
          <c:showPercent val="0"/>
          <c:showBubbleSize val="0"/>
        </c:dLbls>
        <c:gapWidth val="70"/>
        <c:axId val="707208192"/>
        <c:axId val="633558080"/>
      </c:barChart>
      <c:catAx>
        <c:axId val="707208192"/>
        <c:scaling>
          <c:orientation val="minMax"/>
        </c:scaling>
        <c:delete val="0"/>
        <c:axPos val="b"/>
        <c:numFmt formatCode="General" sourceLinked="1"/>
        <c:majorTickMark val="out"/>
        <c:minorTickMark val="none"/>
        <c:tickLblPos val="nextTo"/>
        <c:spPr>
          <a:ln>
            <a:solidFill>
              <a:schemeClr val="bg1">
                <a:lumMod val="85000"/>
              </a:schemeClr>
            </a:solidFill>
          </a:ln>
        </c:spPr>
        <c:txPr>
          <a:bodyPr/>
          <a:lstStyle/>
          <a:p>
            <a:pPr>
              <a:defRPr sz="800">
                <a:latin typeface="Arial" panose="020B0604020202020204" pitchFamily="34" charset="0"/>
                <a:cs typeface="Arial" panose="020B0604020202020204" pitchFamily="34" charset="0"/>
              </a:defRPr>
            </a:pPr>
            <a:endParaRPr lang="cs-CZ"/>
          </a:p>
        </c:txPr>
        <c:crossAx val="633558080"/>
        <c:crosses val="autoZero"/>
        <c:auto val="1"/>
        <c:lblAlgn val="ctr"/>
        <c:lblOffset val="100"/>
        <c:noMultiLvlLbl val="0"/>
      </c:catAx>
      <c:valAx>
        <c:axId val="633558080"/>
        <c:scaling>
          <c:orientation val="minMax"/>
        </c:scaling>
        <c:delete val="0"/>
        <c:axPos val="l"/>
        <c:majorGridlines>
          <c:spPr>
            <a:ln>
              <a:solidFill>
                <a:schemeClr val="bg1">
                  <a:lumMod val="85000"/>
                </a:schemeClr>
              </a:solidFill>
              <a:prstDash val="dash"/>
            </a:ln>
          </c:spPr>
        </c:majorGridlines>
        <c:numFmt formatCode="#,##0" sourceLinked="1"/>
        <c:majorTickMark val="out"/>
        <c:minorTickMark val="none"/>
        <c:tickLblPos val="nextTo"/>
        <c:spPr>
          <a:ln>
            <a:solidFill>
              <a:schemeClr val="bg1">
                <a:lumMod val="85000"/>
              </a:schemeClr>
            </a:solidFill>
          </a:ln>
        </c:spPr>
        <c:txPr>
          <a:bodyPr/>
          <a:lstStyle/>
          <a:p>
            <a:pPr>
              <a:defRPr sz="800">
                <a:latin typeface="Arial" panose="020B0604020202020204" pitchFamily="34" charset="0"/>
                <a:cs typeface="Arial" panose="020B0604020202020204" pitchFamily="34" charset="0"/>
              </a:defRPr>
            </a:pPr>
            <a:endParaRPr lang="cs-CZ"/>
          </a:p>
        </c:txPr>
        <c:crossAx val="707208192"/>
        <c:crosses val="autoZero"/>
        <c:crossBetween val="between"/>
        <c:majorUnit val="10000"/>
      </c:valAx>
      <c:spPr>
        <a:ln>
          <a:noFill/>
        </a:ln>
      </c:spPr>
    </c:plotArea>
    <c:plotVisOnly val="1"/>
    <c:dispBlanksAs val="gap"/>
    <c:showDLblsOverMax val="0"/>
  </c:chart>
  <c:spPr>
    <a:ln>
      <a:solidFill>
        <a:schemeClr val="bg1">
          <a:lumMod val="85000"/>
        </a:schemeClr>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497699295970002E-2"/>
          <c:y val="9.1809180267430998E-2"/>
          <c:w val="0.92413101286818966"/>
          <c:h val="0.74916391223301038"/>
        </c:manualLayout>
      </c:layout>
      <c:barChart>
        <c:barDir val="col"/>
        <c:grouping val="clustered"/>
        <c:varyColors val="0"/>
        <c:ser>
          <c:idx val="0"/>
          <c:order val="0"/>
          <c:spPr>
            <a:solidFill>
              <a:srgbClr val="D96D75"/>
            </a:solidFill>
            <a:ln>
              <a:solidFill>
                <a:srgbClr val="D96D75"/>
              </a:solidFill>
            </a:ln>
          </c:spPr>
          <c:invertIfNegative val="0"/>
          <c:dLbls>
            <c:dLbl>
              <c:idx val="0"/>
              <c:spPr/>
              <c:txPr>
                <a:bodyPr/>
                <a:lstStyle/>
                <a:p>
                  <a:pPr>
                    <a:defRPr sz="800" b="1">
                      <a:solidFill>
                        <a:schemeClr val="bg1"/>
                      </a:solidFill>
                      <a:latin typeface="Arial" panose="020B0604020202020204" pitchFamily="34" charset="0"/>
                      <a:cs typeface="Arial" panose="020B0604020202020204" pitchFamily="34" charset="0"/>
                    </a:defRPr>
                  </a:pPr>
                  <a:endParaRPr lang="cs-CZ"/>
                </a:p>
              </c:txPr>
              <c:dLblPos val="ctr"/>
              <c:showLegendKey val="0"/>
              <c:showVal val="1"/>
              <c:showCatName val="0"/>
              <c:showSerName val="0"/>
              <c:showPercent val="0"/>
              <c:showBubbleSize val="0"/>
            </c:dLbl>
            <c:dLbl>
              <c:idx val="1"/>
              <c:spPr/>
              <c:txPr>
                <a:bodyPr/>
                <a:lstStyle/>
                <a:p>
                  <a:pPr>
                    <a:defRPr sz="800" b="1">
                      <a:solidFill>
                        <a:schemeClr val="bg1"/>
                      </a:solidFill>
                      <a:latin typeface="Arial" panose="020B0604020202020204" pitchFamily="34" charset="0"/>
                      <a:cs typeface="Arial" panose="020B0604020202020204" pitchFamily="34" charset="0"/>
                    </a:defRPr>
                  </a:pPr>
                  <a:endParaRPr lang="cs-CZ"/>
                </a:p>
              </c:txPr>
              <c:dLblPos val="ctr"/>
              <c:showLegendKey val="0"/>
              <c:showVal val="1"/>
              <c:showCatName val="0"/>
              <c:showSerName val="0"/>
              <c:showPercent val="0"/>
              <c:showBubbleSize val="0"/>
            </c:dLbl>
            <c:dLbl>
              <c:idx val="2"/>
              <c:spPr/>
              <c:txPr>
                <a:bodyPr/>
                <a:lstStyle/>
                <a:p>
                  <a:pPr>
                    <a:defRPr sz="800" b="1">
                      <a:solidFill>
                        <a:schemeClr val="bg1"/>
                      </a:solidFill>
                      <a:latin typeface="Arial" panose="020B0604020202020204" pitchFamily="34" charset="0"/>
                      <a:cs typeface="Arial" panose="020B0604020202020204" pitchFamily="34" charset="0"/>
                    </a:defRPr>
                  </a:pPr>
                  <a:endParaRPr lang="cs-CZ"/>
                </a:p>
              </c:txPr>
              <c:dLblPos val="ctr"/>
              <c:showLegendKey val="0"/>
              <c:showVal val="1"/>
              <c:showCatName val="0"/>
              <c:showSerName val="0"/>
              <c:showPercent val="0"/>
              <c:showBubbleSize val="0"/>
            </c:dLbl>
            <c:dLbl>
              <c:idx val="3"/>
              <c:spPr/>
              <c:txPr>
                <a:bodyPr/>
                <a:lstStyle/>
                <a:p>
                  <a:pPr>
                    <a:defRPr sz="800" b="1">
                      <a:solidFill>
                        <a:schemeClr val="bg1"/>
                      </a:solidFill>
                      <a:latin typeface="Arial" panose="020B0604020202020204" pitchFamily="34" charset="0"/>
                      <a:cs typeface="Arial" panose="020B0604020202020204" pitchFamily="34" charset="0"/>
                    </a:defRPr>
                  </a:pPr>
                  <a:endParaRPr lang="cs-CZ"/>
                </a:p>
              </c:txPr>
              <c:dLblPos val="ctr"/>
              <c:showLegendKey val="0"/>
              <c:showVal val="1"/>
              <c:showCatName val="0"/>
              <c:showSerName val="0"/>
              <c:showPercent val="0"/>
              <c:showBubbleSize val="0"/>
            </c:dLbl>
            <c:dLbl>
              <c:idx val="4"/>
              <c:layout>
                <c:manualLayout>
                  <c:x val="0"/>
                  <c:y val="7.8109064730937663E-2"/>
                </c:manualLayout>
              </c:layout>
              <c:spPr/>
              <c:txPr>
                <a:bodyPr/>
                <a:lstStyle/>
                <a:p>
                  <a:pPr>
                    <a:defRPr sz="800" b="1">
                      <a:solidFill>
                        <a:schemeClr val="bg1"/>
                      </a:solidFill>
                      <a:latin typeface="Arial" panose="020B0604020202020204" pitchFamily="34" charset="0"/>
                      <a:cs typeface="Arial" panose="020B0604020202020204" pitchFamily="34" charset="0"/>
                    </a:defRPr>
                  </a:pPr>
                  <a:endParaRPr lang="cs-CZ"/>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51AF-455F-849F-94EB5C925FA7}"/>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1AF-455F-849F-94EB5C925FA7}"/>
                </c:ext>
              </c:extLst>
            </c:dLbl>
            <c:spPr>
              <a:noFill/>
              <a:ln>
                <a:noFill/>
              </a:ln>
              <a:effectLst/>
            </c:spPr>
            <c:txPr>
              <a:bodyPr/>
              <a:lstStyle/>
              <a:p>
                <a:pPr>
                  <a:defRPr sz="800" b="1">
                    <a:latin typeface="Arial" panose="020B0604020202020204" pitchFamily="34" charset="0"/>
                    <a:cs typeface="Arial" panose="020B0604020202020204" pitchFamily="34" charset="0"/>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'Tab.1 a graf 2'!$F$71:$F$76</c:f>
              <c:strCache>
                <c:ptCount val="6"/>
                <c:pt idx="0">
                  <c:v>Léčebná péče</c:v>
                </c:pt>
                <c:pt idx="1">
                  <c:v>Doplňkové služby</c:v>
                </c:pt>
                <c:pt idx="2">
                  <c:v>Léčiva a zdravotnické výrobky</c:v>
                </c:pt>
                <c:pt idx="3">
                  <c:v>Dlouhodobá péče</c:v>
                </c:pt>
                <c:pt idx="4">
                  <c:v>Rehabilitační péče</c:v>
                </c:pt>
                <c:pt idx="5">
                  <c:v>Preventivní péče</c:v>
                </c:pt>
              </c:strCache>
            </c:strRef>
          </c:cat>
          <c:val>
            <c:numRef>
              <c:f>'Tab.1 a graf 2'!$G$71:$G$76</c:f>
              <c:numCache>
                <c:formatCode>0%</c:formatCode>
                <c:ptCount val="6"/>
                <c:pt idx="0">
                  <c:v>0.52455636212506174</c:v>
                </c:pt>
                <c:pt idx="1">
                  <c:v>0.16330546831793202</c:v>
                </c:pt>
                <c:pt idx="2">
                  <c:v>0.14690676230190045</c:v>
                </c:pt>
                <c:pt idx="3">
                  <c:v>6.2774593538071327E-2</c:v>
                </c:pt>
                <c:pt idx="4">
                  <c:v>4.9997926161077288E-2</c:v>
                </c:pt>
                <c:pt idx="5">
                  <c:v>2.6168144906524204E-2</c:v>
                </c:pt>
              </c:numCache>
            </c:numRef>
          </c:val>
          <c:extLst xmlns:c16r2="http://schemas.microsoft.com/office/drawing/2015/06/chart">
            <c:ext xmlns:c16="http://schemas.microsoft.com/office/drawing/2014/chart" uri="{C3380CC4-5D6E-409C-BE32-E72D297353CC}">
              <c16:uniqueId val="{00000006-51AF-455F-849F-94EB5C925FA7}"/>
            </c:ext>
          </c:extLst>
        </c:ser>
        <c:dLbls>
          <c:showLegendKey val="0"/>
          <c:showVal val="0"/>
          <c:showCatName val="0"/>
          <c:showSerName val="0"/>
          <c:showPercent val="0"/>
          <c:showBubbleSize val="0"/>
        </c:dLbls>
        <c:gapWidth val="70"/>
        <c:axId val="702824960"/>
        <c:axId val="450764096"/>
      </c:barChart>
      <c:catAx>
        <c:axId val="702824960"/>
        <c:scaling>
          <c:orientation val="minMax"/>
        </c:scaling>
        <c:delete val="0"/>
        <c:axPos val="b"/>
        <c:numFmt formatCode="General" sourceLinked="0"/>
        <c:majorTickMark val="out"/>
        <c:minorTickMark val="none"/>
        <c:tickLblPos val="nextTo"/>
        <c:spPr>
          <a:ln>
            <a:solidFill>
              <a:schemeClr val="bg1">
                <a:lumMod val="85000"/>
              </a:schemeClr>
            </a:solidFill>
          </a:ln>
        </c:spPr>
        <c:txPr>
          <a:bodyPr/>
          <a:lstStyle/>
          <a:p>
            <a:pPr>
              <a:defRPr sz="800">
                <a:latin typeface="Arial" panose="020B0604020202020204" pitchFamily="34" charset="0"/>
                <a:cs typeface="Arial" panose="020B0604020202020204" pitchFamily="34" charset="0"/>
              </a:defRPr>
            </a:pPr>
            <a:endParaRPr lang="cs-CZ"/>
          </a:p>
        </c:txPr>
        <c:crossAx val="450764096"/>
        <c:crosses val="autoZero"/>
        <c:auto val="1"/>
        <c:lblAlgn val="ctr"/>
        <c:lblOffset val="100"/>
        <c:noMultiLvlLbl val="0"/>
      </c:catAx>
      <c:valAx>
        <c:axId val="450764096"/>
        <c:scaling>
          <c:orientation val="minMax"/>
        </c:scaling>
        <c:delete val="0"/>
        <c:axPos val="l"/>
        <c:majorGridlines>
          <c:spPr>
            <a:ln>
              <a:solidFill>
                <a:schemeClr val="bg1">
                  <a:lumMod val="85000"/>
                </a:schemeClr>
              </a:solidFill>
              <a:prstDash val="dash"/>
            </a:ln>
          </c:spPr>
        </c:majorGridlines>
        <c:numFmt formatCode="0%" sourceLinked="1"/>
        <c:majorTickMark val="out"/>
        <c:minorTickMark val="none"/>
        <c:tickLblPos val="nextTo"/>
        <c:spPr>
          <a:ln>
            <a:solidFill>
              <a:schemeClr val="bg1">
                <a:lumMod val="85000"/>
              </a:schemeClr>
            </a:solidFill>
          </a:ln>
        </c:spPr>
        <c:txPr>
          <a:bodyPr/>
          <a:lstStyle/>
          <a:p>
            <a:pPr>
              <a:defRPr sz="800">
                <a:latin typeface="Arial" panose="020B0604020202020204" pitchFamily="34" charset="0"/>
                <a:cs typeface="Arial" panose="020B0604020202020204" pitchFamily="34" charset="0"/>
              </a:defRPr>
            </a:pPr>
            <a:endParaRPr lang="cs-CZ"/>
          </a:p>
        </c:txPr>
        <c:crossAx val="702824960"/>
        <c:crosses val="autoZero"/>
        <c:crossBetween val="between"/>
        <c:majorUnit val="0.2"/>
      </c:valAx>
      <c:spPr>
        <a:ln>
          <a:noFill/>
        </a:ln>
      </c:spPr>
    </c:plotArea>
    <c:plotVisOnly val="1"/>
    <c:dispBlanksAs val="gap"/>
    <c:showDLblsOverMax val="0"/>
  </c:chart>
  <c:spPr>
    <a:ln>
      <a:solidFill>
        <a:sysClr val="window" lastClr="FFFFFF">
          <a:lumMod val="85000"/>
        </a:sysClr>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492960730170288E-2"/>
          <c:y val="7.1502119927316782E-2"/>
          <c:w val="0.89611774022612467"/>
          <c:h val="0.73629937199145656"/>
        </c:manualLayout>
      </c:layout>
      <c:lineChart>
        <c:grouping val="standard"/>
        <c:varyColors val="0"/>
        <c:ser>
          <c:idx val="0"/>
          <c:order val="0"/>
          <c:tx>
            <c:strRef>
              <c:f>'Tab.1 a graf 2'!$K$40</c:f>
              <c:strCache>
                <c:ptCount val="1"/>
                <c:pt idx="0">
                  <c:v>Specializovaná</c:v>
                </c:pt>
              </c:strCache>
            </c:strRef>
          </c:tx>
          <c:spPr>
            <a:ln>
              <a:solidFill>
                <a:srgbClr val="D96D75"/>
              </a:solidFill>
            </a:ln>
          </c:spPr>
          <c:marker>
            <c:spPr>
              <a:solidFill>
                <a:srgbClr val="D96D75"/>
              </a:solidFill>
              <a:ln>
                <a:solidFill>
                  <a:srgbClr val="D96D75"/>
                </a:solidFill>
              </a:ln>
            </c:spPr>
          </c:marker>
          <c:dLbls>
            <c:dLbl>
              <c:idx val="4"/>
              <c:layout>
                <c:manualLayout>
                  <c:x val="-1.5686362510548145E-3"/>
                  <c:y val="-3.30333621661003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264-4935-A948-AB3F58BA5D04}"/>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'Tab.1 a graf 2'!$L$39:$P$39</c:f>
              <c:numCache>
                <c:formatCode>General</c:formatCode>
                <c:ptCount val="5"/>
                <c:pt idx="0">
                  <c:v>2014</c:v>
                </c:pt>
                <c:pt idx="1">
                  <c:v>2015</c:v>
                </c:pt>
                <c:pt idx="2">
                  <c:v>2016</c:v>
                </c:pt>
                <c:pt idx="3">
                  <c:v>2017</c:v>
                </c:pt>
                <c:pt idx="4">
                  <c:v>2018</c:v>
                </c:pt>
              </c:numCache>
            </c:numRef>
          </c:cat>
          <c:val>
            <c:numRef>
              <c:f>'Tab.1 a graf 2'!$L$40:$P$40</c:f>
              <c:numCache>
                <c:formatCode>#,##0</c:formatCode>
                <c:ptCount val="5"/>
                <c:pt idx="0">
                  <c:v>35955.068318999998</c:v>
                </c:pt>
                <c:pt idx="1">
                  <c:v>40507.295977000103</c:v>
                </c:pt>
                <c:pt idx="2">
                  <c:v>40709.412143001879</c:v>
                </c:pt>
                <c:pt idx="3">
                  <c:v>41819.800766997025</c:v>
                </c:pt>
                <c:pt idx="4">
                  <c:v>55239.921740997197</c:v>
                </c:pt>
              </c:numCache>
            </c:numRef>
          </c:val>
          <c:smooth val="0"/>
          <c:extLst xmlns:c16r2="http://schemas.microsoft.com/office/drawing/2015/06/chart">
            <c:ext xmlns:c16="http://schemas.microsoft.com/office/drawing/2014/chart" uri="{C3380CC4-5D6E-409C-BE32-E72D297353CC}">
              <c16:uniqueId val="{00000001-6264-4935-A948-AB3F58BA5D04}"/>
            </c:ext>
          </c:extLst>
        </c:ser>
        <c:ser>
          <c:idx val="1"/>
          <c:order val="1"/>
          <c:tx>
            <c:strRef>
              <c:f>'Tab.1 a graf 2'!$K$41</c:f>
              <c:strCache>
                <c:ptCount val="1"/>
                <c:pt idx="0">
                  <c:v>Všeobecná</c:v>
                </c:pt>
              </c:strCache>
            </c:strRef>
          </c:tx>
          <c:spPr>
            <a:ln>
              <a:solidFill>
                <a:schemeClr val="accent1">
                  <a:lumMod val="75000"/>
                </a:schemeClr>
              </a:solidFill>
            </a:ln>
          </c:spPr>
          <c:marker>
            <c:spPr>
              <a:solidFill>
                <a:srgbClr val="0071BC"/>
              </a:solidFill>
              <a:ln>
                <a:noFill/>
              </a:ln>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'Tab.1 a graf 2'!$L$39:$P$39</c:f>
              <c:numCache>
                <c:formatCode>General</c:formatCode>
                <c:ptCount val="5"/>
                <c:pt idx="0">
                  <c:v>2014</c:v>
                </c:pt>
                <c:pt idx="1">
                  <c:v>2015</c:v>
                </c:pt>
                <c:pt idx="2">
                  <c:v>2016</c:v>
                </c:pt>
                <c:pt idx="3">
                  <c:v>2017</c:v>
                </c:pt>
                <c:pt idx="4">
                  <c:v>2018</c:v>
                </c:pt>
              </c:numCache>
            </c:numRef>
          </c:cat>
          <c:val>
            <c:numRef>
              <c:f>'Tab.1 a graf 2'!$L$41:$P$41</c:f>
              <c:numCache>
                <c:formatCode>#,##0</c:formatCode>
                <c:ptCount val="5"/>
                <c:pt idx="0">
                  <c:v>18966.418542999792</c:v>
                </c:pt>
                <c:pt idx="1">
                  <c:v>18971.453266999812</c:v>
                </c:pt>
                <c:pt idx="2">
                  <c:v>19458.441258999843</c:v>
                </c:pt>
                <c:pt idx="3">
                  <c:v>19977.411051000217</c:v>
                </c:pt>
                <c:pt idx="4">
                  <c:v>23122.315716999761</c:v>
                </c:pt>
              </c:numCache>
            </c:numRef>
          </c:val>
          <c:smooth val="0"/>
          <c:extLst xmlns:c16r2="http://schemas.microsoft.com/office/drawing/2015/06/chart">
            <c:ext xmlns:c16="http://schemas.microsoft.com/office/drawing/2014/chart" uri="{C3380CC4-5D6E-409C-BE32-E72D297353CC}">
              <c16:uniqueId val="{00000002-6264-4935-A948-AB3F58BA5D04}"/>
            </c:ext>
          </c:extLst>
        </c:ser>
        <c:ser>
          <c:idx val="2"/>
          <c:order val="2"/>
          <c:tx>
            <c:strRef>
              <c:f>'Tab.1 a graf 2'!$K$42</c:f>
              <c:strCache>
                <c:ptCount val="1"/>
                <c:pt idx="0">
                  <c:v>Stomatologická</c:v>
                </c:pt>
              </c:strCache>
            </c:strRef>
          </c:tx>
          <c:spPr>
            <a:ln>
              <a:solidFill>
                <a:srgbClr val="99BA56"/>
              </a:solidFill>
            </a:ln>
          </c:spPr>
          <c:dLbls>
            <c:dLbl>
              <c:idx val="0"/>
              <c:layout>
                <c:manualLayout>
                  <c:x val="-4.0953971424156514E-2"/>
                  <c:y val="-4.34655223203268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6264-4935-A948-AB3F58BA5D04}"/>
                </c:ext>
              </c:extLst>
            </c:dLbl>
            <c:dLbl>
              <c:idx val="1"/>
              <c:layout>
                <c:manualLayout>
                  <c:x val="-4.0953971424156473E-2"/>
                  <c:y val="-4.85211340493459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6264-4935-A948-AB3F58BA5D04}"/>
                </c:ext>
              </c:extLst>
            </c:dLbl>
            <c:dLbl>
              <c:idx val="2"/>
              <c:layout>
                <c:manualLayout>
                  <c:x val="-4.0953971424156514E-2"/>
                  <c:y val="-4.85211340493460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6264-4935-A948-AB3F58BA5D04}"/>
                </c:ext>
              </c:extLst>
            </c:dLbl>
            <c:dLbl>
              <c:idx val="3"/>
              <c:layout>
                <c:manualLayout>
                  <c:x val="-4.0953971424156438E-2"/>
                  <c:y val="-4.34655223203268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6264-4935-A948-AB3F58BA5D04}"/>
                </c:ext>
              </c:extLst>
            </c:dLbl>
            <c:dLbl>
              <c:idx val="4"/>
              <c:layout>
                <c:manualLayout>
                  <c:x val="-4.0953971424156514E-2"/>
                  <c:y val="-4.346552232032674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6264-4935-A948-AB3F58BA5D04}"/>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'Tab.1 a graf 2'!$L$39:$P$39</c:f>
              <c:numCache>
                <c:formatCode>General</c:formatCode>
                <c:ptCount val="5"/>
                <c:pt idx="0">
                  <c:v>2014</c:v>
                </c:pt>
                <c:pt idx="1">
                  <c:v>2015</c:v>
                </c:pt>
                <c:pt idx="2">
                  <c:v>2016</c:v>
                </c:pt>
                <c:pt idx="3">
                  <c:v>2017</c:v>
                </c:pt>
                <c:pt idx="4">
                  <c:v>2018</c:v>
                </c:pt>
              </c:numCache>
            </c:numRef>
          </c:cat>
          <c:val>
            <c:numRef>
              <c:f>'Tab.1 a graf 2'!$L$42:$P$42</c:f>
              <c:numCache>
                <c:formatCode>#,##0</c:formatCode>
                <c:ptCount val="5"/>
                <c:pt idx="0">
                  <c:v>9050.7387390000076</c:v>
                </c:pt>
                <c:pt idx="1">
                  <c:v>8541.4667569999983</c:v>
                </c:pt>
                <c:pt idx="2">
                  <c:v>8589.3800720000127</c:v>
                </c:pt>
                <c:pt idx="3">
                  <c:v>9481.3479050000005</c:v>
                </c:pt>
                <c:pt idx="4">
                  <c:v>9540.6728759999696</c:v>
                </c:pt>
              </c:numCache>
            </c:numRef>
          </c:val>
          <c:smooth val="0"/>
          <c:extLst xmlns:c16r2="http://schemas.microsoft.com/office/drawing/2015/06/chart">
            <c:ext xmlns:c16="http://schemas.microsoft.com/office/drawing/2014/chart" uri="{C3380CC4-5D6E-409C-BE32-E72D297353CC}">
              <c16:uniqueId val="{00000003-6264-4935-A948-AB3F58BA5D04}"/>
            </c:ext>
          </c:extLst>
        </c:ser>
        <c:ser>
          <c:idx val="3"/>
          <c:order val="3"/>
          <c:tx>
            <c:strRef>
              <c:f>'Tab.1 a graf 2'!$K$43</c:f>
              <c:strCache>
                <c:ptCount val="1"/>
                <c:pt idx="0">
                  <c:v>Rehabilitační </c:v>
                </c:pt>
              </c:strCache>
            </c:strRef>
          </c:tx>
          <c:spPr>
            <a:ln>
              <a:solidFill>
                <a:srgbClr val="FFC000"/>
              </a:solidFill>
            </a:ln>
          </c:spPr>
          <c:marker>
            <c:symbol val="circle"/>
            <c:size val="7"/>
            <c:spPr>
              <a:solidFill>
                <a:srgbClr val="FFC000"/>
              </a:solidFill>
              <a:ln>
                <a:noFill/>
              </a:ln>
            </c:spPr>
          </c:marker>
          <c:dLbls>
            <c:dLbl>
              <c:idx val="0"/>
              <c:layout>
                <c:manualLayout>
                  <c:x val="-3.8855115300743773E-2"/>
                  <c:y val="3.84103086709713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264-4935-A948-AB3F58BA5D04}"/>
                </c:ext>
              </c:extLst>
            </c:dLbl>
            <c:dLbl>
              <c:idx val="1"/>
              <c:layout>
                <c:manualLayout>
                  <c:x val="-4.0953971424156473E-2"/>
                  <c:y val="4.34659203999904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6264-4935-A948-AB3F58BA5D04}"/>
                </c:ext>
              </c:extLst>
            </c:dLbl>
            <c:dLbl>
              <c:idx val="2"/>
              <c:layout>
                <c:manualLayout>
                  <c:x val="-4.0953971424156514E-2"/>
                  <c:y val="3.84103086709712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6264-4935-A948-AB3F58BA5D04}"/>
                </c:ext>
              </c:extLst>
            </c:dLbl>
            <c:dLbl>
              <c:idx val="3"/>
              <c:layout>
                <c:manualLayout>
                  <c:x val="-4.0953971424156438E-2"/>
                  <c:y val="4.34659203999903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6264-4935-A948-AB3F58BA5D04}"/>
                </c:ext>
              </c:extLst>
            </c:dLbl>
            <c:dLbl>
              <c:idx val="4"/>
              <c:layout>
                <c:manualLayout>
                  <c:x val="-4.0953971424156514E-2"/>
                  <c:y val="4.85215321290096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6264-4935-A948-AB3F58BA5D04}"/>
                </c:ext>
              </c:extLst>
            </c:dLbl>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'Tab.1 a graf 2'!$L$39:$P$39</c:f>
              <c:numCache>
                <c:formatCode>General</c:formatCode>
                <c:ptCount val="5"/>
                <c:pt idx="0">
                  <c:v>2014</c:v>
                </c:pt>
                <c:pt idx="1">
                  <c:v>2015</c:v>
                </c:pt>
                <c:pt idx="2">
                  <c:v>2016</c:v>
                </c:pt>
                <c:pt idx="3">
                  <c:v>2017</c:v>
                </c:pt>
                <c:pt idx="4">
                  <c:v>2018</c:v>
                </c:pt>
              </c:numCache>
            </c:numRef>
          </c:cat>
          <c:val>
            <c:numRef>
              <c:f>'Tab.1 a graf 2'!$L$43:$P$43</c:f>
              <c:numCache>
                <c:formatCode>#,##0</c:formatCode>
                <c:ptCount val="5"/>
                <c:pt idx="0">
                  <c:v>6563.9057869999915</c:v>
                </c:pt>
                <c:pt idx="1">
                  <c:v>6957.5001089999778</c:v>
                </c:pt>
                <c:pt idx="2">
                  <c:v>6528.5326029999915</c:v>
                </c:pt>
                <c:pt idx="3">
                  <c:v>8130.6123089999728</c:v>
                </c:pt>
                <c:pt idx="4">
                  <c:v>8745.2484209999984</c:v>
                </c:pt>
              </c:numCache>
            </c:numRef>
          </c:val>
          <c:smooth val="0"/>
          <c:extLst xmlns:c16r2="http://schemas.microsoft.com/office/drawing/2015/06/chart">
            <c:ext xmlns:c16="http://schemas.microsoft.com/office/drawing/2014/chart" uri="{C3380CC4-5D6E-409C-BE32-E72D297353CC}">
              <c16:uniqueId val="{00000004-6264-4935-A948-AB3F58BA5D04}"/>
            </c:ext>
          </c:extLst>
        </c:ser>
        <c:dLbls>
          <c:showLegendKey val="0"/>
          <c:showVal val="0"/>
          <c:showCatName val="0"/>
          <c:showSerName val="0"/>
          <c:showPercent val="0"/>
          <c:showBubbleSize val="0"/>
        </c:dLbls>
        <c:marker val="1"/>
        <c:smooth val="0"/>
        <c:axId val="702774784"/>
        <c:axId val="450815680"/>
      </c:lineChart>
      <c:catAx>
        <c:axId val="702774784"/>
        <c:scaling>
          <c:orientation val="minMax"/>
        </c:scaling>
        <c:delete val="0"/>
        <c:axPos val="b"/>
        <c:numFmt formatCode="General" sourceLinked="1"/>
        <c:majorTickMark val="out"/>
        <c:minorTickMark val="none"/>
        <c:tickLblPos val="nextTo"/>
        <c:spPr>
          <a:ln>
            <a:solidFill>
              <a:schemeClr val="bg1">
                <a:lumMod val="85000"/>
              </a:schemeClr>
            </a:solidFill>
          </a:ln>
        </c:spPr>
        <c:crossAx val="450815680"/>
        <c:crosses val="autoZero"/>
        <c:auto val="1"/>
        <c:lblAlgn val="ctr"/>
        <c:lblOffset val="100"/>
        <c:noMultiLvlLbl val="0"/>
      </c:catAx>
      <c:valAx>
        <c:axId val="450815680"/>
        <c:scaling>
          <c:orientation val="minMax"/>
        </c:scaling>
        <c:delete val="0"/>
        <c:axPos val="l"/>
        <c:majorGridlines>
          <c:spPr>
            <a:ln>
              <a:solidFill>
                <a:schemeClr val="bg1">
                  <a:lumMod val="85000"/>
                </a:schemeClr>
              </a:solidFill>
              <a:prstDash val="dash"/>
            </a:ln>
          </c:spPr>
        </c:majorGridlines>
        <c:numFmt formatCode="#,##0" sourceLinked="1"/>
        <c:majorTickMark val="out"/>
        <c:minorTickMark val="none"/>
        <c:tickLblPos val="nextTo"/>
        <c:spPr>
          <a:ln>
            <a:solidFill>
              <a:schemeClr val="bg1">
                <a:lumMod val="85000"/>
              </a:schemeClr>
            </a:solidFill>
            <a:prstDash val="solid"/>
          </a:ln>
        </c:spPr>
        <c:crossAx val="702774784"/>
        <c:crosses val="autoZero"/>
        <c:crossBetween val="between"/>
      </c:valAx>
      <c:spPr>
        <a:noFill/>
        <a:ln w="25400">
          <a:noFill/>
        </a:ln>
      </c:spPr>
    </c:plotArea>
    <c:legend>
      <c:legendPos val="b"/>
      <c:overlay val="0"/>
    </c:legend>
    <c:plotVisOnly val="1"/>
    <c:dispBlanksAs val="gap"/>
    <c:showDLblsOverMax val="0"/>
  </c:chart>
  <c:spPr>
    <a:ln>
      <a:solidFill>
        <a:sysClr val="window" lastClr="FFFFFF">
          <a:lumMod val="85000"/>
        </a:sysClr>
      </a:solid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323467513615867E-2"/>
          <c:y val="5.783385909568875E-2"/>
          <c:w val="0.89090182601183066"/>
          <c:h val="0.65587363488081341"/>
        </c:manualLayout>
      </c:layout>
      <c:lineChart>
        <c:grouping val="standard"/>
        <c:varyColors val="0"/>
        <c:ser>
          <c:idx val="0"/>
          <c:order val="0"/>
          <c:tx>
            <c:strRef>
              <c:f>'Tab.2 a graf 3'!$H$31</c:f>
              <c:strCache>
                <c:ptCount val="1"/>
                <c:pt idx="0">
                  <c:v>Nemocnice</c:v>
                </c:pt>
              </c:strCache>
            </c:strRef>
          </c:tx>
          <c:spPr>
            <a:ln>
              <a:solidFill>
                <a:srgbClr val="D96D75"/>
              </a:solidFill>
            </a:ln>
          </c:spPr>
          <c:marker>
            <c:spPr>
              <a:solidFill>
                <a:srgbClr val="D96D75"/>
              </a:solidFill>
              <a:ln>
                <a:solidFill>
                  <a:srgbClr val="D96D75"/>
                </a:solidFill>
              </a:ln>
            </c:spPr>
          </c:marker>
          <c:dLbls>
            <c:dLbl>
              <c:idx val="4"/>
              <c:layout>
                <c:manualLayout>
                  <c:x val="2.2065070186717451E-3"/>
                  <c:y val="-3.99173091808404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8CD-42C2-B5E7-534770A561E0}"/>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'Tab.2 a graf 3'!$I$30:$M$30</c:f>
              <c:numCache>
                <c:formatCode>0</c:formatCode>
                <c:ptCount val="5"/>
                <c:pt idx="0">
                  <c:v>2014</c:v>
                </c:pt>
                <c:pt idx="1">
                  <c:v>2015</c:v>
                </c:pt>
                <c:pt idx="2">
                  <c:v>2016</c:v>
                </c:pt>
                <c:pt idx="3">
                  <c:v>2017</c:v>
                </c:pt>
                <c:pt idx="4">
                  <c:v>2018</c:v>
                </c:pt>
              </c:numCache>
            </c:numRef>
          </c:cat>
          <c:val>
            <c:numRef>
              <c:f>'Tab.2 a graf 3'!$I$31:$M$31</c:f>
              <c:numCache>
                <c:formatCode>#,##0</c:formatCode>
                <c:ptCount val="5"/>
                <c:pt idx="0">
                  <c:v>129304.07393300001</c:v>
                </c:pt>
                <c:pt idx="1">
                  <c:v>130068.00479269966</c:v>
                </c:pt>
                <c:pt idx="2">
                  <c:v>132216.19511390151</c:v>
                </c:pt>
                <c:pt idx="3">
                  <c:v>140476.51966099697</c:v>
                </c:pt>
                <c:pt idx="4">
                  <c:v>163841.10277270689</c:v>
                </c:pt>
              </c:numCache>
            </c:numRef>
          </c:val>
          <c:smooth val="0"/>
          <c:extLst xmlns:c16r2="http://schemas.microsoft.com/office/drawing/2015/06/chart">
            <c:ext xmlns:c16="http://schemas.microsoft.com/office/drawing/2014/chart" uri="{C3380CC4-5D6E-409C-BE32-E72D297353CC}">
              <c16:uniqueId val="{00000001-B8CD-42C2-B5E7-534770A561E0}"/>
            </c:ext>
          </c:extLst>
        </c:ser>
        <c:ser>
          <c:idx val="1"/>
          <c:order val="1"/>
          <c:tx>
            <c:strRef>
              <c:f>'Tab.2 a graf 3'!$H$32</c:f>
              <c:strCache>
                <c:ptCount val="1"/>
                <c:pt idx="0">
                  <c:v>Zařízení ambulantní péče</c:v>
                </c:pt>
              </c:strCache>
            </c:strRef>
          </c:tx>
          <c:spPr>
            <a:ln>
              <a:solidFill>
                <a:srgbClr val="0071BC"/>
              </a:solidFill>
            </a:ln>
          </c:spPr>
          <c:marker>
            <c:spPr>
              <a:solidFill>
                <a:srgbClr val="0071BC"/>
              </a:solidFill>
              <a:ln>
                <a:solidFill>
                  <a:srgbClr val="0071BC"/>
                </a:solidFill>
              </a:ln>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'Tab.2 a graf 3'!$I$30:$M$30</c:f>
              <c:numCache>
                <c:formatCode>0</c:formatCode>
                <c:ptCount val="5"/>
                <c:pt idx="0">
                  <c:v>2014</c:v>
                </c:pt>
                <c:pt idx="1">
                  <c:v>2015</c:v>
                </c:pt>
                <c:pt idx="2">
                  <c:v>2016</c:v>
                </c:pt>
                <c:pt idx="3">
                  <c:v>2017</c:v>
                </c:pt>
                <c:pt idx="4">
                  <c:v>2018</c:v>
                </c:pt>
              </c:numCache>
            </c:numRef>
          </c:cat>
          <c:val>
            <c:numRef>
              <c:f>'Tab.2 a graf 3'!$I$32:$M$32</c:f>
              <c:numCache>
                <c:formatCode>#,##0</c:formatCode>
                <c:ptCount val="5"/>
                <c:pt idx="0">
                  <c:v>56347.994282999389</c:v>
                </c:pt>
                <c:pt idx="1">
                  <c:v>56097.326406119399</c:v>
                </c:pt>
                <c:pt idx="2">
                  <c:v>56893.736486999849</c:v>
                </c:pt>
                <c:pt idx="3">
                  <c:v>60226.913404000297</c:v>
                </c:pt>
                <c:pt idx="4">
                  <c:v>67192.631020158849</c:v>
                </c:pt>
              </c:numCache>
            </c:numRef>
          </c:val>
          <c:smooth val="0"/>
          <c:extLst xmlns:c16r2="http://schemas.microsoft.com/office/drawing/2015/06/chart">
            <c:ext xmlns:c16="http://schemas.microsoft.com/office/drawing/2014/chart" uri="{C3380CC4-5D6E-409C-BE32-E72D297353CC}">
              <c16:uniqueId val="{00000002-B8CD-42C2-B5E7-534770A561E0}"/>
            </c:ext>
          </c:extLst>
        </c:ser>
        <c:ser>
          <c:idx val="2"/>
          <c:order val="2"/>
          <c:tx>
            <c:strRef>
              <c:f>'Tab.2 a graf 3'!$H$33</c:f>
              <c:strCache>
                <c:ptCount val="1"/>
                <c:pt idx="0">
                  <c:v>Lékárny a ostatní prodejci zdravotnického zboží</c:v>
                </c:pt>
              </c:strCache>
            </c:strRef>
          </c:tx>
          <c:spPr>
            <a:ln>
              <a:solidFill>
                <a:srgbClr val="99BA56"/>
              </a:solidFill>
            </a:ln>
          </c:spPr>
          <c:marker>
            <c:spPr>
              <a:solidFill>
                <a:srgbClr val="99BA56"/>
              </a:solidFill>
              <a:ln>
                <a:solidFill>
                  <a:srgbClr val="99BA56"/>
                </a:solidFill>
              </a:ln>
            </c:spPr>
          </c:marker>
          <c:dLbls>
            <c:dLbl>
              <c:idx val="0"/>
              <c:layout>
                <c:manualLayout>
                  <c:x val="-4.410451836570442E-2"/>
                  <c:y val="-5.04253480374168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8CD-42C2-B5E7-534770A561E0}"/>
                </c:ext>
              </c:extLst>
            </c:dLbl>
            <c:dLbl>
              <c:idx val="1"/>
              <c:layout>
                <c:manualLayout>
                  <c:x val="-3.7724136048507023E-2"/>
                  <c:y val="-6.0933386893993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8CD-42C2-B5E7-534770A561E0}"/>
                </c:ext>
              </c:extLst>
            </c:dLbl>
            <c:dLbl>
              <c:idx val="2"/>
              <c:layout>
                <c:manualLayout>
                  <c:x val="-4.4104518365704504E-2"/>
                  <c:y val="-5.56793674657052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8CD-42C2-B5E7-534770A561E0}"/>
                </c:ext>
              </c:extLst>
            </c:dLbl>
            <c:dLbl>
              <c:idx val="3"/>
              <c:layout>
                <c:manualLayout>
                  <c:x val="-4.6231312471436824E-2"/>
                  <c:y val="-5.5679367465705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B8CD-42C2-B5E7-534770A561E0}"/>
                </c:ext>
              </c:extLst>
            </c:dLbl>
            <c:dLbl>
              <c:idx val="4"/>
              <c:layout>
                <c:manualLayout>
                  <c:x val="-4.410451836570442E-2"/>
                  <c:y val="-3.99173091808404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B8CD-42C2-B5E7-534770A561E0}"/>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'Tab.2 a graf 3'!$I$30:$M$30</c:f>
              <c:numCache>
                <c:formatCode>0</c:formatCode>
                <c:ptCount val="5"/>
                <c:pt idx="0">
                  <c:v>2014</c:v>
                </c:pt>
                <c:pt idx="1">
                  <c:v>2015</c:v>
                </c:pt>
                <c:pt idx="2">
                  <c:v>2016</c:v>
                </c:pt>
                <c:pt idx="3">
                  <c:v>2017</c:v>
                </c:pt>
                <c:pt idx="4">
                  <c:v>2018</c:v>
                </c:pt>
              </c:numCache>
            </c:numRef>
          </c:cat>
          <c:val>
            <c:numRef>
              <c:f>'Tab.2 a graf 3'!$I$33:$M$33</c:f>
              <c:numCache>
                <c:formatCode>#,##0</c:formatCode>
                <c:ptCount val="5"/>
                <c:pt idx="0">
                  <c:v>27432.755828000001</c:v>
                </c:pt>
                <c:pt idx="1">
                  <c:v>26885.524861300004</c:v>
                </c:pt>
                <c:pt idx="2">
                  <c:v>27603.951167000007</c:v>
                </c:pt>
                <c:pt idx="3">
                  <c:v>28187.154133000004</c:v>
                </c:pt>
                <c:pt idx="4">
                  <c:v>29447.041480780004</c:v>
                </c:pt>
              </c:numCache>
            </c:numRef>
          </c:val>
          <c:smooth val="0"/>
          <c:extLst xmlns:c16r2="http://schemas.microsoft.com/office/drawing/2015/06/chart">
            <c:ext xmlns:c16="http://schemas.microsoft.com/office/drawing/2014/chart" uri="{C3380CC4-5D6E-409C-BE32-E72D297353CC}">
              <c16:uniqueId val="{00000008-B8CD-42C2-B5E7-534770A561E0}"/>
            </c:ext>
          </c:extLst>
        </c:ser>
        <c:ser>
          <c:idx val="3"/>
          <c:order val="3"/>
          <c:tx>
            <c:strRef>
              <c:f>'Tab.2 a graf 3'!$H$34</c:f>
              <c:strCache>
                <c:ptCount val="1"/>
                <c:pt idx="0">
                  <c:v>Poskytovatelé doplňkových služeb</c:v>
                </c:pt>
              </c:strCache>
            </c:strRef>
          </c:tx>
          <c:spPr>
            <a:ln>
              <a:solidFill>
                <a:srgbClr val="FFC000"/>
              </a:solidFill>
            </a:ln>
          </c:spPr>
          <c:marker>
            <c:symbol val="circle"/>
            <c:size val="7"/>
            <c:spPr>
              <a:solidFill>
                <a:srgbClr val="FFC000"/>
              </a:solidFill>
              <a:ln>
                <a:solidFill>
                  <a:srgbClr val="FFC000"/>
                </a:solidFill>
              </a:ln>
            </c:spPr>
          </c:marker>
          <c:dLbls>
            <c:dLbl>
              <c:idx val="0"/>
              <c:layout>
                <c:manualLayout>
                  <c:x val="-7.47040616241106E-3"/>
                  <c:y val="-3.466328975255213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B8CD-42C2-B5E7-534770A561E0}"/>
                </c:ext>
              </c:extLst>
            </c:dLbl>
            <c:dLbl>
              <c:idx val="1"/>
              <c:layout>
                <c:manualLayout>
                  <c:x val="-9.5972002681435596E-3"/>
                  <c:y val="-3.99173091808404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B8CD-42C2-B5E7-534770A561E0}"/>
                </c:ext>
              </c:extLst>
            </c:dLbl>
            <c:dLbl>
              <c:idx val="2"/>
              <c:layout>
                <c:manualLayout>
                  <c:x val="-9.5972002681435995E-3"/>
                  <c:y val="-3.99173091808405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B8CD-42C2-B5E7-534770A561E0}"/>
                </c:ext>
              </c:extLst>
            </c:dLbl>
            <c:dLbl>
              <c:idx val="3"/>
              <c:layout>
                <c:manualLayout>
                  <c:x val="-1.4329400885449697E-2"/>
                  <c:y val="-2.41552508959756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B8CD-42C2-B5E7-534770A561E0}"/>
                </c:ext>
              </c:extLst>
            </c:dLbl>
            <c:dLbl>
              <c:idx val="4"/>
              <c:layout>
                <c:manualLayout>
                  <c:x val="-1.2202606779717217E-2"/>
                  <c:y val="-1.89012314676875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B8CD-42C2-B5E7-534770A561E0}"/>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'Tab.2 a graf 3'!$I$30:$M$30</c:f>
              <c:numCache>
                <c:formatCode>0</c:formatCode>
                <c:ptCount val="5"/>
                <c:pt idx="0">
                  <c:v>2014</c:v>
                </c:pt>
                <c:pt idx="1">
                  <c:v>2015</c:v>
                </c:pt>
                <c:pt idx="2">
                  <c:v>2016</c:v>
                </c:pt>
                <c:pt idx="3">
                  <c:v>2017</c:v>
                </c:pt>
                <c:pt idx="4">
                  <c:v>2018</c:v>
                </c:pt>
              </c:numCache>
            </c:numRef>
          </c:cat>
          <c:val>
            <c:numRef>
              <c:f>'Tab.2 a graf 3'!$I$34:$M$34</c:f>
              <c:numCache>
                <c:formatCode>#,##0</c:formatCode>
                <c:ptCount val="5"/>
                <c:pt idx="0">
                  <c:v>7604.2627360000097</c:v>
                </c:pt>
                <c:pt idx="1">
                  <c:v>8245.8797450900092</c:v>
                </c:pt>
                <c:pt idx="2">
                  <c:v>8796.8478729999806</c:v>
                </c:pt>
                <c:pt idx="3">
                  <c:v>10821.703032000019</c:v>
                </c:pt>
                <c:pt idx="4">
                  <c:v>11782.537135669911</c:v>
                </c:pt>
              </c:numCache>
            </c:numRef>
          </c:val>
          <c:smooth val="0"/>
          <c:extLst xmlns:c16r2="http://schemas.microsoft.com/office/drawing/2015/06/chart">
            <c:ext xmlns:c16="http://schemas.microsoft.com/office/drawing/2014/chart" uri="{C3380CC4-5D6E-409C-BE32-E72D297353CC}">
              <c16:uniqueId val="{0000000E-B8CD-42C2-B5E7-534770A561E0}"/>
            </c:ext>
          </c:extLst>
        </c:ser>
        <c:dLbls>
          <c:showLegendKey val="0"/>
          <c:showVal val="0"/>
          <c:showCatName val="0"/>
          <c:showSerName val="0"/>
          <c:showPercent val="0"/>
          <c:showBubbleSize val="0"/>
        </c:dLbls>
        <c:marker val="1"/>
        <c:smooth val="0"/>
        <c:axId val="703873024"/>
        <c:axId val="450819712"/>
      </c:lineChart>
      <c:catAx>
        <c:axId val="703873024"/>
        <c:scaling>
          <c:orientation val="minMax"/>
        </c:scaling>
        <c:delete val="0"/>
        <c:axPos val="b"/>
        <c:numFmt formatCode="0" sourceLinked="1"/>
        <c:majorTickMark val="out"/>
        <c:minorTickMark val="none"/>
        <c:tickLblPos val="nextTo"/>
        <c:spPr>
          <a:ln>
            <a:solidFill>
              <a:schemeClr val="bg1">
                <a:lumMod val="85000"/>
              </a:schemeClr>
            </a:solidFill>
          </a:ln>
        </c:spPr>
        <c:crossAx val="450819712"/>
        <c:crosses val="autoZero"/>
        <c:auto val="1"/>
        <c:lblAlgn val="ctr"/>
        <c:lblOffset val="100"/>
        <c:noMultiLvlLbl val="0"/>
      </c:catAx>
      <c:valAx>
        <c:axId val="450819712"/>
        <c:scaling>
          <c:orientation val="minMax"/>
        </c:scaling>
        <c:delete val="0"/>
        <c:axPos val="l"/>
        <c:majorGridlines>
          <c:spPr>
            <a:ln>
              <a:solidFill>
                <a:schemeClr val="bg1">
                  <a:lumMod val="85000"/>
                </a:schemeClr>
              </a:solidFill>
              <a:prstDash val="dash"/>
            </a:ln>
          </c:spPr>
        </c:majorGridlines>
        <c:numFmt formatCode="#,##0" sourceLinked="1"/>
        <c:majorTickMark val="out"/>
        <c:minorTickMark val="none"/>
        <c:tickLblPos val="nextTo"/>
        <c:spPr>
          <a:ln>
            <a:solidFill>
              <a:schemeClr val="bg1">
                <a:lumMod val="85000"/>
              </a:schemeClr>
            </a:solidFill>
            <a:prstDash val="dash"/>
          </a:ln>
        </c:spPr>
        <c:crossAx val="703873024"/>
        <c:crosses val="autoZero"/>
        <c:crossBetween val="between"/>
        <c:majorUnit val="30000"/>
      </c:valAx>
    </c:plotArea>
    <c:legend>
      <c:legendPos val="b"/>
      <c:layout>
        <c:manualLayout>
          <c:xMode val="edge"/>
          <c:yMode val="edge"/>
          <c:x val="3.6314925623330691E-2"/>
          <c:y val="0.82092161587057133"/>
          <c:w val="0.87825060566132185"/>
          <c:h val="0.14811701321820273"/>
        </c:manualLayout>
      </c:layout>
      <c:overlay val="0"/>
    </c:legend>
    <c:plotVisOnly val="1"/>
    <c:dispBlanksAs val="gap"/>
    <c:showDLblsOverMax val="0"/>
  </c:chart>
  <c:spPr>
    <a:ln>
      <a:solidFill>
        <a:sysClr val="window" lastClr="FFFFFF">
          <a:lumMod val="85000"/>
        </a:sysClr>
      </a:solid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3.5378662244333885E-2"/>
                  <c:y val="-1.3485038243887004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F04-4960-96B4-F8AE20CAD00E}"/>
                </c:ext>
              </c:extLst>
            </c:dLbl>
            <c:dLbl>
              <c:idx val="1"/>
              <c:layout>
                <c:manualLayout>
                  <c:x val="3.9800995024875621E-2"/>
                  <c:y val="3.371259560971751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F04-4960-96B4-F8AE20CAD00E}"/>
                </c:ext>
              </c:extLst>
            </c:dLbl>
            <c:dLbl>
              <c:idx val="2"/>
              <c:layout>
                <c:manualLayout>
                  <c:x val="4.6434494195688063E-2"/>
                  <c:y val="1.0113778682915252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FF04-4960-96B4-F8AE20CAD00E}"/>
                </c:ext>
              </c:extLst>
            </c:dLbl>
            <c:dLbl>
              <c:idx val="3"/>
              <c:layout>
                <c:manualLayout>
                  <c:x val="4.4223327805417358E-2"/>
                  <c:y val="0"/>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F04-4960-96B4-F8AE20CAD00E}"/>
                </c:ext>
              </c:extLst>
            </c:dLbl>
            <c:dLbl>
              <c:idx val="4"/>
              <c:layout>
                <c:manualLayout>
                  <c:x val="7.2968490878938641E-2"/>
                  <c:y val="-1.2361142259926216E-16"/>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FF04-4960-96B4-F8AE20CAD00E}"/>
                </c:ext>
              </c:extLst>
            </c:dLbl>
            <c:dLbl>
              <c:idx val="5"/>
              <c:layout>
                <c:manualLayout>
                  <c:x val="0"/>
                  <c:y val="3.3712595609716274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FF04-4960-96B4-F8AE20CAD00E}"/>
                </c:ext>
              </c:extLst>
            </c:dLbl>
            <c:dLbl>
              <c:idx val="6"/>
              <c:layout>
                <c:manualLayout>
                  <c:x val="-4.4223327805417358E-2"/>
                  <c:y val="1.685629780485863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FF04-4960-96B4-F8AE20CAD00E}"/>
                </c:ext>
              </c:extLst>
            </c:dLbl>
            <c:dLbl>
              <c:idx val="7"/>
              <c:layout>
                <c:manualLayout>
                  <c:x val="-3.9800995024875621E-2"/>
                  <c:y val="3.371259560971751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FF04-4960-96B4-F8AE20CAD00E}"/>
                </c:ext>
              </c:extLst>
            </c:dLbl>
            <c:dLbl>
              <c:idx val="8"/>
              <c:layout>
                <c:manualLayout>
                  <c:x val="-4.8645660585959094E-2"/>
                  <c:y val="1.685629780485875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FF04-4960-96B4-F8AE20CAD00E}"/>
                </c:ext>
              </c:extLst>
            </c:dLbl>
            <c:dLbl>
              <c:idx val="9"/>
              <c:layout>
                <c:manualLayout>
                  <c:x val="-5.306799336650083E-2"/>
                  <c:y val="-3.0341336048745757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FF04-4960-96B4-F8AE20CAD00E}"/>
                </c:ext>
              </c:extLst>
            </c:dLbl>
            <c:dLbl>
              <c:idx val="10"/>
              <c:layout>
                <c:manualLayout>
                  <c:x val="-2.8745163073521283E-2"/>
                  <c:y val="-3.0341336048745768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FF04-4960-96B4-F8AE20CAD00E}"/>
                </c:ext>
              </c:extLst>
            </c:dLbl>
            <c:spPr>
              <a:noFill/>
              <a:ln>
                <a:noFill/>
              </a:ln>
              <a:effectLst/>
            </c:spPr>
            <c:txPr>
              <a:bodyPr/>
              <a:lstStyle/>
              <a:p>
                <a:pPr>
                  <a:defRPr sz="800">
                    <a:latin typeface="Arial" panose="020B0604020202020204" pitchFamily="34" charset="0"/>
                    <a:cs typeface="Arial" panose="020B0604020202020204" pitchFamily="34" charset="0"/>
                  </a:defRPr>
                </a:pPr>
                <a:endParaRPr lang="cs-CZ"/>
              </a:p>
            </c:txPr>
            <c:dLblPos val="outEnd"/>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'Graf 2.5, 2.6. a 2.8'!$H$91:$H$101</c:f>
              <c:strCache>
                <c:ptCount val="11"/>
                <c:pt idx="0">
                  <c:v>Nemoci oběhové soustavy</c:v>
                </c:pt>
                <c:pt idx="1">
                  <c:v>Novotvary</c:v>
                </c:pt>
                <c:pt idx="2">
                  <c:v>Faktory ovlivňující zdravotní stav</c:v>
                </c:pt>
                <c:pt idx="3">
                  <c:v>Nemoci svalové, kosterní a pojivové tkáně</c:v>
                </c:pt>
                <c:pt idx="4">
                  <c:v>Nemoci trávicí soustavy</c:v>
                </c:pt>
                <c:pt idx="5">
                  <c:v>Nemoci močové a pohlavní soustavy</c:v>
                </c:pt>
                <c:pt idx="6">
                  <c:v>Poranění, otravy aj.</c:v>
                </c:pt>
                <c:pt idx="7">
                  <c:v>Nemoci dýchací soustavy</c:v>
                </c:pt>
                <c:pt idx="8">
                  <c:v>Poruchy duševní </c:v>
                </c:pt>
                <c:pt idx="9">
                  <c:v>Nemoci nervové</c:v>
                </c:pt>
                <c:pt idx="10">
                  <c:v>Ostatní (1)</c:v>
                </c:pt>
              </c:strCache>
            </c:strRef>
          </c:cat>
          <c:val>
            <c:numRef>
              <c:f>'Graf 2.5, 2.6. a 2.8'!$I$91:$I$101</c:f>
              <c:numCache>
                <c:formatCode>0.0%</c:formatCode>
                <c:ptCount val="11"/>
                <c:pt idx="0">
                  <c:v>0.13350161333377042</c:v>
                </c:pt>
                <c:pt idx="1">
                  <c:v>0.12848131202202936</c:v>
                </c:pt>
                <c:pt idx="2">
                  <c:v>9.4467834011604759E-2</c:v>
                </c:pt>
                <c:pt idx="3">
                  <c:v>8.5438784637503332E-2</c:v>
                </c:pt>
                <c:pt idx="4">
                  <c:v>7.6789067731919639E-2</c:v>
                </c:pt>
                <c:pt idx="5">
                  <c:v>7.5641704092575854E-2</c:v>
                </c:pt>
                <c:pt idx="6">
                  <c:v>5.8145579371806706E-2</c:v>
                </c:pt>
                <c:pt idx="7">
                  <c:v>5.4961059883015737E-2</c:v>
                </c:pt>
                <c:pt idx="8">
                  <c:v>5.1874885849025672E-2</c:v>
                </c:pt>
                <c:pt idx="9">
                  <c:v>4.775374298117855E-2</c:v>
                </c:pt>
                <c:pt idx="10">
                  <c:v>0.19294441608556989</c:v>
                </c:pt>
              </c:numCache>
            </c:numRef>
          </c:val>
          <c:extLst xmlns:c16r2="http://schemas.microsoft.com/office/drawing/2015/06/chart">
            <c:ext xmlns:c16="http://schemas.microsoft.com/office/drawing/2014/chart" uri="{C3380CC4-5D6E-409C-BE32-E72D297353CC}">
              <c16:uniqueId val="{0000000B-FF04-4960-96B4-F8AE20CAD00E}"/>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noFill/>
    <a:ln>
      <a:solidFill>
        <a:sysClr val="window" lastClr="FFFFFF">
          <a:lumMod val="85000"/>
        </a:sysClr>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55463550927103"/>
          <c:y val="4.7078598222822635E-2"/>
          <c:w val="0.72593997178924063"/>
          <c:h val="0.89487465521811183"/>
        </c:manualLayout>
      </c:layout>
      <c:barChart>
        <c:barDir val="bar"/>
        <c:grouping val="clustered"/>
        <c:varyColors val="0"/>
        <c:ser>
          <c:idx val="1"/>
          <c:order val="0"/>
          <c:tx>
            <c:strRef>
              <c:f>'Graf 4,5 a 7'!$C$30</c:f>
              <c:strCache>
                <c:ptCount val="1"/>
                <c:pt idx="0">
                  <c:v>2018</c:v>
                </c:pt>
              </c:strCache>
            </c:strRef>
          </c:tx>
          <c:spPr>
            <a:solidFill>
              <a:srgbClr val="CD3F49"/>
            </a:solidFill>
            <a:ln>
              <a:solidFill>
                <a:srgbClr val="C00000"/>
              </a:solidFill>
            </a:ln>
          </c:spPr>
          <c:invertIfNegative val="0"/>
          <c:dLbls>
            <c:dLbl>
              <c:idx val="0"/>
              <c:spPr>
                <a:noFill/>
                <a:ln>
                  <a:noFill/>
                </a:ln>
                <a:effectLst/>
              </c:spPr>
              <c:txPr>
                <a:bodyPr/>
                <a:lstStyle/>
                <a:p>
                  <a:pPr>
                    <a:defRPr sz="800" b="1">
                      <a:solidFill>
                        <a:sysClr val="windowText" lastClr="000000"/>
                      </a:solidFill>
                      <a:latin typeface="Arial" panose="020B0604020202020204" pitchFamily="34" charset="0"/>
                      <a:cs typeface="Arial" panose="020B0604020202020204" pitchFamily="34" charset="0"/>
                    </a:defRPr>
                  </a:pPr>
                  <a:endParaRPr lang="cs-CZ"/>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0888-4116-9AD2-CF44276EE980}"/>
                </c:ext>
              </c:extLst>
            </c:dLbl>
            <c:dLbl>
              <c:idx val="1"/>
              <c:spPr>
                <a:noFill/>
                <a:ln>
                  <a:noFill/>
                </a:ln>
                <a:effectLst/>
              </c:spPr>
              <c:txPr>
                <a:bodyPr/>
                <a:lstStyle/>
                <a:p>
                  <a:pPr>
                    <a:defRPr sz="800" b="1">
                      <a:solidFill>
                        <a:sysClr val="windowText" lastClr="000000"/>
                      </a:solidFill>
                      <a:latin typeface="Arial" panose="020B0604020202020204" pitchFamily="34" charset="0"/>
                      <a:cs typeface="Arial" panose="020B0604020202020204" pitchFamily="34" charset="0"/>
                    </a:defRPr>
                  </a:pPr>
                  <a:endParaRPr lang="cs-CZ"/>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888-4116-9AD2-CF44276EE980}"/>
                </c:ext>
              </c:extLst>
            </c:dLbl>
            <c:dLbl>
              <c:idx val="2"/>
              <c:spPr>
                <a:noFill/>
                <a:ln>
                  <a:noFill/>
                </a:ln>
                <a:effectLst/>
              </c:spPr>
              <c:txPr>
                <a:bodyPr/>
                <a:lstStyle/>
                <a:p>
                  <a:pPr>
                    <a:defRPr sz="800" b="1">
                      <a:solidFill>
                        <a:sysClr val="windowText" lastClr="000000"/>
                      </a:solidFill>
                      <a:latin typeface="Arial" panose="020B0604020202020204" pitchFamily="34" charset="0"/>
                      <a:cs typeface="Arial" panose="020B0604020202020204" pitchFamily="34" charset="0"/>
                    </a:defRPr>
                  </a:pPr>
                  <a:endParaRPr lang="cs-CZ"/>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0888-4116-9AD2-CF44276EE980}"/>
                </c:ext>
              </c:extLst>
            </c:dLbl>
            <c:spPr>
              <a:noFill/>
              <a:ln>
                <a:noFill/>
              </a:ln>
              <a:effectLst/>
            </c:spPr>
            <c:txPr>
              <a:bodyPr/>
              <a:lstStyle/>
              <a:p>
                <a:pPr>
                  <a:defRPr sz="800" b="1">
                    <a:solidFill>
                      <a:schemeClr val="bg1"/>
                    </a:solidFill>
                    <a:latin typeface="Arial" panose="020B0604020202020204" pitchFamily="34" charset="0"/>
                    <a:cs typeface="Arial" panose="020B0604020202020204" pitchFamily="34" charset="0"/>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'Graf 4,5 a 7'!$A$31:$A$50</c:f>
              <c:strCache>
                <c:ptCount val="20"/>
                <c:pt idx="0">
                  <c:v>Vrozené vady a deformace</c:v>
                </c:pt>
                <c:pt idx="1">
                  <c:v>Nemoci ucha</c:v>
                </c:pt>
                <c:pt idx="2">
                  <c:v>Stavy vzniklé v perinatálním období</c:v>
                </c:pt>
                <c:pt idx="3">
                  <c:v>Těhotenství, porod a šestinedělí</c:v>
                </c:pt>
                <c:pt idx="4">
                  <c:v>Nemoci kůže</c:v>
                </c:pt>
                <c:pt idx="5">
                  <c:v>Nemoci krve a krvetvorných orgánů</c:v>
                </c:pt>
                <c:pt idx="6">
                  <c:v>Infekční a parazitární nemoci</c:v>
                </c:pt>
                <c:pt idx="7">
                  <c:v>Nemoci oka</c:v>
                </c:pt>
                <c:pt idx="8">
                  <c:v>Nemoci endokrinní a metabolické</c:v>
                </c:pt>
                <c:pt idx="9">
                  <c:v>Příznaky, znaky</c:v>
                </c:pt>
                <c:pt idx="10">
                  <c:v>Nemoci nervové soustavy</c:v>
                </c:pt>
                <c:pt idx="11">
                  <c:v>Poruchy duševní a poruchy chování</c:v>
                </c:pt>
                <c:pt idx="12">
                  <c:v>Nemoci dýchací soustavy</c:v>
                </c:pt>
                <c:pt idx="13">
                  <c:v>Poranění, otravy aj.</c:v>
                </c:pt>
                <c:pt idx="14">
                  <c:v>Nemoci močové a pohlavní soustavy</c:v>
                </c:pt>
                <c:pt idx="15">
                  <c:v>Nemoci trávicí soustavy</c:v>
                </c:pt>
                <c:pt idx="16">
                  <c:v>Nemoci svalové, kosterní a pojivové tkáně</c:v>
                </c:pt>
                <c:pt idx="17">
                  <c:v>Faktory ovlivňující zdravotní stav</c:v>
                </c:pt>
                <c:pt idx="18">
                  <c:v>Novotvary</c:v>
                </c:pt>
                <c:pt idx="19">
                  <c:v>Nemoci oběhové soustavy</c:v>
                </c:pt>
              </c:strCache>
            </c:strRef>
          </c:cat>
          <c:val>
            <c:numRef>
              <c:f>'Graf 4,5 a 7'!$C$31:$C$50</c:f>
              <c:numCache>
                <c:formatCode>#,##0</c:formatCode>
                <c:ptCount val="20"/>
                <c:pt idx="0">
                  <c:v>1348</c:v>
                </c:pt>
                <c:pt idx="1">
                  <c:v>1604</c:v>
                </c:pt>
                <c:pt idx="2">
                  <c:v>1550</c:v>
                </c:pt>
                <c:pt idx="3">
                  <c:v>3063</c:v>
                </c:pt>
                <c:pt idx="4">
                  <c:v>3282</c:v>
                </c:pt>
                <c:pt idx="5">
                  <c:v>3822</c:v>
                </c:pt>
                <c:pt idx="6">
                  <c:v>3944</c:v>
                </c:pt>
                <c:pt idx="7">
                  <c:v>4905</c:v>
                </c:pt>
                <c:pt idx="8">
                  <c:v>8514</c:v>
                </c:pt>
                <c:pt idx="9">
                  <c:v>9151</c:v>
                </c:pt>
                <c:pt idx="10">
                  <c:v>10197</c:v>
                </c:pt>
                <c:pt idx="11">
                  <c:v>11077</c:v>
                </c:pt>
                <c:pt idx="12">
                  <c:v>11736</c:v>
                </c:pt>
                <c:pt idx="13">
                  <c:v>12416</c:v>
                </c:pt>
                <c:pt idx="14">
                  <c:v>16152</c:v>
                </c:pt>
                <c:pt idx="15">
                  <c:v>16397</c:v>
                </c:pt>
                <c:pt idx="16">
                  <c:v>18244</c:v>
                </c:pt>
                <c:pt idx="17">
                  <c:v>20172</c:v>
                </c:pt>
                <c:pt idx="18">
                  <c:v>27435</c:v>
                </c:pt>
                <c:pt idx="19">
                  <c:v>28507</c:v>
                </c:pt>
              </c:numCache>
            </c:numRef>
          </c:val>
          <c:extLst xmlns:c16r2="http://schemas.microsoft.com/office/drawing/2015/06/chart">
            <c:ext xmlns:c16="http://schemas.microsoft.com/office/drawing/2014/chart" uri="{C3380CC4-5D6E-409C-BE32-E72D297353CC}">
              <c16:uniqueId val="{00000001-680A-4954-B858-6123FD20A761}"/>
            </c:ext>
          </c:extLst>
        </c:ser>
        <c:dLbls>
          <c:showLegendKey val="0"/>
          <c:showVal val="0"/>
          <c:showCatName val="0"/>
          <c:showSerName val="0"/>
          <c:showPercent val="0"/>
          <c:showBubbleSize val="0"/>
        </c:dLbls>
        <c:gapWidth val="25"/>
        <c:overlap val="100"/>
        <c:axId val="703876608"/>
        <c:axId val="450820288"/>
      </c:barChart>
      <c:catAx>
        <c:axId val="703876608"/>
        <c:scaling>
          <c:orientation val="minMax"/>
        </c:scaling>
        <c:delete val="0"/>
        <c:axPos val="l"/>
        <c:numFmt formatCode="#,##0.00" sourceLinked="0"/>
        <c:majorTickMark val="out"/>
        <c:minorTickMark val="none"/>
        <c:tickLblPos val="nextTo"/>
        <c:txPr>
          <a:bodyPr/>
          <a:lstStyle/>
          <a:p>
            <a:pPr>
              <a:defRPr sz="800" baseline="0">
                <a:latin typeface="Arial" panose="020B0604020202020204" pitchFamily="34" charset="0"/>
              </a:defRPr>
            </a:pPr>
            <a:endParaRPr lang="cs-CZ"/>
          </a:p>
        </c:txPr>
        <c:crossAx val="450820288"/>
        <c:crosses val="autoZero"/>
        <c:auto val="1"/>
        <c:lblAlgn val="ctr"/>
        <c:lblOffset val="100"/>
        <c:noMultiLvlLbl val="0"/>
      </c:catAx>
      <c:valAx>
        <c:axId val="450820288"/>
        <c:scaling>
          <c:orientation val="minMax"/>
          <c:max val="30000"/>
        </c:scaling>
        <c:delete val="0"/>
        <c:axPos val="b"/>
        <c:majorGridlines>
          <c:spPr>
            <a:ln>
              <a:solidFill>
                <a:schemeClr val="bg1">
                  <a:lumMod val="75000"/>
                </a:schemeClr>
              </a:solidFill>
              <a:prstDash val="dash"/>
            </a:ln>
          </c:spPr>
        </c:majorGridlines>
        <c:numFmt formatCode="#,##0" sourceLinked="0"/>
        <c:majorTickMark val="out"/>
        <c:minorTickMark val="none"/>
        <c:tickLblPos val="nextTo"/>
        <c:spPr>
          <a:ln>
            <a:solidFill>
              <a:schemeClr val="bg1">
                <a:lumMod val="85000"/>
              </a:schemeClr>
            </a:solidFill>
          </a:ln>
        </c:spPr>
        <c:txPr>
          <a:bodyPr/>
          <a:lstStyle/>
          <a:p>
            <a:pPr>
              <a:defRPr sz="800">
                <a:latin typeface="Arial" panose="020B0604020202020204" pitchFamily="34" charset="0"/>
                <a:cs typeface="Arial" panose="020B0604020202020204" pitchFamily="34" charset="0"/>
              </a:defRPr>
            </a:pPr>
            <a:endParaRPr lang="cs-CZ"/>
          </a:p>
        </c:txPr>
        <c:crossAx val="703876608"/>
        <c:crosses val="autoZero"/>
        <c:crossBetween val="between"/>
      </c:valAx>
    </c:plotArea>
    <c:plotVisOnly val="1"/>
    <c:dispBlanksAs val="gap"/>
    <c:showDLblsOverMax val="0"/>
  </c:chart>
  <c:spPr>
    <a:ln>
      <a:solidFill>
        <a:sysClr val="window" lastClr="FFFFFF">
          <a:lumMod val="85000"/>
        </a:sysClr>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261534838209979E-2"/>
          <c:y val="5.748332859229343E-2"/>
          <c:w val="0.63260825051817648"/>
          <c:h val="0.81015441041504554"/>
        </c:manualLayout>
      </c:layout>
      <c:barChart>
        <c:barDir val="col"/>
        <c:grouping val="stacked"/>
        <c:varyColors val="0"/>
        <c:ser>
          <c:idx val="0"/>
          <c:order val="0"/>
          <c:tx>
            <c:strRef>
              <c:f>'Příčiny úmrtí'!$A$5</c:f>
              <c:strCache>
                <c:ptCount val="1"/>
                <c:pt idx="0">
                  <c:v>Nemoci oběhové soustavy</c:v>
                </c:pt>
              </c:strCache>
            </c:strRef>
          </c:tx>
          <c:spPr>
            <a:solidFill>
              <a:srgbClr val="0071BC"/>
            </a:solidFill>
          </c:spPr>
          <c:invertIfNegative val="0"/>
          <c:dLbls>
            <c:dLbl>
              <c:idx val="0"/>
              <c:spPr/>
              <c:txPr>
                <a:bodyPr/>
                <a:lstStyle/>
                <a:p>
                  <a:pPr>
                    <a:defRPr sz="800" b="1">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dLbl>
            <c:dLbl>
              <c:idx val="1"/>
              <c:spPr/>
              <c:txPr>
                <a:bodyPr/>
                <a:lstStyle/>
                <a:p>
                  <a:pPr>
                    <a:defRPr sz="800" b="1">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dLbl>
            <c:spPr>
              <a:noFill/>
              <a:ln>
                <a:noFill/>
              </a:ln>
              <a:effectLst/>
            </c:spPr>
            <c:txPr>
              <a:bodyPr/>
              <a:lstStyle/>
              <a:p>
                <a:pPr>
                  <a:defRPr sz="800" b="1">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'Příčiny úmrtí'!$B$4:$C$4</c:f>
              <c:strCache>
                <c:ptCount val="2"/>
                <c:pt idx="0">
                  <c:v>Muži</c:v>
                </c:pt>
                <c:pt idx="1">
                  <c:v>Ženy</c:v>
                </c:pt>
              </c:strCache>
            </c:strRef>
          </c:cat>
          <c:val>
            <c:numRef>
              <c:f>'Příčiny úmrtí'!$B$5:$C$5</c:f>
              <c:numCache>
                <c:formatCode>0%</c:formatCode>
                <c:ptCount val="2"/>
                <c:pt idx="0">
                  <c:v>0.4</c:v>
                </c:pt>
                <c:pt idx="1">
                  <c:v>0.46</c:v>
                </c:pt>
              </c:numCache>
            </c:numRef>
          </c:val>
          <c:extLst xmlns:c16r2="http://schemas.microsoft.com/office/drawing/2015/06/chart">
            <c:ext xmlns:c16="http://schemas.microsoft.com/office/drawing/2014/chart" uri="{C3380CC4-5D6E-409C-BE32-E72D297353CC}">
              <c16:uniqueId val="{00000002-9FB2-46C7-871B-E265E8F944B8}"/>
            </c:ext>
          </c:extLst>
        </c:ser>
        <c:ser>
          <c:idx val="1"/>
          <c:order val="1"/>
          <c:tx>
            <c:strRef>
              <c:f>'Příčiny úmrtí'!$A$6</c:f>
              <c:strCache>
                <c:ptCount val="1"/>
                <c:pt idx="0">
                  <c:v>Novotvary</c:v>
                </c:pt>
              </c:strCache>
            </c:strRef>
          </c:tx>
          <c:spPr>
            <a:solidFill>
              <a:srgbClr val="C0504D"/>
            </a:solidFill>
          </c:spPr>
          <c:invertIfNegative val="0"/>
          <c:dLbls>
            <c:spPr>
              <a:noFill/>
              <a:ln>
                <a:noFill/>
              </a:ln>
              <a:effectLst/>
            </c:spPr>
            <c:txPr>
              <a:bodyPr/>
              <a:lstStyle/>
              <a:p>
                <a:pPr>
                  <a:defRPr sz="800" b="1">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'Příčiny úmrtí'!$B$4:$C$4</c:f>
              <c:strCache>
                <c:ptCount val="2"/>
                <c:pt idx="0">
                  <c:v>Muži</c:v>
                </c:pt>
                <c:pt idx="1">
                  <c:v>Ženy</c:v>
                </c:pt>
              </c:strCache>
            </c:strRef>
          </c:cat>
          <c:val>
            <c:numRef>
              <c:f>'Příčiny úmrtí'!$B$6:$C$6</c:f>
              <c:numCache>
                <c:formatCode>0%</c:formatCode>
                <c:ptCount val="2"/>
                <c:pt idx="0">
                  <c:v>0.27</c:v>
                </c:pt>
                <c:pt idx="1">
                  <c:v>0.23</c:v>
                </c:pt>
              </c:numCache>
            </c:numRef>
          </c:val>
          <c:extLst xmlns:c16r2="http://schemas.microsoft.com/office/drawing/2015/06/chart">
            <c:ext xmlns:c16="http://schemas.microsoft.com/office/drawing/2014/chart" uri="{C3380CC4-5D6E-409C-BE32-E72D297353CC}">
              <c16:uniqueId val="{00000003-9FB2-46C7-871B-E265E8F944B8}"/>
            </c:ext>
          </c:extLst>
        </c:ser>
        <c:ser>
          <c:idx val="2"/>
          <c:order val="2"/>
          <c:tx>
            <c:strRef>
              <c:f>'Příčiny úmrtí'!$A$7</c:f>
              <c:strCache>
                <c:ptCount val="1"/>
                <c:pt idx="0">
                  <c:v>Respirační onemocnění</c:v>
                </c:pt>
              </c:strCache>
            </c:strRef>
          </c:tx>
          <c:spPr>
            <a:solidFill>
              <a:srgbClr val="92D050"/>
            </a:solidFill>
          </c:spPr>
          <c:invertIfNegative val="0"/>
          <c:dLbls>
            <c:spPr>
              <a:noFill/>
              <a:ln>
                <a:noFill/>
              </a:ln>
              <a:effectLst/>
            </c:spPr>
            <c:txPr>
              <a:bodyPr/>
              <a:lstStyle/>
              <a:p>
                <a:pPr>
                  <a:defRPr sz="800" b="1">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'Příčiny úmrtí'!$B$4:$C$4</c:f>
              <c:strCache>
                <c:ptCount val="2"/>
                <c:pt idx="0">
                  <c:v>Muži</c:v>
                </c:pt>
                <c:pt idx="1">
                  <c:v>Ženy</c:v>
                </c:pt>
              </c:strCache>
            </c:strRef>
          </c:cat>
          <c:val>
            <c:numRef>
              <c:f>'Příčiny úmrtí'!$B$7:$C$7</c:f>
              <c:numCache>
                <c:formatCode>0%</c:formatCode>
                <c:ptCount val="2"/>
                <c:pt idx="0">
                  <c:v>0.08</c:v>
                </c:pt>
                <c:pt idx="1">
                  <c:v>7.0000000000000007E-2</c:v>
                </c:pt>
              </c:numCache>
            </c:numRef>
          </c:val>
          <c:extLst xmlns:c16r2="http://schemas.microsoft.com/office/drawing/2015/06/chart">
            <c:ext xmlns:c16="http://schemas.microsoft.com/office/drawing/2014/chart" uri="{C3380CC4-5D6E-409C-BE32-E72D297353CC}">
              <c16:uniqueId val="{00000004-9FB2-46C7-871B-E265E8F944B8}"/>
            </c:ext>
          </c:extLst>
        </c:ser>
        <c:ser>
          <c:idx val="3"/>
          <c:order val="3"/>
          <c:tx>
            <c:strRef>
              <c:f>'Příčiny úmrtí'!$A$8</c:f>
              <c:strCache>
                <c:ptCount val="1"/>
                <c:pt idx="0">
                  <c:v>Vnější příčiny včetně dopravních nehod</c:v>
                </c:pt>
              </c:strCache>
            </c:strRef>
          </c:tx>
          <c:spPr>
            <a:solidFill>
              <a:srgbClr val="B3A2C7"/>
            </a:solidFill>
          </c:spPr>
          <c:invertIfNegative val="0"/>
          <c:dLbls>
            <c:spPr>
              <a:noFill/>
              <a:ln>
                <a:noFill/>
              </a:ln>
              <a:effectLst/>
            </c:spPr>
            <c:txPr>
              <a:bodyPr/>
              <a:lstStyle/>
              <a:p>
                <a:pPr>
                  <a:defRPr sz="800" b="1">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'Příčiny úmrtí'!$B$4:$C$4</c:f>
              <c:strCache>
                <c:ptCount val="2"/>
                <c:pt idx="0">
                  <c:v>Muži</c:v>
                </c:pt>
                <c:pt idx="1">
                  <c:v>Ženy</c:v>
                </c:pt>
              </c:strCache>
            </c:strRef>
          </c:cat>
          <c:val>
            <c:numRef>
              <c:f>'Příčiny úmrtí'!$B$8:$C$8</c:f>
              <c:numCache>
                <c:formatCode>0%</c:formatCode>
                <c:ptCount val="2"/>
                <c:pt idx="0">
                  <c:v>7.0000000000000007E-2</c:v>
                </c:pt>
                <c:pt idx="1">
                  <c:v>0.03</c:v>
                </c:pt>
              </c:numCache>
            </c:numRef>
          </c:val>
          <c:extLst xmlns:c16r2="http://schemas.microsoft.com/office/drawing/2015/06/chart">
            <c:ext xmlns:c16="http://schemas.microsoft.com/office/drawing/2014/chart" uri="{C3380CC4-5D6E-409C-BE32-E72D297353CC}">
              <c16:uniqueId val="{00000005-9FB2-46C7-871B-E265E8F944B8}"/>
            </c:ext>
          </c:extLst>
        </c:ser>
        <c:ser>
          <c:idx val="4"/>
          <c:order val="4"/>
          <c:tx>
            <c:strRef>
              <c:f>'Příčiny úmrtí'!$A$9</c:f>
              <c:strCache>
                <c:ptCount val="1"/>
                <c:pt idx="0">
                  <c:v>Trávicí soustava</c:v>
                </c:pt>
              </c:strCache>
            </c:strRef>
          </c:tx>
          <c:spPr>
            <a:solidFill>
              <a:srgbClr val="FFC000"/>
            </a:solidFill>
          </c:spPr>
          <c:invertIfNegative val="0"/>
          <c:dPt>
            <c:idx val="0"/>
            <c:invertIfNegative val="0"/>
            <c:bubble3D val="0"/>
            <c:extLst xmlns:c16r2="http://schemas.microsoft.com/office/drawing/2015/06/chart">
              <c:ext xmlns:c16="http://schemas.microsoft.com/office/drawing/2014/chart" uri="{C3380CC4-5D6E-409C-BE32-E72D297353CC}">
                <c16:uniqueId val="{00000006-9FB2-46C7-871B-E265E8F944B8}"/>
              </c:ext>
            </c:extLst>
          </c:dPt>
          <c:dPt>
            <c:idx val="1"/>
            <c:invertIfNegative val="0"/>
            <c:bubble3D val="0"/>
            <c:extLst xmlns:c16r2="http://schemas.microsoft.com/office/drawing/2015/06/chart">
              <c:ext xmlns:c16="http://schemas.microsoft.com/office/drawing/2014/chart" uri="{C3380CC4-5D6E-409C-BE32-E72D297353CC}">
                <c16:uniqueId val="{00000007-9FB2-46C7-871B-E265E8F944B8}"/>
              </c:ext>
            </c:extLst>
          </c:dPt>
          <c:dLbls>
            <c:spPr>
              <a:noFill/>
              <a:ln>
                <a:noFill/>
              </a:ln>
              <a:effectLst/>
            </c:spPr>
            <c:txPr>
              <a:bodyPr/>
              <a:lstStyle/>
              <a:p>
                <a:pPr>
                  <a:defRPr sz="800" b="1">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'Příčiny úmrtí'!$B$4:$C$4</c:f>
              <c:strCache>
                <c:ptCount val="2"/>
                <c:pt idx="0">
                  <c:v>Muži</c:v>
                </c:pt>
                <c:pt idx="1">
                  <c:v>Ženy</c:v>
                </c:pt>
              </c:strCache>
            </c:strRef>
          </c:cat>
          <c:val>
            <c:numRef>
              <c:f>'Příčiny úmrtí'!$B$9:$C$9</c:f>
              <c:numCache>
                <c:formatCode>0%</c:formatCode>
                <c:ptCount val="2"/>
                <c:pt idx="0">
                  <c:v>0.05</c:v>
                </c:pt>
                <c:pt idx="1">
                  <c:v>0.04</c:v>
                </c:pt>
              </c:numCache>
            </c:numRef>
          </c:val>
          <c:extLst xmlns:c16r2="http://schemas.microsoft.com/office/drawing/2015/06/chart">
            <c:ext xmlns:c16="http://schemas.microsoft.com/office/drawing/2014/chart" uri="{C3380CC4-5D6E-409C-BE32-E72D297353CC}">
              <c16:uniqueId val="{00000008-9FB2-46C7-871B-E265E8F944B8}"/>
            </c:ext>
          </c:extLst>
        </c:ser>
        <c:ser>
          <c:idx val="5"/>
          <c:order val="5"/>
          <c:tx>
            <c:strRef>
              <c:f>'Příčiny úmrtí'!$A$10</c:f>
              <c:strCache>
                <c:ptCount val="1"/>
                <c:pt idx="0">
                  <c:v>Endokrinní,metabolický systém</c:v>
                </c:pt>
              </c:strCache>
            </c:strRef>
          </c:tx>
          <c:spPr>
            <a:solidFill>
              <a:srgbClr val="F3F9A1"/>
            </a:solidFill>
          </c:spPr>
          <c:invertIfNegative val="0"/>
          <c:dLbls>
            <c:spPr>
              <a:noFill/>
              <a:ln>
                <a:noFill/>
              </a:ln>
              <a:effectLst/>
            </c:spPr>
            <c:txPr>
              <a:bodyPr/>
              <a:lstStyle/>
              <a:p>
                <a:pPr>
                  <a:defRPr sz="800" b="1">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'Příčiny úmrtí'!$B$4:$C$4</c:f>
              <c:strCache>
                <c:ptCount val="2"/>
                <c:pt idx="0">
                  <c:v>Muži</c:v>
                </c:pt>
                <c:pt idx="1">
                  <c:v>Ženy</c:v>
                </c:pt>
              </c:strCache>
            </c:strRef>
          </c:cat>
          <c:val>
            <c:numRef>
              <c:f>'Příčiny úmrtí'!$B$10:$C$10</c:f>
              <c:numCache>
                <c:formatCode>0%</c:formatCode>
                <c:ptCount val="2"/>
                <c:pt idx="0">
                  <c:v>0.04</c:v>
                </c:pt>
                <c:pt idx="1">
                  <c:v>0.05</c:v>
                </c:pt>
              </c:numCache>
            </c:numRef>
          </c:val>
          <c:extLst xmlns:c16r2="http://schemas.microsoft.com/office/drawing/2015/06/chart">
            <c:ext xmlns:c16="http://schemas.microsoft.com/office/drawing/2014/chart" uri="{C3380CC4-5D6E-409C-BE32-E72D297353CC}">
              <c16:uniqueId val="{00000009-9FB2-46C7-871B-E265E8F944B8}"/>
            </c:ext>
          </c:extLst>
        </c:ser>
        <c:ser>
          <c:idx val="6"/>
          <c:order val="6"/>
          <c:tx>
            <c:strRef>
              <c:f>'Příčiny úmrtí'!$A$11</c:f>
              <c:strCache>
                <c:ptCount val="1"/>
                <c:pt idx="0">
                  <c:v>Nervové včetně demence</c:v>
                </c:pt>
              </c:strCache>
            </c:strRef>
          </c:tx>
          <c:spPr>
            <a:solidFill>
              <a:srgbClr val="D9968F"/>
            </a:solidFill>
          </c:spPr>
          <c:invertIfNegative val="0"/>
          <c:cat>
            <c:strRef>
              <c:f>'Příčiny úmrtí'!$B$4:$C$4</c:f>
              <c:strCache>
                <c:ptCount val="2"/>
                <c:pt idx="0">
                  <c:v>Muži</c:v>
                </c:pt>
                <c:pt idx="1">
                  <c:v>Ženy</c:v>
                </c:pt>
              </c:strCache>
            </c:strRef>
          </c:cat>
          <c:val>
            <c:numRef>
              <c:f>'Příčiny úmrtí'!$B$11:$C$11</c:f>
              <c:numCache>
                <c:formatCode>0%</c:formatCode>
                <c:ptCount val="2"/>
                <c:pt idx="0">
                  <c:v>0.03</c:v>
                </c:pt>
                <c:pt idx="1">
                  <c:v>0.04</c:v>
                </c:pt>
              </c:numCache>
            </c:numRef>
          </c:val>
          <c:extLst xmlns:c16r2="http://schemas.microsoft.com/office/drawing/2015/06/chart">
            <c:ext xmlns:c16="http://schemas.microsoft.com/office/drawing/2014/chart" uri="{C3380CC4-5D6E-409C-BE32-E72D297353CC}">
              <c16:uniqueId val="{0000000A-9FB2-46C7-871B-E265E8F944B8}"/>
            </c:ext>
          </c:extLst>
        </c:ser>
        <c:ser>
          <c:idx val="7"/>
          <c:order val="7"/>
          <c:tx>
            <c:strRef>
              <c:f>'Příčiny úmrtí'!$A$12</c:f>
              <c:strCache>
                <c:ptCount val="1"/>
                <c:pt idx="0">
                  <c:v>Jiné příčiny</c:v>
                </c:pt>
              </c:strCache>
            </c:strRef>
          </c:tx>
          <c:spPr>
            <a:solidFill>
              <a:srgbClr val="83A5CF"/>
            </a:solidFill>
          </c:spPr>
          <c:invertIfNegative val="0"/>
          <c:dLbls>
            <c:spPr>
              <a:noFill/>
              <a:ln>
                <a:noFill/>
              </a:ln>
              <a:effectLst/>
            </c:spPr>
            <c:txPr>
              <a:bodyPr/>
              <a:lstStyle/>
              <a:p>
                <a:pPr>
                  <a:defRPr sz="800" b="1">
                    <a:solidFill>
                      <a:sysClr val="windowText" lastClr="000000"/>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'Příčiny úmrtí'!$B$4:$C$4</c:f>
              <c:strCache>
                <c:ptCount val="2"/>
                <c:pt idx="0">
                  <c:v>Muži</c:v>
                </c:pt>
                <c:pt idx="1">
                  <c:v>Ženy</c:v>
                </c:pt>
              </c:strCache>
            </c:strRef>
          </c:cat>
          <c:val>
            <c:numRef>
              <c:f>'Příčiny úmrtí'!$B$12:$C$12</c:f>
              <c:numCache>
                <c:formatCode>0%</c:formatCode>
                <c:ptCount val="2"/>
                <c:pt idx="0">
                  <c:v>0.06</c:v>
                </c:pt>
                <c:pt idx="1">
                  <c:v>0.08</c:v>
                </c:pt>
              </c:numCache>
            </c:numRef>
          </c:val>
          <c:extLst xmlns:c16r2="http://schemas.microsoft.com/office/drawing/2015/06/chart">
            <c:ext xmlns:c16="http://schemas.microsoft.com/office/drawing/2014/chart" uri="{C3380CC4-5D6E-409C-BE32-E72D297353CC}">
              <c16:uniqueId val="{0000000B-9FB2-46C7-871B-E265E8F944B8}"/>
            </c:ext>
          </c:extLst>
        </c:ser>
        <c:dLbls>
          <c:showLegendKey val="0"/>
          <c:showVal val="0"/>
          <c:showCatName val="0"/>
          <c:showSerName val="0"/>
          <c:showPercent val="0"/>
          <c:showBubbleSize val="0"/>
        </c:dLbls>
        <c:gapWidth val="70"/>
        <c:overlap val="100"/>
        <c:axId val="703874048"/>
        <c:axId val="513116416"/>
      </c:barChart>
      <c:catAx>
        <c:axId val="703874048"/>
        <c:scaling>
          <c:orientation val="minMax"/>
        </c:scaling>
        <c:delete val="0"/>
        <c:axPos val="b"/>
        <c:numFmt formatCode="General" sourceLinked="0"/>
        <c:majorTickMark val="out"/>
        <c:minorTickMark val="none"/>
        <c:tickLblPos val="nextTo"/>
        <c:spPr>
          <a:solidFill>
            <a:schemeClr val="bg1"/>
          </a:solidFill>
          <a:ln>
            <a:noFill/>
          </a:ln>
        </c:spPr>
        <c:txPr>
          <a:bodyPr/>
          <a:lstStyle/>
          <a:p>
            <a:pPr>
              <a:defRPr sz="800">
                <a:latin typeface="Arial" panose="020B0604020202020204" pitchFamily="34" charset="0"/>
                <a:cs typeface="Arial" panose="020B0604020202020204" pitchFamily="34" charset="0"/>
              </a:defRPr>
            </a:pPr>
            <a:endParaRPr lang="cs-CZ"/>
          </a:p>
        </c:txPr>
        <c:crossAx val="513116416"/>
        <c:crosses val="autoZero"/>
        <c:auto val="1"/>
        <c:lblAlgn val="ctr"/>
        <c:lblOffset val="100"/>
        <c:noMultiLvlLbl val="0"/>
      </c:catAx>
      <c:valAx>
        <c:axId val="513116416"/>
        <c:scaling>
          <c:orientation val="minMax"/>
          <c:max val="1"/>
        </c:scaling>
        <c:delete val="1"/>
        <c:axPos val="l"/>
        <c:majorGridlines>
          <c:spPr>
            <a:ln>
              <a:solidFill>
                <a:schemeClr val="bg1">
                  <a:lumMod val="85000"/>
                </a:schemeClr>
              </a:solidFill>
              <a:prstDash val="dash"/>
            </a:ln>
          </c:spPr>
        </c:majorGridlines>
        <c:numFmt formatCode="0%" sourceLinked="1"/>
        <c:majorTickMark val="out"/>
        <c:minorTickMark val="none"/>
        <c:tickLblPos val="nextTo"/>
        <c:crossAx val="703874048"/>
        <c:crosses val="autoZero"/>
        <c:crossBetween val="between"/>
        <c:majorUnit val="0.2"/>
      </c:valAx>
      <c:spPr>
        <a:ln>
          <a:noFill/>
        </a:ln>
      </c:spPr>
    </c:plotArea>
    <c:legend>
      <c:legendPos val="r"/>
      <c:layout>
        <c:manualLayout>
          <c:xMode val="edge"/>
          <c:yMode val="edge"/>
          <c:x val="0.67089932444845857"/>
          <c:y val="6.0285263865952232E-2"/>
          <c:w val="0.3270630949114709"/>
          <c:h val="0.82124380710015044"/>
        </c:manualLayout>
      </c:layout>
      <c:overlay val="0"/>
      <c:spPr>
        <a:ln>
          <a:noFill/>
        </a:ln>
      </c:spPr>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solidFill>
        <a:sysClr val="window" lastClr="FFFFFF">
          <a:lumMod val="85000"/>
        </a:sysClr>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595397503221798"/>
          <c:y val="3.3639151831046217E-2"/>
          <c:w val="0.6440458572749751"/>
          <c:h val="0.93272169633790758"/>
        </c:manualLayout>
      </c:layout>
      <c:barChart>
        <c:barDir val="bar"/>
        <c:grouping val="clustered"/>
        <c:varyColors val="0"/>
        <c:ser>
          <c:idx val="0"/>
          <c:order val="0"/>
          <c:spPr>
            <a:solidFill>
              <a:schemeClr val="accent2"/>
            </a:solidFill>
          </c:spPr>
          <c:invertIfNegative val="0"/>
          <c:dPt>
            <c:idx val="0"/>
            <c:invertIfNegative val="0"/>
            <c:bubble3D val="0"/>
            <c:spPr>
              <a:solidFill>
                <a:srgbClr val="0070C0"/>
              </a:solidFill>
            </c:spPr>
            <c:extLst xmlns:c16r2="http://schemas.microsoft.com/office/drawing/2015/06/chart">
              <c:ext xmlns:c16="http://schemas.microsoft.com/office/drawing/2014/chart" uri="{C3380CC4-5D6E-409C-BE32-E72D297353CC}">
                <c16:uniqueId val="{00000001-7E0D-4395-BC6D-52D2F6319984}"/>
              </c:ext>
            </c:extLst>
          </c:dPt>
          <c:dLbls>
            <c:dLbl>
              <c:idx val="0"/>
              <c:layout>
                <c:manualLayout>
                  <c:x val="-4.7171315809993987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E0D-4395-BC6D-52D2F6319984}"/>
                </c:ext>
              </c:extLst>
            </c:dLbl>
            <c:dLbl>
              <c:idx val="1"/>
              <c:spPr/>
              <c:txPr>
                <a:bodyPr/>
                <a:lstStyle/>
                <a:p>
                  <a:pPr>
                    <a:defRPr sz="800" b="1">
                      <a:solidFill>
                        <a:sysClr val="windowText" lastClr="000000"/>
                      </a:solidFill>
                      <a:latin typeface="Arial" panose="020B0604020202020204" pitchFamily="34" charset="0"/>
                      <a:cs typeface="Arial" panose="020B0604020202020204" pitchFamily="34" charset="0"/>
                    </a:defRPr>
                  </a:pPr>
                  <a:endParaRPr lang="cs-CZ"/>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7E0D-4395-BC6D-52D2F6319984}"/>
                </c:ext>
              </c:extLst>
            </c:dLbl>
            <c:dLbl>
              <c:idx val="2"/>
              <c:spPr/>
              <c:txPr>
                <a:bodyPr/>
                <a:lstStyle/>
                <a:p>
                  <a:pPr>
                    <a:defRPr sz="800" b="1">
                      <a:solidFill>
                        <a:sysClr val="windowText" lastClr="000000"/>
                      </a:solidFill>
                      <a:latin typeface="Arial" panose="020B0604020202020204" pitchFamily="34" charset="0"/>
                      <a:cs typeface="Arial" panose="020B0604020202020204" pitchFamily="34" charset="0"/>
                    </a:defRPr>
                  </a:pPr>
                  <a:endParaRPr lang="cs-CZ"/>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E0D-4395-BC6D-52D2F6319984}"/>
                </c:ext>
              </c:extLst>
            </c:dLbl>
            <c:dLbl>
              <c:idx val="3"/>
              <c:spPr/>
              <c:txPr>
                <a:bodyPr/>
                <a:lstStyle/>
                <a:p>
                  <a:pPr>
                    <a:defRPr sz="800" b="1">
                      <a:solidFill>
                        <a:sysClr val="windowText" lastClr="000000"/>
                      </a:solidFill>
                      <a:latin typeface="Arial" panose="020B0604020202020204" pitchFamily="34" charset="0"/>
                      <a:cs typeface="Arial" panose="020B0604020202020204" pitchFamily="34" charset="0"/>
                    </a:defRPr>
                  </a:pPr>
                  <a:endParaRPr lang="cs-CZ"/>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7E0D-4395-BC6D-52D2F6319984}"/>
                </c:ext>
              </c:extLst>
            </c:dLbl>
            <c:spPr>
              <a:noFill/>
              <a:ln>
                <a:noFill/>
              </a:ln>
              <a:effectLst/>
            </c:spPr>
            <c:txPr>
              <a:bodyPr/>
              <a:lstStyle/>
              <a:p>
                <a:pPr>
                  <a:defRPr sz="800" b="1">
                    <a:solidFill>
                      <a:schemeClr val="bg1"/>
                    </a:solidFill>
                    <a:latin typeface="Arial" panose="020B0604020202020204" pitchFamily="34" charset="0"/>
                    <a:cs typeface="Arial" panose="020B0604020202020204" pitchFamily="34" charset="0"/>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'3_1_2, 3_1_3,3_1_4'!$K$65:$K$84</c:f>
              <c:strCache>
                <c:ptCount val="20"/>
                <c:pt idx="0">
                  <c:v>Stavy vzniklé v perinatálním období</c:v>
                </c:pt>
                <c:pt idx="1">
                  <c:v>Těhotenství, porod a šestinedělí</c:v>
                </c:pt>
                <c:pt idx="2">
                  <c:v>Vrozené vady a deformace</c:v>
                </c:pt>
                <c:pt idx="3">
                  <c:v>Nemoci ucha</c:v>
                </c:pt>
                <c:pt idx="4">
                  <c:v>Nemoci kůže</c:v>
                </c:pt>
                <c:pt idx="5">
                  <c:v>Nemoci krve a krvetvorných orgánů</c:v>
                </c:pt>
                <c:pt idx="6">
                  <c:v>Infekční a parazitární nemoci</c:v>
                </c:pt>
                <c:pt idx="7">
                  <c:v>Nemoci oběhové soustavy</c:v>
                </c:pt>
                <c:pt idx="8">
                  <c:v>Nemoci oka</c:v>
                </c:pt>
                <c:pt idx="9">
                  <c:v>Nemoci endokrinní a metabolické</c:v>
                </c:pt>
                <c:pt idx="10">
                  <c:v>Nemoci trávicí soustavy</c:v>
                </c:pt>
                <c:pt idx="11">
                  <c:v>Nemoci dýchací soustavy</c:v>
                </c:pt>
                <c:pt idx="12">
                  <c:v>Poruchy duševní a poruchy chování</c:v>
                </c:pt>
                <c:pt idx="13">
                  <c:v>Příznaky, znaky</c:v>
                </c:pt>
                <c:pt idx="14">
                  <c:v>Nemoci nervové soustavy</c:v>
                </c:pt>
                <c:pt idx="15">
                  <c:v>Nemoci močové a pohlavní soustavy</c:v>
                </c:pt>
                <c:pt idx="16">
                  <c:v>Poranění, otravy aj.</c:v>
                </c:pt>
                <c:pt idx="17">
                  <c:v>Nemoci svalové, kosterní a pojivové tkáně</c:v>
                </c:pt>
                <c:pt idx="18">
                  <c:v>Faktory ovlivňující zdravotní stav</c:v>
                </c:pt>
                <c:pt idx="19">
                  <c:v>Novotvary</c:v>
                </c:pt>
              </c:strCache>
            </c:strRef>
          </c:cat>
          <c:val>
            <c:numRef>
              <c:f>'3_1_2, 3_1_3,3_1_4'!$L$65:$L$84</c:f>
              <c:numCache>
                <c:formatCode>#,##0</c:formatCode>
                <c:ptCount val="20"/>
                <c:pt idx="0">
                  <c:v>-541</c:v>
                </c:pt>
                <c:pt idx="1">
                  <c:v>179</c:v>
                </c:pt>
                <c:pt idx="2">
                  <c:v>416</c:v>
                </c:pt>
                <c:pt idx="3">
                  <c:v>664</c:v>
                </c:pt>
                <c:pt idx="4">
                  <c:v>1186</c:v>
                </c:pt>
                <c:pt idx="5">
                  <c:v>1463</c:v>
                </c:pt>
                <c:pt idx="6">
                  <c:v>1560</c:v>
                </c:pt>
                <c:pt idx="7">
                  <c:v>1749</c:v>
                </c:pt>
                <c:pt idx="8">
                  <c:v>2089</c:v>
                </c:pt>
                <c:pt idx="9">
                  <c:v>2824</c:v>
                </c:pt>
                <c:pt idx="10">
                  <c:v>2889</c:v>
                </c:pt>
                <c:pt idx="11">
                  <c:v>3185</c:v>
                </c:pt>
                <c:pt idx="12">
                  <c:v>3294</c:v>
                </c:pt>
                <c:pt idx="13">
                  <c:v>3751</c:v>
                </c:pt>
                <c:pt idx="14">
                  <c:v>4365</c:v>
                </c:pt>
                <c:pt idx="15">
                  <c:v>4797</c:v>
                </c:pt>
                <c:pt idx="16">
                  <c:v>5886</c:v>
                </c:pt>
                <c:pt idx="17">
                  <c:v>7448</c:v>
                </c:pt>
                <c:pt idx="18">
                  <c:v>7461</c:v>
                </c:pt>
                <c:pt idx="19">
                  <c:v>8218</c:v>
                </c:pt>
              </c:numCache>
            </c:numRef>
          </c:val>
          <c:extLst xmlns:c16r2="http://schemas.microsoft.com/office/drawing/2015/06/chart">
            <c:ext xmlns:c16="http://schemas.microsoft.com/office/drawing/2014/chart" uri="{C3380CC4-5D6E-409C-BE32-E72D297353CC}">
              <c16:uniqueId val="{00000005-7E0D-4395-BC6D-52D2F6319984}"/>
            </c:ext>
          </c:extLst>
        </c:ser>
        <c:dLbls>
          <c:showLegendKey val="0"/>
          <c:showVal val="0"/>
          <c:showCatName val="0"/>
          <c:showSerName val="0"/>
          <c:showPercent val="0"/>
          <c:showBubbleSize val="0"/>
        </c:dLbls>
        <c:gapWidth val="40"/>
        <c:axId val="704228864"/>
        <c:axId val="513118144"/>
      </c:barChart>
      <c:catAx>
        <c:axId val="704228864"/>
        <c:scaling>
          <c:orientation val="minMax"/>
        </c:scaling>
        <c:delete val="0"/>
        <c:axPos val="l"/>
        <c:numFmt formatCode="General"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cs-CZ"/>
          </a:p>
        </c:txPr>
        <c:crossAx val="513118144"/>
        <c:crossesAt val="1"/>
        <c:auto val="1"/>
        <c:lblAlgn val="ctr"/>
        <c:lblOffset val="1000"/>
        <c:noMultiLvlLbl val="0"/>
      </c:catAx>
      <c:valAx>
        <c:axId val="513118144"/>
        <c:scaling>
          <c:orientation val="minMax"/>
          <c:max val="9000"/>
          <c:min val="-1000"/>
        </c:scaling>
        <c:delete val="1"/>
        <c:axPos val="b"/>
        <c:majorGridlines>
          <c:spPr>
            <a:ln>
              <a:solidFill>
                <a:schemeClr val="bg1">
                  <a:lumMod val="95000"/>
                </a:schemeClr>
              </a:solidFill>
              <a:prstDash val="dash"/>
            </a:ln>
          </c:spPr>
        </c:majorGridlines>
        <c:numFmt formatCode="#,##0" sourceLinked="1"/>
        <c:majorTickMark val="out"/>
        <c:minorTickMark val="none"/>
        <c:tickLblPos val="nextTo"/>
        <c:crossAx val="704228864"/>
        <c:crosses val="autoZero"/>
        <c:crossBetween val="between"/>
      </c:valAx>
      <c:spPr>
        <a:noFill/>
        <a:ln w="25400">
          <a:noFill/>
        </a:ln>
      </c:spPr>
    </c:plotArea>
    <c:plotVisOnly val="1"/>
    <c:dispBlanksAs val="gap"/>
    <c:showDLblsOverMax val="0"/>
  </c:chart>
  <c:spPr>
    <a:ln>
      <a:solidFill>
        <a:sysClr val="window" lastClr="FFFFFF">
          <a:lumMod val="85000"/>
        </a:sysClr>
      </a:solid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664990180501299E-2"/>
          <c:y val="5.5880111760223519E-2"/>
          <c:w val="0.87138631053184423"/>
          <c:h val="0.59208318416636829"/>
        </c:manualLayout>
      </c:layout>
      <c:barChart>
        <c:barDir val="bar"/>
        <c:grouping val="stacked"/>
        <c:varyColors val="0"/>
        <c:ser>
          <c:idx val="0"/>
          <c:order val="0"/>
          <c:tx>
            <c:strRef>
              <c:f>'3_1_5'!$C$41</c:f>
              <c:strCache>
                <c:ptCount val="1"/>
                <c:pt idx="0">
                  <c:v>Novotvary</c:v>
                </c:pt>
              </c:strCache>
            </c:strRef>
          </c:tx>
          <c:spPr>
            <a:solidFill>
              <a:srgbClr val="0071BC"/>
            </a:solidFill>
          </c:spPr>
          <c:invertIfNegative val="0"/>
          <c:dLbls>
            <c:dLbl>
              <c:idx val="2"/>
              <c:spPr/>
              <c:txPr>
                <a:bodyPr rot="-5400000" vert="horz"/>
                <a:lstStyle/>
                <a:p>
                  <a:pPr>
                    <a:defRPr sz="800" b="1">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dLbl>
            <c:spPr>
              <a:noFill/>
              <a:ln>
                <a:noFill/>
              </a:ln>
              <a:effectLst/>
            </c:spPr>
            <c:txPr>
              <a:bodyPr/>
              <a:lstStyle/>
              <a:p>
                <a:pPr>
                  <a:defRPr sz="800" b="1">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'3_1_5'!$D$40:$F$40</c:f>
              <c:strCache>
                <c:ptCount val="3"/>
                <c:pt idx="0">
                  <c:v>65+</c:v>
                </c:pt>
                <c:pt idx="1">
                  <c:v>15-64 let</c:v>
                </c:pt>
                <c:pt idx="2">
                  <c:v>0-14 let</c:v>
                </c:pt>
              </c:strCache>
            </c:strRef>
          </c:cat>
          <c:val>
            <c:numRef>
              <c:f>'3_1_5'!$D$41:$F$41</c:f>
              <c:numCache>
                <c:formatCode>0.0%</c:formatCode>
                <c:ptCount val="3"/>
                <c:pt idx="0">
                  <c:v>0.15130621817172213</c:v>
                </c:pt>
                <c:pt idx="1">
                  <c:v>0.11934556528135858</c:v>
                </c:pt>
                <c:pt idx="2">
                  <c:v>4.3598917861357951E-2</c:v>
                </c:pt>
              </c:numCache>
            </c:numRef>
          </c:val>
          <c:extLst xmlns:c16r2="http://schemas.microsoft.com/office/drawing/2015/06/chart">
            <c:ext xmlns:c16="http://schemas.microsoft.com/office/drawing/2014/chart" uri="{C3380CC4-5D6E-409C-BE32-E72D297353CC}">
              <c16:uniqueId val="{00000001-D155-47C6-B1A9-94551292BCF8}"/>
            </c:ext>
          </c:extLst>
        </c:ser>
        <c:ser>
          <c:idx val="1"/>
          <c:order val="1"/>
          <c:tx>
            <c:strRef>
              <c:f>'3_1_5'!$C$42</c:f>
              <c:strCache>
                <c:ptCount val="1"/>
                <c:pt idx="0">
                  <c:v>Nem. oběhové soust.</c:v>
                </c:pt>
              </c:strCache>
            </c:strRef>
          </c:tx>
          <c:spPr>
            <a:solidFill>
              <a:schemeClr val="accent2"/>
            </a:solidFill>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155-47C6-B1A9-94551292BCF8}"/>
                </c:ext>
              </c:extLst>
            </c:dLbl>
            <c:spPr>
              <a:noFill/>
              <a:ln>
                <a:noFill/>
              </a:ln>
              <a:effectLst/>
            </c:spPr>
            <c:txPr>
              <a:bodyPr/>
              <a:lstStyle/>
              <a:p>
                <a:pPr>
                  <a:defRPr sz="800" b="1">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'3_1_5'!$D$40:$F$40</c:f>
              <c:strCache>
                <c:ptCount val="3"/>
                <c:pt idx="0">
                  <c:v>65+</c:v>
                </c:pt>
                <c:pt idx="1">
                  <c:v>15-64 let</c:v>
                </c:pt>
                <c:pt idx="2">
                  <c:v>0-14 let</c:v>
                </c:pt>
              </c:strCache>
            </c:strRef>
          </c:cat>
          <c:val>
            <c:numRef>
              <c:f>'3_1_5'!$D$42:$F$42</c:f>
              <c:numCache>
                <c:formatCode>0.0%</c:formatCode>
                <c:ptCount val="3"/>
                <c:pt idx="0">
                  <c:v>0.2193286424554596</c:v>
                </c:pt>
                <c:pt idx="1">
                  <c:v>9.2089260212937049E-2</c:v>
                </c:pt>
                <c:pt idx="2">
                  <c:v>6.625337728822925E-3</c:v>
                </c:pt>
              </c:numCache>
            </c:numRef>
          </c:val>
          <c:extLst xmlns:c16r2="http://schemas.microsoft.com/office/drawing/2015/06/chart">
            <c:ext xmlns:c16="http://schemas.microsoft.com/office/drawing/2014/chart" uri="{C3380CC4-5D6E-409C-BE32-E72D297353CC}">
              <c16:uniqueId val="{00000003-D155-47C6-B1A9-94551292BCF8}"/>
            </c:ext>
          </c:extLst>
        </c:ser>
        <c:ser>
          <c:idx val="2"/>
          <c:order val="2"/>
          <c:tx>
            <c:strRef>
              <c:f>'3_1_5'!$C$43</c:f>
              <c:strCache>
                <c:ptCount val="1"/>
                <c:pt idx="0">
                  <c:v>Nem. dýchací soust.</c:v>
                </c:pt>
              </c:strCache>
            </c:strRef>
          </c:tx>
          <c:spPr>
            <a:solidFill>
              <a:srgbClr val="92D050"/>
            </a:solidFill>
          </c:spPr>
          <c:invertIfNegative val="0"/>
          <c:dLbls>
            <c:spPr>
              <a:noFill/>
              <a:ln>
                <a:noFill/>
              </a:ln>
              <a:effectLst/>
            </c:spPr>
            <c:txPr>
              <a:bodyPr/>
              <a:lstStyle/>
              <a:p>
                <a:pPr>
                  <a:defRPr sz="800" b="1">
                    <a:solidFill>
                      <a:sysClr val="windowText" lastClr="000000"/>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'3_1_5'!$D$40:$F$40</c:f>
              <c:strCache>
                <c:ptCount val="3"/>
                <c:pt idx="0">
                  <c:v>65+</c:v>
                </c:pt>
                <c:pt idx="1">
                  <c:v>15-64 let</c:v>
                </c:pt>
                <c:pt idx="2">
                  <c:v>0-14 let</c:v>
                </c:pt>
              </c:strCache>
            </c:strRef>
          </c:cat>
          <c:val>
            <c:numRef>
              <c:f>'3_1_5'!$D$43:$F$43</c:f>
              <c:numCache>
                <c:formatCode>0.0%</c:formatCode>
                <c:ptCount val="3"/>
                <c:pt idx="0">
                  <c:v>5.3878193815489486E-2</c:v>
                </c:pt>
                <c:pt idx="1">
                  <c:v>4.6673591619696593E-2</c:v>
                </c:pt>
                <c:pt idx="2">
                  <c:v>0.10805290862748809</c:v>
                </c:pt>
              </c:numCache>
            </c:numRef>
          </c:val>
          <c:extLst xmlns:c16r2="http://schemas.microsoft.com/office/drawing/2015/06/chart">
            <c:ext xmlns:c16="http://schemas.microsoft.com/office/drawing/2014/chart" uri="{C3380CC4-5D6E-409C-BE32-E72D297353CC}">
              <c16:uniqueId val="{00000004-D155-47C6-B1A9-94551292BCF8}"/>
            </c:ext>
          </c:extLst>
        </c:ser>
        <c:ser>
          <c:idx val="3"/>
          <c:order val="3"/>
          <c:tx>
            <c:strRef>
              <c:f>'3_1_5'!$C$44</c:f>
              <c:strCache>
                <c:ptCount val="1"/>
                <c:pt idx="0">
                  <c:v>Nem. trávicí soust.</c:v>
                </c:pt>
              </c:strCache>
            </c:strRef>
          </c:tx>
          <c:spPr>
            <a:solidFill>
              <a:srgbClr val="B3A2C7"/>
            </a:solidFill>
          </c:spPr>
          <c:invertIfNegative val="0"/>
          <c:dLbls>
            <c:spPr>
              <a:noFill/>
              <a:ln>
                <a:noFill/>
              </a:ln>
              <a:effectLst/>
            </c:spPr>
            <c:txPr>
              <a:bodyPr/>
              <a:lstStyle/>
              <a:p>
                <a:pPr>
                  <a:defRPr sz="800" b="1">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'3_1_5'!$D$40:$F$40</c:f>
              <c:strCache>
                <c:ptCount val="3"/>
                <c:pt idx="0">
                  <c:v>65+</c:v>
                </c:pt>
                <c:pt idx="1">
                  <c:v>15-64 let</c:v>
                </c:pt>
                <c:pt idx="2">
                  <c:v>0-14 let</c:v>
                </c:pt>
              </c:strCache>
            </c:strRef>
          </c:cat>
          <c:val>
            <c:numRef>
              <c:f>'3_1_5'!$D$44:$F$44</c:f>
              <c:numCache>
                <c:formatCode>0.0%</c:formatCode>
                <c:ptCount val="3"/>
                <c:pt idx="0">
                  <c:v>5.6433040485083498E-2</c:v>
                </c:pt>
                <c:pt idx="1">
                  <c:v>9.1613413760730678E-2</c:v>
                </c:pt>
                <c:pt idx="2">
                  <c:v>7.3573584469551437E-2</c:v>
                </c:pt>
              </c:numCache>
            </c:numRef>
          </c:val>
          <c:extLst xmlns:c16r2="http://schemas.microsoft.com/office/drawing/2015/06/chart">
            <c:ext xmlns:c16="http://schemas.microsoft.com/office/drawing/2014/chart" uri="{C3380CC4-5D6E-409C-BE32-E72D297353CC}">
              <c16:uniqueId val="{00000005-D155-47C6-B1A9-94551292BCF8}"/>
            </c:ext>
          </c:extLst>
        </c:ser>
        <c:ser>
          <c:idx val="4"/>
          <c:order val="4"/>
          <c:tx>
            <c:strRef>
              <c:f>'3_1_5'!$C$45</c:f>
              <c:strCache>
                <c:ptCount val="1"/>
                <c:pt idx="0">
                  <c:v>Nem. svalové a kosterní soust.</c:v>
                </c:pt>
              </c:strCache>
            </c:strRef>
          </c:tx>
          <c:spPr>
            <a:solidFill>
              <a:srgbClr val="FFC000"/>
            </a:solidFill>
          </c:spPr>
          <c:invertIfNegative val="0"/>
          <c:dLbls>
            <c:dLbl>
              <c:idx val="0"/>
              <c:spPr>
                <a:noFill/>
                <a:ln>
                  <a:noFill/>
                </a:ln>
                <a:effectLst/>
              </c:spPr>
              <c:txPr>
                <a:bodyPr rot="0" vert="horz"/>
                <a:lstStyle/>
                <a:p>
                  <a:pPr>
                    <a:defRPr sz="800" b="1">
                      <a:solidFill>
                        <a:sysClr val="windowText" lastClr="000000"/>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dLbl>
            <c:dLbl>
              <c:idx val="1"/>
              <c:spPr>
                <a:noFill/>
                <a:ln>
                  <a:noFill/>
                </a:ln>
                <a:effectLst/>
              </c:spPr>
              <c:txPr>
                <a:bodyPr rot="0" vert="horz"/>
                <a:lstStyle/>
                <a:p>
                  <a:pPr>
                    <a:defRPr sz="800" b="1">
                      <a:solidFill>
                        <a:sysClr val="windowText" lastClr="000000"/>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dLbl>
            <c:spPr>
              <a:noFill/>
              <a:ln>
                <a:noFill/>
              </a:ln>
              <a:effectLst/>
            </c:spPr>
            <c:txPr>
              <a:bodyPr rot="-5400000" vert="horz"/>
              <a:lstStyle/>
              <a:p>
                <a:pPr>
                  <a:defRPr sz="800" b="1">
                    <a:solidFill>
                      <a:sysClr val="windowText" lastClr="000000"/>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'3_1_5'!$D$40:$F$40</c:f>
              <c:strCache>
                <c:ptCount val="3"/>
                <c:pt idx="0">
                  <c:v>65+</c:v>
                </c:pt>
                <c:pt idx="1">
                  <c:v>15-64 let</c:v>
                </c:pt>
                <c:pt idx="2">
                  <c:v>0-14 let</c:v>
                </c:pt>
              </c:strCache>
            </c:strRef>
          </c:cat>
          <c:val>
            <c:numRef>
              <c:f>'3_1_5'!$D$45:$F$45</c:f>
              <c:numCache>
                <c:formatCode>0.0%</c:formatCode>
                <c:ptCount val="3"/>
                <c:pt idx="0">
                  <c:v>8.0019493441061851E-2</c:v>
                </c:pt>
                <c:pt idx="1">
                  <c:v>9.6803744501792272E-2</c:v>
                </c:pt>
                <c:pt idx="2">
                  <c:v>2.8543470740721187E-2</c:v>
                </c:pt>
              </c:numCache>
            </c:numRef>
          </c:val>
          <c:extLst xmlns:c16r2="http://schemas.microsoft.com/office/drawing/2015/06/chart">
            <c:ext xmlns:c16="http://schemas.microsoft.com/office/drawing/2014/chart" uri="{C3380CC4-5D6E-409C-BE32-E72D297353CC}">
              <c16:uniqueId val="{00000006-D155-47C6-B1A9-94551292BCF8}"/>
            </c:ext>
          </c:extLst>
        </c:ser>
        <c:ser>
          <c:idx val="5"/>
          <c:order val="5"/>
          <c:tx>
            <c:strRef>
              <c:f>'3_1_5'!$C$46</c:f>
              <c:strCache>
                <c:ptCount val="1"/>
                <c:pt idx="0">
                  <c:v>Nem. pohlavní a močové soust.</c:v>
                </c:pt>
              </c:strCache>
            </c:strRef>
          </c:tx>
          <c:spPr>
            <a:solidFill>
              <a:srgbClr val="F3F9A1"/>
            </a:solidFill>
          </c:spPr>
          <c:invertIfNegative val="0"/>
          <c:dLbls>
            <c:dLbl>
              <c:idx val="0"/>
              <c:spPr>
                <a:noFill/>
                <a:ln>
                  <a:noFill/>
                </a:ln>
                <a:effectLst/>
              </c:spPr>
              <c:txPr>
                <a:bodyPr rot="0" vert="horz"/>
                <a:lstStyle/>
                <a:p>
                  <a:pPr>
                    <a:defRPr sz="800" b="1">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dLbl>
            <c:dLbl>
              <c:idx val="1"/>
              <c:spPr>
                <a:noFill/>
                <a:ln>
                  <a:noFill/>
                </a:ln>
                <a:effectLst/>
              </c:spPr>
              <c:txPr>
                <a:bodyPr rot="0" vert="horz"/>
                <a:lstStyle/>
                <a:p>
                  <a:pPr>
                    <a:defRPr sz="800" b="1">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dLbl>
            <c:spPr>
              <a:noFill/>
              <a:ln>
                <a:noFill/>
              </a:ln>
              <a:effectLst/>
            </c:spPr>
            <c:txPr>
              <a:bodyPr rot="-5400000" vert="horz"/>
              <a:lstStyle/>
              <a:p>
                <a:pPr>
                  <a:defRPr sz="800" b="1">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'3_1_5'!$D$40:$F$40</c:f>
              <c:strCache>
                <c:ptCount val="3"/>
                <c:pt idx="0">
                  <c:v>65+</c:v>
                </c:pt>
                <c:pt idx="1">
                  <c:v>15-64 let</c:v>
                </c:pt>
                <c:pt idx="2">
                  <c:v>0-14 let</c:v>
                </c:pt>
              </c:strCache>
            </c:strRef>
          </c:cat>
          <c:val>
            <c:numRef>
              <c:f>'3_1_5'!$D$46:$F$46</c:f>
              <c:numCache>
                <c:formatCode>0.0%</c:formatCode>
                <c:ptCount val="3"/>
                <c:pt idx="0">
                  <c:v>8.735895608831297E-2</c:v>
                </c:pt>
                <c:pt idx="1">
                  <c:v>7.4570067064625378E-2</c:v>
                </c:pt>
                <c:pt idx="2">
                  <c:v>1.5980941370095238E-2</c:v>
                </c:pt>
              </c:numCache>
            </c:numRef>
          </c:val>
          <c:extLst xmlns:c16r2="http://schemas.microsoft.com/office/drawing/2015/06/chart">
            <c:ext xmlns:c16="http://schemas.microsoft.com/office/drawing/2014/chart" uri="{C3380CC4-5D6E-409C-BE32-E72D297353CC}">
              <c16:uniqueId val="{00000007-D155-47C6-B1A9-94551292BCF8}"/>
            </c:ext>
          </c:extLst>
        </c:ser>
        <c:ser>
          <c:idx val="6"/>
          <c:order val="6"/>
          <c:tx>
            <c:strRef>
              <c:f>'3_1_5'!$C$47</c:f>
              <c:strCache>
                <c:ptCount val="1"/>
                <c:pt idx="0">
                  <c:v>Stavy vzniklé v perinatálním obd.</c:v>
                </c:pt>
              </c:strCache>
            </c:strRef>
          </c:tx>
          <c:spPr>
            <a:solidFill>
              <a:srgbClr val="D9968F"/>
            </a:solidFill>
          </c:spPr>
          <c:invertIfNegative val="0"/>
          <c:dLbls>
            <c:spPr>
              <a:noFill/>
              <a:ln>
                <a:noFill/>
              </a:ln>
              <a:effectLst/>
            </c:spPr>
            <c:txPr>
              <a:bodyPr/>
              <a:lstStyle/>
              <a:p>
                <a:pPr>
                  <a:defRPr sz="800" b="1">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'3_1_5'!$D$40:$F$40</c:f>
              <c:strCache>
                <c:ptCount val="3"/>
                <c:pt idx="0">
                  <c:v>65+</c:v>
                </c:pt>
                <c:pt idx="1">
                  <c:v>15-64 let</c:v>
                </c:pt>
                <c:pt idx="2">
                  <c:v>0-14 let</c:v>
                </c:pt>
              </c:strCache>
            </c:strRef>
          </c:cat>
          <c:val>
            <c:numRef>
              <c:f>'3_1_5'!$D$47:$F$47</c:f>
              <c:numCache>
                <c:formatCode>General</c:formatCode>
                <c:ptCount val="3"/>
                <c:pt idx="2" formatCode="0.0%">
                  <c:v>9.9923275336059755E-2</c:v>
                </c:pt>
              </c:numCache>
            </c:numRef>
          </c:val>
          <c:extLst xmlns:c16r2="http://schemas.microsoft.com/office/drawing/2015/06/chart">
            <c:ext xmlns:c16="http://schemas.microsoft.com/office/drawing/2014/chart" uri="{C3380CC4-5D6E-409C-BE32-E72D297353CC}">
              <c16:uniqueId val="{00000008-D155-47C6-B1A9-94551292BCF8}"/>
            </c:ext>
          </c:extLst>
        </c:ser>
        <c:ser>
          <c:idx val="7"/>
          <c:order val="7"/>
          <c:tx>
            <c:strRef>
              <c:f>'3_1_5'!$C$48</c:f>
              <c:strCache>
                <c:ptCount val="1"/>
                <c:pt idx="0">
                  <c:v>Ostatní</c:v>
                </c:pt>
              </c:strCache>
            </c:strRef>
          </c:tx>
          <c:spPr>
            <a:solidFill>
              <a:srgbClr val="83A5CF"/>
            </a:solidFill>
          </c:spPr>
          <c:invertIfNegative val="0"/>
          <c:dLbls>
            <c:spPr>
              <a:noFill/>
              <a:ln>
                <a:noFill/>
              </a:ln>
              <a:effectLst/>
            </c:spPr>
            <c:txPr>
              <a:bodyPr/>
              <a:lstStyle/>
              <a:p>
                <a:pPr>
                  <a:defRPr sz="800" b="1">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'3_1_5'!$D$40:$F$40</c:f>
              <c:strCache>
                <c:ptCount val="3"/>
                <c:pt idx="0">
                  <c:v>65+</c:v>
                </c:pt>
                <c:pt idx="1">
                  <c:v>15-64 let</c:v>
                </c:pt>
                <c:pt idx="2">
                  <c:v>0-14 let</c:v>
                </c:pt>
              </c:strCache>
            </c:strRef>
          </c:cat>
          <c:val>
            <c:numRef>
              <c:f>'3_1_5'!$D$48:$F$48</c:f>
              <c:numCache>
                <c:formatCode>0.0%</c:formatCode>
                <c:ptCount val="3"/>
                <c:pt idx="0">
                  <c:v>0.35167166467297706</c:v>
                </c:pt>
                <c:pt idx="1">
                  <c:v>0.47886948202745389</c:v>
                </c:pt>
                <c:pt idx="2">
                  <c:v>0.62370156386590347</c:v>
                </c:pt>
              </c:numCache>
            </c:numRef>
          </c:val>
          <c:extLst xmlns:c16r2="http://schemas.microsoft.com/office/drawing/2015/06/chart">
            <c:ext xmlns:c16="http://schemas.microsoft.com/office/drawing/2014/chart" uri="{C3380CC4-5D6E-409C-BE32-E72D297353CC}">
              <c16:uniqueId val="{00000009-D155-47C6-B1A9-94551292BCF8}"/>
            </c:ext>
          </c:extLst>
        </c:ser>
        <c:dLbls>
          <c:showLegendKey val="0"/>
          <c:showVal val="0"/>
          <c:showCatName val="0"/>
          <c:showSerName val="0"/>
          <c:showPercent val="0"/>
          <c:showBubbleSize val="0"/>
        </c:dLbls>
        <c:gapWidth val="50"/>
        <c:overlap val="100"/>
        <c:axId val="704783872"/>
        <c:axId val="513116992"/>
      </c:barChart>
      <c:catAx>
        <c:axId val="704783872"/>
        <c:scaling>
          <c:orientation val="minMax"/>
        </c:scaling>
        <c:delete val="0"/>
        <c:axPos val="l"/>
        <c:numFmt formatCode="General" sourceLinked="0"/>
        <c:majorTickMark val="out"/>
        <c:minorTickMark val="none"/>
        <c:tickLblPos val="nextTo"/>
        <c:spPr>
          <a:ln>
            <a:solidFill>
              <a:schemeClr val="bg1">
                <a:lumMod val="85000"/>
              </a:schemeClr>
            </a:solidFill>
          </a:ln>
        </c:spPr>
        <c:txPr>
          <a:bodyPr/>
          <a:lstStyle/>
          <a:p>
            <a:pPr>
              <a:defRPr sz="800">
                <a:latin typeface="Arial" panose="020B0604020202020204" pitchFamily="34" charset="0"/>
                <a:cs typeface="Arial" panose="020B0604020202020204" pitchFamily="34" charset="0"/>
              </a:defRPr>
            </a:pPr>
            <a:endParaRPr lang="cs-CZ"/>
          </a:p>
        </c:txPr>
        <c:crossAx val="513116992"/>
        <c:crosses val="autoZero"/>
        <c:auto val="1"/>
        <c:lblAlgn val="ctr"/>
        <c:lblOffset val="100"/>
        <c:noMultiLvlLbl val="0"/>
      </c:catAx>
      <c:valAx>
        <c:axId val="513116992"/>
        <c:scaling>
          <c:orientation val="minMax"/>
          <c:max val="1"/>
        </c:scaling>
        <c:delete val="0"/>
        <c:axPos val="b"/>
        <c:majorGridlines>
          <c:spPr>
            <a:ln>
              <a:prstDash val="dash"/>
            </a:ln>
          </c:spPr>
        </c:majorGridlines>
        <c:numFmt formatCode="0%" sourceLinked="0"/>
        <c:majorTickMark val="out"/>
        <c:minorTickMark val="none"/>
        <c:tickLblPos val="nextTo"/>
        <c:spPr>
          <a:ln>
            <a:solidFill>
              <a:schemeClr val="bg1">
                <a:lumMod val="85000"/>
              </a:schemeClr>
            </a:solidFill>
          </a:ln>
        </c:spPr>
        <c:txPr>
          <a:bodyPr/>
          <a:lstStyle/>
          <a:p>
            <a:pPr>
              <a:defRPr sz="800">
                <a:latin typeface="Arial" panose="020B0604020202020204" pitchFamily="34" charset="0"/>
                <a:cs typeface="Arial" panose="020B0604020202020204" pitchFamily="34" charset="0"/>
              </a:defRPr>
            </a:pPr>
            <a:endParaRPr lang="cs-CZ"/>
          </a:p>
        </c:txPr>
        <c:crossAx val="704783872"/>
        <c:crosses val="autoZero"/>
        <c:crossBetween val="between"/>
        <c:majorUnit val="0.2"/>
      </c:valAx>
    </c:plotArea>
    <c:legend>
      <c:legendPos val="b"/>
      <c:layout>
        <c:manualLayout>
          <c:xMode val="edge"/>
          <c:yMode val="edge"/>
          <c:x val="0.10743081902786857"/>
          <c:y val="0.75057593258624966"/>
          <c:w val="0.85841360796089117"/>
          <c:h val="0.21890524747478793"/>
        </c:manualLayout>
      </c:layout>
      <c:overlay val="0"/>
      <c:txPr>
        <a:bodyPr/>
        <a:lstStyle/>
        <a:p>
          <a:pPr>
            <a:defRPr sz="800">
              <a:latin typeface="Arial" panose="020B0604020202020204" pitchFamily="34" charset="0"/>
              <a:cs typeface="Arial" panose="020B0604020202020204" pitchFamily="34" charset="0"/>
            </a:defRPr>
          </a:pPr>
          <a:endParaRPr lang="cs-CZ"/>
        </a:p>
      </c:txPr>
    </c:legend>
    <c:plotVisOnly val="1"/>
    <c:dispBlanksAs val="gap"/>
    <c:showDLblsOverMax val="0"/>
  </c:chart>
  <c:spPr>
    <a:ln>
      <a:solidFill>
        <a:sysClr val="window" lastClr="FFFFFF">
          <a:lumMod val="85000"/>
        </a:sysClr>
      </a:solidFill>
    </a:ln>
  </c:spPr>
  <c:externalData r:id="rId2">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99BCB-D476-4A33-8A0D-836A6AB78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bar_lide a spolecnost.dot</Template>
  <TotalTime>416</TotalTime>
  <Pages>12</Pages>
  <Words>3955</Words>
  <Characters>23337</Characters>
  <Application>Microsoft Office Word</Application>
  <DocSecurity>0</DocSecurity>
  <Lines>194</Lines>
  <Paragraphs>54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CSU</Company>
  <LinksUpToDate>false</LinksUpToDate>
  <CharactersWithSpaces>27238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Vladimíra Kalnická</dc:creator>
  <cp:lastModifiedBy>Mgr. Vladimíra Kalnická</cp:lastModifiedBy>
  <cp:revision>35</cp:revision>
  <cp:lastPrinted>2018-06-06T04:58:00Z</cp:lastPrinted>
  <dcterms:created xsi:type="dcterms:W3CDTF">2019-02-11T15:12:00Z</dcterms:created>
  <dcterms:modified xsi:type="dcterms:W3CDTF">2020-02-18T05:29:00Z</dcterms:modified>
</cp:coreProperties>
</file>