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410674" w:rsidRDefault="006C3D40" w:rsidP="00463BBE">
      <w:pPr>
        <w:spacing w:line="276" w:lineRule="auto"/>
        <w:rPr>
          <w:rFonts w:ascii="Arial" w:hAnsi="Arial" w:cs="Arial"/>
          <w:iCs/>
          <w:sz w:val="20"/>
        </w:rPr>
      </w:pPr>
      <w:r w:rsidRPr="00410674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410674">
        <w:rPr>
          <w:rFonts w:ascii="Arial" w:hAnsi="Arial" w:cs="Arial"/>
          <w:b/>
          <w:bCs/>
          <w:iCs/>
          <w:sz w:val="20"/>
        </w:rPr>
        <w:t>Q</w:t>
      </w:r>
      <w:r w:rsidR="00526EB6" w:rsidRPr="00410674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410674">
        <w:rPr>
          <w:rFonts w:ascii="Arial" w:hAnsi="Arial" w:cs="Arial"/>
          <w:b/>
          <w:bCs/>
          <w:iCs/>
          <w:sz w:val="20"/>
        </w:rPr>
        <w:t>201</w:t>
      </w:r>
      <w:r w:rsidR="00B101B6">
        <w:rPr>
          <w:rFonts w:ascii="Arial" w:hAnsi="Arial" w:cs="Arial"/>
          <w:b/>
          <w:bCs/>
          <w:iCs/>
          <w:sz w:val="20"/>
        </w:rPr>
        <w:t>5</w:t>
      </w:r>
      <w:r w:rsidR="00937CCE">
        <w:rPr>
          <w:rFonts w:ascii="Arial" w:hAnsi="Arial" w:cs="Arial"/>
          <w:b/>
          <w:bCs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 xml:space="preserve">there is a total of </w:t>
      </w:r>
      <w:r w:rsidR="00E918E7" w:rsidRPr="00410674">
        <w:rPr>
          <w:rFonts w:ascii="Arial" w:hAnsi="Arial" w:cs="Arial"/>
          <w:iCs/>
          <w:sz w:val="20"/>
        </w:rPr>
        <w:t xml:space="preserve">seven </w:t>
      </w:r>
      <w:r w:rsidRPr="00410674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410674">
        <w:rPr>
          <w:rFonts w:ascii="Arial" w:hAnsi="Arial" w:cs="Arial"/>
          <w:b/>
          <w:bCs/>
          <w:iCs/>
          <w:sz w:val="20"/>
        </w:rPr>
        <w:t>,</w:t>
      </w:r>
      <w:r w:rsidR="00526EB6" w:rsidRPr="00410674">
        <w:rPr>
          <w:rFonts w:ascii="Arial" w:hAnsi="Arial" w:cs="Arial"/>
          <w:b/>
          <w:bCs/>
          <w:iCs/>
          <w:sz w:val="20"/>
        </w:rPr>
        <w:t xml:space="preserve"> </w:t>
      </w:r>
      <w:r w:rsidR="00F15353" w:rsidRPr="00410674">
        <w:rPr>
          <w:rFonts w:ascii="Arial" w:hAnsi="Arial" w:cs="Arial"/>
          <w:iCs/>
          <w:sz w:val="20"/>
        </w:rPr>
        <w:t xml:space="preserve">which </w:t>
      </w:r>
      <w:r w:rsidR="00FB4089" w:rsidRPr="00410674">
        <w:rPr>
          <w:rFonts w:ascii="Arial" w:hAnsi="Arial" w:cs="Arial"/>
          <w:iCs/>
          <w:sz w:val="20"/>
        </w:rPr>
        <w:t xml:space="preserve">employed </w:t>
      </w:r>
      <w:r w:rsidR="00F15353" w:rsidRPr="00410674">
        <w:rPr>
          <w:rFonts w:ascii="Arial" w:hAnsi="Arial" w:cs="Arial"/>
          <w:iCs/>
          <w:sz w:val="20"/>
        </w:rPr>
        <w:t>58</w:t>
      </w:r>
      <w:r w:rsidR="00B101B6">
        <w:rPr>
          <w:rFonts w:ascii="Arial" w:hAnsi="Arial" w:cs="Arial"/>
          <w:iCs/>
          <w:sz w:val="20"/>
        </w:rPr>
        <w:t>38</w:t>
      </w:r>
      <w:r w:rsidR="00F15353" w:rsidRPr="00410674">
        <w:rPr>
          <w:rFonts w:ascii="Arial" w:hAnsi="Arial" w:cs="Arial"/>
          <w:iCs/>
          <w:sz w:val="20"/>
        </w:rPr>
        <w:t xml:space="preserve"> persons (FTE) </w:t>
      </w:r>
      <w:r w:rsidR="00FB4089" w:rsidRPr="00410674">
        <w:rPr>
          <w:rFonts w:ascii="Arial" w:hAnsi="Arial" w:cs="Arial"/>
          <w:iCs/>
          <w:sz w:val="20"/>
        </w:rPr>
        <w:t xml:space="preserve">- </w:t>
      </w:r>
      <w:r w:rsidRPr="00410674">
        <w:rPr>
          <w:rFonts w:ascii="Arial" w:hAnsi="Arial" w:cs="Arial"/>
          <w:iCs/>
          <w:sz w:val="20"/>
        </w:rPr>
        <w:t>which was</w:t>
      </w:r>
      <w:r w:rsidR="00DB3E63" w:rsidRPr="00410674">
        <w:rPr>
          <w:rFonts w:ascii="Arial" w:hAnsi="Arial" w:cs="Arial"/>
          <w:iCs/>
          <w:sz w:val="20"/>
        </w:rPr>
        <w:t xml:space="preserve"> </w:t>
      </w:r>
      <w:r w:rsidR="00B101B6">
        <w:rPr>
          <w:rFonts w:ascii="Arial" w:hAnsi="Arial" w:cs="Arial"/>
          <w:iCs/>
          <w:sz w:val="20"/>
        </w:rPr>
        <w:t>more</w:t>
      </w:r>
      <w:r w:rsidR="00526EB6" w:rsidRPr="00410674">
        <w:rPr>
          <w:rFonts w:ascii="Arial" w:hAnsi="Arial" w:cs="Arial"/>
          <w:iCs/>
          <w:sz w:val="20"/>
        </w:rPr>
        <w:t xml:space="preserve"> </w:t>
      </w:r>
      <w:r w:rsidR="00B101B6">
        <w:rPr>
          <w:rFonts w:ascii="Arial" w:hAnsi="Arial" w:cs="Arial"/>
          <w:iCs/>
          <w:sz w:val="20"/>
        </w:rPr>
        <w:t>0,3</w:t>
      </w:r>
      <w:r w:rsidRPr="00410674">
        <w:rPr>
          <w:rFonts w:ascii="Arial" w:hAnsi="Arial" w:cs="Arial"/>
          <w:iCs/>
          <w:sz w:val="20"/>
        </w:rPr>
        <w:t>% than in Q</w:t>
      </w:r>
      <w:r w:rsidR="00B101B6">
        <w:rPr>
          <w:rFonts w:ascii="Arial" w:hAnsi="Arial" w:cs="Arial"/>
          <w:iCs/>
          <w:sz w:val="20"/>
        </w:rPr>
        <w:t>4</w:t>
      </w:r>
      <w:r w:rsidR="00E918E7" w:rsidRPr="00410674">
        <w:rPr>
          <w:rFonts w:ascii="Arial" w:hAnsi="Arial" w:cs="Arial"/>
          <w:iCs/>
          <w:sz w:val="20"/>
        </w:rPr>
        <w:t>201</w:t>
      </w:r>
      <w:r w:rsidR="00B101B6">
        <w:rPr>
          <w:rFonts w:ascii="Arial" w:hAnsi="Arial" w:cs="Arial"/>
          <w:iCs/>
          <w:sz w:val="20"/>
        </w:rPr>
        <w:t>4</w:t>
      </w:r>
      <w:r w:rsidR="00E82667" w:rsidRPr="00410674">
        <w:rPr>
          <w:rFonts w:ascii="Arial" w:hAnsi="Arial" w:cs="Arial"/>
          <w:iCs/>
          <w:sz w:val="20"/>
        </w:rPr>
        <w:t xml:space="preserve"> (</w:t>
      </w:r>
      <w:r w:rsidR="00FB4089" w:rsidRPr="00410674">
        <w:rPr>
          <w:rFonts w:ascii="Arial" w:hAnsi="Arial" w:cs="Arial"/>
          <w:iCs/>
          <w:sz w:val="20"/>
        </w:rPr>
        <w:t>58</w:t>
      </w:r>
      <w:r w:rsidR="00B101B6">
        <w:rPr>
          <w:rFonts w:ascii="Arial" w:hAnsi="Arial" w:cs="Arial"/>
          <w:iCs/>
          <w:sz w:val="20"/>
        </w:rPr>
        <w:t>2</w:t>
      </w:r>
      <w:r w:rsidR="00370FF0" w:rsidRPr="00410674">
        <w:rPr>
          <w:rFonts w:ascii="Arial" w:hAnsi="Arial" w:cs="Arial"/>
          <w:iCs/>
          <w:sz w:val="20"/>
        </w:rPr>
        <w:t>1</w:t>
      </w:r>
      <w:r w:rsidRPr="00410674">
        <w:rPr>
          <w:rFonts w:ascii="Arial" w:hAnsi="Arial" w:cs="Arial"/>
          <w:iCs/>
          <w:sz w:val="20"/>
        </w:rPr>
        <w:t>persons).</w:t>
      </w:r>
    </w:p>
    <w:p w:rsidR="006C3D40" w:rsidRPr="00410674" w:rsidRDefault="006C3D40" w:rsidP="00463BBE">
      <w:pPr>
        <w:spacing w:line="276" w:lineRule="auto"/>
        <w:ind w:firstLine="708"/>
        <w:rPr>
          <w:rFonts w:ascii="Arial" w:hAnsi="Arial" w:cs="Arial"/>
          <w:iCs/>
          <w:sz w:val="20"/>
        </w:rPr>
      </w:pPr>
    </w:p>
    <w:p w:rsidR="00B631C1" w:rsidRPr="00410674" w:rsidRDefault="006C3D40" w:rsidP="00463BBE">
      <w:pPr>
        <w:spacing w:line="276" w:lineRule="auto"/>
        <w:rPr>
          <w:rFonts w:ascii="Arial" w:hAnsi="Arial" w:cs="Arial"/>
          <w:iCs/>
          <w:sz w:val="20"/>
        </w:rPr>
      </w:pPr>
      <w:r w:rsidRPr="00410674">
        <w:rPr>
          <w:rFonts w:ascii="Arial" w:hAnsi="Arial" w:cs="Arial"/>
          <w:b/>
          <w:bCs/>
          <w:iCs/>
          <w:sz w:val="20"/>
        </w:rPr>
        <w:t>The average monthly wage</w:t>
      </w:r>
      <w:r w:rsidRPr="00410674">
        <w:rPr>
          <w:rFonts w:ascii="Arial" w:hAnsi="Arial" w:cs="Arial"/>
          <w:iCs/>
          <w:sz w:val="20"/>
        </w:rPr>
        <w:t xml:space="preserve"> (calculated from wages </w:t>
      </w:r>
      <w:r w:rsidR="006A08FF" w:rsidRPr="00410674">
        <w:rPr>
          <w:rFonts w:ascii="Arial" w:hAnsi="Arial" w:cs="Arial"/>
          <w:iCs/>
          <w:sz w:val="20"/>
        </w:rPr>
        <w:t>excl.</w:t>
      </w:r>
      <w:r w:rsidRPr="00410674">
        <w:rPr>
          <w:rFonts w:ascii="Arial" w:hAnsi="Arial" w:cs="Arial"/>
          <w:iCs/>
          <w:sz w:val="20"/>
        </w:rPr>
        <w:t xml:space="preserve"> other personnel expenses and from the above </w:t>
      </w:r>
      <w:r w:rsidR="00B101B6">
        <w:rPr>
          <w:rFonts w:ascii="Arial" w:hAnsi="Arial" w:cs="Arial"/>
          <w:iCs/>
          <w:sz w:val="20"/>
        </w:rPr>
        <w:t>average registered</w:t>
      </w:r>
      <w:r w:rsidR="00B101B6" w:rsidRPr="00410674">
        <w:rPr>
          <w:rFonts w:ascii="Arial" w:hAnsi="Arial" w:cs="Arial"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>number of employe</w:t>
      </w:r>
      <w:r w:rsidR="00B101B6">
        <w:rPr>
          <w:rFonts w:ascii="Arial" w:hAnsi="Arial" w:cs="Arial"/>
          <w:iCs/>
          <w:sz w:val="20"/>
        </w:rPr>
        <w:t>es</w:t>
      </w:r>
      <w:r w:rsidRPr="00410674">
        <w:rPr>
          <w:rFonts w:ascii="Arial" w:hAnsi="Arial" w:cs="Arial"/>
          <w:iCs/>
          <w:sz w:val="20"/>
        </w:rPr>
        <w:t xml:space="preserve">) increased from CZK </w:t>
      </w:r>
      <w:r w:rsidR="00B101B6">
        <w:rPr>
          <w:rFonts w:ascii="Arial" w:hAnsi="Arial" w:cs="Arial"/>
          <w:iCs/>
          <w:sz w:val="20"/>
        </w:rPr>
        <w:t>44 071</w:t>
      </w:r>
      <w:r w:rsidR="00410674" w:rsidRPr="00410674">
        <w:rPr>
          <w:rFonts w:ascii="Arial" w:hAnsi="Arial" w:cs="Arial"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>in Q</w:t>
      </w:r>
      <w:r w:rsidR="00410674" w:rsidRPr="00410674">
        <w:rPr>
          <w:rFonts w:ascii="Arial" w:hAnsi="Arial" w:cs="Arial"/>
          <w:iCs/>
          <w:sz w:val="20"/>
        </w:rPr>
        <w:t>4</w:t>
      </w:r>
      <w:r w:rsidR="00E918E7" w:rsidRPr="00410674">
        <w:rPr>
          <w:rFonts w:ascii="Arial" w:hAnsi="Arial" w:cs="Arial"/>
          <w:iCs/>
          <w:sz w:val="20"/>
        </w:rPr>
        <w:t>201</w:t>
      </w:r>
      <w:r w:rsidR="00B101B6">
        <w:rPr>
          <w:rFonts w:ascii="Arial" w:hAnsi="Arial" w:cs="Arial"/>
          <w:iCs/>
          <w:sz w:val="20"/>
        </w:rPr>
        <w:t>4</w:t>
      </w:r>
      <w:r w:rsidRPr="00410674">
        <w:rPr>
          <w:rFonts w:ascii="Arial" w:hAnsi="Arial" w:cs="Arial"/>
          <w:iCs/>
          <w:sz w:val="20"/>
        </w:rPr>
        <w:t xml:space="preserve"> to CZK </w:t>
      </w:r>
      <w:r w:rsidR="00410674" w:rsidRPr="00410674">
        <w:rPr>
          <w:rFonts w:ascii="Arial" w:hAnsi="Arial" w:cs="Arial"/>
          <w:iCs/>
          <w:sz w:val="20"/>
        </w:rPr>
        <w:t>4</w:t>
      </w:r>
      <w:r w:rsidR="00B101B6">
        <w:rPr>
          <w:rFonts w:ascii="Arial" w:hAnsi="Arial" w:cs="Arial"/>
          <w:iCs/>
          <w:sz w:val="20"/>
        </w:rPr>
        <w:t>6</w:t>
      </w:r>
      <w:r w:rsidR="00410674" w:rsidRPr="00410674">
        <w:rPr>
          <w:rFonts w:ascii="Arial" w:hAnsi="Arial" w:cs="Arial"/>
          <w:iCs/>
          <w:sz w:val="20"/>
        </w:rPr>
        <w:t xml:space="preserve"> </w:t>
      </w:r>
      <w:r w:rsidR="00B101B6">
        <w:rPr>
          <w:rFonts w:ascii="Arial" w:hAnsi="Arial" w:cs="Arial"/>
          <w:iCs/>
          <w:sz w:val="20"/>
        </w:rPr>
        <w:t>339</w:t>
      </w:r>
      <w:r w:rsidR="00370FF0" w:rsidRPr="00410674">
        <w:rPr>
          <w:rFonts w:ascii="Arial" w:hAnsi="Arial" w:cs="Arial"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 xml:space="preserve">in </w:t>
      </w:r>
      <w:r w:rsidR="00E82667" w:rsidRPr="00410674">
        <w:rPr>
          <w:rFonts w:ascii="Arial" w:hAnsi="Arial" w:cs="Arial"/>
          <w:iCs/>
          <w:sz w:val="20"/>
        </w:rPr>
        <w:t>Q</w:t>
      </w:r>
      <w:r w:rsidR="00410674" w:rsidRPr="00410674">
        <w:rPr>
          <w:rFonts w:ascii="Arial" w:hAnsi="Arial" w:cs="Arial"/>
          <w:iCs/>
          <w:sz w:val="20"/>
        </w:rPr>
        <w:t>4</w:t>
      </w:r>
      <w:r w:rsidR="00E918E7" w:rsidRPr="00410674">
        <w:rPr>
          <w:rFonts w:ascii="Arial" w:hAnsi="Arial" w:cs="Arial"/>
          <w:iCs/>
          <w:sz w:val="20"/>
        </w:rPr>
        <w:t>201</w:t>
      </w:r>
      <w:r w:rsidR="00B101B6">
        <w:rPr>
          <w:rFonts w:ascii="Arial" w:hAnsi="Arial" w:cs="Arial"/>
          <w:iCs/>
          <w:sz w:val="20"/>
        </w:rPr>
        <w:t>5</w:t>
      </w:r>
      <w:r w:rsidR="00410674" w:rsidRPr="00410674">
        <w:rPr>
          <w:rFonts w:ascii="Arial" w:hAnsi="Arial" w:cs="Arial"/>
          <w:iCs/>
          <w:sz w:val="20"/>
        </w:rPr>
        <w:t>.</w:t>
      </w:r>
      <w:r w:rsidR="00F036A9" w:rsidRPr="00410674">
        <w:rPr>
          <w:rFonts w:ascii="Arial" w:hAnsi="Arial" w:cs="Arial"/>
          <w:bCs/>
          <w:iCs/>
          <w:sz w:val="20"/>
        </w:rPr>
        <w:t xml:space="preserve"> </w:t>
      </w:r>
    </w:p>
    <w:p w:rsidR="00C163BA" w:rsidRPr="00410674" w:rsidRDefault="006C3D40" w:rsidP="00463BBE">
      <w:pPr>
        <w:pStyle w:val="Zkladntext2"/>
        <w:spacing w:line="276" w:lineRule="auto"/>
        <w:rPr>
          <w:iCs/>
        </w:rPr>
      </w:pPr>
      <w:r w:rsidRPr="00410674">
        <w:rPr>
          <w:iCs/>
        </w:rPr>
        <w:br/>
      </w:r>
      <w:r w:rsidRPr="00463BBE">
        <w:rPr>
          <w:b/>
          <w:bCs/>
          <w:iCs/>
          <w:szCs w:val="20"/>
        </w:rPr>
        <w:t>Premiums written</w:t>
      </w:r>
      <w:r w:rsidRPr="00463BBE">
        <w:rPr>
          <w:iCs/>
          <w:szCs w:val="20"/>
        </w:rPr>
        <w:t xml:space="preserve"> (excl. those paid by the state</w:t>
      </w:r>
      <w:r w:rsidR="00F85B40" w:rsidRPr="00463BBE">
        <w:rPr>
          <w:iCs/>
          <w:szCs w:val="20"/>
        </w:rPr>
        <w:t>-</w:t>
      </w:r>
      <w:r w:rsidR="00E364FC" w:rsidRPr="00463BBE">
        <w:rPr>
          <w:iCs/>
          <w:szCs w:val="20"/>
        </w:rPr>
        <w:t>insured persons</w:t>
      </w:r>
      <w:r w:rsidRPr="00463BBE">
        <w:rPr>
          <w:iCs/>
          <w:szCs w:val="20"/>
        </w:rPr>
        <w:t xml:space="preserve">) make up a substantial part of </w:t>
      </w:r>
      <w:r w:rsidR="00FB4089" w:rsidRPr="00463BBE">
        <w:rPr>
          <w:iCs/>
          <w:szCs w:val="20"/>
        </w:rPr>
        <w:t xml:space="preserve">the </w:t>
      </w:r>
      <w:r w:rsidRPr="00463BBE">
        <w:rPr>
          <w:iCs/>
          <w:szCs w:val="20"/>
        </w:rPr>
        <w:t xml:space="preserve">total revenues of health insurance companies. In the reported period they amounted to </w:t>
      </w:r>
      <w:r w:rsidR="00DD06D6" w:rsidRPr="00463BBE">
        <w:rPr>
          <w:iCs/>
          <w:szCs w:val="20"/>
        </w:rPr>
        <w:t>CZK 4</w:t>
      </w:r>
      <w:r w:rsidR="00B53E1D" w:rsidRPr="00463BBE">
        <w:rPr>
          <w:iCs/>
          <w:szCs w:val="20"/>
        </w:rPr>
        <w:t>9 836</w:t>
      </w:r>
      <w:r w:rsidR="00DD06D6" w:rsidRPr="00463BBE">
        <w:rPr>
          <w:iCs/>
          <w:szCs w:val="20"/>
        </w:rPr>
        <w:t xml:space="preserve"> </w:t>
      </w:r>
      <w:r w:rsidR="00D66E2C" w:rsidRPr="00463BBE">
        <w:rPr>
          <w:iCs/>
          <w:szCs w:val="20"/>
        </w:rPr>
        <w:t>million</w:t>
      </w:r>
      <w:r w:rsidR="00DD06D6" w:rsidRPr="00463BBE">
        <w:rPr>
          <w:iCs/>
          <w:szCs w:val="20"/>
        </w:rPr>
        <w:t>, it</w:t>
      </w:r>
      <w:r w:rsidR="00DD06D6" w:rsidRPr="00463BBE">
        <w:rPr>
          <w:szCs w:val="20"/>
        </w:rPr>
        <w:t xml:space="preserve"> </w:t>
      </w:r>
      <w:r w:rsidR="00DD06D6" w:rsidRPr="00463BBE">
        <w:rPr>
          <w:rStyle w:val="hps"/>
          <w:szCs w:val="20"/>
        </w:rPr>
        <w:t>is</w:t>
      </w:r>
      <w:r w:rsidR="00DD06D6" w:rsidRPr="00463BBE">
        <w:rPr>
          <w:szCs w:val="20"/>
        </w:rPr>
        <w:t xml:space="preserve"> </w:t>
      </w:r>
      <w:r w:rsidR="00B53E1D" w:rsidRPr="00463BBE">
        <w:rPr>
          <w:szCs w:val="20"/>
        </w:rPr>
        <w:t>higher by 4</w:t>
      </w:r>
      <w:proofErr w:type="gramStart"/>
      <w:r w:rsidR="00B53E1D" w:rsidRPr="00463BBE">
        <w:rPr>
          <w:szCs w:val="20"/>
        </w:rPr>
        <w:t>,5</w:t>
      </w:r>
      <w:proofErr w:type="gramEnd"/>
      <w:r w:rsidR="00B53E1D" w:rsidRPr="00463BBE">
        <w:rPr>
          <w:szCs w:val="20"/>
        </w:rPr>
        <w:t xml:space="preserve"> %</w:t>
      </w:r>
      <w:r w:rsidR="00DD06D6" w:rsidRPr="00463BBE">
        <w:rPr>
          <w:rStyle w:val="hps"/>
          <w:szCs w:val="20"/>
        </w:rPr>
        <w:t xml:space="preserve"> </w:t>
      </w:r>
      <w:r w:rsidRPr="00463BBE">
        <w:rPr>
          <w:iCs/>
          <w:szCs w:val="20"/>
        </w:rPr>
        <w:t>to the corresponding</w:t>
      </w:r>
      <w:r w:rsidRPr="00410674">
        <w:rPr>
          <w:iCs/>
        </w:rPr>
        <w:t xml:space="preserve"> period of </w:t>
      </w:r>
      <w:r w:rsidR="00E918E7" w:rsidRPr="00410674">
        <w:rPr>
          <w:iCs/>
        </w:rPr>
        <w:t>201</w:t>
      </w:r>
      <w:r w:rsidR="00B53E1D">
        <w:rPr>
          <w:iCs/>
        </w:rPr>
        <w:t>4</w:t>
      </w:r>
      <w:r w:rsidRPr="00410674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410674">
        <w:rPr>
          <w:rStyle w:val="hps"/>
        </w:rPr>
        <w:t>Premiums written measured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on an accrual basis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but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not actual revenues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of health insurance</w:t>
      </w:r>
      <w:r w:rsidR="00937CCE">
        <w:rPr>
          <w:rStyle w:val="hps"/>
        </w:rPr>
        <w:t xml:space="preserve"> companies </w:t>
      </w:r>
      <w:r w:rsidR="00C32003" w:rsidRPr="00410674">
        <w:rPr>
          <w:rStyle w:val="hps"/>
        </w:rPr>
        <w:t xml:space="preserve">for </w:t>
      </w:r>
      <w:r w:rsidR="00937CCE">
        <w:rPr>
          <w:rStyle w:val="hps"/>
        </w:rPr>
        <w:t>public</w:t>
      </w:r>
      <w:r w:rsidR="00C32003" w:rsidRPr="00410674">
        <w:rPr>
          <w:rStyle w:val="hps"/>
        </w:rPr>
        <w:t xml:space="preserve"> health insurance</w:t>
      </w:r>
      <w:r w:rsidR="00C32003" w:rsidRPr="00410674">
        <w:t>.</w:t>
      </w:r>
      <w:r w:rsidR="00937CCE">
        <w:t xml:space="preserve"> </w:t>
      </w:r>
      <w:r w:rsidRPr="00410674">
        <w:rPr>
          <w:iCs/>
        </w:rPr>
        <w:t>Actual revenues</w:t>
      </w:r>
      <w:r w:rsidR="00E364FC" w:rsidRPr="00410674">
        <w:rPr>
          <w:iCs/>
        </w:rPr>
        <w:t xml:space="preserve"> are lower, as evidenced by the </w:t>
      </w:r>
      <w:r w:rsidR="00121424" w:rsidRPr="00410674">
        <w:rPr>
          <w:iCs/>
        </w:rPr>
        <w:t>amount</w:t>
      </w:r>
      <w:r w:rsidR="00E364FC" w:rsidRPr="00410674">
        <w:rPr>
          <w:iCs/>
        </w:rPr>
        <w:t xml:space="preserve"> of</w:t>
      </w:r>
      <w:r w:rsidR="00E66D92" w:rsidRPr="00410674">
        <w:rPr>
          <w:iCs/>
        </w:rPr>
        <w:t xml:space="preserve"> accrued fines and penalties on unpaid insurance.</w:t>
      </w:r>
    </w:p>
    <w:p w:rsidR="00C163BA" w:rsidRPr="00410674" w:rsidRDefault="00C163BA">
      <w:pPr>
        <w:pStyle w:val="Zkladntext2"/>
        <w:rPr>
          <w:iCs/>
        </w:rPr>
      </w:pPr>
    </w:p>
    <w:p w:rsidR="006C3FA0" w:rsidRDefault="00E423F3" w:rsidP="00463BBE">
      <w:pPr>
        <w:spacing w:line="276" w:lineRule="auto"/>
        <w:rPr>
          <w:lang w:val="en"/>
        </w:rPr>
      </w:pPr>
      <w:r w:rsidRPr="00463BBE">
        <w:rPr>
          <w:rFonts w:ascii="Arial" w:hAnsi="Arial" w:cs="Arial"/>
          <w:iCs/>
          <w:sz w:val="20"/>
          <w:szCs w:val="20"/>
        </w:rPr>
        <w:t xml:space="preserve">According to the data of the </w:t>
      </w:r>
      <w:r w:rsidRPr="00463BBE">
        <w:rPr>
          <w:rFonts w:ascii="Arial" w:hAnsi="Arial" w:cs="Arial"/>
          <w:b/>
          <w:iCs/>
          <w:sz w:val="20"/>
          <w:szCs w:val="20"/>
        </w:rPr>
        <w:t>Ministry of Health of the CR</w:t>
      </w:r>
      <w:r w:rsidRPr="00463BBE">
        <w:rPr>
          <w:rFonts w:ascii="Arial" w:hAnsi="Arial" w:cs="Arial"/>
          <w:iCs/>
          <w:sz w:val="20"/>
          <w:szCs w:val="20"/>
        </w:rPr>
        <w:t xml:space="preserve">, </w:t>
      </w:r>
      <w:r w:rsidR="00761FFB">
        <w:rPr>
          <w:rFonts w:ascii="Arial" w:hAnsi="Arial" w:cs="Arial"/>
          <w:iCs/>
          <w:sz w:val="20"/>
          <w:szCs w:val="20"/>
        </w:rPr>
        <w:t>at</w:t>
      </w:r>
      <w:r w:rsidR="007D2950" w:rsidRPr="00463BBE">
        <w:rPr>
          <w:rFonts w:ascii="Arial" w:hAnsi="Arial" w:cs="Arial"/>
          <w:iCs/>
          <w:sz w:val="20"/>
          <w:szCs w:val="20"/>
        </w:rPr>
        <w:t xml:space="preserve"> the </w:t>
      </w:r>
      <w:proofErr w:type="gramStart"/>
      <w:r w:rsidR="007D2950" w:rsidRPr="00463BBE">
        <w:rPr>
          <w:rFonts w:ascii="Arial" w:hAnsi="Arial" w:cs="Arial"/>
          <w:iCs/>
          <w:sz w:val="20"/>
          <w:szCs w:val="20"/>
        </w:rPr>
        <w:t xml:space="preserve">beginning </w:t>
      </w:r>
      <w:r w:rsidRPr="00463BBE">
        <w:rPr>
          <w:rFonts w:ascii="Arial" w:hAnsi="Arial" w:cs="Arial"/>
          <w:iCs/>
          <w:sz w:val="20"/>
          <w:szCs w:val="20"/>
        </w:rPr>
        <w:t xml:space="preserve"> 201</w:t>
      </w:r>
      <w:r w:rsidR="008D030D" w:rsidRPr="00463BBE">
        <w:rPr>
          <w:rFonts w:ascii="Arial" w:hAnsi="Arial" w:cs="Arial"/>
          <w:iCs/>
          <w:sz w:val="20"/>
          <w:szCs w:val="20"/>
        </w:rPr>
        <w:t>4</w:t>
      </w:r>
      <w:proofErr w:type="gramEnd"/>
      <w:r w:rsidRPr="00463BBE">
        <w:rPr>
          <w:rFonts w:ascii="Arial" w:hAnsi="Arial" w:cs="Arial"/>
          <w:iCs/>
          <w:sz w:val="20"/>
          <w:szCs w:val="20"/>
        </w:rPr>
        <w:t xml:space="preserve"> </w:t>
      </w:r>
      <w:r w:rsidR="00545A77">
        <w:rPr>
          <w:rFonts w:ascii="Arial" w:hAnsi="Arial" w:cs="Arial"/>
          <w:iCs/>
          <w:sz w:val="20"/>
          <w:szCs w:val="20"/>
        </w:rPr>
        <w:t>health insurance companies received of payments from</w:t>
      </w:r>
      <w:r w:rsidRPr="00463BBE">
        <w:rPr>
          <w:rFonts w:ascii="Arial" w:hAnsi="Arial" w:cs="Arial"/>
          <w:iCs/>
          <w:sz w:val="20"/>
          <w:szCs w:val="20"/>
        </w:rPr>
        <w:t xml:space="preserve"> the state for persons insured by the state</w:t>
      </w:r>
      <w:r w:rsidR="00761FFB">
        <w:rPr>
          <w:rFonts w:ascii="Arial" w:hAnsi="Arial" w:cs="Arial"/>
          <w:iCs/>
          <w:sz w:val="20"/>
          <w:szCs w:val="20"/>
        </w:rPr>
        <w:t>,</w:t>
      </w:r>
      <w:r w:rsidRPr="00463BBE">
        <w:rPr>
          <w:rFonts w:ascii="Arial" w:hAnsi="Arial" w:cs="Arial"/>
          <w:iCs/>
          <w:sz w:val="20"/>
          <w:szCs w:val="20"/>
        </w:rPr>
        <w:t xml:space="preserve"> the so-called </w:t>
      </w:r>
      <w:r w:rsidRPr="00463BBE">
        <w:rPr>
          <w:rFonts w:ascii="Arial" w:hAnsi="Arial" w:cs="Arial"/>
          <w:b/>
          <w:iCs/>
          <w:sz w:val="20"/>
          <w:szCs w:val="20"/>
        </w:rPr>
        <w:t>“advance payment</w:t>
      </w:r>
      <w:r w:rsidRPr="00463BBE">
        <w:rPr>
          <w:rFonts w:ascii="Arial" w:hAnsi="Arial" w:cs="Arial"/>
          <w:iCs/>
          <w:sz w:val="20"/>
          <w:szCs w:val="20"/>
        </w:rPr>
        <w:t>” from the state budget within the meaning of the Section 12</w:t>
      </w:r>
      <w:r w:rsidR="00761FFB">
        <w:rPr>
          <w:rFonts w:ascii="Arial" w:hAnsi="Arial" w:cs="Arial"/>
          <w:iCs/>
          <w:sz w:val="20"/>
          <w:szCs w:val="20"/>
        </w:rPr>
        <w:t>(2) of the Act No. 592/1992 Sb.,</w:t>
      </w:r>
      <w:r w:rsidRPr="00463BBE">
        <w:rPr>
          <w:rFonts w:ascii="Arial" w:hAnsi="Arial" w:cs="Arial"/>
          <w:iCs/>
          <w:sz w:val="20"/>
          <w:szCs w:val="20"/>
        </w:rPr>
        <w:t xml:space="preserve"> in the </w:t>
      </w:r>
      <w:r w:rsidRPr="00463BBE">
        <w:rPr>
          <w:rFonts w:ascii="Arial" w:hAnsi="Arial" w:cs="Arial"/>
          <w:b/>
          <w:iCs/>
          <w:sz w:val="20"/>
          <w:szCs w:val="20"/>
        </w:rPr>
        <w:t xml:space="preserve">amount of CZK </w:t>
      </w:r>
      <w:r w:rsidR="007953B2" w:rsidRPr="00463BBE">
        <w:rPr>
          <w:rFonts w:ascii="Arial" w:hAnsi="Arial" w:cs="Arial"/>
          <w:b/>
          <w:iCs/>
          <w:sz w:val="20"/>
          <w:szCs w:val="20"/>
        </w:rPr>
        <w:t>4 800 million</w:t>
      </w:r>
      <w:r w:rsidRPr="00463BBE">
        <w:rPr>
          <w:rFonts w:ascii="Arial" w:hAnsi="Arial" w:cs="Arial"/>
          <w:iCs/>
          <w:sz w:val="20"/>
          <w:szCs w:val="20"/>
        </w:rPr>
        <w:t xml:space="preserve">.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Th</w:t>
      </w:r>
      <w:r w:rsidR="004C448A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at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advance payment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w</w:t>
      </w:r>
      <w:r w:rsidR="00CE48C4" w:rsidRPr="00463BBE">
        <w:rPr>
          <w:rStyle w:val="hps"/>
          <w:rFonts w:ascii="Arial" w:hAnsi="Arial" w:cs="Arial"/>
          <w:sz w:val="20"/>
          <w:szCs w:val="20"/>
          <w:lang w:val="en"/>
        </w:rPr>
        <w:t>as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 returned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, </w:t>
      </w:r>
      <w:r w:rsidR="004C448A" w:rsidRPr="00463BBE">
        <w:rPr>
          <w:rFonts w:ascii="Arial" w:hAnsi="Arial" w:cs="Arial"/>
          <w:sz w:val="20"/>
          <w:szCs w:val="20"/>
          <w:lang w:val="en"/>
        </w:rPr>
        <w:t>even in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 the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year in which </w:t>
      </w:r>
      <w:r w:rsidR="00CE48C4" w:rsidRPr="00463BBE">
        <w:rPr>
          <w:rStyle w:val="hps"/>
          <w:rFonts w:ascii="Arial" w:hAnsi="Arial" w:cs="Arial"/>
          <w:sz w:val="20"/>
          <w:szCs w:val="20"/>
          <w:lang w:val="en"/>
        </w:rPr>
        <w:t>it was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 provide</w:t>
      </w:r>
      <w:r w:rsidR="004C448A" w:rsidRPr="00463BBE">
        <w:rPr>
          <w:rStyle w:val="hps"/>
          <w:rFonts w:ascii="Arial" w:hAnsi="Arial" w:cs="Arial"/>
          <w:sz w:val="20"/>
          <w:szCs w:val="20"/>
          <w:lang w:val="en"/>
        </w:rPr>
        <w:t>d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 it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(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by reducing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payments to the state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in the 11th and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12th redistributions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2014)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,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and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therefore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did not affect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the total revenues</w:t>
      </w:r>
      <w:r w:rsidR="001C2492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of </w:t>
      </w:r>
      <w:r w:rsidR="004C448A" w:rsidRPr="00463BBE">
        <w:rPr>
          <w:rStyle w:val="hps"/>
          <w:rFonts w:ascii="Arial" w:hAnsi="Arial" w:cs="Arial"/>
          <w:sz w:val="20"/>
          <w:szCs w:val="20"/>
          <w:lang w:val="en"/>
        </w:rPr>
        <w:t xml:space="preserve">the </w:t>
      </w:r>
      <w:r w:rsidR="001C2492" w:rsidRPr="00463BBE">
        <w:rPr>
          <w:rStyle w:val="hps"/>
          <w:rFonts w:ascii="Arial" w:hAnsi="Arial" w:cs="Arial"/>
          <w:sz w:val="20"/>
          <w:szCs w:val="20"/>
          <w:lang w:val="en"/>
        </w:rPr>
        <w:t>health insurance companies</w:t>
      </w:r>
      <w:r w:rsidR="001C2492" w:rsidRPr="00463BBE">
        <w:rPr>
          <w:rFonts w:ascii="Arial" w:hAnsi="Arial" w:cs="Arial"/>
          <w:lang w:val="en"/>
        </w:rPr>
        <w:t>.</w:t>
      </w:r>
      <w:r w:rsidR="004C448A" w:rsidRPr="00463BBE">
        <w:rPr>
          <w:rFonts w:ascii="Arial" w:hAnsi="Arial" w:cs="Arial"/>
          <w:iCs/>
          <w:sz w:val="20"/>
          <w:szCs w:val="20"/>
        </w:rPr>
        <w:t xml:space="preserve"> </w:t>
      </w:r>
      <w:r w:rsidR="006C3FA0" w:rsidRPr="00463BBE">
        <w:rPr>
          <w:rFonts w:ascii="Arial" w:hAnsi="Arial" w:cs="Arial"/>
          <w:iCs/>
          <w:sz w:val="20"/>
          <w:szCs w:val="20"/>
        </w:rPr>
        <w:t xml:space="preserve">With effect </w:t>
      </w:r>
      <w:proofErr w:type="gramStart"/>
      <w:r w:rsidR="006C3FA0" w:rsidRPr="00463BBE">
        <w:rPr>
          <w:rFonts w:ascii="Arial" w:hAnsi="Arial" w:cs="Arial"/>
          <w:iCs/>
          <w:sz w:val="20"/>
          <w:szCs w:val="20"/>
        </w:rPr>
        <w:t>from 7</w:t>
      </w:r>
      <w:r w:rsidR="001E5237" w:rsidRPr="00463BBE">
        <w:rPr>
          <w:rFonts w:ascii="Arial" w:hAnsi="Arial" w:cs="Arial"/>
          <w:iCs/>
          <w:sz w:val="20"/>
          <w:szCs w:val="20"/>
        </w:rPr>
        <w:t xml:space="preserve"> redistribution in 201</w:t>
      </w:r>
      <w:r w:rsidR="006C3FA0" w:rsidRPr="00463BBE">
        <w:rPr>
          <w:rFonts w:ascii="Arial" w:hAnsi="Arial" w:cs="Arial"/>
          <w:iCs/>
          <w:sz w:val="20"/>
          <w:szCs w:val="20"/>
        </w:rPr>
        <w:t>4</w:t>
      </w:r>
      <w:proofErr w:type="gramEnd"/>
      <w:r w:rsidR="001E5237" w:rsidRPr="00463BBE">
        <w:rPr>
          <w:rFonts w:ascii="Arial" w:hAnsi="Arial" w:cs="Arial"/>
          <w:iCs/>
          <w:sz w:val="20"/>
          <w:szCs w:val="20"/>
        </w:rPr>
        <w:t xml:space="preserve"> payment </w:t>
      </w:r>
      <w:r w:rsidR="00D82F4E" w:rsidRPr="00463BBE">
        <w:rPr>
          <w:rFonts w:ascii="Arial" w:hAnsi="Arial" w:cs="Arial"/>
          <w:iCs/>
          <w:sz w:val="20"/>
          <w:szCs w:val="20"/>
        </w:rPr>
        <w:t>forstate-insure</w:t>
      </w:r>
      <w:r w:rsidR="00CE48C4" w:rsidRPr="00463BBE">
        <w:rPr>
          <w:rFonts w:ascii="Arial" w:hAnsi="Arial" w:cs="Arial"/>
          <w:iCs/>
          <w:sz w:val="20"/>
          <w:szCs w:val="20"/>
        </w:rPr>
        <w:t>d persons increased from CZK 787</w:t>
      </w:r>
      <w:r w:rsidR="00D82F4E" w:rsidRPr="00463BBE">
        <w:rPr>
          <w:rFonts w:ascii="Arial" w:hAnsi="Arial" w:cs="Arial"/>
          <w:iCs/>
          <w:sz w:val="20"/>
          <w:szCs w:val="20"/>
        </w:rPr>
        <w:t xml:space="preserve"> to 8</w:t>
      </w:r>
      <w:r w:rsidR="00CE48C4" w:rsidRPr="00463BBE">
        <w:rPr>
          <w:rFonts w:ascii="Arial" w:hAnsi="Arial" w:cs="Arial"/>
          <w:iCs/>
          <w:sz w:val="20"/>
          <w:szCs w:val="20"/>
        </w:rPr>
        <w:t>45</w:t>
      </w:r>
      <w:r w:rsidR="00D82F4E" w:rsidRPr="00463BBE">
        <w:rPr>
          <w:rFonts w:ascii="Arial" w:hAnsi="Arial" w:cs="Arial"/>
          <w:iCs/>
          <w:sz w:val="20"/>
          <w:szCs w:val="20"/>
        </w:rPr>
        <w:t xml:space="preserve"> for person per month.</w:t>
      </w:r>
      <w:r w:rsidR="006C3FA0" w:rsidRPr="00463BBE">
        <w:rPr>
          <w:rFonts w:ascii="Arial" w:hAnsi="Arial" w:cs="Arial"/>
          <w:iCs/>
          <w:sz w:val="20"/>
          <w:szCs w:val="20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In 2015,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an extraordinary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payment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was not made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and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there were no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adjustment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to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the amount of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state payments for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the state</w:t>
      </w:r>
      <w:r w:rsidR="006C3FA0" w:rsidRPr="00463BBE">
        <w:rPr>
          <w:rFonts w:ascii="Arial" w:hAnsi="Arial" w:cs="Arial"/>
          <w:sz w:val="20"/>
          <w:szCs w:val="20"/>
          <w:lang w:val="en"/>
        </w:rPr>
        <w:t xml:space="preserve"> </w:t>
      </w:r>
      <w:r w:rsidR="006C3FA0" w:rsidRPr="00463BBE">
        <w:rPr>
          <w:rStyle w:val="hps"/>
          <w:rFonts w:ascii="Arial" w:hAnsi="Arial" w:cs="Arial"/>
          <w:sz w:val="20"/>
          <w:szCs w:val="20"/>
          <w:lang w:val="en"/>
        </w:rPr>
        <w:t>insured</w:t>
      </w:r>
      <w:r w:rsidR="006C3FA0" w:rsidRPr="006C3FA0">
        <w:rPr>
          <w:rFonts w:ascii="Arial" w:hAnsi="Arial" w:cs="Arial"/>
          <w:sz w:val="20"/>
          <w:szCs w:val="20"/>
          <w:lang w:val="en"/>
        </w:rPr>
        <w:t>.</w:t>
      </w:r>
    </w:p>
    <w:p w:rsidR="001E5237" w:rsidRPr="00410674" w:rsidRDefault="006C3FA0" w:rsidP="00E364FC">
      <w:pPr>
        <w:rPr>
          <w:rFonts w:ascii="Arial" w:hAnsi="Arial" w:cs="Arial"/>
          <w:iCs/>
          <w:sz w:val="20"/>
          <w:szCs w:val="20"/>
        </w:rPr>
      </w:pPr>
      <w:r w:rsidRPr="00410674">
        <w:rPr>
          <w:rFonts w:ascii="Arial" w:hAnsi="Arial" w:cs="Arial"/>
          <w:iCs/>
          <w:sz w:val="20"/>
          <w:szCs w:val="20"/>
        </w:rPr>
        <w:t xml:space="preserve"> </w:t>
      </w:r>
    </w:p>
    <w:p w:rsidR="001E5237" w:rsidRPr="002F142C" w:rsidRDefault="00761FFB" w:rsidP="00463BBE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</w:t>
      </w:r>
      <w:r w:rsidR="00D2627F" w:rsidRPr="00410674">
        <w:rPr>
          <w:rFonts w:ascii="Arial" w:hAnsi="Arial" w:cs="Arial"/>
          <w:iCs/>
          <w:sz w:val="20"/>
          <w:szCs w:val="20"/>
        </w:rPr>
        <w:t>n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 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the </w:t>
      </w:r>
      <w:r w:rsidR="00D2627F" w:rsidRPr="004C448A">
        <w:rPr>
          <w:rFonts w:ascii="Arial" w:hAnsi="Arial" w:cs="Arial"/>
          <w:b/>
          <w:iCs/>
          <w:sz w:val="20"/>
          <w:szCs w:val="20"/>
        </w:rPr>
        <w:t xml:space="preserve">year </w:t>
      </w:r>
      <w:r w:rsidR="004C448A" w:rsidRPr="004C448A">
        <w:rPr>
          <w:rFonts w:ascii="Arial" w:hAnsi="Arial" w:cs="Arial"/>
          <w:b/>
          <w:iCs/>
          <w:sz w:val="20"/>
          <w:szCs w:val="20"/>
        </w:rPr>
        <w:t>2015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 </w:t>
      </w:r>
      <w:r w:rsidR="00E423F3" w:rsidRPr="004C448A">
        <w:rPr>
          <w:rFonts w:ascii="Arial" w:hAnsi="Arial" w:cs="Arial"/>
          <w:b/>
          <w:iCs/>
          <w:sz w:val="20"/>
          <w:szCs w:val="20"/>
        </w:rPr>
        <w:t xml:space="preserve">sources in the amount of CZK </w:t>
      </w:r>
      <w:r w:rsidR="00D2627F" w:rsidRPr="004C448A">
        <w:rPr>
          <w:rFonts w:ascii="Arial" w:hAnsi="Arial" w:cs="Arial"/>
          <w:b/>
          <w:iCs/>
          <w:sz w:val="20"/>
          <w:szCs w:val="20"/>
        </w:rPr>
        <w:t>2</w:t>
      </w:r>
      <w:r w:rsidR="004C448A" w:rsidRPr="004C448A">
        <w:rPr>
          <w:rFonts w:ascii="Arial" w:hAnsi="Arial" w:cs="Arial"/>
          <w:b/>
          <w:iCs/>
          <w:sz w:val="20"/>
          <w:szCs w:val="20"/>
        </w:rPr>
        <w:t>50 284</w:t>
      </w:r>
      <w:r w:rsidR="00D2627F" w:rsidRPr="004C448A">
        <w:rPr>
          <w:rFonts w:ascii="Arial" w:hAnsi="Arial" w:cs="Arial"/>
          <w:b/>
          <w:iCs/>
          <w:sz w:val="20"/>
          <w:szCs w:val="20"/>
        </w:rPr>
        <w:t xml:space="preserve"> </w:t>
      </w:r>
      <w:r w:rsidR="00E423F3" w:rsidRPr="004C448A">
        <w:rPr>
          <w:rFonts w:ascii="Arial" w:hAnsi="Arial" w:cs="Arial"/>
          <w:b/>
          <w:iCs/>
          <w:sz w:val="20"/>
          <w:szCs w:val="20"/>
        </w:rPr>
        <w:t>million</w:t>
      </w:r>
      <w:r>
        <w:rPr>
          <w:rFonts w:ascii="Arial" w:hAnsi="Arial" w:cs="Arial"/>
          <w:iCs/>
          <w:sz w:val="20"/>
          <w:szCs w:val="20"/>
        </w:rPr>
        <w:t xml:space="preserve"> were </w:t>
      </w:r>
      <w:bookmarkStart w:id="0" w:name="_GoBack"/>
      <w:bookmarkEnd w:id="0"/>
      <w:r w:rsidR="00E423F3" w:rsidRPr="00410674">
        <w:rPr>
          <w:rFonts w:ascii="Arial" w:hAnsi="Arial" w:cs="Arial"/>
          <w:iCs/>
          <w:sz w:val="20"/>
          <w:szCs w:val="20"/>
        </w:rPr>
        <w:t>allocated, which means compared to the corresponding</w:t>
      </w:r>
      <w:r w:rsidR="00E423F3" w:rsidRPr="00410674">
        <w:rPr>
          <w:rFonts w:ascii="Arial" w:hAnsi="Arial" w:cs="Arial"/>
          <w:b/>
          <w:iCs/>
          <w:sz w:val="20"/>
          <w:szCs w:val="20"/>
        </w:rPr>
        <w:t xml:space="preserve"> </w:t>
      </w:r>
      <w:r w:rsidR="00E423F3" w:rsidRPr="004C448A">
        <w:rPr>
          <w:rFonts w:ascii="Arial" w:hAnsi="Arial" w:cs="Arial"/>
          <w:iCs/>
          <w:sz w:val="20"/>
          <w:szCs w:val="20"/>
        </w:rPr>
        <w:t>of 201</w:t>
      </w:r>
      <w:r w:rsidR="004C448A" w:rsidRPr="004C448A">
        <w:rPr>
          <w:rFonts w:ascii="Arial" w:hAnsi="Arial" w:cs="Arial"/>
          <w:iCs/>
          <w:sz w:val="20"/>
          <w:szCs w:val="20"/>
        </w:rPr>
        <w:t>4</w:t>
      </w:r>
      <w:r w:rsidR="00E423F3" w:rsidRPr="004C448A">
        <w:rPr>
          <w:rFonts w:ascii="Arial" w:hAnsi="Arial" w:cs="Arial"/>
          <w:iCs/>
          <w:sz w:val="20"/>
          <w:szCs w:val="20"/>
        </w:rPr>
        <w:t xml:space="preserve"> (when the revenue including the “advance payment” was CZK </w:t>
      </w:r>
      <w:r w:rsidR="004C448A" w:rsidRPr="004C448A">
        <w:rPr>
          <w:rFonts w:ascii="Arial" w:hAnsi="Arial" w:cs="Arial"/>
          <w:iCs/>
          <w:sz w:val="20"/>
          <w:szCs w:val="20"/>
        </w:rPr>
        <w:t>237</w:t>
      </w:r>
      <w:r w:rsidR="00D2627F" w:rsidRPr="004C448A">
        <w:rPr>
          <w:rFonts w:ascii="Arial" w:hAnsi="Arial" w:cs="Arial"/>
          <w:iCs/>
          <w:sz w:val="20"/>
          <w:szCs w:val="20"/>
        </w:rPr>
        <w:t> </w:t>
      </w:r>
      <w:r w:rsidR="004C448A" w:rsidRPr="004C448A">
        <w:rPr>
          <w:rFonts w:ascii="Arial" w:hAnsi="Arial" w:cs="Arial"/>
          <w:iCs/>
          <w:sz w:val="20"/>
          <w:szCs w:val="20"/>
        </w:rPr>
        <w:t>836</w:t>
      </w:r>
      <w:r w:rsidR="00D2627F" w:rsidRPr="004C448A">
        <w:rPr>
          <w:rFonts w:ascii="Arial" w:hAnsi="Arial" w:cs="Arial"/>
          <w:iCs/>
          <w:sz w:val="20"/>
          <w:szCs w:val="20"/>
        </w:rPr>
        <w:t xml:space="preserve"> </w:t>
      </w:r>
      <w:r w:rsidR="00E423F3" w:rsidRPr="004C448A">
        <w:rPr>
          <w:rFonts w:ascii="Arial" w:hAnsi="Arial" w:cs="Arial"/>
          <w:iCs/>
          <w:sz w:val="20"/>
          <w:szCs w:val="20"/>
        </w:rPr>
        <w:t xml:space="preserve">million) </w:t>
      </w:r>
      <w:r w:rsidR="00FB6A9A" w:rsidRPr="004C448A">
        <w:rPr>
          <w:rFonts w:ascii="Arial" w:hAnsi="Arial" w:cs="Arial"/>
          <w:iCs/>
          <w:sz w:val="20"/>
          <w:szCs w:val="20"/>
        </w:rPr>
        <w:t xml:space="preserve">increase </w:t>
      </w:r>
      <w:r w:rsidR="00E423F3" w:rsidRPr="004C448A">
        <w:rPr>
          <w:rFonts w:ascii="Arial" w:hAnsi="Arial" w:cs="Arial"/>
          <w:iCs/>
          <w:sz w:val="20"/>
          <w:szCs w:val="20"/>
        </w:rPr>
        <w:t xml:space="preserve">in available </w:t>
      </w:r>
      <w:proofErr w:type="gramStart"/>
      <w:r w:rsidR="00E423F3" w:rsidRPr="004C448A">
        <w:rPr>
          <w:rFonts w:ascii="Arial" w:hAnsi="Arial" w:cs="Arial"/>
          <w:iCs/>
          <w:sz w:val="20"/>
          <w:szCs w:val="20"/>
        </w:rPr>
        <w:t>resources</w:t>
      </w:r>
      <w:r w:rsidR="00E423F3" w:rsidRPr="00410674">
        <w:rPr>
          <w:rFonts w:ascii="Arial" w:hAnsi="Arial" w:cs="Arial"/>
          <w:b/>
          <w:iCs/>
          <w:sz w:val="20"/>
          <w:szCs w:val="20"/>
        </w:rPr>
        <w:t xml:space="preserve"> </w:t>
      </w:r>
      <w:r w:rsidR="004C448A">
        <w:rPr>
          <w:rFonts w:ascii="Arial" w:hAnsi="Arial" w:cs="Arial"/>
          <w:iCs/>
          <w:sz w:val="20"/>
          <w:szCs w:val="20"/>
        </w:rPr>
        <w:t xml:space="preserve"> by</w:t>
      </w:r>
      <w:proofErr w:type="gramEnd"/>
      <w:r w:rsidR="004C448A">
        <w:rPr>
          <w:rFonts w:ascii="Arial" w:hAnsi="Arial" w:cs="Arial"/>
          <w:iCs/>
          <w:sz w:val="20"/>
          <w:szCs w:val="20"/>
        </w:rPr>
        <w:t xml:space="preserve"> 5,23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 </w:t>
      </w:r>
      <w:r w:rsidR="00FB6A9A" w:rsidRPr="00410674">
        <w:rPr>
          <w:rFonts w:ascii="Arial" w:hAnsi="Arial" w:cs="Arial"/>
          <w:iCs/>
          <w:sz w:val="20"/>
          <w:szCs w:val="20"/>
        </w:rPr>
        <w:t xml:space="preserve">% 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(source: the Ministry of Health of the CR from the results of the </w:t>
      </w:r>
      <w:r w:rsidR="00E07CA1" w:rsidRPr="00410674">
        <w:rPr>
          <w:rFonts w:ascii="Arial" w:hAnsi="Arial" w:cs="Arial"/>
          <w:iCs/>
          <w:sz w:val="20"/>
          <w:szCs w:val="20"/>
        </w:rPr>
        <w:t xml:space="preserve">1st 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to the </w:t>
      </w:r>
      <w:r w:rsidR="00D2627F" w:rsidRPr="00410674">
        <w:rPr>
          <w:rFonts w:ascii="Arial" w:hAnsi="Arial" w:cs="Arial"/>
          <w:iCs/>
          <w:sz w:val="20"/>
          <w:szCs w:val="20"/>
        </w:rPr>
        <w:t>12</w:t>
      </w:r>
      <w:r w:rsidR="00E07CA1" w:rsidRPr="00410674">
        <w:rPr>
          <w:rFonts w:ascii="Arial" w:hAnsi="Arial" w:cs="Arial"/>
          <w:iCs/>
          <w:sz w:val="20"/>
          <w:szCs w:val="20"/>
        </w:rPr>
        <w:t xml:space="preserve">th </w:t>
      </w:r>
      <w:r w:rsidR="00E423F3" w:rsidRPr="00410674">
        <w:rPr>
          <w:rFonts w:ascii="Arial" w:hAnsi="Arial" w:cs="Arial"/>
          <w:iCs/>
          <w:sz w:val="20"/>
          <w:szCs w:val="20"/>
        </w:rPr>
        <w:t>reallocation of the public health insurance premiums in 201</w:t>
      </w:r>
      <w:r w:rsidR="00D82F4E" w:rsidRPr="00410674">
        <w:rPr>
          <w:rFonts w:ascii="Arial" w:hAnsi="Arial" w:cs="Arial"/>
          <w:iCs/>
          <w:sz w:val="20"/>
          <w:szCs w:val="20"/>
        </w:rPr>
        <w:t>3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 and 201</w:t>
      </w:r>
      <w:r w:rsidR="00D82F4E" w:rsidRPr="00410674">
        <w:rPr>
          <w:rFonts w:ascii="Arial" w:hAnsi="Arial" w:cs="Arial"/>
          <w:iCs/>
          <w:sz w:val="20"/>
          <w:szCs w:val="20"/>
        </w:rPr>
        <w:t>4</w:t>
      </w:r>
      <w:r w:rsidR="00E423F3" w:rsidRPr="00410674">
        <w:rPr>
          <w:rFonts w:ascii="Arial" w:hAnsi="Arial" w:cs="Arial"/>
          <w:iCs/>
          <w:sz w:val="20"/>
          <w:szCs w:val="20"/>
        </w:rPr>
        <w:t xml:space="preserve"> – available resources).</w:t>
      </w:r>
      <w:r w:rsidR="00E423F3" w:rsidRPr="002F142C">
        <w:rPr>
          <w:rFonts w:ascii="Arial" w:hAnsi="Arial" w:cs="Arial"/>
          <w:iCs/>
          <w:sz w:val="20"/>
          <w:szCs w:val="20"/>
        </w:rPr>
        <w:t xml:space="preserve"> </w:t>
      </w:r>
    </w:p>
    <w:p w:rsidR="00E364FC" w:rsidRPr="001D15BD" w:rsidRDefault="00E364FC" w:rsidP="00463BBE">
      <w:pPr>
        <w:spacing w:line="276" w:lineRule="auto"/>
        <w:rPr>
          <w:rFonts w:ascii="Arial" w:hAnsi="Arial" w:cs="Arial"/>
          <w:iCs/>
          <w:sz w:val="20"/>
        </w:rPr>
      </w:pPr>
    </w:p>
    <w:p w:rsidR="006C3D40" w:rsidRPr="00A03CE6" w:rsidRDefault="006C3D40" w:rsidP="00463BBE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6A5ED7">
        <w:rPr>
          <w:rFonts w:ascii="Arial" w:hAnsi="Arial" w:cs="Arial"/>
          <w:iCs/>
          <w:sz w:val="20"/>
        </w:rPr>
        <w:t xml:space="preserve">Of the </w:t>
      </w:r>
      <w:r w:rsidRPr="006A5ED7">
        <w:rPr>
          <w:rFonts w:ascii="Arial" w:hAnsi="Arial" w:cs="Arial"/>
          <w:b/>
          <w:bCs/>
          <w:iCs/>
          <w:sz w:val="20"/>
        </w:rPr>
        <w:t>total costs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="00D85B54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D85B54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B53E1D">
        <w:rPr>
          <w:rFonts w:ascii="Arial" w:hAnsi="Arial" w:cs="Arial"/>
          <w:b/>
          <w:bCs/>
          <w:iCs/>
          <w:sz w:val="20"/>
        </w:rPr>
        <w:t>5</w:t>
      </w:r>
      <w:r w:rsidR="00937CCE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410674">
        <w:rPr>
          <w:rFonts w:ascii="Arial" w:hAnsi="Arial" w:cs="Arial"/>
          <w:iCs/>
          <w:sz w:val="20"/>
        </w:rPr>
        <w:t>3</w:t>
      </w:r>
      <w:r w:rsidR="00A14A0B" w:rsidRPr="001D15BD">
        <w:rPr>
          <w:rFonts w:ascii="Arial" w:hAnsi="Arial" w:cs="Arial"/>
          <w:iCs/>
          <w:sz w:val="20"/>
        </w:rPr>
        <w:t>,</w:t>
      </w:r>
      <w:r w:rsidR="00B53E1D">
        <w:rPr>
          <w:rFonts w:ascii="Arial" w:hAnsi="Arial" w:cs="Arial"/>
          <w:iCs/>
          <w:sz w:val="20"/>
        </w:rPr>
        <w:t>6</w:t>
      </w:r>
      <w:r w:rsidR="002C5EB1" w:rsidRPr="001D15BD">
        <w:rPr>
          <w:rFonts w:ascii="Arial" w:hAnsi="Arial" w:cs="Arial"/>
          <w:iCs/>
          <w:sz w:val="20"/>
        </w:rPr>
        <w:t>%.</w:t>
      </w:r>
      <w:r w:rsidR="00174B52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B53E1D">
        <w:rPr>
          <w:rFonts w:ascii="Arial" w:hAnsi="Arial" w:cs="Arial"/>
          <w:iCs/>
          <w:sz w:val="20"/>
        </w:rPr>
        <w:t>ts de</w:t>
      </w:r>
      <w:r w:rsidR="002C5EB1" w:rsidRPr="001D15BD">
        <w:rPr>
          <w:rFonts w:ascii="Arial" w:hAnsi="Arial" w:cs="Arial"/>
          <w:iCs/>
          <w:sz w:val="20"/>
        </w:rPr>
        <w:t>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B53E1D">
        <w:rPr>
          <w:rFonts w:ascii="Arial" w:hAnsi="Arial" w:cs="Arial"/>
          <w:iCs/>
          <w:sz w:val="20"/>
        </w:rPr>
        <w:t xml:space="preserve"> by 0</w:t>
      </w:r>
      <w:proofErr w:type="gramStart"/>
      <w:r w:rsidR="00410674">
        <w:rPr>
          <w:rFonts w:ascii="Arial" w:hAnsi="Arial" w:cs="Arial"/>
          <w:iCs/>
          <w:sz w:val="20"/>
        </w:rPr>
        <w:t>,</w:t>
      </w:r>
      <w:r w:rsidR="00B53E1D">
        <w:rPr>
          <w:rFonts w:ascii="Arial" w:hAnsi="Arial" w:cs="Arial"/>
          <w:iCs/>
          <w:sz w:val="20"/>
        </w:rPr>
        <w:t>6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B53E1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care costs (</w:t>
      </w:r>
      <w:r w:rsidR="00410674">
        <w:rPr>
          <w:rFonts w:ascii="Arial" w:hAnsi="Arial" w:cs="Arial"/>
          <w:iCs/>
          <w:sz w:val="20"/>
        </w:rPr>
        <w:t>52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B53E1D">
        <w:rPr>
          <w:rFonts w:ascii="Arial" w:hAnsi="Arial" w:cs="Arial"/>
          <w:iCs/>
          <w:sz w:val="20"/>
        </w:rPr>
        <w:t>8</w:t>
      </w:r>
      <w:proofErr w:type="gramEnd"/>
      <w:r w:rsidR="00174B52">
        <w:rPr>
          <w:rFonts w:ascii="Arial" w:hAnsi="Arial" w:cs="Arial"/>
          <w:iCs/>
          <w:sz w:val="20"/>
        </w:rPr>
        <w:t>%),</w:t>
      </w:r>
      <w:r w:rsidRPr="001D15BD">
        <w:rPr>
          <w:rFonts w:ascii="Arial" w:hAnsi="Arial" w:cs="Arial"/>
          <w:iCs/>
          <w:sz w:val="20"/>
        </w:rPr>
        <w:t xml:space="preserve">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B53E1D">
        <w:rPr>
          <w:rFonts w:ascii="Arial" w:hAnsi="Arial" w:cs="Arial"/>
          <w:iCs/>
          <w:sz w:val="20"/>
        </w:rPr>
        <w:t>0</w:t>
      </w:r>
      <w:r w:rsidR="00FD5D30" w:rsidRPr="001D15BD">
        <w:rPr>
          <w:rFonts w:ascii="Arial" w:hAnsi="Arial" w:cs="Arial"/>
          <w:iCs/>
          <w:sz w:val="20"/>
        </w:rPr>
        <w:t>,</w:t>
      </w:r>
      <w:r w:rsidR="00B53E1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B53E1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>.</w:t>
      </w:r>
      <w:r w:rsidR="00410674">
        <w:rPr>
          <w:rFonts w:ascii="Arial" w:hAnsi="Arial" w:cs="Arial"/>
          <w:iCs/>
          <w:sz w:val="20"/>
        </w:rPr>
        <w:t xml:space="preserve"> </w:t>
      </w:r>
    </w:p>
    <w:p w:rsidR="006C3D40" w:rsidRPr="001D15BD" w:rsidRDefault="006C3D40" w:rsidP="00463BBE">
      <w:pPr>
        <w:spacing w:line="276" w:lineRule="auto"/>
        <w:ind w:firstLine="708"/>
        <w:rPr>
          <w:rFonts w:ascii="Arial" w:hAnsi="Arial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6A5ED7">
        <w:rPr>
          <w:rFonts w:ascii="Arial" w:hAnsi="Arial" w:cs="Arial"/>
          <w:iCs/>
          <w:sz w:val="20"/>
        </w:rPr>
        <w:t>4</w:t>
      </w:r>
      <w:r w:rsidR="00174B52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B53E1D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D15BD">
        <w:rPr>
          <w:rFonts w:ascii="Arial" w:hAnsi="Arial" w:cs="Arial"/>
          <w:b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910941">
        <w:rPr>
          <w:rFonts w:ascii="Arial" w:hAnsi="Arial" w:cs="Arial"/>
          <w:iCs/>
          <w:sz w:val="20"/>
        </w:rPr>
        <w:t>82</w:t>
      </w:r>
      <w:r w:rsidR="006A5ED7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6A5ED7">
        <w:rPr>
          <w:rFonts w:ascii="Arial" w:hAnsi="Arial" w:cs="Arial"/>
          <w:iCs/>
          <w:sz w:val="20"/>
        </w:rPr>
        <w:t xml:space="preserve"> </w:t>
      </w:r>
      <w:r w:rsidR="00910941">
        <w:rPr>
          <w:rFonts w:ascii="Arial" w:hAnsi="Arial" w:cs="Arial"/>
          <w:iCs/>
          <w:sz w:val="20"/>
        </w:rPr>
        <w:t>54</w:t>
      </w:r>
      <w:r w:rsidR="006A5ED7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6A5ED7">
        <w:rPr>
          <w:rFonts w:ascii="Arial" w:hAnsi="Arial" w:cs="Arial"/>
          <w:iCs/>
          <w:sz w:val="20"/>
        </w:rPr>
        <w:t>5</w:t>
      </w:r>
      <w:r w:rsidR="00910941">
        <w:rPr>
          <w:rFonts w:ascii="Arial" w:hAnsi="Arial" w:cs="Arial"/>
          <w:iCs/>
          <w:sz w:val="20"/>
        </w:rPr>
        <w:t>5 060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6A5ED7">
        <w:rPr>
          <w:rFonts w:ascii="Arial" w:hAnsi="Arial" w:cs="Arial"/>
          <w:iCs/>
          <w:sz w:val="20"/>
        </w:rPr>
        <w:t>4</w:t>
      </w:r>
      <w:r w:rsidR="006616A4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910941">
        <w:rPr>
          <w:rFonts w:ascii="Arial" w:hAnsi="Arial" w:cs="Arial"/>
          <w:iCs/>
          <w:sz w:val="20"/>
        </w:rPr>
        <w:t>5</w:t>
      </w:r>
      <w:r w:rsidR="006A5ED7">
        <w:rPr>
          <w:rFonts w:ascii="Arial" w:hAnsi="Arial" w:cs="Arial"/>
          <w:iCs/>
          <w:sz w:val="20"/>
        </w:rPr>
        <w:t xml:space="preserve"> </w:t>
      </w:r>
      <w:r w:rsidR="006616A4">
        <w:rPr>
          <w:rFonts w:ascii="Arial" w:hAnsi="Arial" w:cs="Arial"/>
          <w:iCs/>
          <w:sz w:val="20"/>
        </w:rPr>
        <w:t>and</w:t>
      </w:r>
      <w:r w:rsidRPr="001D15BD">
        <w:rPr>
          <w:rFonts w:ascii="Arial" w:hAnsi="Arial" w:cs="Arial"/>
          <w:iCs/>
          <w:sz w:val="20"/>
        </w:rPr>
        <w:t xml:space="preserve"> compared to the end of Q</w:t>
      </w:r>
      <w:r w:rsidR="006A5ED7">
        <w:rPr>
          <w:rFonts w:ascii="Arial" w:hAnsi="Arial" w:cs="Arial"/>
          <w:iCs/>
          <w:sz w:val="20"/>
        </w:rPr>
        <w:t>3</w:t>
      </w:r>
      <w:r w:rsidR="006616A4">
        <w:rPr>
          <w:rFonts w:ascii="Arial" w:hAnsi="Arial" w:cs="Arial"/>
          <w:iCs/>
          <w:sz w:val="20"/>
        </w:rPr>
        <w:t xml:space="preserve"> </w:t>
      </w:r>
      <w:r w:rsidR="00233F39" w:rsidRPr="001D15BD">
        <w:rPr>
          <w:rFonts w:ascii="Arial" w:hAnsi="Arial" w:cs="Arial"/>
          <w:iCs/>
          <w:sz w:val="20"/>
        </w:rPr>
        <w:t>201</w:t>
      </w:r>
      <w:r w:rsidR="00910941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A03CE6">
        <w:rPr>
          <w:rFonts w:ascii="Arial" w:hAnsi="Arial" w:cs="Arial"/>
          <w:iCs/>
          <w:sz w:val="20"/>
        </w:rPr>
        <w:t>de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910941">
        <w:rPr>
          <w:rFonts w:ascii="Arial" w:hAnsi="Arial" w:cs="Arial"/>
          <w:iCs/>
          <w:sz w:val="20"/>
        </w:rPr>
        <w:t>3 275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</w:t>
      </w:r>
      <w:r w:rsidR="006616A4">
        <w:rPr>
          <w:rFonts w:ascii="Arial" w:hAnsi="Arial" w:cs="Arial"/>
          <w:b/>
          <w:bCs/>
          <w:iCs/>
          <w:sz w:val="20"/>
        </w:rPr>
        <w:t>ible and tangible fixed assets–</w:t>
      </w:r>
      <w:r w:rsidRPr="001D15BD">
        <w:rPr>
          <w:rFonts w:ascii="Arial" w:hAnsi="Arial" w:cs="Arial"/>
          <w:b/>
          <w:bCs/>
          <w:iCs/>
          <w:sz w:val="20"/>
        </w:rPr>
        <w:t xml:space="preserve">net </w:t>
      </w:r>
      <w:r w:rsidRPr="001D15BD">
        <w:rPr>
          <w:rFonts w:ascii="Arial" w:hAnsi="Arial" w:cs="Arial"/>
          <w:iCs/>
          <w:sz w:val="20"/>
        </w:rPr>
        <w:t>in assets</w:t>
      </w:r>
      <w:r w:rsidR="006616A4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was CZK </w:t>
      </w:r>
      <w:r w:rsidR="00910941">
        <w:rPr>
          <w:rFonts w:ascii="Arial" w:hAnsi="Arial" w:cs="Arial"/>
          <w:iCs/>
          <w:sz w:val="20"/>
        </w:rPr>
        <w:t>51</w:t>
      </w:r>
      <w:r w:rsidR="00D44320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</w:t>
      </w:r>
      <w:r w:rsidR="004928F7" w:rsidRPr="001D15BD">
        <w:rPr>
          <w:rFonts w:ascii="Arial" w:hAnsi="Arial" w:cs="Arial"/>
          <w:iCs/>
          <w:sz w:val="20"/>
        </w:rPr>
        <w:t>down</w:t>
      </w:r>
      <w:r w:rsidRPr="001D15BD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1D15BD" w:rsidSect="00EA14BC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50" w:rsidRDefault="007D2950">
      <w:r>
        <w:separator/>
      </w:r>
    </w:p>
  </w:endnote>
  <w:endnote w:type="continuationSeparator" w:id="0">
    <w:p w:rsidR="007D2950" w:rsidRDefault="007D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50" w:rsidRDefault="000962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29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2950" w:rsidRDefault="007D29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50" w:rsidRDefault="007D2950">
      <w:r>
        <w:separator/>
      </w:r>
    </w:p>
  </w:footnote>
  <w:footnote w:type="continuationSeparator" w:id="0">
    <w:p w:rsidR="007D2950" w:rsidRDefault="007D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2667"/>
    <w:rsid w:val="00015091"/>
    <w:rsid w:val="000216C7"/>
    <w:rsid w:val="00026E69"/>
    <w:rsid w:val="0006079A"/>
    <w:rsid w:val="00086878"/>
    <w:rsid w:val="0009625F"/>
    <w:rsid w:val="000A5A9D"/>
    <w:rsid w:val="000D6A1C"/>
    <w:rsid w:val="00102805"/>
    <w:rsid w:val="0010645E"/>
    <w:rsid w:val="00121424"/>
    <w:rsid w:val="0013334B"/>
    <w:rsid w:val="00136997"/>
    <w:rsid w:val="00174B52"/>
    <w:rsid w:val="00174F3D"/>
    <w:rsid w:val="001C2492"/>
    <w:rsid w:val="001D15BD"/>
    <w:rsid w:val="001E5237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2F142C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10674"/>
    <w:rsid w:val="00431C86"/>
    <w:rsid w:val="004350C9"/>
    <w:rsid w:val="00463BBE"/>
    <w:rsid w:val="00474A9B"/>
    <w:rsid w:val="00475CD4"/>
    <w:rsid w:val="00485F0B"/>
    <w:rsid w:val="004928F7"/>
    <w:rsid w:val="004A0421"/>
    <w:rsid w:val="004A690A"/>
    <w:rsid w:val="004C21FD"/>
    <w:rsid w:val="004C448A"/>
    <w:rsid w:val="004C648F"/>
    <w:rsid w:val="004E7BF0"/>
    <w:rsid w:val="0051000B"/>
    <w:rsid w:val="00513260"/>
    <w:rsid w:val="00526EB6"/>
    <w:rsid w:val="00531ABB"/>
    <w:rsid w:val="00545A77"/>
    <w:rsid w:val="005624E5"/>
    <w:rsid w:val="00562DE8"/>
    <w:rsid w:val="00576EBB"/>
    <w:rsid w:val="005910BC"/>
    <w:rsid w:val="00594376"/>
    <w:rsid w:val="005A70E2"/>
    <w:rsid w:val="005B111F"/>
    <w:rsid w:val="005C4F0C"/>
    <w:rsid w:val="00626425"/>
    <w:rsid w:val="00657FD0"/>
    <w:rsid w:val="006616A4"/>
    <w:rsid w:val="006637F5"/>
    <w:rsid w:val="006A08FF"/>
    <w:rsid w:val="006A5ED7"/>
    <w:rsid w:val="006C3D40"/>
    <w:rsid w:val="006C3FA0"/>
    <w:rsid w:val="006D2A36"/>
    <w:rsid w:val="006D4828"/>
    <w:rsid w:val="006E6124"/>
    <w:rsid w:val="007100B8"/>
    <w:rsid w:val="007315C2"/>
    <w:rsid w:val="007375A6"/>
    <w:rsid w:val="00750170"/>
    <w:rsid w:val="00761FFB"/>
    <w:rsid w:val="007745A4"/>
    <w:rsid w:val="007751F5"/>
    <w:rsid w:val="007953B2"/>
    <w:rsid w:val="00795E6A"/>
    <w:rsid w:val="007D2950"/>
    <w:rsid w:val="007E16DA"/>
    <w:rsid w:val="00803676"/>
    <w:rsid w:val="008112A0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10941"/>
    <w:rsid w:val="00937CCE"/>
    <w:rsid w:val="00943221"/>
    <w:rsid w:val="0095332C"/>
    <w:rsid w:val="009647F9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101B6"/>
    <w:rsid w:val="00B1368E"/>
    <w:rsid w:val="00B16C53"/>
    <w:rsid w:val="00B4301A"/>
    <w:rsid w:val="00B53E1D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B0FEE"/>
    <w:rsid w:val="00CE48C4"/>
    <w:rsid w:val="00CE747D"/>
    <w:rsid w:val="00CE7FF9"/>
    <w:rsid w:val="00D22E49"/>
    <w:rsid w:val="00D2627F"/>
    <w:rsid w:val="00D36427"/>
    <w:rsid w:val="00D44320"/>
    <w:rsid w:val="00D66E2C"/>
    <w:rsid w:val="00D7162E"/>
    <w:rsid w:val="00D82F4E"/>
    <w:rsid w:val="00D85B54"/>
    <w:rsid w:val="00D9599C"/>
    <w:rsid w:val="00DA22E6"/>
    <w:rsid w:val="00DA39DA"/>
    <w:rsid w:val="00DA7DF1"/>
    <w:rsid w:val="00DB01CD"/>
    <w:rsid w:val="00DB3E63"/>
    <w:rsid w:val="00DC5683"/>
    <w:rsid w:val="00DD06D6"/>
    <w:rsid w:val="00DF2896"/>
    <w:rsid w:val="00DF3405"/>
    <w:rsid w:val="00DF3EC4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A14BC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4BC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EA14BC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EA14BC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A14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EA14BC"/>
    <w:rPr>
      <w:color w:val="0000FF"/>
      <w:u w:val="single"/>
    </w:rPr>
  </w:style>
  <w:style w:type="paragraph" w:styleId="Zhlav">
    <w:name w:val="header"/>
    <w:basedOn w:val="Normln"/>
    <w:semiHidden/>
    <w:rsid w:val="00EA14BC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EA14BC"/>
    <w:rPr>
      <w:color w:val="800080"/>
      <w:u w:val="single"/>
    </w:rPr>
  </w:style>
  <w:style w:type="character" w:styleId="slostrnky">
    <w:name w:val="page number"/>
    <w:basedOn w:val="Standardnpsmoodstavce"/>
    <w:semiHidden/>
    <w:rsid w:val="00EA14BC"/>
  </w:style>
  <w:style w:type="paragraph" w:styleId="Zkladntext">
    <w:name w:val="Body Text"/>
    <w:basedOn w:val="Normln"/>
    <w:semiHidden/>
    <w:rsid w:val="00EA14BC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EA14BC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EA14BC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EA14BC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EA14BC"/>
    <w:rPr>
      <w:sz w:val="20"/>
      <w:szCs w:val="20"/>
    </w:rPr>
  </w:style>
  <w:style w:type="character" w:styleId="Znakapoznpodarou">
    <w:name w:val="footnote reference"/>
    <w:semiHidden/>
    <w:rsid w:val="00EA14BC"/>
    <w:rPr>
      <w:vertAlign w:val="superscript"/>
    </w:rPr>
  </w:style>
  <w:style w:type="character" w:styleId="Odkaznakoment">
    <w:name w:val="annotation reference"/>
    <w:semiHidden/>
    <w:rsid w:val="00EA14BC"/>
    <w:rPr>
      <w:sz w:val="16"/>
      <w:szCs w:val="16"/>
    </w:rPr>
  </w:style>
  <w:style w:type="paragraph" w:styleId="Textkomente">
    <w:name w:val="annotation text"/>
    <w:basedOn w:val="Normln"/>
    <w:semiHidden/>
    <w:rsid w:val="00EA14B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14BC"/>
    <w:rPr>
      <w:b/>
      <w:bCs/>
    </w:rPr>
  </w:style>
  <w:style w:type="paragraph" w:styleId="Textbubliny">
    <w:name w:val="Balloon Text"/>
    <w:basedOn w:val="Normln"/>
    <w:semiHidden/>
    <w:rsid w:val="00EA14BC"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557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10</cp:revision>
  <cp:lastPrinted>2016-03-08T08:10:00Z</cp:lastPrinted>
  <dcterms:created xsi:type="dcterms:W3CDTF">2016-03-03T09:05:00Z</dcterms:created>
  <dcterms:modified xsi:type="dcterms:W3CDTF">2016-03-08T09:36:00Z</dcterms:modified>
</cp:coreProperties>
</file>