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8A" w:rsidRPr="00D8339D" w:rsidRDefault="00B8548A" w:rsidP="00B8548A">
      <w:pPr>
        <w:pStyle w:val="Nadpis8"/>
        <w:spacing w:after="120" w:line="233" w:lineRule="auto"/>
        <w:rPr>
          <w:rStyle w:val="Siln"/>
          <w:rFonts w:cs="Arial"/>
          <w:b/>
          <w:bCs/>
        </w:rPr>
      </w:pPr>
      <w:bookmarkStart w:id="0" w:name="_GoBack"/>
      <w:bookmarkEnd w:id="0"/>
      <w:r>
        <w:rPr>
          <w:rStyle w:val="Siln"/>
          <w:rFonts w:cs="Arial"/>
          <w:b/>
          <w:bCs/>
        </w:rPr>
        <w:t>ZMĚNY ÚZEMNÍ STRUKTURY</w:t>
      </w:r>
      <w:r w:rsidRPr="00D8339D">
        <w:rPr>
          <w:rStyle w:val="Siln"/>
          <w:rFonts w:cs="Arial"/>
          <w:b/>
          <w:bCs/>
        </w:rPr>
        <w:t xml:space="preserve"> </w:t>
      </w:r>
      <w:r w:rsidR="00D8339D" w:rsidRPr="00D8339D">
        <w:rPr>
          <w:rStyle w:val="Siln"/>
          <w:rFonts w:cs="Arial"/>
          <w:b/>
          <w:bCs/>
        </w:rPr>
        <w:t>K 1. 1. 2021</w:t>
      </w:r>
    </w:p>
    <w:p w:rsidR="003F0A24" w:rsidRDefault="00571410" w:rsidP="00B8548A">
      <w:pPr>
        <w:pStyle w:val="Zkladntext3"/>
        <w:spacing w:after="120"/>
        <w:rPr>
          <w:rFonts w:cs="Arial"/>
          <w:szCs w:val="20"/>
        </w:rPr>
      </w:pPr>
      <w:r>
        <w:rPr>
          <w:rFonts w:cs="Arial"/>
          <w:szCs w:val="20"/>
        </w:rPr>
        <w:t xml:space="preserve">K </w:t>
      </w:r>
      <w:r w:rsidR="00D8339D">
        <w:rPr>
          <w:rFonts w:cs="Arial"/>
          <w:szCs w:val="20"/>
        </w:rPr>
        <w:t>1.</w:t>
      </w:r>
      <w:r>
        <w:rPr>
          <w:rFonts w:cs="Arial"/>
          <w:szCs w:val="20"/>
        </w:rPr>
        <w:t> </w:t>
      </w:r>
      <w:r w:rsidR="00D8339D">
        <w:rPr>
          <w:rFonts w:cs="Arial"/>
          <w:szCs w:val="20"/>
        </w:rPr>
        <w:t>1.</w:t>
      </w:r>
      <w:r>
        <w:rPr>
          <w:rFonts w:cs="Arial"/>
          <w:szCs w:val="20"/>
        </w:rPr>
        <w:t> </w:t>
      </w:r>
      <w:r w:rsidR="00D8339D">
        <w:rPr>
          <w:rFonts w:cs="Arial"/>
          <w:szCs w:val="20"/>
        </w:rPr>
        <w:t xml:space="preserve">2021 nabyl účinnosti </w:t>
      </w:r>
      <w:r w:rsidR="00D8339D" w:rsidRPr="004363BE">
        <w:rPr>
          <w:rFonts w:cs="Arial"/>
          <w:b/>
          <w:szCs w:val="20"/>
        </w:rPr>
        <w:t>zákon č. 51/2020 Sb., o</w:t>
      </w:r>
      <w:r>
        <w:rPr>
          <w:rFonts w:cs="Arial"/>
          <w:b/>
          <w:szCs w:val="20"/>
        </w:rPr>
        <w:t> </w:t>
      </w:r>
      <w:r w:rsidR="00D8339D" w:rsidRPr="004363BE">
        <w:rPr>
          <w:rFonts w:cs="Arial"/>
          <w:b/>
          <w:szCs w:val="20"/>
        </w:rPr>
        <w:t>územně správním členění státu</w:t>
      </w:r>
      <w:r w:rsidR="00D8339D" w:rsidRPr="00D8339D">
        <w:rPr>
          <w:rFonts w:cs="Arial"/>
          <w:szCs w:val="20"/>
        </w:rPr>
        <w:t xml:space="preserve"> a o</w:t>
      </w:r>
      <w:r>
        <w:rPr>
          <w:rFonts w:cs="Arial"/>
          <w:szCs w:val="20"/>
        </w:rPr>
        <w:t> </w:t>
      </w:r>
      <w:r w:rsidR="00D8339D" w:rsidRPr="00D8339D">
        <w:rPr>
          <w:rFonts w:cs="Arial"/>
          <w:szCs w:val="20"/>
        </w:rPr>
        <w:t xml:space="preserve">změně souvisejících zákonů ze dne 29. ledna 2020 </w:t>
      </w:r>
      <w:r w:rsidR="00D8339D">
        <w:rPr>
          <w:rFonts w:cs="Arial"/>
          <w:szCs w:val="20"/>
        </w:rPr>
        <w:t>(</w:t>
      </w:r>
      <w:r w:rsidR="00D8339D" w:rsidRPr="00D8339D">
        <w:rPr>
          <w:rFonts w:cs="Arial"/>
          <w:szCs w:val="20"/>
        </w:rPr>
        <w:t>zveřejněn v částce 22/2020 Sb</w:t>
      </w:r>
      <w:r w:rsidR="0003704E">
        <w:rPr>
          <w:rFonts w:cs="Arial"/>
          <w:szCs w:val="20"/>
        </w:rPr>
        <w:t>.</w:t>
      </w:r>
      <w:r w:rsidR="00D8339D">
        <w:rPr>
          <w:rFonts w:cs="Arial"/>
          <w:szCs w:val="20"/>
        </w:rPr>
        <w:t>)</w:t>
      </w:r>
      <w:r w:rsidR="00D8339D" w:rsidRPr="00D8339D">
        <w:rPr>
          <w:rFonts w:cs="Arial"/>
          <w:szCs w:val="20"/>
        </w:rPr>
        <w:t xml:space="preserve">. </w:t>
      </w:r>
      <w:r w:rsidR="00D8339D">
        <w:rPr>
          <w:rFonts w:cs="Arial"/>
          <w:szCs w:val="20"/>
        </w:rPr>
        <w:t>V</w:t>
      </w:r>
      <w:r w:rsidR="0003704E">
        <w:rPr>
          <w:rFonts w:cs="Arial"/>
          <w:szCs w:val="20"/>
        </w:rPr>
        <w:t> návaznosti na tento zákon a</w:t>
      </w:r>
      <w:r>
        <w:rPr>
          <w:rFonts w:cs="Arial"/>
          <w:szCs w:val="20"/>
        </w:rPr>
        <w:t> </w:t>
      </w:r>
      <w:r w:rsidR="0003704E">
        <w:rPr>
          <w:rFonts w:cs="Arial"/>
          <w:szCs w:val="20"/>
        </w:rPr>
        <w:t xml:space="preserve">Vyhlášku </w:t>
      </w:r>
      <w:r w:rsidR="0003704E" w:rsidRPr="0003704E">
        <w:rPr>
          <w:rFonts w:cs="Arial"/>
          <w:szCs w:val="20"/>
        </w:rPr>
        <w:t>č.</w:t>
      </w:r>
      <w:r w:rsidR="0003704E">
        <w:rPr>
          <w:rFonts w:cs="Arial"/>
          <w:szCs w:val="20"/>
        </w:rPr>
        <w:t> </w:t>
      </w:r>
      <w:r w:rsidR="0003704E" w:rsidRPr="0003704E">
        <w:rPr>
          <w:rFonts w:cs="Arial"/>
          <w:szCs w:val="20"/>
        </w:rPr>
        <w:t>346/2020 Sb., o stanovení správních obvodů obcí s rozšířenou působností, území obvodů hlavního města Prahy a příslušnosti některých obcí do jiného okresu ze dne 28. července 2020</w:t>
      </w:r>
      <w:r w:rsidR="0003704E">
        <w:rPr>
          <w:rFonts w:cs="Arial"/>
          <w:szCs w:val="20"/>
        </w:rPr>
        <w:t>,</w:t>
      </w:r>
      <w:r w:rsidR="00D8339D">
        <w:rPr>
          <w:rFonts w:cs="Arial"/>
          <w:szCs w:val="20"/>
        </w:rPr>
        <w:t xml:space="preserve"> došlo ke</w:t>
      </w:r>
      <w:r w:rsidR="00B46946">
        <w:rPr>
          <w:rFonts w:cs="Arial"/>
          <w:szCs w:val="20"/>
        </w:rPr>
        <w:t> </w:t>
      </w:r>
      <w:r w:rsidR="00D8339D">
        <w:rPr>
          <w:rFonts w:cs="Arial"/>
          <w:szCs w:val="20"/>
        </w:rPr>
        <w:t>změně územního vymezení několika okresů a několika správních obvodů s rozšířenou působností (území krajů zůstalo nezměněno</w:t>
      </w:r>
      <w:r w:rsidR="003F0A24">
        <w:rPr>
          <w:rFonts w:cs="Arial"/>
          <w:szCs w:val="20"/>
        </w:rPr>
        <w:t>)</w:t>
      </w:r>
      <w:r w:rsidR="00D8339D">
        <w:rPr>
          <w:rFonts w:cs="Arial"/>
          <w:szCs w:val="20"/>
        </w:rPr>
        <w:t>.</w:t>
      </w:r>
    </w:p>
    <w:p w:rsidR="004363BE" w:rsidRDefault="004363BE" w:rsidP="004363BE">
      <w:pPr>
        <w:pStyle w:val="Zkladntext3"/>
        <w:spacing w:after="120"/>
        <w:rPr>
          <w:rFonts w:cs="Arial"/>
          <w:szCs w:val="20"/>
        </w:rPr>
      </w:pPr>
      <w:r>
        <w:rPr>
          <w:rFonts w:cs="Arial"/>
          <w:szCs w:val="20"/>
        </w:rPr>
        <w:t xml:space="preserve">Z pohledu </w:t>
      </w:r>
      <w:r w:rsidRPr="004363BE">
        <w:rPr>
          <w:rFonts w:cs="Arial"/>
          <w:b/>
          <w:szCs w:val="20"/>
        </w:rPr>
        <w:t>okresů</w:t>
      </w:r>
      <w:r>
        <w:rPr>
          <w:rFonts w:cs="Arial"/>
          <w:szCs w:val="20"/>
        </w:rPr>
        <w:t xml:space="preserve"> došlo </w:t>
      </w:r>
      <w:r w:rsidR="00D97DDB">
        <w:rPr>
          <w:rFonts w:cs="Arial"/>
          <w:szCs w:val="20"/>
        </w:rPr>
        <w:t xml:space="preserve">ve Středočeském kraji </w:t>
      </w:r>
      <w:r w:rsidR="00571410">
        <w:rPr>
          <w:rFonts w:cs="Arial"/>
          <w:szCs w:val="20"/>
        </w:rPr>
        <w:t xml:space="preserve">k </w:t>
      </w:r>
      <w:r w:rsidR="003F0A24">
        <w:rPr>
          <w:rFonts w:cs="Arial"/>
          <w:szCs w:val="20"/>
        </w:rPr>
        <w:t>přesunu</w:t>
      </w:r>
      <w:r>
        <w:rPr>
          <w:rFonts w:cs="Arial"/>
          <w:szCs w:val="20"/>
        </w:rPr>
        <w:t xml:space="preserve"> 1 obce</w:t>
      </w:r>
      <w:r w:rsidR="003F0A24" w:rsidRPr="003F0A24">
        <w:rPr>
          <w:rFonts w:cs="Arial"/>
          <w:szCs w:val="20"/>
        </w:rPr>
        <w:t xml:space="preserve"> z okresu Nymburk do okresu Kolín</w:t>
      </w:r>
      <w:r>
        <w:rPr>
          <w:rFonts w:cs="Arial"/>
          <w:szCs w:val="20"/>
        </w:rPr>
        <w:t xml:space="preserve">, </w:t>
      </w:r>
      <w:r w:rsidR="00D97DDB">
        <w:rPr>
          <w:rFonts w:cs="Arial"/>
          <w:szCs w:val="20"/>
        </w:rPr>
        <w:t xml:space="preserve">v Plzeňském kraji </w:t>
      </w:r>
      <w:r w:rsidR="003F0A24" w:rsidRPr="003F0A24">
        <w:rPr>
          <w:rFonts w:cs="Arial"/>
          <w:szCs w:val="20"/>
        </w:rPr>
        <w:t>9 obcí z okresu Domažlice do okresu Plzeň-jih</w:t>
      </w:r>
      <w:r>
        <w:rPr>
          <w:rFonts w:cs="Arial"/>
          <w:szCs w:val="20"/>
        </w:rPr>
        <w:t xml:space="preserve">, </w:t>
      </w:r>
      <w:r w:rsidR="00D97DDB">
        <w:rPr>
          <w:rFonts w:cs="Arial"/>
          <w:szCs w:val="20"/>
        </w:rPr>
        <w:t xml:space="preserve">v Libereckém kraji </w:t>
      </w:r>
      <w:r>
        <w:rPr>
          <w:rFonts w:cs="Arial"/>
          <w:szCs w:val="20"/>
        </w:rPr>
        <w:t>1</w:t>
      </w:r>
      <w:r w:rsidR="003F0A24" w:rsidRPr="003F0A24">
        <w:rPr>
          <w:rFonts w:cs="Arial"/>
          <w:szCs w:val="20"/>
        </w:rPr>
        <w:t xml:space="preserve"> obc</w:t>
      </w:r>
      <w:r>
        <w:rPr>
          <w:rFonts w:cs="Arial"/>
          <w:szCs w:val="20"/>
        </w:rPr>
        <w:t>e</w:t>
      </w:r>
      <w:r w:rsidR="00D97DDB">
        <w:rPr>
          <w:rFonts w:cs="Arial"/>
          <w:szCs w:val="20"/>
        </w:rPr>
        <w:t xml:space="preserve"> </w:t>
      </w:r>
      <w:r w:rsidR="003F0A24" w:rsidRPr="003F0A24">
        <w:rPr>
          <w:rFonts w:cs="Arial"/>
          <w:szCs w:val="20"/>
        </w:rPr>
        <w:t>z okresu Semily do okresu Jablonec nad Nisou</w:t>
      </w:r>
      <w:r>
        <w:rPr>
          <w:rFonts w:cs="Arial"/>
          <w:szCs w:val="20"/>
        </w:rPr>
        <w:t xml:space="preserve"> a ve</w:t>
      </w:r>
      <w:r w:rsidR="00D97DDB">
        <w:rPr>
          <w:rFonts w:cs="Arial"/>
          <w:szCs w:val="20"/>
        </w:rPr>
        <w:t xml:space="preserve"> Zlínském </w:t>
      </w:r>
      <w:r>
        <w:rPr>
          <w:rFonts w:cs="Arial"/>
          <w:szCs w:val="20"/>
        </w:rPr>
        <w:t xml:space="preserve">kraji </w:t>
      </w:r>
      <w:r w:rsidR="009A48BD">
        <w:rPr>
          <w:rFonts w:cs="Arial"/>
          <w:szCs w:val="20"/>
        </w:rPr>
        <w:t>2</w:t>
      </w:r>
      <w:r w:rsidR="00D97DDB" w:rsidRPr="00D97DDB">
        <w:rPr>
          <w:rFonts w:cs="Arial"/>
          <w:szCs w:val="20"/>
        </w:rPr>
        <w:t xml:space="preserve"> obc</w:t>
      </w:r>
      <w:r>
        <w:rPr>
          <w:rFonts w:cs="Arial"/>
          <w:szCs w:val="20"/>
        </w:rPr>
        <w:t>í</w:t>
      </w:r>
      <w:r w:rsidR="00D97DDB" w:rsidRPr="00D97DDB">
        <w:rPr>
          <w:rFonts w:cs="Arial"/>
          <w:szCs w:val="20"/>
        </w:rPr>
        <w:t xml:space="preserve"> z okresu Vsetín do okresu Zlín</w:t>
      </w:r>
      <w:r>
        <w:rPr>
          <w:rFonts w:cs="Arial"/>
          <w:szCs w:val="20"/>
        </w:rPr>
        <w:t>.</w:t>
      </w:r>
    </w:p>
    <w:p w:rsidR="004363BE" w:rsidRDefault="00D97DDB" w:rsidP="004363BE">
      <w:pPr>
        <w:pStyle w:val="Zkladntext3"/>
        <w:spacing w:after="120"/>
        <w:rPr>
          <w:bCs/>
          <w:szCs w:val="20"/>
        </w:rPr>
      </w:pPr>
      <w:r>
        <w:rPr>
          <w:rFonts w:cs="Arial"/>
          <w:szCs w:val="20"/>
        </w:rPr>
        <w:t xml:space="preserve">Ve </w:t>
      </w:r>
      <w:r w:rsidRPr="004363BE">
        <w:rPr>
          <w:rFonts w:cs="Arial"/>
          <w:b/>
          <w:szCs w:val="20"/>
        </w:rPr>
        <w:t>správních obvodech obcí s rozšířenou působností</w:t>
      </w:r>
      <w:r>
        <w:rPr>
          <w:rFonts w:cs="Arial"/>
          <w:szCs w:val="20"/>
        </w:rPr>
        <w:t xml:space="preserve"> </w:t>
      </w:r>
      <w:r w:rsidR="004363BE">
        <w:rPr>
          <w:rFonts w:cs="Arial"/>
          <w:szCs w:val="20"/>
        </w:rPr>
        <w:t xml:space="preserve">(SO ORP) byly přesunuty </w:t>
      </w:r>
      <w:r>
        <w:rPr>
          <w:rFonts w:cs="Arial"/>
          <w:szCs w:val="20"/>
        </w:rPr>
        <w:t xml:space="preserve">ve Středočeském kraji </w:t>
      </w:r>
      <w:r w:rsidRPr="00D97DDB">
        <w:rPr>
          <w:rFonts w:cs="Arial"/>
          <w:szCs w:val="20"/>
        </w:rPr>
        <w:t>3</w:t>
      </w:r>
      <w:r w:rsidR="004363BE">
        <w:rPr>
          <w:rFonts w:cs="Arial"/>
          <w:szCs w:val="20"/>
        </w:rPr>
        <w:t> </w:t>
      </w:r>
      <w:r w:rsidRPr="00D97DDB">
        <w:rPr>
          <w:rFonts w:cs="Arial"/>
          <w:szCs w:val="20"/>
        </w:rPr>
        <w:t xml:space="preserve">obce </w:t>
      </w:r>
      <w:r w:rsidR="004363BE">
        <w:rPr>
          <w:rFonts w:cs="Arial"/>
          <w:szCs w:val="20"/>
        </w:rPr>
        <w:t>z</w:t>
      </w:r>
      <w:r w:rsidRPr="00D97DDB">
        <w:rPr>
          <w:rFonts w:cs="Arial"/>
          <w:szCs w:val="20"/>
        </w:rPr>
        <w:t xml:space="preserve"> SO ORP Český Brod do</w:t>
      </w:r>
      <w:r w:rsidR="009A48BD">
        <w:rPr>
          <w:rFonts w:cs="Arial"/>
          <w:szCs w:val="20"/>
        </w:rPr>
        <w:t> </w:t>
      </w:r>
      <w:r w:rsidRPr="00D97DDB">
        <w:rPr>
          <w:rFonts w:cs="Arial"/>
          <w:szCs w:val="20"/>
        </w:rPr>
        <w:t>SO</w:t>
      </w:r>
      <w:r w:rsidR="009A48BD">
        <w:rPr>
          <w:rFonts w:cs="Arial"/>
          <w:szCs w:val="20"/>
        </w:rPr>
        <w:t> </w:t>
      </w:r>
      <w:r w:rsidRPr="00D97DDB">
        <w:rPr>
          <w:rFonts w:cs="Arial"/>
          <w:szCs w:val="20"/>
        </w:rPr>
        <w:t>ORP Lysá nad Labem</w:t>
      </w:r>
      <w:r w:rsidR="004363BE">
        <w:rPr>
          <w:rFonts w:cs="Arial"/>
          <w:szCs w:val="20"/>
        </w:rPr>
        <w:t xml:space="preserve">, </w:t>
      </w:r>
      <w:r w:rsidR="009A48BD">
        <w:rPr>
          <w:rFonts w:cs="Arial"/>
          <w:szCs w:val="20"/>
        </w:rPr>
        <w:t xml:space="preserve">v Libereckém kraji </w:t>
      </w:r>
      <w:r w:rsidRPr="00D97DDB">
        <w:rPr>
          <w:rFonts w:cs="Arial"/>
          <w:szCs w:val="20"/>
        </w:rPr>
        <w:t>1 obec</w:t>
      </w:r>
      <w:r w:rsidR="009A48BD">
        <w:rPr>
          <w:rFonts w:cs="Arial"/>
          <w:szCs w:val="20"/>
        </w:rPr>
        <w:t xml:space="preserve"> </w:t>
      </w:r>
      <w:r w:rsidRPr="00D97DDB">
        <w:rPr>
          <w:rFonts w:cs="Arial"/>
          <w:szCs w:val="20"/>
        </w:rPr>
        <w:t>z SO ORP Turnov do</w:t>
      </w:r>
      <w:r w:rsidR="004363BE">
        <w:rPr>
          <w:rFonts w:cs="Arial"/>
          <w:szCs w:val="20"/>
        </w:rPr>
        <w:t> </w:t>
      </w:r>
      <w:r w:rsidRPr="00D97DDB">
        <w:rPr>
          <w:rFonts w:cs="Arial"/>
          <w:szCs w:val="20"/>
        </w:rPr>
        <w:t>SO ORP Jablonec nad Nisou</w:t>
      </w:r>
      <w:r w:rsidR="004363BE">
        <w:rPr>
          <w:rFonts w:cs="Arial"/>
          <w:szCs w:val="20"/>
        </w:rPr>
        <w:t xml:space="preserve"> a v</w:t>
      </w:r>
      <w:r w:rsidR="009A48BD" w:rsidRPr="009F442E">
        <w:rPr>
          <w:rFonts w:cs="Arial"/>
          <w:szCs w:val="20"/>
        </w:rPr>
        <w:t xml:space="preserve"> Kraji Vysočina </w:t>
      </w:r>
      <w:r w:rsidRPr="009F442E">
        <w:rPr>
          <w:rFonts w:cs="Arial"/>
          <w:szCs w:val="20"/>
        </w:rPr>
        <w:t>1 obec</w:t>
      </w:r>
      <w:r w:rsidR="009A48BD" w:rsidRPr="009F442E">
        <w:rPr>
          <w:rFonts w:cs="Arial"/>
          <w:szCs w:val="20"/>
        </w:rPr>
        <w:t xml:space="preserve"> (</w:t>
      </w:r>
      <w:r w:rsidRPr="009F442E">
        <w:rPr>
          <w:bCs/>
          <w:szCs w:val="20"/>
        </w:rPr>
        <w:t>z SO ORP Jihlava do SO ORP Havlíčkův Brod</w:t>
      </w:r>
      <w:r w:rsidR="00571410">
        <w:rPr>
          <w:bCs/>
          <w:szCs w:val="20"/>
        </w:rPr>
        <w:t>)</w:t>
      </w:r>
      <w:r w:rsidR="004363BE">
        <w:rPr>
          <w:bCs/>
          <w:szCs w:val="20"/>
        </w:rPr>
        <w:t>.</w:t>
      </w:r>
    </w:p>
    <w:p w:rsidR="00CF5AA4" w:rsidRDefault="00CF5AA4" w:rsidP="00CF5AA4">
      <w:pPr>
        <w:pStyle w:val="Zkladntext3"/>
        <w:rPr>
          <w:rFonts w:cs="Arial"/>
          <w:szCs w:val="20"/>
        </w:rPr>
      </w:pPr>
      <w:r>
        <w:rPr>
          <w:rFonts w:cs="Arial"/>
          <w:szCs w:val="20"/>
        </w:rPr>
        <w:t xml:space="preserve">Všechny údaje jsou ve statistických bulletinech zásadně publikovány </w:t>
      </w:r>
      <w:r w:rsidRPr="00CF5AA4">
        <w:rPr>
          <w:rFonts w:cs="Arial"/>
          <w:b/>
          <w:szCs w:val="20"/>
        </w:rPr>
        <w:t>v územní struktuře platné v příslušném roce</w:t>
      </w:r>
      <w:r>
        <w:rPr>
          <w:rFonts w:cs="Arial"/>
          <w:szCs w:val="20"/>
        </w:rPr>
        <w:t>. Při posuzování dat v meziročním vývoji je proto nutno změny území zohlednit.</w:t>
      </w:r>
    </w:p>
    <w:p w:rsidR="00CF5AA4" w:rsidRDefault="00CF5AA4" w:rsidP="00CF5AA4">
      <w:pPr>
        <w:pStyle w:val="Nadpis8"/>
        <w:spacing w:line="233" w:lineRule="auto"/>
        <w:rPr>
          <w:rStyle w:val="Siln"/>
          <w:rFonts w:cs="Arial"/>
          <w:b/>
          <w:bCs/>
        </w:rPr>
      </w:pPr>
    </w:p>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5F1FC7" w:rsidRDefault="005F1FC7" w:rsidP="005F1FC7">
      <w:pPr>
        <w:pStyle w:val="Zkladntext3"/>
        <w:spacing w:after="120"/>
        <w:rPr>
          <w:rFonts w:cs="Arial"/>
          <w:szCs w:val="20"/>
        </w:rPr>
      </w:pPr>
      <w:r w:rsidRPr="00F44E55">
        <w:rPr>
          <w:rFonts w:cs="Arial"/>
          <w:szCs w:val="20"/>
        </w:rPr>
        <w:t xml:space="preserve">Základem pro údaje </w:t>
      </w:r>
      <w:r w:rsidRPr="005F1FC7">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w:t>
      </w:r>
      <w:r w:rsidRPr="00F44E55">
        <w:rPr>
          <w:rFonts w:cs="Arial"/>
          <w:szCs w:val="20"/>
        </w:rPr>
        <w:lastRenderedPageBreak/>
        <w:t xml:space="preserve">lance obyvatel vycházející ze zpracování statistických hlášení ČSÚ o sňatcích, narozeních, úmrtích a rozvodech a dat o stěhování </w:t>
      </w:r>
      <w:r>
        <w:rPr>
          <w:rFonts w:cs="Arial"/>
          <w:szCs w:val="20"/>
        </w:rPr>
        <w:t xml:space="preserve">přebíraných </w:t>
      </w:r>
      <w:r w:rsidRPr="00F44E55">
        <w:rPr>
          <w:rFonts w:cs="Arial"/>
          <w:szCs w:val="20"/>
        </w:rPr>
        <w:t xml:space="preserve">z informačních systémů Ministerstva vnitra ČR. </w:t>
      </w:r>
    </w:p>
    <w:p w:rsidR="005F1FC7" w:rsidRDefault="005F1FC7" w:rsidP="005F1FC7">
      <w:pPr>
        <w:pStyle w:val="Zkladntext3"/>
        <w:spacing w:after="120"/>
        <w:rPr>
          <w:rFonts w:cs="Arial"/>
          <w:szCs w:val="20"/>
        </w:rPr>
      </w:pPr>
      <w:r>
        <w:rPr>
          <w:rFonts w:cs="Arial"/>
          <w:szCs w:val="20"/>
        </w:rPr>
        <w:t>Od 1. května 2004 se veškeré údaje týkají občanů České republiky a cizinců s trvalým pobytem v České republice, občanů třetích zemí s přechodným pobytem na území České republiky na základě dlouhodobého víza (nad 90 dnů) nebo povolení k dlouhodobému pobytu, občanů zemí EU, Norska, Švýcarska, Islandu, Lichtenštejnska a jejich rodinných příslušníků s hlášeným přechodným pobytem na území České republiky a cizinců s platným azylem v České republice.</w:t>
      </w:r>
    </w:p>
    <w:p w:rsidR="005F1FC7" w:rsidRDefault="005F1FC7" w:rsidP="005F1FC7">
      <w:pPr>
        <w:pStyle w:val="Zkladntext3"/>
        <w:spacing w:after="120"/>
        <w:rPr>
          <w:rFonts w:cs="Arial"/>
          <w:szCs w:val="20"/>
        </w:rPr>
      </w:pPr>
      <w:r>
        <w:rPr>
          <w:rFonts w:cs="Arial"/>
          <w:szCs w:val="20"/>
        </w:rPr>
        <w:t xml:space="preserve">Údaje zohledňují i </w:t>
      </w:r>
      <w:r w:rsidRPr="00F44E55">
        <w:rPr>
          <w:rFonts w:cs="Arial"/>
          <w:szCs w:val="20"/>
        </w:rPr>
        <w:t>událost</w:t>
      </w:r>
      <w:r>
        <w:rPr>
          <w:rFonts w:cs="Arial"/>
          <w:szCs w:val="20"/>
        </w:rPr>
        <w:t>i</w:t>
      </w:r>
      <w:r w:rsidRPr="00F44E55">
        <w:rPr>
          <w:rFonts w:cs="Arial"/>
          <w:szCs w:val="20"/>
        </w:rPr>
        <w:t xml:space="preserve"> </w:t>
      </w:r>
      <w:r>
        <w:rPr>
          <w:rFonts w:cs="Arial"/>
          <w:szCs w:val="20"/>
        </w:rPr>
        <w:t>(</w:t>
      </w:r>
      <w:r w:rsidRPr="00F44E55">
        <w:rPr>
          <w:rFonts w:cs="Arial"/>
          <w:szCs w:val="20"/>
        </w:rPr>
        <w:t>sňatky, narození a úmrtí</w:t>
      </w:r>
      <w:r>
        <w:rPr>
          <w:rFonts w:cs="Arial"/>
          <w:szCs w:val="20"/>
        </w:rPr>
        <w:t>)</w:t>
      </w:r>
      <w:r w:rsidRPr="00F44E55">
        <w:rPr>
          <w:rFonts w:cs="Arial"/>
          <w:szCs w:val="20"/>
        </w:rPr>
        <w:t xml:space="preserve"> českých občanů s trvalým bydlištěm na území ČR, které nastaly v cizině, pokud byly </w:t>
      </w:r>
      <w:r>
        <w:rPr>
          <w:rFonts w:cs="Arial"/>
          <w:szCs w:val="20"/>
        </w:rPr>
        <w:t xml:space="preserve">nahlášeny a </w:t>
      </w:r>
      <w:r w:rsidRPr="00F44E55">
        <w:rPr>
          <w:rFonts w:cs="Arial"/>
          <w:szCs w:val="20"/>
        </w:rPr>
        <w:t>evidovány zvláštní matrikou</w:t>
      </w:r>
      <w:r>
        <w:rPr>
          <w:rFonts w:cs="Arial"/>
          <w:szCs w:val="20"/>
        </w:rPr>
        <w:t xml:space="preserve"> v termínu, který umožňuje jejich zařazení do statistiky</w:t>
      </w:r>
      <w:r w:rsidRPr="00F44E55">
        <w:rPr>
          <w:rFonts w:cs="Arial"/>
          <w:szCs w:val="20"/>
        </w:rPr>
        <w:t xml:space="preserve">. </w:t>
      </w:r>
    </w:p>
    <w:p w:rsidR="005F1FC7" w:rsidRPr="00F44E55" w:rsidRDefault="005F1FC7" w:rsidP="005F1FC7">
      <w:pPr>
        <w:pStyle w:val="Zkladntext3"/>
        <w:spacing w:after="120"/>
        <w:rPr>
          <w:rFonts w:cs="Arial"/>
          <w:szCs w:val="20"/>
        </w:rPr>
      </w:pPr>
      <w:r w:rsidRPr="00F44E55">
        <w:rPr>
          <w:rFonts w:cs="Arial"/>
          <w:szCs w:val="20"/>
        </w:rPr>
        <w:t>Údaje jsou zveřejňovány čtvrtletně v členění do krajů a okresů (v Praze také do správních obvodů a městských částí), jednou ročně pak i do</w:t>
      </w:r>
      <w:r w:rsidR="00E93E4C">
        <w:rPr>
          <w:rFonts w:cs="Arial"/>
          <w:szCs w:val="20"/>
        </w:rPr>
        <w:t xml:space="preserve"> </w:t>
      </w:r>
      <w:r w:rsidRPr="00F44E55">
        <w:rPr>
          <w:rFonts w:cs="Arial"/>
          <w:szCs w:val="20"/>
        </w:rPr>
        <w:t xml:space="preserve">jednotlivých obcí. </w:t>
      </w:r>
    </w:p>
    <w:p w:rsidR="005F1FC7" w:rsidRPr="00F44E55" w:rsidRDefault="005F1FC7" w:rsidP="005F1FC7">
      <w:pPr>
        <w:spacing w:after="120"/>
        <w:jc w:val="both"/>
        <w:rPr>
          <w:rFonts w:ascii="Arial" w:hAnsi="Arial" w:cs="Arial"/>
          <w:sz w:val="20"/>
          <w:szCs w:val="20"/>
        </w:rPr>
      </w:pPr>
      <w:r w:rsidRPr="00F44E55">
        <w:rPr>
          <w:rFonts w:ascii="Arial" w:hAnsi="Arial" w:cs="Arial"/>
          <w:sz w:val="20"/>
          <w:szCs w:val="20"/>
        </w:rPr>
        <w:t xml:space="preserve">Údaje pro intenzitní ukazatele </w:t>
      </w:r>
      <w:r w:rsidRPr="005F1FC7">
        <w:rPr>
          <w:rFonts w:ascii="Arial" w:hAnsi="Arial" w:cs="Arial"/>
          <w:b/>
          <w:sz w:val="20"/>
          <w:szCs w:val="20"/>
        </w:rPr>
        <w:t>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5F1FC7">
        <w:rPr>
          <w:rFonts w:ascii="Arial" w:hAnsi="Arial" w:cs="Arial"/>
          <w:b/>
          <w:sz w:val="20"/>
          <w:szCs w:val="20"/>
        </w:rPr>
        <w:t>Střední stav obyvatel</w:t>
      </w:r>
      <w:r w:rsidRPr="00F44E55">
        <w:rPr>
          <w:rFonts w:ascii="Arial" w:hAnsi="Arial" w:cs="Arial"/>
          <w:sz w:val="20"/>
          <w:szCs w:val="20"/>
        </w:rPr>
        <w:t xml:space="preserve"> obecně vyjadřuje počet obyvatel daného území </w:t>
      </w:r>
      <w:r>
        <w:rPr>
          <w:rFonts w:ascii="Arial" w:hAnsi="Arial" w:cs="Arial"/>
          <w:sz w:val="20"/>
          <w:szCs w:val="20"/>
        </w:rPr>
        <w:t>v</w:t>
      </w:r>
      <w:r w:rsidRPr="00F44E55">
        <w:rPr>
          <w:rFonts w:ascii="Arial" w:hAnsi="Arial" w:cs="Arial"/>
          <w:sz w:val="20"/>
          <w:szCs w:val="20"/>
        </w:rPr>
        <w:t xml:space="preserve"> okamžiku, který byl zvolen za střed sledovaného období. Za střední stav obyvatel v kalendářním roce je považován počet obyvatel </w:t>
      </w:r>
      <w:r>
        <w:rPr>
          <w:rFonts w:ascii="Arial" w:hAnsi="Arial" w:cs="Arial"/>
          <w:sz w:val="20"/>
          <w:szCs w:val="20"/>
        </w:rPr>
        <w:t xml:space="preserve">daného území o půlnoci z 30. 6. na </w:t>
      </w:r>
      <w:r w:rsidRPr="00F44E55">
        <w:rPr>
          <w:rFonts w:ascii="Arial" w:hAnsi="Arial" w:cs="Arial"/>
          <w:sz w:val="20"/>
          <w:szCs w:val="20"/>
        </w:rPr>
        <w:t>1. 7. sledovaného roku</w:t>
      </w:r>
      <w:r>
        <w:rPr>
          <w:rFonts w:ascii="Arial" w:hAnsi="Arial" w:cs="Arial"/>
          <w:sz w:val="20"/>
          <w:szCs w:val="20"/>
        </w:rPr>
        <w:t>, který vychází z bilance pohybu obyvatel daného území od počátku roku do konce června</w:t>
      </w:r>
      <w:r w:rsidRPr="00F44E55">
        <w:rPr>
          <w:rFonts w:ascii="Arial" w:hAnsi="Arial" w:cs="Arial"/>
          <w:sz w:val="20"/>
          <w:szCs w:val="20"/>
        </w:rPr>
        <w:t xml:space="preserve">. </w:t>
      </w:r>
      <w:r>
        <w:rPr>
          <w:rFonts w:ascii="Arial" w:hAnsi="Arial" w:cs="Arial"/>
          <w:sz w:val="20"/>
          <w:szCs w:val="20"/>
        </w:rPr>
        <w:t>Za s</w:t>
      </w:r>
      <w:r w:rsidRPr="00F44E55">
        <w:rPr>
          <w:rFonts w:ascii="Arial" w:hAnsi="Arial" w:cs="Arial"/>
          <w:sz w:val="20"/>
          <w:szCs w:val="20"/>
        </w:rPr>
        <w:t xml:space="preserve">třední stav obyvatel </w:t>
      </w:r>
      <w:r>
        <w:rPr>
          <w:rFonts w:ascii="Arial" w:hAnsi="Arial" w:cs="Arial"/>
          <w:sz w:val="20"/>
          <w:szCs w:val="20"/>
        </w:rPr>
        <w:t>v období (vymezeném kalendářními měsíci) kratším než jeden rok je považován</w:t>
      </w:r>
      <w:r w:rsidRPr="00F44E55">
        <w:rPr>
          <w:rFonts w:ascii="Arial" w:hAnsi="Arial" w:cs="Arial"/>
          <w:sz w:val="20"/>
          <w:szCs w:val="20"/>
        </w:rPr>
        <w:t xml:space="preserve"> průměr středních </w:t>
      </w:r>
      <w:r>
        <w:rPr>
          <w:rFonts w:ascii="Arial" w:hAnsi="Arial" w:cs="Arial"/>
          <w:sz w:val="20"/>
          <w:szCs w:val="20"/>
        </w:rPr>
        <w:t xml:space="preserve">měsíčních </w:t>
      </w:r>
      <w:r w:rsidRPr="00F44E55">
        <w:rPr>
          <w:rFonts w:ascii="Arial" w:hAnsi="Arial" w:cs="Arial"/>
          <w:sz w:val="20"/>
          <w:szCs w:val="20"/>
        </w:rPr>
        <w:t xml:space="preserve">stavů </w:t>
      </w:r>
      <w:r>
        <w:rPr>
          <w:rFonts w:ascii="Arial" w:hAnsi="Arial" w:cs="Arial"/>
          <w:sz w:val="20"/>
          <w:szCs w:val="20"/>
        </w:rPr>
        <w:t>za dané období, přičemž měsíční střední stav je průměrem z počátečního a koncového stavu daného měsíce</w:t>
      </w:r>
      <w:r w:rsidRPr="00F44E55">
        <w:rPr>
          <w:rFonts w:ascii="Arial" w:hAnsi="Arial" w:cs="Arial"/>
          <w:sz w:val="20"/>
          <w:szCs w:val="20"/>
        </w:rPr>
        <w:t xml:space="preserve">. </w:t>
      </w:r>
    </w:p>
    <w:p w:rsidR="005F1FC7" w:rsidRPr="00F44E55" w:rsidRDefault="005F1FC7" w:rsidP="00D97DDB">
      <w:pPr>
        <w:jc w:val="both"/>
        <w:rPr>
          <w:rFonts w:ascii="Arial" w:hAnsi="Arial" w:cs="Arial"/>
          <w:sz w:val="20"/>
          <w:szCs w:val="20"/>
        </w:rPr>
      </w:pPr>
      <w:r w:rsidRPr="005E6922">
        <w:rPr>
          <w:rFonts w:ascii="Arial" w:hAnsi="Arial" w:cs="Arial"/>
          <w:b/>
          <w:sz w:val="20"/>
          <w:szCs w:val="20"/>
        </w:rPr>
        <w:lastRenderedPageBreak/>
        <w:t>Kojenecká úmrtnost</w:t>
      </w:r>
      <w:r w:rsidRPr="00F44E55">
        <w:rPr>
          <w:rFonts w:ascii="Arial" w:hAnsi="Arial" w:cs="Arial"/>
          <w:sz w:val="20"/>
          <w:szCs w:val="20"/>
        </w:rPr>
        <w:t xml:space="preserve"> </w:t>
      </w:r>
      <w:r>
        <w:rPr>
          <w:rFonts w:ascii="Arial" w:hAnsi="Arial" w:cs="Arial"/>
          <w:sz w:val="20"/>
          <w:szCs w:val="20"/>
        </w:rPr>
        <w:t>vyjadřuje</w:t>
      </w:r>
      <w:r w:rsidRPr="00F44E55">
        <w:rPr>
          <w:rFonts w:ascii="Arial" w:hAnsi="Arial" w:cs="Arial"/>
          <w:sz w:val="20"/>
          <w:szCs w:val="20"/>
        </w:rPr>
        <w:t xml:space="preserve"> </w:t>
      </w:r>
      <w:r>
        <w:rPr>
          <w:rFonts w:ascii="Arial" w:hAnsi="Arial" w:cs="Arial"/>
          <w:sz w:val="20"/>
          <w:szCs w:val="20"/>
        </w:rPr>
        <w:t xml:space="preserve">poměr </w:t>
      </w:r>
      <w:r w:rsidRPr="00F44E55">
        <w:rPr>
          <w:rFonts w:ascii="Arial" w:hAnsi="Arial" w:cs="Arial"/>
          <w:sz w:val="20"/>
          <w:szCs w:val="20"/>
        </w:rPr>
        <w:t>počt</w:t>
      </w:r>
      <w:r>
        <w:rPr>
          <w:rFonts w:ascii="Arial" w:hAnsi="Arial" w:cs="Arial"/>
          <w:sz w:val="20"/>
          <w:szCs w:val="20"/>
        </w:rPr>
        <w:t>u dětí</w:t>
      </w:r>
      <w:r w:rsidRPr="00F44E55">
        <w:rPr>
          <w:rFonts w:ascii="Arial" w:hAnsi="Arial" w:cs="Arial"/>
          <w:sz w:val="20"/>
          <w:szCs w:val="20"/>
        </w:rPr>
        <w:t xml:space="preserve"> zemřelých před dosažením věku 1 roku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r w:rsidRPr="005E6922">
        <w:rPr>
          <w:rFonts w:ascii="Arial" w:hAnsi="Arial" w:cs="Arial"/>
          <w:b/>
          <w:sz w:val="20"/>
          <w:szCs w:val="20"/>
        </w:rPr>
        <w:t>Novorozenecká úmrtnost</w:t>
      </w:r>
      <w:r w:rsidRPr="00F44E55">
        <w:rPr>
          <w:rFonts w:ascii="Arial" w:hAnsi="Arial" w:cs="Arial"/>
          <w:sz w:val="20"/>
          <w:szCs w:val="20"/>
        </w:rPr>
        <w:t xml:space="preserve"> </w:t>
      </w:r>
      <w:r>
        <w:rPr>
          <w:rFonts w:ascii="Arial" w:hAnsi="Arial" w:cs="Arial"/>
          <w:sz w:val="20"/>
          <w:szCs w:val="20"/>
        </w:rPr>
        <w:t>vyjadřuje poměr</w:t>
      </w:r>
      <w:r w:rsidRPr="00F44E55">
        <w:rPr>
          <w:rFonts w:ascii="Arial" w:hAnsi="Arial" w:cs="Arial"/>
          <w:sz w:val="20"/>
          <w:szCs w:val="20"/>
        </w:rPr>
        <w:t xml:space="preserve"> počt</w:t>
      </w:r>
      <w:r>
        <w:rPr>
          <w:rFonts w:ascii="Arial" w:hAnsi="Arial" w:cs="Arial"/>
          <w:sz w:val="20"/>
          <w:szCs w:val="20"/>
        </w:rPr>
        <w:t>u</w:t>
      </w:r>
      <w:r w:rsidRPr="00F44E55">
        <w:rPr>
          <w:rFonts w:ascii="Arial" w:hAnsi="Arial" w:cs="Arial"/>
          <w:sz w:val="20"/>
          <w:szCs w:val="20"/>
        </w:rPr>
        <w:t xml:space="preserve"> zemřelých dětí před dosažením věku 28 dnů </w:t>
      </w:r>
      <w:r>
        <w:rPr>
          <w:rFonts w:ascii="Arial" w:hAnsi="Arial" w:cs="Arial"/>
          <w:sz w:val="20"/>
          <w:szCs w:val="20"/>
        </w:rPr>
        <w:t>k počtu</w:t>
      </w:r>
      <w:r w:rsidRPr="00F44E55">
        <w:rPr>
          <w:rFonts w:ascii="Arial" w:hAnsi="Arial" w:cs="Arial"/>
          <w:sz w:val="20"/>
          <w:szCs w:val="20"/>
        </w:rPr>
        <w:t xml:space="preserve"> živě narozených dětí v</w:t>
      </w:r>
      <w:r>
        <w:rPr>
          <w:rFonts w:ascii="Arial" w:hAnsi="Arial" w:cs="Arial"/>
          <w:sz w:val="20"/>
          <w:szCs w:val="20"/>
        </w:rPr>
        <w:t>e stejném</w:t>
      </w:r>
      <w:r w:rsidRPr="00F44E55">
        <w:rPr>
          <w:rFonts w:ascii="Arial" w:hAnsi="Arial" w:cs="Arial"/>
          <w:sz w:val="20"/>
          <w:szCs w:val="20"/>
        </w:rPr>
        <w:t xml:space="preserve"> období. </w:t>
      </w:r>
    </w:p>
    <w:p w:rsidR="00E271D6" w:rsidRPr="00FD1B27" w:rsidRDefault="00E271D6" w:rsidP="00E271D6">
      <w:pPr>
        <w:jc w:val="both"/>
        <w:rPr>
          <w:rFonts w:ascii="Arial" w:hAnsi="Arial" w:cs="Arial"/>
          <w:szCs w:val="20"/>
        </w:rPr>
      </w:pPr>
    </w:p>
    <w:p w:rsidR="00E271D6" w:rsidRPr="00C63FAD" w:rsidRDefault="000A050D" w:rsidP="00FD1B27">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CF5AA4" w:rsidRPr="00FD1B27" w:rsidRDefault="00CF5AA4" w:rsidP="009D4D95">
      <w:pPr>
        <w:pStyle w:val="Normlnweb"/>
        <w:spacing w:before="120" w:beforeAutospacing="0" w:after="120" w:afterAutospacing="0"/>
        <w:jc w:val="center"/>
        <w:rPr>
          <w:rFonts w:ascii="Arial" w:hAnsi="Arial" w:cs="Arial"/>
          <w:b/>
          <w:color w:val="auto"/>
          <w:sz w:val="20"/>
          <w:highlight w:val="yellow"/>
        </w:rPr>
      </w:pPr>
    </w:p>
    <w:p w:rsidR="00CF5AA4" w:rsidRDefault="00CF5AA4" w:rsidP="009D4D95">
      <w:pPr>
        <w:pStyle w:val="Normlnweb"/>
        <w:spacing w:before="120" w:beforeAutospacing="0" w:after="120" w:afterAutospacing="0"/>
        <w:jc w:val="center"/>
        <w:rPr>
          <w:rFonts w:ascii="Arial" w:hAnsi="Arial" w:cs="Arial"/>
          <w:b/>
          <w:color w:val="auto"/>
          <w:sz w:val="20"/>
          <w:highlight w:val="yellow"/>
        </w:rPr>
      </w:pPr>
    </w:p>
    <w:p w:rsidR="005D1668" w:rsidRPr="00FD1B27" w:rsidRDefault="005D1668" w:rsidP="009D4D95">
      <w:pPr>
        <w:pStyle w:val="Normlnweb"/>
        <w:spacing w:before="120" w:beforeAutospacing="0" w:after="120" w:afterAutospacing="0"/>
        <w:jc w:val="center"/>
        <w:rPr>
          <w:rFonts w:ascii="Arial" w:hAnsi="Arial" w:cs="Arial"/>
          <w:b/>
          <w:color w:val="auto"/>
          <w:sz w:val="20"/>
          <w:highlight w:val="yellow"/>
        </w:rPr>
      </w:pPr>
    </w:p>
    <w:p w:rsidR="009D4D95" w:rsidRPr="007A48C0" w:rsidRDefault="009D4D95" w:rsidP="00045CF4">
      <w:pPr>
        <w:pStyle w:val="Normlnweb"/>
        <w:spacing w:before="120" w:beforeAutospacing="0" w:after="120" w:afterAutospacing="0"/>
        <w:jc w:val="center"/>
        <w:rPr>
          <w:rFonts w:ascii="Arial" w:hAnsi="Arial" w:cs="Arial"/>
          <w:b/>
          <w:noProof/>
          <w:color w:val="auto"/>
          <w:sz w:val="20"/>
        </w:rPr>
      </w:pPr>
      <w:r w:rsidRPr="00CA0CE4">
        <w:rPr>
          <w:rFonts w:ascii="Arial" w:hAnsi="Arial" w:cs="Arial"/>
          <w:b/>
          <w:color w:val="auto"/>
          <w:sz w:val="20"/>
        </w:rPr>
        <w:t>Intervaly spolehlivosti (95%) pro odhad počtu zaměstnaných v NH,</w:t>
      </w:r>
      <w:r w:rsidRPr="00CA0CE4">
        <w:rPr>
          <w:rFonts w:ascii="Arial" w:hAnsi="Arial" w:cs="Arial"/>
          <w:b/>
          <w:color w:val="auto"/>
          <w:sz w:val="20"/>
        </w:rPr>
        <w:br/>
        <w:t xml:space="preserve">nezaměstnaných a </w:t>
      </w:r>
      <w:r w:rsidR="00D64D80" w:rsidRPr="00CA0CE4">
        <w:rPr>
          <w:rFonts w:ascii="Arial" w:hAnsi="Arial" w:cs="Arial"/>
          <w:b/>
          <w:color w:val="auto"/>
          <w:sz w:val="20"/>
        </w:rPr>
        <w:t xml:space="preserve">obecné míry </w:t>
      </w:r>
      <w:r w:rsidRPr="00CA0CE4">
        <w:rPr>
          <w:rFonts w:ascii="Arial" w:hAnsi="Arial" w:cs="Arial"/>
          <w:b/>
          <w:color w:val="auto"/>
          <w:sz w:val="20"/>
        </w:rPr>
        <w:t>nezaměstnanosti (</w:t>
      </w:r>
      <w:r w:rsidR="007A48C0">
        <w:rPr>
          <w:rFonts w:ascii="Arial" w:hAnsi="Arial" w:cs="Arial"/>
          <w:b/>
          <w:color w:val="auto"/>
          <w:sz w:val="20"/>
        </w:rPr>
        <w:t>1</w:t>
      </w:r>
      <w:r w:rsidRPr="00CA0CE4">
        <w:rPr>
          <w:rFonts w:ascii="Arial" w:hAnsi="Arial" w:cs="Arial"/>
          <w:b/>
          <w:color w:val="auto"/>
          <w:sz w:val="20"/>
        </w:rPr>
        <w:t>. čtvrtletí 202</w:t>
      </w:r>
      <w:r w:rsidR="007A48C0">
        <w:rPr>
          <w:rFonts w:ascii="Arial" w:hAnsi="Arial" w:cs="Arial"/>
          <w:b/>
          <w:color w:val="auto"/>
          <w:sz w:val="20"/>
        </w:rPr>
        <w:t>2</w:t>
      </w:r>
      <w:r w:rsidRPr="00CA0CE4">
        <w:rPr>
          <w:rFonts w:ascii="Arial" w:hAnsi="Arial" w:cs="Arial"/>
          <w:b/>
          <w:color w:val="auto"/>
          <w:sz w:val="20"/>
        </w:rPr>
        <w:t>)</w:t>
      </w:r>
    </w:p>
    <w:p w:rsidR="00290A84" w:rsidRDefault="00CB0B69" w:rsidP="00E93E4C">
      <w:pPr>
        <w:pStyle w:val="Normlnweb"/>
        <w:spacing w:before="120" w:beforeAutospacing="0" w:after="120" w:afterAutospacing="0"/>
        <w:jc w:val="center"/>
        <w:rPr>
          <w:rFonts w:ascii="Arial" w:hAnsi="Arial" w:cs="Arial"/>
          <w:b/>
          <w:color w:val="auto"/>
          <w:sz w:val="20"/>
        </w:rPr>
      </w:pPr>
      <w:r w:rsidRPr="00CB0B69">
        <w:rPr>
          <w:rFonts w:ascii="Arial" w:hAnsi="Arial" w:cs="Arial"/>
          <w:b/>
          <w:noProof/>
          <w:color w:val="auto"/>
          <w:sz w:val="20"/>
        </w:rPr>
        <w:lastRenderedPageBreak/>
        <w:drawing>
          <wp:inline distT="0" distB="0" distL="0" distR="0">
            <wp:extent cx="6120130" cy="3769162"/>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769162"/>
                    </a:xfrm>
                    <a:prstGeom prst="rect">
                      <a:avLst/>
                    </a:prstGeom>
                    <a:noFill/>
                    <a:ln>
                      <a:noFill/>
                    </a:ln>
                  </pic:spPr>
                </pic:pic>
              </a:graphicData>
            </a:graphic>
          </wp:inline>
        </w:drawing>
      </w:r>
    </w:p>
    <w:p w:rsidR="00E271D6" w:rsidRPr="00C63FAD" w:rsidRDefault="00E271D6" w:rsidP="009F442E">
      <w:pPr>
        <w:pStyle w:val="Zkladntext3"/>
        <w:spacing w:before="120" w:after="120"/>
        <w:rPr>
          <w:rFonts w:cs="Arial"/>
          <w:szCs w:val="20"/>
        </w:rPr>
      </w:pPr>
      <w:r w:rsidRPr="00C63FAD">
        <w:rPr>
          <w:rFonts w:cs="Arial"/>
          <w:szCs w:val="20"/>
        </w:rPr>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w:t>
      </w:r>
      <w:r w:rsidR="0028066A">
        <w:rPr>
          <w:rFonts w:cs="Arial"/>
          <w:szCs w:val="20"/>
        </w:rPr>
        <w:t xml:space="preserve"> </w:t>
      </w:r>
      <w:r w:rsidRPr="00C63FAD">
        <w:rPr>
          <w:rFonts w:cs="Arial"/>
          <w:szCs w:val="20"/>
        </w:rPr>
        <w:t xml:space="preserve">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E93E4C">
        <w:rPr>
          <w:rFonts w:cs="Arial"/>
          <w:szCs w:val="20"/>
        </w:rPr>
        <w:t xml:space="preserve"> </w:t>
      </w:r>
      <w:r w:rsidRPr="00C63FAD">
        <w:rPr>
          <w:rFonts w:cs="Arial"/>
          <w:szCs w:val="20"/>
        </w:rPr>
        <w:t>práce, aktivně ji hledaly a byly připraveny k nástupu do zaměstnání nejpozději do 14 dnů. Za</w:t>
      </w:r>
      <w:r w:rsidR="00E93E4C">
        <w:rPr>
          <w:rFonts w:cs="Arial"/>
          <w:szCs w:val="20"/>
        </w:rPr>
        <w:t xml:space="preserve">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FD1B2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w:t>
      </w:r>
      <w:r w:rsidR="00E93E4C">
        <w:rPr>
          <w:rFonts w:cs="Arial"/>
          <w:szCs w:val="20"/>
        </w:rPr>
        <w:t xml:space="preserve"> </w:t>
      </w:r>
      <w:r w:rsidRPr="00A16978">
        <w:rPr>
          <w:rFonts w:cs="Arial"/>
          <w:szCs w:val="20"/>
        </w:rPr>
        <w:t xml:space="preserve">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lastRenderedPageBreak/>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Pr="00B46946" w:rsidRDefault="00987DCD" w:rsidP="00987DCD">
      <w:pPr>
        <w:rPr>
          <w:rFonts w:ascii="Arial" w:hAnsi="Arial" w:cs="Arial"/>
          <w:b/>
          <w:sz w:val="22"/>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5D1668" w:rsidP="00956E81">
      <w:pPr>
        <w:pStyle w:val="Nadpis8"/>
        <w:rPr>
          <w:rFonts w:cs="Arial"/>
          <w:b w:val="0"/>
          <w:bCs w:val="0"/>
        </w:rPr>
      </w:pPr>
      <w:r>
        <w:rPr>
          <w:rStyle w:val="Siln"/>
          <w:rFonts w:cs="Arial"/>
          <w:b/>
          <w:bCs/>
        </w:rPr>
        <w:lastRenderedPageBreak/>
        <w:t>EKONOMICKÉ SUBJEKTY</w:t>
      </w:r>
    </w:p>
    <w:p w:rsidR="00987DCD" w:rsidRPr="00C63FAD" w:rsidRDefault="005D1668" w:rsidP="00987DCD">
      <w:pPr>
        <w:pStyle w:val="Zkladntext3"/>
        <w:spacing w:before="120" w:after="120"/>
        <w:rPr>
          <w:rFonts w:cs="Arial"/>
        </w:rPr>
      </w:pPr>
      <w:r w:rsidRPr="005D1668">
        <w:rPr>
          <w:rFonts w:cs="Arial"/>
          <w:szCs w:val="20"/>
        </w:rPr>
        <w:t>Údaje o ekonomických subjektech jsou sestaveny z dat vedených v</w:t>
      </w:r>
      <w:r w:rsidR="00987DCD" w:rsidRPr="00C63FAD">
        <w:rPr>
          <w:rFonts w:cs="Arial"/>
        </w:rPr>
        <w:t xml:space="preserve"> Registr</w:t>
      </w:r>
      <w:r>
        <w:rPr>
          <w:rFonts w:cs="Arial"/>
        </w:rPr>
        <w:t>u</w:t>
      </w:r>
      <w:r w:rsidR="00987DCD" w:rsidRPr="00C63FAD">
        <w:rPr>
          <w:rFonts w:cs="Arial"/>
        </w:rPr>
        <w:t xml:space="preserve">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 xml:space="preserve">i odpovídá sekcím a oddílům </w:t>
      </w:r>
      <w:r w:rsidR="005D1668">
        <w:rPr>
          <w:rFonts w:ascii="Arial" w:hAnsi="Arial" w:cs="Arial"/>
          <w:sz w:val="20"/>
        </w:rPr>
        <w:t>K</w:t>
      </w:r>
      <w:r w:rsidRPr="00C63FAD">
        <w:rPr>
          <w:rFonts w:ascii="Arial" w:hAnsi="Arial" w:cs="Arial"/>
          <w:sz w:val="20"/>
        </w:rPr>
        <w:t>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5D1668" w:rsidRPr="00C63FAD" w:rsidRDefault="005D1668" w:rsidP="005D1668">
      <w:pPr>
        <w:pStyle w:val="Nadpis8"/>
        <w:rPr>
          <w:rFonts w:cs="Arial"/>
          <w:b w:val="0"/>
          <w:bCs w:val="0"/>
        </w:rPr>
      </w:pPr>
      <w:r w:rsidRPr="00C63FAD">
        <w:rPr>
          <w:rStyle w:val="Siln"/>
          <w:rFonts w:cs="Arial"/>
          <w:b/>
          <w:bCs/>
        </w:rPr>
        <w:t>ZEMĚDĚLSTVÍ</w:t>
      </w:r>
      <w:r w:rsidRPr="00C63FAD">
        <w:rPr>
          <w:rFonts w:cs="Arial"/>
          <w:b w:val="0"/>
          <w:bCs w:val="0"/>
        </w:rPr>
        <w:t xml:space="preserve"> </w:t>
      </w:r>
    </w:p>
    <w:p w:rsidR="005D1668" w:rsidRPr="00C63FAD" w:rsidRDefault="005D1668" w:rsidP="0031028F">
      <w:pPr>
        <w:pStyle w:val="Zkladntext3"/>
        <w:spacing w:before="120" w:after="120"/>
        <w:rPr>
          <w:rFonts w:cs="Arial"/>
        </w:rPr>
      </w:pPr>
      <w:r w:rsidRPr="0079301E">
        <w:rPr>
          <w:rFonts w:cs="Arial"/>
          <w:b/>
          <w:szCs w:val="20"/>
        </w:rPr>
        <w:t>Výroba masa</w:t>
      </w:r>
      <w:r w:rsidRPr="00E62003">
        <w:rPr>
          <w:rFonts w:cs="Arial"/>
          <w:szCs w:val="20"/>
        </w:rPr>
        <w:t xml:space="preserve"> (bez drůbežího) představuje jatečnou hmotnost zvířat (bez ohledu na to, zda jsou tuzemského původu nebo byla dovezena ze zahra</w:t>
      </w:r>
      <w:r w:rsidRPr="00E62003">
        <w:rPr>
          <w:rFonts w:cs="Arial"/>
          <w:szCs w:val="20"/>
        </w:rPr>
        <w:lastRenderedPageBreak/>
        <w:t>ničí) poražených na registrovaných jatkách. Zahrnuje maso (i</w:t>
      </w:r>
      <w:r>
        <w:rPr>
          <w:rFonts w:cs="Arial"/>
          <w:szCs w:val="20"/>
        </w:rPr>
        <w:t> </w:t>
      </w:r>
      <w:r w:rsidRPr="00E62003">
        <w:rPr>
          <w:rFonts w:cs="Arial"/>
          <w:szCs w:val="20"/>
        </w:rPr>
        <w:t>z</w:t>
      </w:r>
      <w:r>
        <w:rPr>
          <w:rFonts w:cs="Arial"/>
          <w:szCs w:val="20"/>
        </w:rPr>
        <w:t> </w:t>
      </w:r>
      <w:r w:rsidRPr="00E62003">
        <w:rPr>
          <w:rFonts w:cs="Arial"/>
          <w:szCs w:val="20"/>
        </w:rPr>
        <w:t>nutných porážek), které bylo uznáno za vhodné pro lidskou spotřebu. Jatečná hmotnost je hmotnost jatečně upravených těl dle definice stanovené v nařízeních Rady EU.</w:t>
      </w:r>
      <w:r>
        <w:rPr>
          <w:rFonts w:cs="Arial"/>
          <w:szCs w:val="20"/>
        </w:rPr>
        <w:t xml:space="preserve"> </w:t>
      </w:r>
      <w:r w:rsidRPr="00C63FAD">
        <w:rPr>
          <w:rFonts w:cs="Arial"/>
          <w:szCs w:val="20"/>
        </w:rPr>
        <w:t>Výroba masa</w:t>
      </w:r>
      <w:r>
        <w:rPr>
          <w:rFonts w:cs="Arial"/>
          <w:szCs w:val="20"/>
        </w:rPr>
        <w:t xml:space="preserve"> celkem (bez drůbežího)</w:t>
      </w:r>
      <w:r w:rsidRPr="00C63FAD">
        <w:rPr>
          <w:rFonts w:cs="Arial"/>
          <w:szCs w:val="20"/>
        </w:rPr>
        <w:t xml:space="preserve"> zahrnuje výrobu hovězího, telecího, vepřového, skopového, </w:t>
      </w:r>
      <w:r>
        <w:rPr>
          <w:rFonts w:cs="Arial"/>
          <w:szCs w:val="20"/>
        </w:rPr>
        <w:t xml:space="preserve">jehněčího, </w:t>
      </w:r>
      <w:r w:rsidRPr="00C63FAD">
        <w:rPr>
          <w:rFonts w:cs="Arial"/>
          <w:szCs w:val="20"/>
        </w:rPr>
        <w:t>kozího a koňského masa</w:t>
      </w:r>
      <w:r>
        <w:rPr>
          <w:rFonts w:cs="Arial"/>
          <w:szCs w:val="20"/>
        </w:rPr>
        <w:t xml:space="preserve">. </w:t>
      </w:r>
      <w:r w:rsidRPr="00F752DB">
        <w:rPr>
          <w:rFonts w:cs="Arial"/>
          <w:szCs w:val="20"/>
        </w:rPr>
        <w:t>Telecí maso je maso skotu poraženého ve věku do osmi měsíců, jehněčí maso je maso ovcí por</w:t>
      </w:r>
      <w:r>
        <w:rPr>
          <w:rFonts w:cs="Arial"/>
          <w:szCs w:val="20"/>
        </w:rPr>
        <w:t>ažených ve věku do jednoho roku</w:t>
      </w:r>
    </w:p>
    <w:p w:rsidR="005D1668" w:rsidRPr="00C63FAD" w:rsidRDefault="005D1668" w:rsidP="005D1668">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5D1668" w:rsidRPr="00C63FAD" w:rsidRDefault="005D1668" w:rsidP="0031028F">
      <w:pPr>
        <w:pStyle w:val="Nadpis8"/>
        <w:rPr>
          <w:rFonts w:cs="Arial"/>
          <w:b w:val="0"/>
          <w:bCs w:val="0"/>
        </w:rPr>
      </w:pPr>
      <w:r w:rsidRPr="00C63FAD">
        <w:rPr>
          <w:rStyle w:val="Siln"/>
          <w:rFonts w:cs="Arial"/>
          <w:b/>
          <w:bCs/>
        </w:rPr>
        <w:t>PRŮMYSL</w:t>
      </w:r>
      <w:r w:rsidRPr="00C63FAD">
        <w:rPr>
          <w:rFonts w:cs="Arial"/>
          <w:b w:val="0"/>
          <w:bCs w:val="0"/>
        </w:rPr>
        <w:t xml:space="preserve"> </w:t>
      </w:r>
    </w:p>
    <w:p w:rsidR="005D1668" w:rsidRDefault="005D1668" w:rsidP="0031028F">
      <w:pPr>
        <w:pStyle w:val="Zkladntext3"/>
        <w:spacing w:before="120" w:after="120"/>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 kategorii 100 a více zaměstnanců je zjišťování úplné.</w:t>
      </w:r>
    </w:p>
    <w:p w:rsidR="005D1668" w:rsidRDefault="005D1668" w:rsidP="0031028F">
      <w:pPr>
        <w:pStyle w:val="Zkladntext3"/>
        <w:spacing w:after="120"/>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lastRenderedPageBreak/>
        <w:t>Tržby (příjmy) zahrnují prodej vlastní hmotné a nehmotné produkce, oceněné v</w:t>
      </w:r>
      <w:r>
        <w:t> </w:t>
      </w:r>
      <w:r w:rsidRPr="006A20C7">
        <w:t>běžných cenách. Součástí těchto tržeb není DPH, spotřební daň ani clo.</w:t>
      </w:r>
    </w:p>
    <w:p w:rsidR="005D1668" w:rsidRDefault="005D1668" w:rsidP="0031028F">
      <w:pPr>
        <w:pStyle w:val="Zkladntext3"/>
        <w:spacing w:after="120"/>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5D1668" w:rsidRPr="0031028F" w:rsidRDefault="005D1668" w:rsidP="005D1668">
      <w:pPr>
        <w:pStyle w:val="Zkladntext3"/>
        <w:rPr>
          <w:rFonts w:cs="Arial"/>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5D1668" w:rsidRPr="006A3D8E" w:rsidRDefault="005D1668" w:rsidP="005D1668">
      <w:pPr>
        <w:pStyle w:val="Nadpis8"/>
        <w:rPr>
          <w:rStyle w:val="Siln"/>
          <w:rFonts w:cs="Arial"/>
          <w:b/>
          <w:bCs/>
        </w:rPr>
      </w:pPr>
    </w:p>
    <w:p w:rsidR="005D1668" w:rsidRPr="00C63FAD" w:rsidRDefault="005D1668" w:rsidP="005D1668">
      <w:pPr>
        <w:pStyle w:val="Nadpis8"/>
        <w:rPr>
          <w:rFonts w:cs="Arial"/>
          <w:b w:val="0"/>
          <w:bCs w:val="0"/>
        </w:rPr>
      </w:pPr>
      <w:r w:rsidRPr="00C63FAD">
        <w:rPr>
          <w:rStyle w:val="Siln"/>
          <w:rFonts w:cs="Arial"/>
          <w:b/>
          <w:bCs/>
        </w:rPr>
        <w:t>STAVEBNICTVÍ</w:t>
      </w:r>
      <w:r w:rsidRPr="00C63FAD">
        <w:rPr>
          <w:rFonts w:cs="Arial"/>
          <w:b w:val="0"/>
          <w:bCs w:val="0"/>
        </w:rPr>
        <w:t xml:space="preserve"> </w:t>
      </w:r>
    </w:p>
    <w:p w:rsidR="005D1668" w:rsidRPr="00CC0ABB" w:rsidRDefault="005D1668" w:rsidP="005D1668">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r>
        <w:rPr>
          <w:rFonts w:ascii="Arial" w:hAnsi="Arial" w:cs="Arial"/>
          <w:sz w:val="20"/>
          <w:szCs w:val="20"/>
        </w:rPr>
        <w:t xml:space="preserve"> bez ostatních osobních nákladů (OON)</w:t>
      </w:r>
      <w:r w:rsidRPr="00CC0ABB">
        <w:rPr>
          <w:rFonts w:ascii="Arial" w:hAnsi="Arial" w:cs="Arial"/>
          <w:sz w:val="20"/>
          <w:szCs w:val="20"/>
        </w:rPr>
        <w:t>.</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w:t>
      </w:r>
      <w:r w:rsidRPr="00CC0ABB">
        <w:rPr>
          <w:rFonts w:ascii="Arial" w:hAnsi="Arial" w:cs="Arial"/>
          <w:sz w:val="20"/>
          <w:szCs w:val="20"/>
        </w:rPr>
        <w:lastRenderedPageBreak/>
        <w:t xml:space="preserve">konstrukcí. </w:t>
      </w:r>
      <w:r w:rsidRPr="005D1668">
        <w:rPr>
          <w:rFonts w:ascii="Arial" w:hAnsi="Arial" w:cs="Arial"/>
          <w:sz w:val="20"/>
          <w:szCs w:val="20"/>
        </w:rPr>
        <w:t xml:space="preserve">Hodnota stavebních prací je uváděna bez daně z přidané hodnoty.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5D1668" w:rsidRPr="00CC0ABB" w:rsidRDefault="005D1668" w:rsidP="0031028F">
      <w:pPr>
        <w:pStyle w:val="Normlnweb"/>
        <w:spacing w:before="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5D1668" w:rsidRDefault="005D1668" w:rsidP="0031028F">
      <w:pPr>
        <w:pStyle w:val="Normlnweb"/>
        <w:spacing w:before="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5D1668" w:rsidRDefault="005D1668" w:rsidP="00C92701">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31028F">
      <w:pPr>
        <w:spacing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5D1668" w:rsidRDefault="00987DCD" w:rsidP="0031028F">
      <w:pPr>
        <w:pStyle w:val="Normlnweb"/>
        <w:spacing w:before="0" w:beforeAutospacing="0" w:after="0" w:afterAutospacing="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w:t>
      </w:r>
      <w:r w:rsidR="0068210D">
        <w:rPr>
          <w:rFonts w:ascii="Arial" w:hAnsi="Arial" w:cs="Arial"/>
          <w:sz w:val="20"/>
          <w:szCs w:val="20"/>
        </w:rPr>
        <w:t xml:space="preserve"> </w:t>
      </w:r>
      <w:r w:rsidRPr="00987DCD">
        <w:rPr>
          <w:rFonts w:ascii="Arial" w:hAnsi="Arial" w:cs="Arial"/>
          <w:sz w:val="20"/>
          <w:szCs w:val="20"/>
        </w:rPr>
        <w:t>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p>
    <w:p w:rsidR="0031028F" w:rsidRDefault="0031028F" w:rsidP="005D1668">
      <w:pPr>
        <w:jc w:val="both"/>
        <w:rPr>
          <w:rFonts w:ascii="Arial" w:hAnsi="Arial" w:cs="Arial"/>
          <w:sz w:val="20"/>
          <w:szCs w:val="20"/>
        </w:rPr>
      </w:pPr>
    </w:p>
    <w:p w:rsidR="00987DCD" w:rsidRDefault="00987DCD" w:rsidP="005D1668">
      <w:pPr>
        <w:jc w:val="both"/>
        <w:rPr>
          <w:rFonts w:ascii="Arial" w:hAnsi="Arial" w:cs="Arial"/>
          <w:sz w:val="20"/>
          <w:szCs w:val="20"/>
        </w:rPr>
      </w:pPr>
    </w:p>
    <w:p w:rsidR="00C92701" w:rsidRPr="00C63FAD" w:rsidRDefault="00C92701" w:rsidP="00C92701">
      <w:pPr>
        <w:pStyle w:val="Nadpis8"/>
        <w:rPr>
          <w:rFonts w:cs="Arial"/>
          <w:b w:val="0"/>
          <w:bCs w:val="0"/>
        </w:rPr>
      </w:pPr>
      <w:r w:rsidRPr="00C63FAD">
        <w:rPr>
          <w:rStyle w:val="Siln"/>
          <w:rFonts w:cs="Arial"/>
          <w:b/>
          <w:bCs/>
        </w:rPr>
        <w:lastRenderedPageBreak/>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BA5C00">
      <w:pPr>
        <w:pStyle w:val="GroupWiseView"/>
        <w:tabs>
          <w:tab w:val="left" w:pos="1500"/>
          <w:tab w:val="left" w:pos="3000"/>
        </w:tabs>
        <w:spacing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BA5C00">
      <w:pPr>
        <w:pStyle w:val="GroupWiseView"/>
        <w:tabs>
          <w:tab w:val="left" w:pos="1500"/>
          <w:tab w:val="left" w:pos="3000"/>
        </w:tabs>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w:t>
      </w:r>
      <w:r>
        <w:rPr>
          <w:rFonts w:cs="Arial"/>
        </w:rPr>
        <w:lastRenderedPageBreak/>
        <w:t xml:space="preserve">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BA5C00">
      <w:pPr>
        <w:pStyle w:val="Rbntext"/>
        <w:spacing w:before="0"/>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BA5C00">
      <w:pPr>
        <w:spacing w:before="120" w:after="120"/>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lastRenderedPageBreak/>
        <w:t xml:space="preserve">Data o </w:t>
      </w:r>
      <w:r w:rsidRPr="00B8548A">
        <w:rPr>
          <w:rFonts w:ascii="Arial" w:hAnsi="Arial" w:cs="Arial"/>
          <w:b/>
          <w:sz w:val="20"/>
        </w:rPr>
        <w:t>registrovaných a objasněných trestných činech</w:t>
      </w:r>
      <w:r>
        <w:rPr>
          <w:rFonts w:ascii="Arial" w:hAnsi="Arial" w:cs="Arial"/>
          <w:sz w:val="20"/>
        </w:rPr>
        <w:t xml:space="preserve">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Pr="00BA5C00" w:rsidRDefault="00B73E2E" w:rsidP="005D1668">
      <w:pPr>
        <w:pStyle w:val="Rtextmetodika"/>
        <w:rPr>
          <w:rFonts w:cs="Arial"/>
          <w:sz w:val="20"/>
        </w:rPr>
      </w:pPr>
      <w:r w:rsidRPr="00BA5C00">
        <w:rPr>
          <w:rFonts w:cs="Arial"/>
          <w:sz w:val="20"/>
        </w:rPr>
        <w:t xml:space="preserve">Údaje o </w:t>
      </w:r>
      <w:r w:rsidRPr="00BA5C00">
        <w:rPr>
          <w:rFonts w:cs="Arial"/>
          <w:b/>
          <w:bCs/>
          <w:sz w:val="20"/>
        </w:rPr>
        <w:t>požárech</w:t>
      </w:r>
      <w:r w:rsidRPr="00BA5C00">
        <w:rPr>
          <w:rFonts w:cs="Arial"/>
          <w:sz w:val="20"/>
        </w:rPr>
        <w:t xml:space="preserve"> byly převzaty z podkladů Hasičského záchranného sboru ČR.</w:t>
      </w:r>
    </w:p>
    <w:p w:rsidR="005D1668" w:rsidRPr="00BA5C00" w:rsidRDefault="005D1668" w:rsidP="005D1668">
      <w:pPr>
        <w:pStyle w:val="Rtextmetodika"/>
        <w:rPr>
          <w:rFonts w:cs="Arial"/>
          <w:sz w:val="20"/>
        </w:rPr>
      </w:pPr>
      <w:r w:rsidRPr="00BA5C00">
        <w:rPr>
          <w:rFonts w:cs="Arial"/>
          <w:b/>
          <w:sz w:val="20"/>
        </w:rPr>
        <w:t>Požár</w:t>
      </w:r>
      <w:r w:rsidRPr="00BA5C00">
        <w:rPr>
          <w:rFonts w:cs="Arial"/>
          <w:sz w:val="20"/>
        </w:rPr>
        <w:t xml:space="preserve"> představuje každé nežádoucí hoření, při kterém došlo k usmrcení či zranění osob nebo zvířat anebo ke škodám na materiálních hodnotách nebo životním prostředí. Za požár se považuje i nežádoucí hoření, při kterém byly osoby, zvířata nebo materiální hodnoty nebo životní prostředí bezprostředně ohroženy.</w:t>
      </w:r>
    </w:p>
    <w:p w:rsidR="005D1668" w:rsidRPr="00BA5C00" w:rsidRDefault="005D1668" w:rsidP="005D1668">
      <w:pPr>
        <w:pStyle w:val="Rtextmetodika"/>
        <w:rPr>
          <w:rFonts w:cs="Arial"/>
          <w:bCs/>
          <w:iCs/>
          <w:sz w:val="20"/>
        </w:rPr>
      </w:pPr>
      <w:r w:rsidRPr="00BA5C00">
        <w:rPr>
          <w:rFonts w:cs="Arial"/>
          <w:b/>
          <w:bCs/>
          <w:iCs/>
          <w:sz w:val="20"/>
        </w:rPr>
        <w:t>Usmrcené osoby celkem</w:t>
      </w:r>
      <w:r w:rsidRPr="00BA5C00">
        <w:rPr>
          <w:rFonts w:cs="Arial"/>
          <w:bCs/>
          <w:iCs/>
          <w:sz w:val="20"/>
        </w:rPr>
        <w:t xml:space="preserve"> jsou </w:t>
      </w:r>
      <w:r w:rsidRPr="00BA5C00">
        <w:rPr>
          <w:rFonts w:cs="Arial"/>
          <w:sz w:val="20"/>
        </w:rPr>
        <w:t>všechny</w:t>
      </w:r>
      <w:r w:rsidRPr="00BA5C00">
        <w:rPr>
          <w:rFonts w:cs="Arial"/>
          <w:bCs/>
          <w:iCs/>
          <w:sz w:val="20"/>
        </w:rPr>
        <w:t xml:space="preserve"> usmrcené osoby nalezené na místě požáru. Údaj zahrnuje i osoby, jejichž smrt prokazatelně nenastala v přímé souvislosti s požárem např. v důsledku infarktu, vraždy apod.</w:t>
      </w:r>
    </w:p>
    <w:p w:rsidR="005D1668" w:rsidRPr="00BA5C00" w:rsidRDefault="005D1668" w:rsidP="005D1668">
      <w:pPr>
        <w:pStyle w:val="Rbntext"/>
        <w:spacing w:before="0"/>
        <w:rPr>
          <w:rFonts w:cs="Arial"/>
          <w:sz w:val="22"/>
          <w:szCs w:val="18"/>
        </w:rPr>
      </w:pPr>
      <w:r w:rsidRPr="00BA5C00">
        <w:rPr>
          <w:b/>
          <w:bCs/>
          <w:iCs/>
          <w:szCs w:val="18"/>
        </w:rPr>
        <w:t>Usmrcené osoby v přímé souvislosti</w:t>
      </w:r>
      <w:r w:rsidRPr="00BA5C00">
        <w:rPr>
          <w:bCs/>
          <w:iCs/>
          <w:szCs w:val="18"/>
        </w:rPr>
        <w:t xml:space="preserve"> jsou jak osoby, které zemřely v důsledku popálenin, intoxikace zplodinami hoření apod., tak osoby, u kterých nebylo možné zjistit, zda prokazatelně zemřely v přímé souvislosti s požárem.</w:t>
      </w:r>
    </w:p>
    <w:p w:rsidR="00EE2E0B" w:rsidRDefault="00EE2E0B" w:rsidP="00BA5C00">
      <w:pPr>
        <w:pStyle w:val="Nadpis20"/>
        <w:spacing w:before="0"/>
        <w:rPr>
          <w:rFonts w:cs="Arial"/>
          <w:bCs/>
          <w:sz w:val="24"/>
        </w:rPr>
      </w:pPr>
    </w:p>
    <w:p w:rsidR="005D1668" w:rsidRPr="00BE642F" w:rsidRDefault="005D1668" w:rsidP="00BA5C00">
      <w:pPr>
        <w:pStyle w:val="Rbntext"/>
        <w:spacing w:before="0"/>
        <w:rPr>
          <w:rFonts w:cs="Arial"/>
          <w:b/>
          <w:bCs/>
          <w:sz w:val="24"/>
          <w:szCs w:val="24"/>
        </w:rPr>
      </w:pPr>
      <w:r>
        <w:rPr>
          <w:rFonts w:cs="Arial"/>
          <w:b/>
          <w:bCs/>
          <w:sz w:val="24"/>
          <w:szCs w:val="24"/>
        </w:rPr>
        <w:t>PRACOVNÍ</w:t>
      </w:r>
      <w:r w:rsidRPr="00BE642F">
        <w:rPr>
          <w:rFonts w:cs="Arial"/>
          <w:b/>
          <w:bCs/>
          <w:sz w:val="24"/>
          <w:szCs w:val="24"/>
        </w:rPr>
        <w:t xml:space="preserve"> NESCHOPNOST</w:t>
      </w:r>
    </w:p>
    <w:p w:rsidR="005D1668" w:rsidRPr="0076316A" w:rsidRDefault="005D1668" w:rsidP="005D1668">
      <w:pPr>
        <w:spacing w:before="120" w:after="120"/>
        <w:jc w:val="both"/>
        <w:rPr>
          <w:rFonts w:ascii="Arial" w:hAnsi="Arial" w:cs="Arial"/>
          <w:sz w:val="20"/>
          <w:szCs w:val="20"/>
        </w:rPr>
      </w:pPr>
      <w:r w:rsidRPr="0076316A">
        <w:rPr>
          <w:rFonts w:ascii="Arial" w:hAnsi="Arial" w:cs="Arial"/>
          <w:sz w:val="20"/>
          <w:szCs w:val="20"/>
        </w:rPr>
        <w:lastRenderedPageBreak/>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5D1668" w:rsidRDefault="005D1668" w:rsidP="005D1668">
      <w:pPr>
        <w:spacing w:after="120"/>
        <w:jc w:val="both"/>
        <w:rPr>
          <w:rFonts w:ascii="Arial" w:hAnsi="Arial" w:cs="Arial"/>
          <w:sz w:val="20"/>
          <w:szCs w:val="20"/>
        </w:rPr>
      </w:pPr>
      <w:r w:rsidRPr="0076316A">
        <w:rPr>
          <w:rFonts w:ascii="Arial" w:hAnsi="Arial" w:cs="Arial"/>
          <w:sz w:val="20"/>
          <w:szCs w:val="20"/>
        </w:rPr>
        <w:t xml:space="preserve">Administrativní data Informačního systému ČSSZ jsou vykazována za všechny zaměstnance právnických i fyzických osob a </w:t>
      </w:r>
      <w:r>
        <w:rPr>
          <w:rFonts w:ascii="Arial" w:hAnsi="Arial" w:cs="Arial"/>
          <w:sz w:val="20"/>
          <w:szCs w:val="20"/>
        </w:rPr>
        <w:t xml:space="preserve">zvlášť </w:t>
      </w:r>
      <w:r w:rsidRPr="0076316A">
        <w:rPr>
          <w:rFonts w:ascii="Arial" w:hAnsi="Arial" w:cs="Arial"/>
          <w:sz w:val="20"/>
          <w:szCs w:val="20"/>
        </w:rPr>
        <w:t xml:space="preserve">za osoby samostatně výdělečně činné (OSVČ). </w:t>
      </w:r>
      <w:r w:rsidRPr="006D3FE7">
        <w:rPr>
          <w:rFonts w:ascii="Arial" w:hAnsi="Arial" w:cs="Arial"/>
          <w:sz w:val="20"/>
          <w:szCs w:val="20"/>
        </w:rPr>
        <w:t>Zaměstnanci jsou povinně účastni nemocenského pojištění, na rozdíl od OSVČ, jejichž nemocenské pojištění je dobrovolné.</w:t>
      </w:r>
    </w:p>
    <w:p w:rsidR="005D1668" w:rsidRPr="0076316A" w:rsidRDefault="005D1668" w:rsidP="00903E1E">
      <w:pPr>
        <w:spacing w:after="120"/>
        <w:jc w:val="both"/>
        <w:rPr>
          <w:rFonts w:ascii="Arial" w:hAnsi="Arial" w:cs="Arial"/>
          <w:sz w:val="20"/>
          <w:szCs w:val="20"/>
        </w:rPr>
      </w:pPr>
      <w:r>
        <w:rPr>
          <w:rFonts w:ascii="Arial" w:hAnsi="Arial" w:cs="Arial"/>
          <w:sz w:val="20"/>
          <w:szCs w:val="20"/>
        </w:rPr>
        <w:t>Pro účely této statistiky se nesledují p</w:t>
      </w:r>
      <w:r w:rsidRPr="0076316A">
        <w:rPr>
          <w:rFonts w:ascii="Arial" w:hAnsi="Arial" w:cs="Arial"/>
          <w:sz w:val="20"/>
          <w:szCs w:val="20"/>
        </w:rPr>
        <w:t xml:space="preserve">říslušníci Policie ČR, Hasičského záchranného sboru ČR, Celní správy ČR, Vězeňské služby ČR, </w:t>
      </w:r>
      <w:r>
        <w:rPr>
          <w:rFonts w:ascii="Arial" w:hAnsi="Arial" w:cs="Arial"/>
          <w:sz w:val="20"/>
          <w:szCs w:val="20"/>
        </w:rPr>
        <w:t xml:space="preserve">Generální inspekce bezpečnostních sborů, </w:t>
      </w:r>
      <w:r w:rsidRPr="0076316A">
        <w:rPr>
          <w:rFonts w:ascii="Arial" w:hAnsi="Arial" w:cs="Arial"/>
          <w:sz w:val="20"/>
          <w:szCs w:val="20"/>
        </w:rPr>
        <w:t>Bezpečnostní informační služb</w:t>
      </w:r>
      <w:r>
        <w:rPr>
          <w:rFonts w:ascii="Arial" w:hAnsi="Arial" w:cs="Arial"/>
          <w:sz w:val="20"/>
          <w:szCs w:val="20"/>
        </w:rPr>
        <w:t>y,</w:t>
      </w:r>
      <w:r w:rsidRPr="0076316A">
        <w:rPr>
          <w:rFonts w:ascii="Arial" w:hAnsi="Arial" w:cs="Arial"/>
          <w:sz w:val="20"/>
          <w:szCs w:val="20"/>
        </w:rPr>
        <w:t xml:space="preserve"> Úřadu pro zahraniční styky a informace</w:t>
      </w:r>
      <w:r>
        <w:rPr>
          <w:rFonts w:ascii="Arial" w:hAnsi="Arial" w:cs="Arial"/>
          <w:sz w:val="20"/>
          <w:szCs w:val="20"/>
        </w:rPr>
        <w:t xml:space="preserve">, </w:t>
      </w:r>
      <w:r w:rsidRPr="0076316A">
        <w:rPr>
          <w:rFonts w:ascii="Arial" w:hAnsi="Arial" w:cs="Arial"/>
          <w:sz w:val="20"/>
          <w:szCs w:val="20"/>
        </w:rPr>
        <w:t>vojáci z</w:t>
      </w:r>
      <w:r>
        <w:rPr>
          <w:rFonts w:ascii="Arial" w:hAnsi="Arial" w:cs="Arial"/>
          <w:sz w:val="20"/>
          <w:szCs w:val="20"/>
        </w:rPr>
        <w:t> </w:t>
      </w:r>
      <w:r w:rsidRPr="0076316A">
        <w:rPr>
          <w:rFonts w:ascii="Arial" w:hAnsi="Arial" w:cs="Arial"/>
          <w:sz w:val="20"/>
          <w:szCs w:val="20"/>
        </w:rPr>
        <w:t>povolání</w:t>
      </w:r>
      <w:r>
        <w:rPr>
          <w:rFonts w:ascii="Arial" w:hAnsi="Arial" w:cs="Arial"/>
          <w:sz w:val="20"/>
          <w:szCs w:val="20"/>
        </w:rPr>
        <w:t>, odsouzení ve výkonu trestu, kteří vykonávají práci ve výkonu trestu, a osoby obviněné vykonávající práci ve vazbě.</w:t>
      </w:r>
    </w:p>
    <w:p w:rsidR="005D1668" w:rsidRDefault="005D1668" w:rsidP="005D1668">
      <w:pPr>
        <w:spacing w:after="120"/>
        <w:jc w:val="both"/>
        <w:rPr>
          <w:rFonts w:ascii="Arial" w:hAnsi="Arial" w:cs="Arial"/>
          <w:sz w:val="20"/>
          <w:szCs w:val="20"/>
        </w:rPr>
      </w:pPr>
      <w:r>
        <w:rPr>
          <w:rFonts w:ascii="Arial" w:hAnsi="Arial" w:cs="Arial"/>
          <w:sz w:val="20"/>
          <w:szCs w:val="20"/>
        </w:rPr>
        <w:t>Vstupním zdrojem a podkladem pro zpracování dat jsou údaje o dočasné pracovní neschopnosti pro nemoc a</w:t>
      </w:r>
      <w:r w:rsidR="00617B58">
        <w:rPr>
          <w:rFonts w:ascii="Arial" w:hAnsi="Arial" w:cs="Arial"/>
          <w:sz w:val="20"/>
          <w:szCs w:val="20"/>
        </w:rPr>
        <w:t> </w:t>
      </w:r>
      <w:r>
        <w:rPr>
          <w:rFonts w:ascii="Arial" w:hAnsi="Arial" w:cs="Arial"/>
          <w:sz w:val="20"/>
          <w:szCs w:val="20"/>
        </w:rPr>
        <w:t xml:space="preserve">úraz nahlášené České správě sociálního zabezpečení prostřednictvím </w:t>
      </w:r>
      <w:r w:rsidRPr="003F174B">
        <w:rPr>
          <w:rFonts w:ascii="Arial" w:hAnsi="Arial" w:cs="Arial"/>
          <w:b/>
          <w:i/>
          <w:sz w:val="20"/>
          <w:szCs w:val="20"/>
        </w:rPr>
        <w:t>„Rozhodnutí o dočasné</w:t>
      </w:r>
      <w:r>
        <w:rPr>
          <w:rFonts w:ascii="Arial" w:hAnsi="Arial" w:cs="Arial"/>
          <w:b/>
          <w:i/>
          <w:sz w:val="20"/>
          <w:szCs w:val="20"/>
        </w:rPr>
        <w:t xml:space="preserve"> </w:t>
      </w:r>
      <w:r w:rsidRPr="003F174B">
        <w:rPr>
          <w:rFonts w:ascii="Arial" w:hAnsi="Arial" w:cs="Arial"/>
          <w:b/>
          <w:i/>
          <w:sz w:val="20"/>
          <w:szCs w:val="20"/>
        </w:rPr>
        <w:t>pracovní</w:t>
      </w:r>
      <w:r>
        <w:rPr>
          <w:rFonts w:ascii="Arial" w:hAnsi="Arial" w:cs="Arial"/>
          <w:b/>
          <w:i/>
          <w:sz w:val="20"/>
          <w:szCs w:val="20"/>
        </w:rPr>
        <w:t xml:space="preserve"> </w:t>
      </w:r>
      <w:r w:rsidRPr="003F174B">
        <w:rPr>
          <w:rFonts w:ascii="Arial" w:hAnsi="Arial" w:cs="Arial"/>
          <w:b/>
          <w:i/>
          <w:sz w:val="20"/>
          <w:szCs w:val="20"/>
        </w:rPr>
        <w:t>neschopnosti“</w:t>
      </w:r>
      <w:r>
        <w:rPr>
          <w:rFonts w:ascii="Arial" w:hAnsi="Arial" w:cs="Arial"/>
          <w:sz w:val="20"/>
          <w:szCs w:val="20"/>
        </w:rPr>
        <w:t>, které elektronicky vystavuje ošetřující lékař (tzv. eNeschopenka). Používání elektronického systému je při vydávání rozhodnutí o dočasné pracovní neschopnosti od 1. 1. 2020 povinné.</w:t>
      </w:r>
    </w:p>
    <w:p w:rsidR="005D1668" w:rsidRPr="00CF06B7" w:rsidRDefault="005D1668" w:rsidP="00903E1E">
      <w:pPr>
        <w:tabs>
          <w:tab w:val="left" w:pos="-1256"/>
          <w:tab w:val="left" w:pos="-720"/>
          <w:tab w:val="left" w:pos="0"/>
          <w:tab w:val="left" w:pos="714"/>
          <w:tab w:val="left" w:pos="11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0"/>
          <w:szCs w:val="20"/>
        </w:rPr>
      </w:pPr>
      <w:r w:rsidRPr="0076316A">
        <w:rPr>
          <w:rFonts w:ascii="Arial" w:hAnsi="Arial" w:cs="Arial"/>
          <w:sz w:val="20"/>
          <w:szCs w:val="20"/>
        </w:rPr>
        <w:t>Statistika dočasné pracovní neschopnosti zachycuje veškerá onemocnění a úrazy, které zapříčinily alespoň jednodenní pracovní neschopnost u nemocensky pojištěných osob</w:t>
      </w:r>
      <w:r>
        <w:rPr>
          <w:rFonts w:ascii="Arial" w:hAnsi="Arial" w:cs="Arial"/>
          <w:sz w:val="20"/>
          <w:szCs w:val="20"/>
        </w:rPr>
        <w:t xml:space="preserve">. </w:t>
      </w:r>
      <w:r w:rsidRPr="00CF06B7">
        <w:rPr>
          <w:rFonts w:ascii="Arial" w:hAnsi="Arial" w:cs="Arial"/>
          <w:sz w:val="20"/>
          <w:szCs w:val="20"/>
        </w:rPr>
        <w:t xml:space="preserve">Za </w:t>
      </w:r>
      <w:r w:rsidRPr="00CF06B7">
        <w:rPr>
          <w:rFonts w:ascii="Arial" w:hAnsi="Arial" w:cs="Arial"/>
          <w:bCs/>
          <w:sz w:val="20"/>
          <w:szCs w:val="20"/>
        </w:rPr>
        <w:t>pracovní</w:t>
      </w:r>
      <w:r w:rsidRPr="00CF06B7">
        <w:rPr>
          <w:rFonts w:ascii="Arial" w:hAnsi="Arial" w:cs="Arial"/>
          <w:sz w:val="20"/>
          <w:szCs w:val="20"/>
        </w:rPr>
        <w:t xml:space="preserve"> úrazy jsou považovány ty</w:t>
      </w:r>
      <w:r>
        <w:rPr>
          <w:rFonts w:ascii="Arial" w:hAnsi="Arial" w:cs="Arial"/>
          <w:sz w:val="20"/>
          <w:szCs w:val="20"/>
        </w:rPr>
        <w:t xml:space="preserve"> </w:t>
      </w:r>
      <w:r w:rsidRPr="00CF06B7">
        <w:rPr>
          <w:rFonts w:ascii="Arial" w:hAnsi="Arial" w:cs="Arial"/>
          <w:sz w:val="20"/>
          <w:szCs w:val="20"/>
        </w:rPr>
        <w:t>úrazy, které se staly zaměstnancům při plnění pracovních úkolů nebo v přímé souvislosti s nimi.</w:t>
      </w:r>
    </w:p>
    <w:p w:rsidR="005D1668" w:rsidRPr="0076316A" w:rsidRDefault="005D1668" w:rsidP="005D1668">
      <w:pPr>
        <w:pStyle w:val="Zkladntextodsazen"/>
        <w:spacing w:before="120" w:after="120"/>
        <w:ind w:firstLine="0"/>
        <w:jc w:val="left"/>
        <w:rPr>
          <w:rFonts w:cs="Arial"/>
        </w:rPr>
      </w:pPr>
      <w:r w:rsidRPr="0076316A">
        <w:rPr>
          <w:rFonts w:cs="Arial"/>
          <w:b/>
        </w:rPr>
        <w:t>Způsob výpočtu relativních ukazatelů:</w:t>
      </w:r>
    </w:p>
    <w:p w:rsidR="005D1668" w:rsidRDefault="005D1668" w:rsidP="00903E1E">
      <w:pPr>
        <w:pStyle w:val="Seznam"/>
        <w:numPr>
          <w:ilvl w:val="0"/>
          <w:numId w:val="4"/>
        </w:numPr>
        <w:spacing w:before="120" w:after="0" w:line="240" w:lineRule="auto"/>
        <w:ind w:left="714" w:hanging="357"/>
        <w:contextualSpacing w:val="0"/>
        <w:jc w:val="both"/>
      </w:pPr>
      <w:r>
        <w:rPr>
          <w:b/>
        </w:rPr>
        <w:lastRenderedPageBreak/>
        <w:t>počet případů pracovní neschopnosti na 100 pojištěnců</w:t>
      </w:r>
      <w:r w:rsidRPr="00903E1E">
        <w:t xml:space="preserve"> </w:t>
      </w:r>
      <w:r>
        <w:t>– ukazatel vyjadřuje počet nově hlášených případů pracovní neschopnosti, které připadají v průměru na 100 nemocensky pojištěných osob;</w:t>
      </w:r>
    </w:p>
    <w:p w:rsidR="005D1668" w:rsidRDefault="005D1668" w:rsidP="00903E1E">
      <w:pPr>
        <w:pStyle w:val="Seznam"/>
        <w:numPr>
          <w:ilvl w:val="0"/>
          <w:numId w:val="4"/>
        </w:numPr>
        <w:spacing w:before="120" w:after="0" w:line="240" w:lineRule="auto"/>
        <w:ind w:left="714" w:hanging="357"/>
        <w:contextualSpacing w:val="0"/>
        <w:jc w:val="both"/>
      </w:pPr>
      <w:r>
        <w:rPr>
          <w:b/>
        </w:rPr>
        <w:t>průměrná délka trvání pracovní neschopnosti ve dnech</w:t>
      </w:r>
      <w:r>
        <w:t xml:space="preserve"> – ukazatel vyjadřuje, kolik kalendářních dnů pracovní neschopnosti v průměru připadá na jeden nově hlášený případ pracovní neschopnosti;</w:t>
      </w:r>
    </w:p>
    <w:p w:rsidR="005D1668" w:rsidRDefault="005D1668" w:rsidP="00903E1E">
      <w:pPr>
        <w:pStyle w:val="Seznam"/>
        <w:numPr>
          <w:ilvl w:val="0"/>
          <w:numId w:val="4"/>
        </w:numPr>
        <w:spacing w:before="120" w:after="0" w:line="240" w:lineRule="auto"/>
        <w:ind w:left="714" w:hanging="357"/>
        <w:contextualSpacing w:val="0"/>
        <w:jc w:val="both"/>
      </w:pPr>
      <w:r>
        <w:rPr>
          <w:b/>
        </w:rPr>
        <w:t xml:space="preserve">průměrné procento dočasné pracovní neschopnosti </w:t>
      </w:r>
      <w:r>
        <w:t xml:space="preserve">– ukazatel udává, kolik ze 100 pojištěnců je průměrně každý den v pracovní neschopnosti pro nemoc či úraz. Zohledňuje jak celkový počet případů pracovní neschopnosti (jak často lidé do pracovní neschopnosti nastupují), tak i průměrné trvání jednoho případu pracovní neschopnosti (jak dlouho v pracovní neschopnosti zůstávají). </w:t>
      </w:r>
      <w:r w:rsidRPr="00603B4D">
        <w:t>Vyjadřuje podíl kalendářních dnů pracovní neschopnosti na celkovém kalendářním fondu pojištěnců ve sledovaném období (roce) vyjádřený v procentech</w:t>
      </w:r>
      <w:r>
        <w:t>;</w:t>
      </w:r>
    </w:p>
    <w:p w:rsidR="005D1668" w:rsidRDefault="005D1668" w:rsidP="00903E1E">
      <w:pPr>
        <w:pStyle w:val="Seznam"/>
        <w:numPr>
          <w:ilvl w:val="0"/>
          <w:numId w:val="4"/>
        </w:numPr>
        <w:spacing w:before="120" w:after="0" w:line="240" w:lineRule="auto"/>
        <w:ind w:left="714" w:hanging="357"/>
        <w:contextualSpacing w:val="0"/>
        <w:jc w:val="both"/>
      </w:pPr>
      <w:r w:rsidRPr="00F40DD1">
        <w:rPr>
          <w:b/>
        </w:rPr>
        <w:t xml:space="preserve">průměrný denní stav </w:t>
      </w:r>
      <w:r>
        <w:rPr>
          <w:b/>
        </w:rPr>
        <w:t xml:space="preserve">dočasně </w:t>
      </w:r>
      <w:r w:rsidRPr="00F40DD1">
        <w:rPr>
          <w:b/>
        </w:rPr>
        <w:t xml:space="preserve">práce neschopných </w:t>
      </w:r>
      <w:r w:rsidRPr="00F40DD1">
        <w:t>– ukazatel vyjadřuje počet nemocensky pojištěných, kteří byli ve sledovaném období (roce) průměrně denně nepřítomni v práci z</w:t>
      </w:r>
      <w:r>
        <w:t> </w:t>
      </w:r>
      <w:r w:rsidRPr="00F40DD1">
        <w:t>důvod</w:t>
      </w:r>
      <w:r>
        <w:t>u</w:t>
      </w:r>
      <w:r w:rsidRPr="00F40DD1">
        <w:t xml:space="preserve"> pracovní neschopnosti</w:t>
      </w:r>
      <w:r>
        <w:t>.</w:t>
      </w:r>
    </w:p>
    <w:p w:rsidR="00D0053D" w:rsidRDefault="00D0053D" w:rsidP="00B46946">
      <w:pPr>
        <w:pStyle w:val="Nadpis20"/>
        <w:spacing w:before="0"/>
        <w:rPr>
          <w:rFonts w:cs="Arial"/>
          <w:bCs/>
          <w:sz w:val="24"/>
        </w:rPr>
      </w:pPr>
    </w:p>
    <w:p w:rsidR="00903E1E" w:rsidRDefault="00903E1E" w:rsidP="00B46946">
      <w:pPr>
        <w:pStyle w:val="Nadpis20"/>
        <w:spacing w:before="0"/>
        <w:rPr>
          <w:rFonts w:cs="Arial"/>
          <w:bCs/>
          <w:sz w:val="24"/>
        </w:rPr>
      </w:pPr>
    </w:p>
    <w:p w:rsidR="00EE2E0B" w:rsidRPr="00C63FAD" w:rsidRDefault="00EE2E0B" w:rsidP="00B46946">
      <w:pPr>
        <w:pStyle w:val="Nadpis20"/>
        <w:spacing w:before="0"/>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 xml:space="preserve">oku. Nejsou prováděny přepočty na srovnatelnou organizační </w:t>
      </w:r>
      <w:r w:rsidR="009F442E">
        <w:rPr>
          <w:rFonts w:ascii="Arial" w:hAnsi="Arial" w:cs="Arial"/>
          <w:sz w:val="20"/>
        </w:rPr>
        <w:t xml:space="preserve">ani územní </w:t>
      </w:r>
      <w:r w:rsidRPr="00EE2E0B">
        <w:rPr>
          <w:rFonts w:ascii="Arial" w:hAnsi="Arial" w:cs="Arial"/>
          <w:sz w:val="20"/>
        </w:rPr>
        <w:t>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w:t>
      </w:r>
      <w:r w:rsidR="00D0053D">
        <w:rPr>
          <w:rFonts w:ascii="Arial" w:hAnsi="Arial" w:cs="Arial"/>
          <w:sz w:val="20"/>
        </w:rPr>
        <w:t>2</w:t>
      </w:r>
      <w:r w:rsidRPr="00C63FAD">
        <w:rPr>
          <w:rFonts w:ascii="Arial" w:hAnsi="Arial" w:cs="Arial"/>
          <w:sz w:val="20"/>
        </w:rPr>
        <w:t>/20</w:t>
      </w:r>
      <w:r w:rsidR="00D0053D">
        <w:rPr>
          <w:rFonts w:ascii="Arial" w:hAnsi="Arial" w:cs="Arial"/>
          <w:sz w:val="20"/>
        </w:rPr>
        <w:t>21</w:t>
      </w:r>
      <w:r w:rsidRPr="00C63FAD">
        <w:rPr>
          <w:rFonts w:ascii="Arial" w:hAnsi="Arial" w:cs="Arial"/>
          <w:sz w:val="20"/>
        </w:rPr>
        <w:t>, respektive 20</w:t>
      </w:r>
      <w:r w:rsidR="00AD0885">
        <w:rPr>
          <w:rFonts w:ascii="Arial" w:hAnsi="Arial" w:cs="Arial"/>
          <w:sz w:val="20"/>
        </w:rPr>
        <w:t>2</w:t>
      </w:r>
      <w:r w:rsidR="00D0053D">
        <w:rPr>
          <w:rFonts w:ascii="Arial" w:hAnsi="Arial" w:cs="Arial"/>
          <w:sz w:val="20"/>
        </w:rPr>
        <w:t>1</w:t>
      </w:r>
      <w:r w:rsidRPr="00C63FAD">
        <w:rPr>
          <w:rFonts w:ascii="Arial" w:hAnsi="Arial" w:cs="Arial"/>
          <w:sz w:val="20"/>
        </w:rPr>
        <w:t>/20</w:t>
      </w:r>
      <w:r w:rsidR="00D0053D">
        <w:rPr>
          <w:rFonts w:ascii="Arial" w:hAnsi="Arial" w:cs="Arial"/>
          <w:sz w:val="20"/>
        </w:rPr>
        <w:t>20</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617B58">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D" w:rsidRDefault="00FD630D">
      <w:r>
        <w:separator/>
      </w:r>
    </w:p>
  </w:endnote>
  <w:endnote w:type="continuationSeparator" w:id="0">
    <w:p w:rsidR="00FD630D" w:rsidRDefault="00FD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CD5903">
      <w:rPr>
        <w:rStyle w:val="slostrnky"/>
        <w:noProof/>
      </w:rPr>
      <w:t>6</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D" w:rsidRDefault="00FD630D">
      <w:r>
        <w:separator/>
      </w:r>
    </w:p>
  </w:footnote>
  <w:footnote w:type="continuationSeparator" w:id="0">
    <w:p w:rsidR="00FD630D" w:rsidRDefault="00FD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86A"/>
    <w:multiLevelType w:val="hybridMultilevel"/>
    <w:tmpl w:val="D128826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3704E"/>
    <w:rsid w:val="00045849"/>
    <w:rsid w:val="00045CF4"/>
    <w:rsid w:val="00053BB7"/>
    <w:rsid w:val="00056DCA"/>
    <w:rsid w:val="000645A7"/>
    <w:rsid w:val="00076703"/>
    <w:rsid w:val="00084D9B"/>
    <w:rsid w:val="000A050D"/>
    <w:rsid w:val="000B5E2F"/>
    <w:rsid w:val="000B6E61"/>
    <w:rsid w:val="000E0F17"/>
    <w:rsid w:val="000F3315"/>
    <w:rsid w:val="000F4D30"/>
    <w:rsid w:val="000F4ED6"/>
    <w:rsid w:val="000F649F"/>
    <w:rsid w:val="00101CCB"/>
    <w:rsid w:val="00111AB0"/>
    <w:rsid w:val="001120C8"/>
    <w:rsid w:val="00112C8D"/>
    <w:rsid w:val="00123B74"/>
    <w:rsid w:val="00144A26"/>
    <w:rsid w:val="00145516"/>
    <w:rsid w:val="001613CD"/>
    <w:rsid w:val="001638A3"/>
    <w:rsid w:val="00163FBB"/>
    <w:rsid w:val="00176436"/>
    <w:rsid w:val="00181802"/>
    <w:rsid w:val="001950B2"/>
    <w:rsid w:val="001A75A9"/>
    <w:rsid w:val="001B593D"/>
    <w:rsid w:val="001B7B3E"/>
    <w:rsid w:val="001C0952"/>
    <w:rsid w:val="001E43EF"/>
    <w:rsid w:val="001E5325"/>
    <w:rsid w:val="001F038B"/>
    <w:rsid w:val="002048FC"/>
    <w:rsid w:val="00206A0D"/>
    <w:rsid w:val="002107AF"/>
    <w:rsid w:val="00217461"/>
    <w:rsid w:val="00221F5E"/>
    <w:rsid w:val="00224BF2"/>
    <w:rsid w:val="0027200D"/>
    <w:rsid w:val="00276BEE"/>
    <w:rsid w:val="0028066A"/>
    <w:rsid w:val="00290A84"/>
    <w:rsid w:val="002B41D5"/>
    <w:rsid w:val="002C1422"/>
    <w:rsid w:val="002D562D"/>
    <w:rsid w:val="0031028F"/>
    <w:rsid w:val="003175E6"/>
    <w:rsid w:val="0032458C"/>
    <w:rsid w:val="00331477"/>
    <w:rsid w:val="00331C29"/>
    <w:rsid w:val="0033610D"/>
    <w:rsid w:val="0034429F"/>
    <w:rsid w:val="003534A7"/>
    <w:rsid w:val="00374492"/>
    <w:rsid w:val="003A617B"/>
    <w:rsid w:val="003A6A47"/>
    <w:rsid w:val="003B13B8"/>
    <w:rsid w:val="003B36FF"/>
    <w:rsid w:val="003C207C"/>
    <w:rsid w:val="003D6D1D"/>
    <w:rsid w:val="003E03B6"/>
    <w:rsid w:val="003E0A67"/>
    <w:rsid w:val="003F0A24"/>
    <w:rsid w:val="003F396C"/>
    <w:rsid w:val="003F68BA"/>
    <w:rsid w:val="00405671"/>
    <w:rsid w:val="004170D2"/>
    <w:rsid w:val="004243EF"/>
    <w:rsid w:val="00432B7E"/>
    <w:rsid w:val="004363B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11E4"/>
    <w:rsid w:val="0053315E"/>
    <w:rsid w:val="00543DEE"/>
    <w:rsid w:val="00544311"/>
    <w:rsid w:val="0054674E"/>
    <w:rsid w:val="005467D7"/>
    <w:rsid w:val="0055094C"/>
    <w:rsid w:val="00554481"/>
    <w:rsid w:val="00556EB6"/>
    <w:rsid w:val="00557118"/>
    <w:rsid w:val="00561EF0"/>
    <w:rsid w:val="0056293F"/>
    <w:rsid w:val="00571410"/>
    <w:rsid w:val="00584D9A"/>
    <w:rsid w:val="00597E81"/>
    <w:rsid w:val="005A62E9"/>
    <w:rsid w:val="005A70A3"/>
    <w:rsid w:val="005A7B7F"/>
    <w:rsid w:val="005C7856"/>
    <w:rsid w:val="005D1668"/>
    <w:rsid w:val="005D197A"/>
    <w:rsid w:val="005E6922"/>
    <w:rsid w:val="005F1FC7"/>
    <w:rsid w:val="006058EB"/>
    <w:rsid w:val="00617B58"/>
    <w:rsid w:val="00632820"/>
    <w:rsid w:val="00644C64"/>
    <w:rsid w:val="0064650C"/>
    <w:rsid w:val="00655228"/>
    <w:rsid w:val="0066431A"/>
    <w:rsid w:val="00665988"/>
    <w:rsid w:val="00671EAA"/>
    <w:rsid w:val="006767BC"/>
    <w:rsid w:val="0068210D"/>
    <w:rsid w:val="0068466A"/>
    <w:rsid w:val="006A233D"/>
    <w:rsid w:val="006A3D8E"/>
    <w:rsid w:val="006B2CD1"/>
    <w:rsid w:val="006B662A"/>
    <w:rsid w:val="006C1291"/>
    <w:rsid w:val="006C63A8"/>
    <w:rsid w:val="006D1634"/>
    <w:rsid w:val="006D3A53"/>
    <w:rsid w:val="006D6D51"/>
    <w:rsid w:val="006D726B"/>
    <w:rsid w:val="006E3019"/>
    <w:rsid w:val="006F6345"/>
    <w:rsid w:val="007003DC"/>
    <w:rsid w:val="007012DA"/>
    <w:rsid w:val="00714181"/>
    <w:rsid w:val="007166B0"/>
    <w:rsid w:val="00717B0B"/>
    <w:rsid w:val="00726CDC"/>
    <w:rsid w:val="00733B61"/>
    <w:rsid w:val="00736658"/>
    <w:rsid w:val="00761002"/>
    <w:rsid w:val="007639B7"/>
    <w:rsid w:val="00767361"/>
    <w:rsid w:val="00787B6D"/>
    <w:rsid w:val="0079256B"/>
    <w:rsid w:val="0079738B"/>
    <w:rsid w:val="007A48C0"/>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3E1E"/>
    <w:rsid w:val="00905AB6"/>
    <w:rsid w:val="00933876"/>
    <w:rsid w:val="00935912"/>
    <w:rsid w:val="009442FF"/>
    <w:rsid w:val="00946BB7"/>
    <w:rsid w:val="009557E0"/>
    <w:rsid w:val="00956E81"/>
    <w:rsid w:val="00957B75"/>
    <w:rsid w:val="009629D9"/>
    <w:rsid w:val="009646E9"/>
    <w:rsid w:val="00970347"/>
    <w:rsid w:val="009703EF"/>
    <w:rsid w:val="00983E7F"/>
    <w:rsid w:val="00987DCD"/>
    <w:rsid w:val="009A48BD"/>
    <w:rsid w:val="009C5FE5"/>
    <w:rsid w:val="009D4D95"/>
    <w:rsid w:val="009D6DF2"/>
    <w:rsid w:val="009D6EF3"/>
    <w:rsid w:val="009E00D4"/>
    <w:rsid w:val="009F00A6"/>
    <w:rsid w:val="009F2EFB"/>
    <w:rsid w:val="009F442E"/>
    <w:rsid w:val="00A045CC"/>
    <w:rsid w:val="00A301F5"/>
    <w:rsid w:val="00A33CEA"/>
    <w:rsid w:val="00A34793"/>
    <w:rsid w:val="00A34E15"/>
    <w:rsid w:val="00A5623B"/>
    <w:rsid w:val="00A56FAA"/>
    <w:rsid w:val="00A650B4"/>
    <w:rsid w:val="00A746E7"/>
    <w:rsid w:val="00A82BFD"/>
    <w:rsid w:val="00A831B9"/>
    <w:rsid w:val="00A90995"/>
    <w:rsid w:val="00AA7877"/>
    <w:rsid w:val="00AC5C01"/>
    <w:rsid w:val="00AD0885"/>
    <w:rsid w:val="00AD163D"/>
    <w:rsid w:val="00AD3BE8"/>
    <w:rsid w:val="00B03D7E"/>
    <w:rsid w:val="00B048DE"/>
    <w:rsid w:val="00B15532"/>
    <w:rsid w:val="00B2092E"/>
    <w:rsid w:val="00B30D8A"/>
    <w:rsid w:val="00B31589"/>
    <w:rsid w:val="00B46946"/>
    <w:rsid w:val="00B73E2E"/>
    <w:rsid w:val="00B8548A"/>
    <w:rsid w:val="00B862CB"/>
    <w:rsid w:val="00B93505"/>
    <w:rsid w:val="00B95665"/>
    <w:rsid w:val="00BA010C"/>
    <w:rsid w:val="00BA5C00"/>
    <w:rsid w:val="00BC08CC"/>
    <w:rsid w:val="00BC2FE0"/>
    <w:rsid w:val="00BC68E9"/>
    <w:rsid w:val="00BD2EC3"/>
    <w:rsid w:val="00BE70D9"/>
    <w:rsid w:val="00C14E0A"/>
    <w:rsid w:val="00C3455D"/>
    <w:rsid w:val="00C6244D"/>
    <w:rsid w:val="00C63FAD"/>
    <w:rsid w:val="00C75C59"/>
    <w:rsid w:val="00C85808"/>
    <w:rsid w:val="00C92701"/>
    <w:rsid w:val="00CA0CE4"/>
    <w:rsid w:val="00CA2FB3"/>
    <w:rsid w:val="00CA5B96"/>
    <w:rsid w:val="00CB0B69"/>
    <w:rsid w:val="00CB26E1"/>
    <w:rsid w:val="00CB5336"/>
    <w:rsid w:val="00CC1FBA"/>
    <w:rsid w:val="00CD5903"/>
    <w:rsid w:val="00CF5312"/>
    <w:rsid w:val="00CF5AA4"/>
    <w:rsid w:val="00D0053D"/>
    <w:rsid w:val="00D006FF"/>
    <w:rsid w:val="00D20F62"/>
    <w:rsid w:val="00D24220"/>
    <w:rsid w:val="00D4505A"/>
    <w:rsid w:val="00D454FC"/>
    <w:rsid w:val="00D62381"/>
    <w:rsid w:val="00D64D80"/>
    <w:rsid w:val="00D65896"/>
    <w:rsid w:val="00D7145E"/>
    <w:rsid w:val="00D73C03"/>
    <w:rsid w:val="00D75E89"/>
    <w:rsid w:val="00D8339D"/>
    <w:rsid w:val="00D928BF"/>
    <w:rsid w:val="00D97DDB"/>
    <w:rsid w:val="00DA0916"/>
    <w:rsid w:val="00DA4343"/>
    <w:rsid w:val="00DA573C"/>
    <w:rsid w:val="00DA6DC9"/>
    <w:rsid w:val="00DE19BF"/>
    <w:rsid w:val="00DF3484"/>
    <w:rsid w:val="00DF54F1"/>
    <w:rsid w:val="00E04409"/>
    <w:rsid w:val="00E0727D"/>
    <w:rsid w:val="00E123BC"/>
    <w:rsid w:val="00E271D6"/>
    <w:rsid w:val="00E27AF8"/>
    <w:rsid w:val="00E32933"/>
    <w:rsid w:val="00E44FFE"/>
    <w:rsid w:val="00E45CE4"/>
    <w:rsid w:val="00E47CD0"/>
    <w:rsid w:val="00E5328D"/>
    <w:rsid w:val="00E55CBE"/>
    <w:rsid w:val="00E6298F"/>
    <w:rsid w:val="00E6407C"/>
    <w:rsid w:val="00E87189"/>
    <w:rsid w:val="00E87A33"/>
    <w:rsid w:val="00E87E2A"/>
    <w:rsid w:val="00E93E4C"/>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97E98"/>
    <w:rsid w:val="00FA06ED"/>
    <w:rsid w:val="00FA5FFC"/>
    <w:rsid w:val="00FB6678"/>
    <w:rsid w:val="00FD1B27"/>
    <w:rsid w:val="00FD630D"/>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 w:type="paragraph" w:styleId="Seznam">
    <w:name w:val="List"/>
    <w:basedOn w:val="Normln"/>
    <w:uiPriority w:val="99"/>
    <w:semiHidden/>
    <w:unhideWhenUsed/>
    <w:qFormat/>
    <w:rsid w:val="005D1668"/>
    <w:pPr>
      <w:spacing w:after="240" w:line="288" w:lineRule="auto"/>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0C81-D62B-4766-8E14-A0F4BECA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3385</Words>
  <Characters>20780</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24117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Honner Jan</cp:lastModifiedBy>
  <cp:revision>2</cp:revision>
  <cp:lastPrinted>2020-03-23T12:31:00Z</cp:lastPrinted>
  <dcterms:created xsi:type="dcterms:W3CDTF">2022-06-23T15:26:00Z</dcterms:created>
  <dcterms:modified xsi:type="dcterms:W3CDTF">2022-06-23T15:26:00Z</dcterms:modified>
</cp:coreProperties>
</file>