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530A" w14:textId="77777777" w:rsidR="00730517" w:rsidRPr="009110F7" w:rsidRDefault="00730517" w:rsidP="00730517">
      <w:pPr>
        <w:pStyle w:val="Nadpis1"/>
      </w:pPr>
      <w:bookmarkStart w:id="0" w:name="_Toc137233031"/>
      <w:bookmarkStart w:id="1" w:name="_Toc208920078"/>
      <w:bookmarkStart w:id="2" w:name="_Toc169258116"/>
      <w:bookmarkStart w:id="3" w:name="_Toc153531176"/>
      <w:bookmarkStart w:id="4" w:name="_Toc176767107"/>
      <w:bookmarkStart w:id="5" w:name="_Toc161914427"/>
      <w:r>
        <w:t>2. Souhrnná výkonnost</w:t>
      </w:r>
      <w:bookmarkEnd w:id="1"/>
    </w:p>
    <w:tbl>
      <w:tblPr>
        <w:tblW w:w="9639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6"/>
        <w:gridCol w:w="210"/>
        <w:gridCol w:w="7623"/>
      </w:tblGrid>
      <w:tr w:rsidR="00730517" w:rsidRPr="009110F7" w14:paraId="4FF5E7F4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578F7562" w14:textId="77777777" w:rsidR="00730517" w:rsidRDefault="00730517" w:rsidP="00A33549">
            <w:pPr>
              <w:pStyle w:val="Marginlie"/>
            </w:pPr>
            <w:r>
              <w:t>Ve 2. čtvrtletí došlo k posílení meziročního přírůstku HDP.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359706C5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7DEB890E" w14:textId="77777777" w:rsidR="00730517" w:rsidRPr="00014ED0" w:rsidRDefault="00730517" w:rsidP="00A33549">
            <w:pPr>
              <w:rPr>
                <w:spacing w:val="-2"/>
              </w:rPr>
            </w:pPr>
            <w:r>
              <w:rPr>
                <w:spacing w:val="-2"/>
              </w:rPr>
              <w:t>Česká ekonomika pokračovala v kurzu nastaveném ve druhé polovině roku 2024, kdy došlo k oživení dynamiky hrubého domácího produktu (HDP)</w:t>
            </w:r>
            <w:r w:rsidRPr="00014ED0">
              <w:rPr>
                <w:rStyle w:val="Znakapoznpodarou"/>
                <w:rFonts w:cs="Arial"/>
                <w:spacing w:val="-2"/>
              </w:rPr>
              <w:footnoteReference w:id="1"/>
            </w:r>
            <w:r>
              <w:rPr>
                <w:spacing w:val="-2"/>
              </w:rPr>
              <w:t xml:space="preserve">. Ve 2. kvartálu 2025 tak HDP vzrostl mezičtvrtletně o 0,5 %. Přírůstek pod vlivem negativního působení salda zahraničního obchodu mírně zpomalil oproti předchozím obdobím. Domácí poptávka ale výrazně posílila, zejména díky domácí spotřebě a tvorbě zásob. Druhé čtvrtletí v řadě mírně mezičtvrtletně rostla investiční aktivita. Meziroční dynamika HDP posilovala ve </w:t>
            </w:r>
            <w:r>
              <w:rPr>
                <w:spacing w:val="-2"/>
              </w:rPr>
              <w:br/>
              <w:t>2. čtvrtletí na 2,6 % díky trvajícímu mezikvartálnímu růstu. Výrazněji meziročně rostla spotřeba domácností a celkový ekonomický růst podpořila rovněž změna zásob. Trvalo ale meziroční zaostávání investiční aktivity a nepříznivý vliv na vývoj HDP byl zaznamenán také u salda zahraničního obchodu.</w:t>
            </w:r>
          </w:p>
        </w:tc>
      </w:tr>
      <w:tr w:rsidR="00730517" w:rsidRPr="009110F7" w14:paraId="09CB15CA" w14:textId="77777777" w:rsidTr="00A33549">
        <w:trPr>
          <w:trHeight w:val="170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27D05DE0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7FAE12DE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416CD34" w14:textId="77777777" w:rsidR="00730517" w:rsidRPr="00D721B4" w:rsidRDefault="00730517" w:rsidP="00A33549">
            <w:pPr>
              <w:spacing w:after="0"/>
              <w:rPr>
                <w:b/>
                <w:szCs w:val="20"/>
              </w:rPr>
            </w:pPr>
            <w:r w:rsidRPr="00D721B4">
              <w:rPr>
                <w:rFonts w:cs="Arial"/>
                <w:b/>
                <w:bCs/>
                <w:color w:val="000000"/>
                <w:szCs w:val="20"/>
              </w:rPr>
              <w:t>Graf č. 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HDP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očištěno o sezónní a kalendářní vlivy,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730517" w:rsidRPr="009110F7" w14:paraId="3664A441" w14:textId="77777777" w:rsidTr="00A33549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4F0FAE50" w14:textId="77777777" w:rsidR="00730517" w:rsidRPr="009110F7" w:rsidRDefault="00730517" w:rsidP="00A33549">
            <w:pPr>
              <w:pStyle w:val="Marginlie"/>
            </w:pPr>
          </w:p>
        </w:tc>
        <w:tc>
          <w:tcPr>
            <w:tcW w:w="210" w:type="dxa"/>
            <w:vMerge/>
          </w:tcPr>
          <w:p w14:paraId="279F1B4A" w14:textId="77777777" w:rsidR="00730517" w:rsidRPr="009110F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1DE6B2C3" w14:textId="77777777" w:rsidR="00730517" w:rsidRPr="009110F7" w:rsidRDefault="00730517" w:rsidP="00A3354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FD37C6A" wp14:editId="0F58A01D">
                  <wp:extent cx="4737600" cy="3553200"/>
                  <wp:effectExtent l="0" t="0" r="6350" b="0"/>
                  <wp:docPr id="17" name="Graf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30517" w:rsidRPr="009110F7" w14:paraId="5C6A1875" w14:textId="77777777" w:rsidTr="00A33549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4DFE1B0B" w14:textId="77777777" w:rsidR="00730517" w:rsidRPr="009110F7" w:rsidRDefault="00730517" w:rsidP="00A33549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28604F23" w14:textId="77777777" w:rsidR="00730517" w:rsidRPr="009110F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11C8B8E6" w14:textId="77777777" w:rsidR="00730517" w:rsidRPr="009110F7" w:rsidRDefault="00730517" w:rsidP="00A33549">
            <w:pPr>
              <w:spacing w:after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ČSÚ, Eurostat</w:t>
            </w:r>
          </w:p>
        </w:tc>
      </w:tr>
      <w:tr w:rsidR="00730517" w:rsidRPr="009110F7" w14:paraId="46CC7BA2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6D393697" w14:textId="77777777" w:rsidR="00730517" w:rsidRDefault="00730517" w:rsidP="00A33549">
            <w:pPr>
              <w:pStyle w:val="Marginlie"/>
            </w:pPr>
            <w:r>
              <w:t>Zejména pod vlivem Německa růst HDP v EU zpomalil.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46F022E2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057724D4" w14:textId="4A5A281A" w:rsidR="00730517" w:rsidRDefault="00730517" w:rsidP="00730517">
            <w:r>
              <w:t>Mezičtvrtletní růst HDP v EU ve 2. čtvrtletí zpomalil na 0,2 %</w:t>
            </w:r>
            <w:r>
              <w:rPr>
                <w:rStyle w:val="Znakapoznpodarou"/>
              </w:rPr>
              <w:footnoteReference w:id="2"/>
            </w:r>
            <w:r>
              <w:t xml:space="preserve">. Vliv na zpomalení mělo zejména velikostně významné Německo, kde po růstu z 1. kvartálu ekonomika opět klesla o 0,3 %. HDP se snížil také ve Finsku (−0,4 %) a Itálii (−0,1 %). Mírněji než v předchozím čtvrtletí rostla menšina zemí EU (kromě Česka také Irsko, Belgie, Litva nebo Nizozemsko). Nejrychleji mezičtvrtletně rostl HDP v Dánsku (1,3 %), Chorvatsku a Rumunsku (shodně 1,2 %). </w:t>
            </w:r>
            <w:r w:rsidRPr="00EC4D92">
              <w:t>Ve 2. čtvrtletí se v EU pozitivně vyvíjela spotřeba (</w:t>
            </w:r>
            <w:r>
              <w:t xml:space="preserve">0,4 %, </w:t>
            </w:r>
            <w:r w:rsidRPr="00EC4D92">
              <w:t>mezičtvrtletně rostla v naprosté většině zemí) a rostly také výdaje na tvorbu hrubého kapitálu. Na těch se ale pozitivně projevovala hlavně tvorba zásob. Investice v E</w:t>
            </w:r>
            <w:r>
              <w:t xml:space="preserve">U klesly mezičtvrtletně o 1,7 % </w:t>
            </w:r>
            <w:r w:rsidRPr="00EC4D92">
              <w:t>(v</w:t>
            </w:r>
            <w:r>
              <w:t> </w:t>
            </w:r>
            <w:r w:rsidRPr="00EC4D92">
              <w:t xml:space="preserve">Německu </w:t>
            </w:r>
            <w:r>
              <w:t>−1,4 %). Ve 2. čtvrtletí na růst HDP</w:t>
            </w:r>
            <w:r w:rsidRPr="00EC4D92">
              <w:t xml:space="preserve"> negativně p</w:t>
            </w:r>
            <w:r>
              <w:t>ůsobila</w:t>
            </w:r>
            <w:r w:rsidRPr="00EC4D92">
              <w:t xml:space="preserve"> bilance zahraničního obchodu (na rozdíl od 1. kvartálu). </w:t>
            </w:r>
            <w:r>
              <w:t xml:space="preserve">Meziročně ekonomika EU vzrostla o 1,6 %. Nejvíce se navýšil HDP v Irsku (18,0 %), na Kypru (3,3 %) a v Chorvatsku (3,2 %). Naopak kleslo Lucembursko (−0,2 %) a blízko stagnace se pohybovala meziroční dynamika HDP v  Německu (0,2 %) a v Maďarsku (0,2 %). </w:t>
            </w:r>
          </w:p>
        </w:tc>
      </w:tr>
      <w:tr w:rsidR="00730517" w:rsidRPr="009110F7" w14:paraId="053C698B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2DAFCC8C" w14:textId="77777777" w:rsidR="00730517" w:rsidRDefault="00730517" w:rsidP="00A33549">
            <w:pPr>
              <w:pStyle w:val="Marginlie"/>
            </w:pPr>
            <w:r>
              <w:lastRenderedPageBreak/>
              <w:t>Objem mezd a platů výrazně posílil.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4C46D067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3B5EC70" w14:textId="41DAF862" w:rsidR="00730517" w:rsidRPr="00014ED0" w:rsidRDefault="00730517" w:rsidP="00A33549">
            <w:r>
              <w:t>Objem vyplacených mezd a platů ve 2. čtvrtletí vykázal výrazné zrychlení mezičtvrtletního nárůstu na 3,0 % při současnému navýšení zaměstnanosti o 0,5 %</w:t>
            </w:r>
            <w:r w:rsidRPr="00014ED0">
              <w:rPr>
                <w:rStyle w:val="Znakapoznpodarou"/>
                <w:spacing w:val="-2"/>
              </w:rPr>
              <w:footnoteReference w:id="3"/>
            </w:r>
            <w:r>
              <w:t>. Reálný nárůst díky tomuto zrychlení dosáhl velmi výrazných 2,4 %</w:t>
            </w:r>
            <w:r>
              <w:rPr>
                <w:rStyle w:val="Znakapoznpodarou"/>
                <w:spacing w:val="-2"/>
              </w:rPr>
              <w:footnoteReference w:id="4"/>
            </w:r>
            <w:r>
              <w:t>. Nejvíce se mezičtvrtletně zvyšovaly mzdy a platy v činnostech v oblasti nemovitostí (7,2 % při poklesu zaměstnanosti o 0,2 %), kde mzdová dynamika často výrazně kolísá mimo jiné v návaznosti na vývoj cen nemovitostí. Velmi silné mezičtvrtletní přírůstky byly zaznamenány rovněž u řady velkých odvětví služeb – ve veřejné</w:t>
            </w:r>
            <w:r w:rsidRPr="006F2522">
              <w:t xml:space="preserve"> správ</w:t>
            </w:r>
            <w:r>
              <w:t>ě</w:t>
            </w:r>
            <w:r w:rsidRPr="006F2522">
              <w:t xml:space="preserve"> a obran</w:t>
            </w:r>
            <w:r>
              <w:t>ě</w:t>
            </w:r>
            <w:r w:rsidRPr="006F2522">
              <w:t>, vzdělávání, zdravotní a sociální péč</w:t>
            </w:r>
            <w:r>
              <w:t>i (4,3 %, zaměstnanost +0,9 %), profesních, vědeckých, technických a administrativních činnostech (3,8 %, zaměstnanost −0,6 %). Zejména nárůst zaměstnanosti o 1,3 % podpořil solidní zvýšení objemu mezd a platů v uskupení obchod, doprava, ubytování a pohostinství (2,7 %). Vzhledem k propadu zaměstnanosti o 4,1 % byl naopak jen mírný růst vyplacených prostředků v informačních a komunikačních činnostech (1,3 %) a stagnoval objem mezd a platů v peněžnictví a pojišťovnictví (zaměstnanost klesla o 0,6 %). Jediný propad objemu mezd a platů v rámci služeb i celé ekonomiky byl zaznamenán v ostatních činnostech</w:t>
            </w:r>
            <w:r>
              <w:rPr>
                <w:rStyle w:val="Znakapoznpodarou"/>
                <w:spacing w:val="-2"/>
              </w:rPr>
              <w:footnoteReference w:id="5"/>
            </w:r>
            <w:r>
              <w:t xml:space="preserve"> (−3,1 % při nárůstu zaměstnanosti o 4,3 %). Ve 2. čtvrtletí opět silně narostly mzdy a platy ve stavebnictví (3,0 %, zaměstnanost −0,4 %). Posílil rovněž mezičtvrtletní růst mezd a platů v průmyslu (2,7 %, zaměstnanost +0,4 %). Z toho ve zpracovatelském průmyslu bylo oživení výraznější (2,8 %, zaměstnanost +0,2 %).</w:t>
            </w:r>
          </w:p>
        </w:tc>
      </w:tr>
      <w:tr w:rsidR="00730517" w:rsidRPr="009110F7" w14:paraId="3B617728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79A9BFB3" w14:textId="77777777" w:rsidR="00730517" w:rsidRDefault="00730517" w:rsidP="00A33549">
            <w:pPr>
              <w:pStyle w:val="Marginlie"/>
            </w:pPr>
            <w:r>
              <w:t>Růst mezd a platů táhla vpřed odvětví služeb.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002C3DCD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3C4B9A0B" w14:textId="66FF663F" w:rsidR="00730517" w:rsidRDefault="00730517" w:rsidP="00A33549">
            <w:r>
              <w:t>Výrazné mezičtvrtletní oživení mělo přímý dopad také na meziroční přírůstek objemu vyplacených mezd a platů, který ve 2. čtvrtletí posílil na 8,3 % při navýšení zaměstnanosti o 1,0 %. Reálné meziroční navýšení vyšplhalo na 5,0 %. Rovněž v meziročním srovnání nejvíce rostly mzdy a platy v činnostech v oblasti nemovitostí (17,9 %, zaměstnanost +3,0 %). Nadprůměrný byl přírůstek u profesních, vědeckých, technických a administrativních činností (11,6 %, zaměstnanost +1,0 %), ve stavebnictví (10,2 %, zaměstnanost +1,1 %), veřejné</w:t>
            </w:r>
            <w:r w:rsidRPr="006F2522">
              <w:t xml:space="preserve"> správ</w:t>
            </w:r>
            <w:r>
              <w:t>ě</w:t>
            </w:r>
            <w:r w:rsidRPr="006F2522">
              <w:t xml:space="preserve"> a obran</w:t>
            </w:r>
            <w:r>
              <w:t>ě</w:t>
            </w:r>
            <w:r w:rsidRPr="006F2522">
              <w:t>, vzdělávání, zdravotní a sociální péč</w:t>
            </w:r>
            <w:r>
              <w:t>i (9,2 %, zaměstnanost +2,3 %) a v uskupení obchod, doprava, ubytování a pohostinství (9,0 %, zaměstnanost +1,2 %). K oslabení tempa došlo v informačních a komunikačních činnostech (7,5 %, zaměstnanost −1,2 %), v ostatních činnostech (4,8 % při nárůstu zaměstnanosti o 4,7 %) a v peněžnictví a pojišťovnictví (3,8 %, zaměstnanost −0,3 %). V průmyslu jako celku i v samotném zpracovatelském průmyslu mzdy a platy meziročně vzrostly o 5,9 % při mírném poklesu zaměstnanosti (−0,5 v průmyslu, z toho ve zpracovatelském −0,4 %).</w:t>
            </w:r>
          </w:p>
        </w:tc>
      </w:tr>
      <w:tr w:rsidR="00730517" w:rsidRPr="009110F7" w14:paraId="55473A8A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2525159F" w14:textId="77777777" w:rsidR="00730517" w:rsidRDefault="00730517" w:rsidP="00A33549">
            <w:pPr>
              <w:pStyle w:val="Marginlie"/>
            </w:pPr>
            <w:r>
              <w:t>Oživila se domácí spotřeba.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1ABB314E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1A5F4E30" w14:textId="12539992" w:rsidR="00730517" w:rsidRPr="004B6F8C" w:rsidRDefault="00730517" w:rsidP="000D1B52">
            <w:pPr>
              <w:rPr>
                <w:spacing w:val="-2"/>
              </w:rPr>
            </w:pPr>
            <w:r>
              <w:rPr>
                <w:spacing w:val="-2"/>
              </w:rPr>
              <w:t>Solidní růst domácí spotřeby se po krátkém zpomalení ve 2. čtvrtletí obnovil. Spotřeba mezičtvrtletně vzrostla o 1,1 % a meziročně o 3,1 %. K meziročnímu růstu HDP tak spotřeba přispěla celkově 1,7 p. b. a k mezičtvrtletnímu 0,6 p. b.</w:t>
            </w:r>
            <w:r w:rsidRPr="00014ED0">
              <w:rPr>
                <w:rStyle w:val="Znakapoznpodarou"/>
                <w:spacing w:val="-2"/>
              </w:rPr>
              <w:footnoteReference w:id="6"/>
            </w:r>
            <w:r>
              <w:rPr>
                <w:spacing w:val="-2"/>
              </w:rPr>
              <w:t xml:space="preserve"> Oživení se týkalo spotřeby domácností i vládních institucí. V případě domácností ve 2. čtvrtletí výdaje vzrostly mezičtvrtletně o 1,</w:t>
            </w:r>
            <w:r w:rsidR="000D1B52">
              <w:rPr>
                <w:spacing w:val="-2"/>
              </w:rPr>
              <w:t>0</w:t>
            </w:r>
            <w:r>
              <w:rPr>
                <w:spacing w:val="-2"/>
              </w:rPr>
              <w:t xml:space="preserve"> % a meziročně byly vyšší o 3,4 %. Spotřeba vládních institucí se zvýšila mezičtvrtletně o 1,2 % a meziročně o 2,2 %. Z hlediska členění spotřeby podle trvanlivosti</w:t>
            </w:r>
            <w:r>
              <w:rPr>
                <w:rStyle w:val="Znakapoznpodarou"/>
              </w:rPr>
              <w:footnoteReference w:id="7"/>
            </w:r>
            <w:r>
              <w:rPr>
                <w:spacing w:val="-2"/>
              </w:rPr>
              <w:t xml:space="preserve"> došlo k razantnímu mezičtvrtletnímu oživení u výdajů na dlouhodobou spotřebu (3,2 % byl nejvyšší přírůstek za poslední 4 roky, meziročně dlouhodobá spotřeba vzrostla o 2,7 %). Posílila i krátkodobá (2,4 % mezičtvrtletně, 5,6 % meziročně) a střednědobá (0,7 % mezičtvrtletně, 2,1 % meziročně) spotřeba. Oproti tomu spotřeba služeb rostla pomaleji (0,3 % mezičtvrtletně, 2,0 % meziročně).</w:t>
            </w:r>
          </w:p>
        </w:tc>
      </w:tr>
      <w:tr w:rsidR="00730517" w:rsidRPr="009110F7" w14:paraId="094B58E5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289D9554" w14:textId="77777777" w:rsidR="00730517" w:rsidRDefault="00730517" w:rsidP="00A33549">
            <w:pPr>
              <w:pStyle w:val="Marginlie"/>
            </w:pPr>
            <w:r>
              <w:t xml:space="preserve">Investice mírně mezičtvrtletně vzrostly, </w:t>
            </w:r>
            <w:r>
              <w:lastRenderedPageBreak/>
              <w:t>ale růst HDP podpořila hlavně tvorba zásob.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40767F26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1CF8A129" w14:textId="35BABDDE" w:rsidR="00730517" w:rsidRDefault="00730517" w:rsidP="00730517">
            <w:pPr>
              <w:rPr>
                <w:spacing w:val="-2"/>
              </w:rPr>
            </w:pPr>
            <w:r>
              <w:t xml:space="preserve">Výdaje na tvorbu hrubého kapitálu ve 2. čtvrtletí reálně mezičtvrtletně vzrostly o 1,8 % a meziročně byly vyšší o 5,1 %, stejně jako v 1. čtvrtletí. Kapitálové výdaje přispěly </w:t>
            </w:r>
            <w:r>
              <w:lastRenderedPageBreak/>
              <w:t>0,4 p. b. k </w:t>
            </w:r>
            <w:bookmarkStart w:id="6" w:name="_GoBack"/>
            <w:bookmarkEnd w:id="6"/>
            <w:r>
              <w:t>celkovému mezičtvrtletnímu růstu HDP a k meziročnímu 1,1 p. b. Mezičtvrtletní růst samotných investic (výdaje na tvorbu hrubého fixního kapitálu) byl jen mírný (0,5 %) a meziročně investiční aktivita zaostávala o 0,2 %. Pozitivní vliv na tvorbu hrubého kapitálu si udržovala změna zásob</w:t>
            </w:r>
            <w:r>
              <w:rPr>
                <w:rStyle w:val="Znakapoznpodarou"/>
              </w:rPr>
              <w:footnoteReference w:id="8"/>
            </w:r>
            <w:r>
              <w:t xml:space="preserve">. Věcné členění tvorby hrubého fixního kapitálu ukázalo ve 2. čtvrtletí na pozitivní mezičtvrtletní vývoj v oblasti ostatních budov a staveb (2,8 %, meziročně byly investice vyšší o 4,7 %), což také představovalo pokračující příznivý impulz pro domácí stavebnictví. Rostly také investice do dopravních prostředků a zařízení (2,4 % mezičtvrtletně, 2,1 % meziročně). Stagnovaly výdaje na produkty duševního vlastnictví (mezičtvrtletní růst o 0,1 %, meziročně o 0,5 %). Naproti tomu investice do ICT a ostatních strojů a zařízení vykázaly mezičtvrtletní pokles o 1,6 % a mírné snížení (−0,5 %) bylo vidět také v případě investic do obydlí. V obou případech se tak prodloužila série meziročních propadů. U ICT a strojů a zařízení zaostávaly výdaje za stejným obdobím loňského roku o 3,1 %, u obydlí o 4,1 %. </w:t>
            </w:r>
          </w:p>
        </w:tc>
      </w:tr>
      <w:tr w:rsidR="00730517" w:rsidRPr="009110F7" w14:paraId="0115C49A" w14:textId="77777777" w:rsidTr="00A33549">
        <w:trPr>
          <w:trHeight w:val="154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2A9E091B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0BD02854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4BA7D7FC" w14:textId="77777777" w:rsidR="00730517" w:rsidRDefault="00730517" w:rsidP="00A33549">
            <w:pPr>
              <w:spacing w:after="0"/>
            </w:pPr>
            <w:r w:rsidRPr="00D721B4">
              <w:rPr>
                <w:b/>
                <w:szCs w:val="20"/>
              </w:rPr>
              <w:t>Graf č. 2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výdajových složek k reálné změně HDP*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růst, příspěvky v p. b., HDP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730517" w:rsidRPr="009110F7" w14:paraId="004099E3" w14:textId="77777777" w:rsidTr="00A33549">
        <w:tblPrEx>
          <w:tblCellMar>
            <w:left w:w="70" w:type="dxa"/>
            <w:right w:w="70" w:type="dxa"/>
          </w:tblCellMar>
        </w:tblPrEx>
        <w:trPr>
          <w:trHeight w:val="154"/>
        </w:trPr>
        <w:tc>
          <w:tcPr>
            <w:tcW w:w="1806" w:type="dxa"/>
            <w:vMerge/>
          </w:tcPr>
          <w:p w14:paraId="3B240A8F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/>
          </w:tcPr>
          <w:p w14:paraId="70B5D5C8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0AD74A0D" w14:textId="77777777" w:rsidR="00730517" w:rsidRDefault="00730517" w:rsidP="00A3354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6033573" wp14:editId="54267077">
                  <wp:extent cx="4737600" cy="3553200"/>
                  <wp:effectExtent l="0" t="0" r="6350" b="0"/>
                  <wp:docPr id="18" name="Graf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30517" w:rsidRPr="009110F7" w14:paraId="75DE9938" w14:textId="77777777" w:rsidTr="00A33549">
        <w:trPr>
          <w:trHeight w:val="154"/>
        </w:trPr>
        <w:tc>
          <w:tcPr>
            <w:tcW w:w="1806" w:type="dxa"/>
            <w:vMerge/>
            <w:tcMar>
              <w:left w:w="0" w:type="dxa"/>
            </w:tcMar>
          </w:tcPr>
          <w:p w14:paraId="495C3FAE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7303C21D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723ABAD5" w14:textId="77777777" w:rsidR="00730517" w:rsidRDefault="00730517" w:rsidP="00A33549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</w:t>
            </w:r>
          </w:p>
          <w:p w14:paraId="521E7796" w14:textId="77777777" w:rsidR="00730517" w:rsidRDefault="00730517" w:rsidP="00A33549">
            <w:r>
              <w:rPr>
                <w:sz w:val="14"/>
                <w:szCs w:val="14"/>
              </w:rPr>
              <w:t>* po vyloučení dovozu pro konečné užití</w:t>
            </w:r>
          </w:p>
        </w:tc>
      </w:tr>
      <w:tr w:rsidR="00730517" w:rsidRPr="009110F7" w14:paraId="3B514674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77A8F07A" w14:textId="77777777" w:rsidR="00730517" w:rsidRDefault="00730517" w:rsidP="00A33549">
            <w:pPr>
              <w:pStyle w:val="Marginlie"/>
            </w:pPr>
            <w:r>
              <w:t xml:space="preserve">Bilance zahraničního obchodu se zbožím </w:t>
            </w:r>
            <w:r>
              <w:br/>
              <w:t>a službami se zhoršila.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271E7155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5EE8AD7" w14:textId="4AD32A84" w:rsidR="00730517" w:rsidRDefault="00730517" w:rsidP="00730517">
            <w:r>
              <w:t>Export zboží a služeb</w:t>
            </w:r>
            <w:r w:rsidRPr="009110F7">
              <w:rPr>
                <w:rStyle w:val="Znakapoznpodarou"/>
              </w:rPr>
              <w:footnoteReference w:id="9"/>
            </w:r>
            <w:r>
              <w:t xml:space="preserve">  ve 2. kvartálu mezičtvrtletně vzrostl o 0,3 %, přičemž vývoz zboží byl vyšší o 0,6 % a u služeb klesl o 1,0 %. Přírůstek výrazně zpomalil, a to zejména ve srovnání s prvním kvartálem, který dostal impuls v podobě hrozících cel mezi USA a EU. Za negativním působením salda zahraničního obchodu se zbožím a službami na růst HDP (−0,6 p. b. mezičtvrtletně a −0,2 p. b. meziročně) ve 2. čtvrtletí stál zejména fakt, že dovoz si oproti vývozu udržel silnou mezičtvrtletní (1,5 %) i meziroční (6,0 %) dynamiku. Meziročně byl vývoz zboží a služeb vyšší o 4,2 % (export zboží vzrostl o 4,7 % a služeb o 2,2 %). Bilance zahraničního obchodu se zbožím a službami v běžných cenách ve 2. čtvrtletí dosáhla přebytku 118,8 mld. korun a meziročně se tak zhoršila o 11,0 mld. K meziročnímu zhoršení více přispěl obchod </w:t>
            </w:r>
            <w:r>
              <w:lastRenderedPageBreak/>
              <w:t>se službami (−8,5 mld. korun), ale klesl i přebytek obchodu se zbožím (−2,5 mld.). Přebytek se zhoršil i mezičtvrtletně a opět zejména pod vlivem služeb.</w:t>
            </w:r>
          </w:p>
        </w:tc>
      </w:tr>
      <w:tr w:rsidR="00730517" w:rsidRPr="009110F7" w14:paraId="45F5E169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38089CA5" w14:textId="77777777" w:rsidR="00730517" w:rsidRDefault="00730517" w:rsidP="00A33549">
            <w:pPr>
              <w:pStyle w:val="Marginlie"/>
            </w:pPr>
            <w:r>
              <w:lastRenderedPageBreak/>
              <w:t xml:space="preserve">Dařilo se obchodu, dopravě, ubytování </w:t>
            </w:r>
            <w:r>
              <w:br/>
              <w:t>a pohostinství.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3D6E2AE0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466FB169" w14:textId="77777777" w:rsidR="00730517" w:rsidRDefault="00730517" w:rsidP="00A33549">
            <w:r>
              <w:t xml:space="preserve">Hrubá přidaná hodnota (HPH) ve 2. čtvrtletí mezičtvrtletně vzrostla o 0,5 %. Přírůstek zpomalil, a to zejména pod vlivem peněžnictví a pojišťovnictví, které přešlo z předchozího růstu do poklesu HPH o 4,6 % a dále vlivem zmírnění dynamiky HPH v informačních a komunikačních činnostech na 0,5 %. Nejvíce ve směru růstu HPH působilo uskupení obchod, doprava, ubytování a pohostinství (1,7 %) podpořené oživením domácí spotřeby. Pokračoval rovněž solidní vývoj ve stavebnictví (1,9 %) </w:t>
            </w:r>
            <w:r>
              <w:br/>
              <w:t>a výrazně rostly profesní, vědecké, technické a administrativní činnosti (1,3 %). Zpomalil růst v činnostech v oblasti nemovitostí (0,2 %) a ostatních činnostech (0,2 %). Po předchozím poklesu opět mírně vzrostla HPH ve zpracovatelském průmyslu (0,3 %) a trvala tak série nejistých výkonů v odvětví. Klesla HPH ve veřejné</w:t>
            </w:r>
            <w:r w:rsidRPr="00D62643">
              <w:t xml:space="preserve"> správ</w:t>
            </w:r>
            <w:r>
              <w:t>ě a obraně</w:t>
            </w:r>
            <w:r w:rsidRPr="00D62643">
              <w:t>, vzděl</w:t>
            </w:r>
            <w:r>
              <w:t>ávání, zdravotní a sociální péči (−0,2 %).</w:t>
            </w:r>
          </w:p>
        </w:tc>
      </w:tr>
      <w:tr w:rsidR="00730517" w:rsidRPr="009110F7" w14:paraId="1EB457B0" w14:textId="77777777" w:rsidTr="00A33549">
        <w:trPr>
          <w:trHeight w:val="170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04D551F0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06B52108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6DC0F643" w14:textId="77777777" w:rsidR="00730517" w:rsidRDefault="00730517" w:rsidP="00A33549">
            <w:pPr>
              <w:spacing w:after="0"/>
            </w:pPr>
            <w:r w:rsidRPr="00D721B4">
              <w:rPr>
                <w:b/>
                <w:szCs w:val="20"/>
              </w:rPr>
              <w:t>Graf č. 3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odvětví k reálné změně HPH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příspěvky v p. b., HPH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730517" w:rsidRPr="009110F7" w14:paraId="59C8EBA2" w14:textId="77777777" w:rsidTr="00A33549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0794AB6B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/>
          </w:tcPr>
          <w:p w14:paraId="6D80EF5A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066B347A" w14:textId="77777777" w:rsidR="00730517" w:rsidRDefault="00730517" w:rsidP="00A3354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1B57073" wp14:editId="08A7E936">
                  <wp:extent cx="4737600" cy="3486525"/>
                  <wp:effectExtent l="0" t="0" r="6350" b="0"/>
                  <wp:docPr id="27" name="Graf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30517" w:rsidRPr="009110F7" w14:paraId="5623048C" w14:textId="77777777" w:rsidTr="00A33549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0C04925A" w14:textId="77777777" w:rsidR="00730517" w:rsidRDefault="00730517" w:rsidP="00A33549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266F3AC6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142E7AA0" w14:textId="77777777" w:rsidR="00730517" w:rsidRDefault="00730517" w:rsidP="00A33549">
            <w:r w:rsidRPr="00A85DE1">
              <w:rPr>
                <w:sz w:val="14"/>
                <w:szCs w:val="14"/>
              </w:rPr>
              <w:t>Zdroj: ČSÚ</w:t>
            </w:r>
          </w:p>
        </w:tc>
      </w:tr>
      <w:tr w:rsidR="00730517" w:rsidRPr="009110F7" w14:paraId="6D7577ED" w14:textId="77777777" w:rsidTr="00A33549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18724016" w14:textId="77777777" w:rsidR="00730517" w:rsidRDefault="00730517" w:rsidP="00A33549">
            <w:pPr>
              <w:pStyle w:val="Marginlie"/>
            </w:pPr>
            <w:r>
              <w:t>Pokračoval příznivý vývoj ve stavebnictví.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72113B92" w14:textId="77777777" w:rsidR="00730517" w:rsidRDefault="00730517" w:rsidP="00A33549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1A2736FE" w14:textId="77777777" w:rsidR="00730517" w:rsidRDefault="00730517" w:rsidP="00A33549">
            <w:pPr>
              <w:spacing w:after="0"/>
            </w:pPr>
            <w:r>
              <w:t>Meziroční růst HPH ve 2. čtvrtletí posílil na 2,8 %. Nejvíce ve směru růstu působilo uskupení obchod, doprava, ubytování a pohostinství, kde byla HPH vyšší o 3,8 %. Na růstu se také výrazně podílely informační a komunikační činnosti (6,8 %). Nejvýraznější meziroční nárůst HPH byl zaznamenán u stavebnictví (6,2 %), které po letech poklesů</w:t>
            </w:r>
            <w:r>
              <w:rPr>
                <w:rStyle w:val="Znakapoznpodarou"/>
              </w:rPr>
              <w:footnoteReference w:id="10"/>
            </w:r>
            <w:r>
              <w:t xml:space="preserve"> zažívá úspěšnější období. Nad celkovým průměrem byl také přírůstek HPH v ostatních činnostech (3,9 %). Hrubá přidaná hodnota v průmyslu jako celku ve 2. čtvrtletí meziročně vzrostla o 2,2 % a z toho ve zpracovatelském průmyslu o 2,0 %. Přírůstek ovlivnila zejména nízká srovnávací základna předchozího roku, protože zrychlení tempa nemělo oporu v mezičtvrtletní dynamice. Růst zpomalil v uskupení profesní, vědecké, technické a administrativní činnosti (2,7 %), v peněžnictví a pojišťovnictví (2,0 %). Jen mírně meziročně rostly činnosti v oblasti nemovitostí (1,0 %) a veřejná</w:t>
            </w:r>
            <w:r w:rsidRPr="00D62643">
              <w:t xml:space="preserve"> správ</w:t>
            </w:r>
            <w:r>
              <w:t>a a obrana</w:t>
            </w:r>
            <w:r w:rsidRPr="00D62643">
              <w:t>, vzděl</w:t>
            </w:r>
            <w:r>
              <w:t>ávání, zdravotní a sociální péče (1,1 %).</w:t>
            </w:r>
          </w:p>
        </w:tc>
      </w:tr>
      <w:bookmarkEnd w:id="0"/>
      <w:bookmarkEnd w:id="2"/>
      <w:bookmarkEnd w:id="3"/>
      <w:bookmarkEnd w:id="4"/>
      <w:bookmarkEnd w:id="5"/>
    </w:tbl>
    <w:p w14:paraId="2143296F" w14:textId="65E279AE" w:rsidR="00A50D73" w:rsidRPr="00A04CEF" w:rsidRDefault="00A50D73" w:rsidP="00BA37EA">
      <w:pPr>
        <w:pStyle w:val="Nadpis1"/>
        <w:rPr>
          <w:sz w:val="2"/>
          <w:szCs w:val="2"/>
        </w:rPr>
      </w:pPr>
    </w:p>
    <w:sectPr w:rsidR="00A50D73" w:rsidRPr="00A04CEF" w:rsidSect="009C410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5D4F" w14:textId="77777777" w:rsidR="004C456F" w:rsidRDefault="004C456F" w:rsidP="00E71A58">
      <w:r>
        <w:separator/>
      </w:r>
    </w:p>
  </w:endnote>
  <w:endnote w:type="continuationSeparator" w:id="0">
    <w:p w14:paraId="1872982C" w14:textId="77777777" w:rsidR="004C456F" w:rsidRDefault="004C456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399C708C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9C410D">
      <w:rPr>
        <w:szCs w:val="16"/>
      </w:rPr>
      <w:t>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pololetí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45A461C1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pololetí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9C410D">
      <w:rPr>
        <w:rStyle w:val="ZpatChar"/>
        <w:szCs w:val="16"/>
      </w:rPr>
      <w:t>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2FFA" w14:textId="77777777" w:rsidR="004C456F" w:rsidRDefault="004C456F" w:rsidP="00EA4302">
      <w:pPr>
        <w:spacing w:after="0"/>
      </w:pPr>
      <w:r>
        <w:separator/>
      </w:r>
    </w:p>
  </w:footnote>
  <w:footnote w:type="continuationSeparator" w:id="0">
    <w:p w14:paraId="41362B96" w14:textId="77777777" w:rsidR="004C456F" w:rsidRDefault="004C456F" w:rsidP="00E71A58">
      <w:r>
        <w:continuationSeparator/>
      </w:r>
    </w:p>
  </w:footnote>
  <w:footnote w:id="1">
    <w:p w14:paraId="2CAA72A4" w14:textId="77777777" w:rsidR="004C456F" w:rsidRPr="003879FE" w:rsidRDefault="004C456F" w:rsidP="00730517">
      <w:pPr>
        <w:pStyle w:val="Textpoznpodarou"/>
        <w:rPr>
          <w:sz w:val="16"/>
          <w:szCs w:val="16"/>
        </w:rPr>
      </w:pPr>
      <w:r w:rsidRPr="000348AF">
        <w:rPr>
          <w:rStyle w:val="Znakapoznpodarou"/>
          <w:sz w:val="16"/>
          <w:szCs w:val="16"/>
        </w:rPr>
        <w:footnoteRef/>
      </w:r>
      <w:r w:rsidRPr="000348AF">
        <w:rPr>
          <w:sz w:val="16"/>
          <w:szCs w:val="16"/>
        </w:rPr>
        <w:t xml:space="preserve"> Vývoj HDP, hrubé přidané hodnoty a jejich složek je vyjádřen prostřednictvím objemových indexů (tj. očištěn o vliv cen) a po očištění o sezónní a kalendářní vlivy. Údaje jsou platné k</w:t>
      </w:r>
      <w:r>
        <w:rPr>
          <w:sz w:val="16"/>
          <w:szCs w:val="16"/>
        </w:rPr>
        <w:t xml:space="preserve"> 29. 8. </w:t>
      </w:r>
      <w:r w:rsidRPr="000348AF">
        <w:rPr>
          <w:sz w:val="16"/>
          <w:szCs w:val="16"/>
        </w:rPr>
        <w:t>202</w:t>
      </w:r>
      <w:r>
        <w:rPr>
          <w:sz w:val="16"/>
          <w:szCs w:val="16"/>
        </w:rPr>
        <w:t>5</w:t>
      </w:r>
      <w:r w:rsidRPr="000348AF">
        <w:rPr>
          <w:sz w:val="16"/>
          <w:szCs w:val="16"/>
        </w:rPr>
        <w:t>.</w:t>
      </w:r>
    </w:p>
  </w:footnote>
  <w:footnote w:id="2">
    <w:p w14:paraId="21FCD5FF" w14:textId="77777777" w:rsidR="004C456F" w:rsidRPr="0035261D" w:rsidRDefault="004C456F" w:rsidP="00730517">
      <w:pPr>
        <w:pStyle w:val="Textpoznpodarou"/>
        <w:rPr>
          <w:sz w:val="16"/>
          <w:szCs w:val="16"/>
        </w:rPr>
      </w:pPr>
      <w:r w:rsidRPr="0035261D">
        <w:rPr>
          <w:rStyle w:val="Znakapoznpodarou"/>
          <w:sz w:val="16"/>
          <w:szCs w:val="16"/>
        </w:rPr>
        <w:footnoteRef/>
      </w:r>
      <w:r w:rsidRPr="0035261D">
        <w:rPr>
          <w:sz w:val="16"/>
          <w:szCs w:val="16"/>
        </w:rPr>
        <w:t xml:space="preserve"> Nedostupná data za Řecko.</w:t>
      </w:r>
    </w:p>
  </w:footnote>
  <w:footnote w:id="3">
    <w:p w14:paraId="7BAA57FF" w14:textId="77777777" w:rsidR="004C456F" w:rsidRDefault="004C456F" w:rsidP="00730517">
      <w:pPr>
        <w:pStyle w:val="Textpoznpodarou"/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</w:t>
      </w:r>
      <w:r>
        <w:rPr>
          <w:sz w:val="16"/>
          <w:szCs w:val="16"/>
        </w:rPr>
        <w:t>Zaměstnanost v</w:t>
      </w:r>
      <w:r w:rsidRPr="009C6EA8">
        <w:rPr>
          <w:sz w:val="16"/>
          <w:szCs w:val="16"/>
        </w:rPr>
        <w:t> pojetí národních účtů</w:t>
      </w:r>
      <w:r>
        <w:rPr>
          <w:sz w:val="16"/>
          <w:szCs w:val="16"/>
        </w:rPr>
        <w:t xml:space="preserve"> (osoby)</w:t>
      </w:r>
      <w:r w:rsidRPr="009C6EA8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údaj je </w:t>
      </w:r>
      <w:r w:rsidRPr="009C6EA8">
        <w:rPr>
          <w:sz w:val="16"/>
          <w:szCs w:val="16"/>
        </w:rPr>
        <w:t>sezónně očištěn</w:t>
      </w:r>
      <w:r w:rsidRPr="00004BA8">
        <w:rPr>
          <w:sz w:val="16"/>
        </w:rPr>
        <w:t>.</w:t>
      </w:r>
    </w:p>
  </w:footnote>
  <w:footnote w:id="4">
    <w:p w14:paraId="50FED2F6" w14:textId="77777777" w:rsidR="004C456F" w:rsidRPr="005F75B1" w:rsidRDefault="004C456F" w:rsidP="00730517">
      <w:pPr>
        <w:pStyle w:val="Textpoznpodarou"/>
        <w:rPr>
          <w:sz w:val="16"/>
          <w:szCs w:val="16"/>
        </w:rPr>
      </w:pPr>
      <w:r w:rsidRPr="005F75B1">
        <w:rPr>
          <w:rStyle w:val="Znakapoznpodarou"/>
          <w:sz w:val="16"/>
          <w:szCs w:val="16"/>
        </w:rPr>
        <w:footnoteRef/>
      </w:r>
      <w:r w:rsidRPr="005F75B1">
        <w:rPr>
          <w:sz w:val="16"/>
          <w:szCs w:val="16"/>
        </w:rPr>
        <w:t xml:space="preserve"> Do reálného vyjádření převedeno s pomocí deflátoru spotřeby domácností.</w:t>
      </w:r>
    </w:p>
  </w:footnote>
  <w:footnote w:id="5">
    <w:p w14:paraId="5AF014FC" w14:textId="77777777" w:rsidR="004C456F" w:rsidRPr="0053191D" w:rsidRDefault="004C456F" w:rsidP="00730517">
      <w:pPr>
        <w:pStyle w:val="Textpoznpodarou"/>
        <w:rPr>
          <w:sz w:val="16"/>
          <w:szCs w:val="16"/>
        </w:rPr>
      </w:pPr>
      <w:r w:rsidRPr="0053191D">
        <w:rPr>
          <w:rStyle w:val="Znakapoznpodarou"/>
          <w:sz w:val="16"/>
          <w:szCs w:val="16"/>
        </w:rPr>
        <w:footnoteRef/>
      </w:r>
      <w:r w:rsidRPr="0053191D">
        <w:rPr>
          <w:sz w:val="16"/>
          <w:szCs w:val="16"/>
        </w:rPr>
        <w:t xml:space="preserve"> Tato sekce zahrnuje činnosti organizací sdružujících osoby za účelem prosazování společných zájmů, opravy počítačů a výrobků pro osobní potřebu a převážně pro domácnost a řadu jiných osobních služeb</w:t>
      </w:r>
      <w:r>
        <w:rPr>
          <w:sz w:val="16"/>
          <w:szCs w:val="16"/>
        </w:rPr>
        <w:t xml:space="preserve"> (kosmetické, kadeřnické apod.).</w:t>
      </w:r>
    </w:p>
  </w:footnote>
  <w:footnote w:id="6">
    <w:p w14:paraId="4761FDC9" w14:textId="77777777" w:rsidR="004C456F" w:rsidRPr="009C6EA8" w:rsidRDefault="004C456F" w:rsidP="00730517">
      <w:pPr>
        <w:pStyle w:val="Textpoznpodarou"/>
        <w:rPr>
          <w:sz w:val="16"/>
          <w:szCs w:val="16"/>
        </w:rPr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Příspěvky ke změně HDP po vyloučení dovozu pro konečné užití.</w:t>
      </w:r>
    </w:p>
  </w:footnote>
  <w:footnote w:id="7">
    <w:p w14:paraId="1551D3A0" w14:textId="77777777" w:rsidR="004C456F" w:rsidRPr="00954992" w:rsidRDefault="004C456F" w:rsidP="00730517">
      <w:pPr>
        <w:pStyle w:val="Textpoznpodarou"/>
        <w:rPr>
          <w:sz w:val="16"/>
          <w:szCs w:val="16"/>
        </w:rPr>
      </w:pPr>
      <w:r w:rsidRPr="00954992">
        <w:rPr>
          <w:rStyle w:val="Znakapoznpodarou"/>
          <w:sz w:val="16"/>
          <w:szCs w:val="16"/>
        </w:rPr>
        <w:footnoteRef/>
      </w:r>
      <w:r w:rsidRPr="00954992">
        <w:rPr>
          <w:sz w:val="16"/>
          <w:szCs w:val="16"/>
        </w:rPr>
        <w:t xml:space="preserve"> Údaje o</w:t>
      </w:r>
      <w:r>
        <w:rPr>
          <w:sz w:val="16"/>
          <w:szCs w:val="16"/>
        </w:rPr>
        <w:t> </w:t>
      </w:r>
      <w:r w:rsidRPr="00954992">
        <w:rPr>
          <w:sz w:val="16"/>
          <w:szCs w:val="16"/>
        </w:rPr>
        <w:t>spotřebě dle trvanlivosti jsou v domácím pojetí</w:t>
      </w:r>
      <w:r>
        <w:rPr>
          <w:sz w:val="16"/>
          <w:szCs w:val="16"/>
        </w:rPr>
        <w:t>.</w:t>
      </w:r>
    </w:p>
  </w:footnote>
  <w:footnote w:id="8">
    <w:p w14:paraId="7F305F29" w14:textId="77777777" w:rsidR="004C456F" w:rsidRPr="004831F6" w:rsidRDefault="004C456F" w:rsidP="00730517">
      <w:pPr>
        <w:pStyle w:val="Textpoznpodarou"/>
        <w:rPr>
          <w:sz w:val="16"/>
          <w:szCs w:val="16"/>
        </w:rPr>
      </w:pPr>
      <w:r w:rsidRPr="004831F6">
        <w:rPr>
          <w:rStyle w:val="Znakapoznpodarou"/>
          <w:sz w:val="16"/>
          <w:szCs w:val="16"/>
        </w:rPr>
        <w:footnoteRef/>
      </w:r>
      <w:r w:rsidRPr="004831F6">
        <w:rPr>
          <w:sz w:val="16"/>
          <w:szCs w:val="16"/>
        </w:rPr>
        <w:t xml:space="preserve"> Změna zásob</w:t>
      </w:r>
      <w:r>
        <w:rPr>
          <w:sz w:val="16"/>
          <w:szCs w:val="16"/>
        </w:rPr>
        <w:t xml:space="preserve"> (v běžných cenách a sezónně neočištěná)</w:t>
      </w:r>
      <w:r w:rsidRPr="004831F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ve 2. čtvrtletí 2025 činila 36,7 mld. korun. Ve stejném období loňského roku to bylo 9,5 mld. korun a v letošním 1. čtvrtletí −6,9 mld.  </w:t>
      </w:r>
    </w:p>
  </w:footnote>
  <w:footnote w:id="9">
    <w:p w14:paraId="7DBFB761" w14:textId="77777777" w:rsidR="004C456F" w:rsidRPr="00167B30" w:rsidRDefault="004C456F" w:rsidP="00730517">
      <w:pPr>
        <w:pStyle w:val="Textpoznpodarou"/>
        <w:rPr>
          <w:sz w:val="16"/>
          <w:szCs w:val="16"/>
        </w:rPr>
      </w:pPr>
      <w:r w:rsidRPr="00167B30">
        <w:rPr>
          <w:rStyle w:val="Znakapoznpodarou"/>
          <w:sz w:val="16"/>
          <w:szCs w:val="16"/>
        </w:rPr>
        <w:footnoteRef/>
      </w:r>
      <w:r w:rsidRPr="00167B30">
        <w:rPr>
          <w:sz w:val="16"/>
          <w:szCs w:val="16"/>
        </w:rPr>
        <w:t xml:space="preserve"> Podle metodiky čtvrtletních národních účtů (vývoz a</w:t>
      </w:r>
      <w:r>
        <w:rPr>
          <w:sz w:val="16"/>
          <w:szCs w:val="16"/>
        </w:rPr>
        <w:t> </w:t>
      </w:r>
      <w:r w:rsidRPr="00167B30">
        <w:rPr>
          <w:sz w:val="16"/>
          <w:szCs w:val="16"/>
        </w:rPr>
        <w:t>dovoz v ocenění FOB/FOB)</w:t>
      </w:r>
      <w:r>
        <w:rPr>
          <w:sz w:val="16"/>
          <w:szCs w:val="16"/>
        </w:rPr>
        <w:t xml:space="preserve">. Bilance zahraničního obchodu v běžných cenách </w:t>
      </w:r>
      <w:r>
        <w:rPr>
          <w:sz w:val="16"/>
          <w:szCs w:val="16"/>
        </w:rPr>
        <w:br/>
        <w:t>a po sezónním očištění.</w:t>
      </w:r>
    </w:p>
  </w:footnote>
  <w:footnote w:id="10">
    <w:p w14:paraId="3EEAFE72" w14:textId="77777777" w:rsidR="004C456F" w:rsidRPr="00432931" w:rsidRDefault="004C456F" w:rsidP="00730517">
      <w:pPr>
        <w:pStyle w:val="Textpoznpodarou"/>
        <w:rPr>
          <w:sz w:val="16"/>
          <w:szCs w:val="16"/>
        </w:rPr>
      </w:pPr>
      <w:r w:rsidRPr="00432931">
        <w:rPr>
          <w:rStyle w:val="Znakapoznpodarou"/>
          <w:sz w:val="16"/>
          <w:szCs w:val="16"/>
        </w:rPr>
        <w:footnoteRef/>
      </w:r>
      <w:r w:rsidRPr="00432931">
        <w:rPr>
          <w:sz w:val="16"/>
          <w:szCs w:val="16"/>
        </w:rPr>
        <w:t xml:space="preserve"> Meziročně odvětví nepřetržitě klesalo od 3. čtvrtletí 2018 do 2. čtvrtletí 2023.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34"/>
  </w:num>
  <w:num w:numId="14">
    <w:abstractNumId w:val="15"/>
  </w:num>
  <w:num w:numId="15">
    <w:abstractNumId w:val="24"/>
  </w:num>
  <w:num w:numId="16">
    <w:abstractNumId w:val="19"/>
  </w:num>
  <w:num w:numId="17">
    <w:abstractNumId w:val="35"/>
  </w:num>
  <w:num w:numId="18">
    <w:abstractNumId w:val="25"/>
  </w:num>
  <w:num w:numId="19">
    <w:abstractNumId w:val="38"/>
  </w:num>
  <w:num w:numId="20">
    <w:abstractNumId w:val="43"/>
  </w:num>
  <w:num w:numId="21">
    <w:abstractNumId w:val="33"/>
  </w:num>
  <w:num w:numId="22">
    <w:abstractNumId w:val="23"/>
  </w:num>
  <w:num w:numId="23">
    <w:abstractNumId w:val="21"/>
  </w:num>
  <w:num w:numId="24">
    <w:abstractNumId w:val="22"/>
  </w:num>
  <w:num w:numId="25">
    <w:abstractNumId w:val="41"/>
  </w:num>
  <w:num w:numId="26">
    <w:abstractNumId w:val="42"/>
  </w:num>
  <w:num w:numId="27">
    <w:abstractNumId w:val="43"/>
  </w:num>
  <w:num w:numId="28">
    <w:abstractNumId w:val="13"/>
  </w:num>
  <w:num w:numId="29">
    <w:abstractNumId w:val="27"/>
  </w:num>
  <w:num w:numId="30">
    <w:abstractNumId w:val="26"/>
  </w:num>
  <w:num w:numId="31">
    <w:abstractNumId w:val="10"/>
  </w:num>
  <w:num w:numId="32">
    <w:abstractNumId w:val="28"/>
  </w:num>
  <w:num w:numId="33">
    <w:abstractNumId w:val="12"/>
  </w:num>
  <w:num w:numId="34">
    <w:abstractNumId w:val="45"/>
  </w:num>
  <w:num w:numId="35">
    <w:abstractNumId w:val="11"/>
  </w:num>
  <w:num w:numId="36">
    <w:abstractNumId w:val="37"/>
  </w:num>
  <w:num w:numId="37">
    <w:abstractNumId w:val="30"/>
  </w:num>
  <w:num w:numId="38">
    <w:abstractNumId w:val="29"/>
  </w:num>
  <w:num w:numId="39">
    <w:abstractNumId w:val="39"/>
  </w:num>
  <w:num w:numId="40">
    <w:abstractNumId w:val="44"/>
  </w:num>
  <w:num w:numId="41">
    <w:abstractNumId w:val="40"/>
  </w:num>
  <w:num w:numId="42">
    <w:abstractNumId w:val="32"/>
  </w:num>
  <w:num w:numId="43">
    <w:abstractNumId w:val="20"/>
  </w:num>
  <w:num w:numId="44">
    <w:abstractNumId w:val="14"/>
  </w:num>
  <w:num w:numId="45">
    <w:abstractNumId w:val="36"/>
  </w:num>
  <w:num w:numId="46">
    <w:abstractNumId w:val="16"/>
  </w:num>
  <w:num w:numId="47">
    <w:abstractNumId w:val="43"/>
  </w:num>
  <w:num w:numId="48">
    <w:abstractNumId w:val="43"/>
    <w:lvlOverride w:ilvl="0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1B52"/>
    <w:rsid w:val="000D5637"/>
    <w:rsid w:val="000E6FBD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6286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3504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3F1E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40A8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099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7445"/>
    <w:rsid w:val="007A3861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0815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410D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6C2B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D7AFB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3E29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2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2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2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324257007767645E-2"/>
          <c:y val="2.3046636085626952E-2"/>
          <c:w val="0.92008633063154344"/>
          <c:h val="0.7419284025667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'souhrnná výkonnost 1'!$C$4</c:f>
              <c:strCache>
                <c:ptCount val="1"/>
                <c:pt idx="0">
                  <c:v>ČR meziroční změna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</c:spPr>
          <c:invertIfNegative val="0"/>
          <c:cat>
            <c:multiLvlStrRef>
              <c:f>'souhrnná výkonnost 1'!$A$13:$B$34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1'!$C$13:$C$34</c:f>
              <c:numCache>
                <c:formatCode>0.0</c:formatCode>
                <c:ptCount val="22"/>
                <c:pt idx="0">
                  <c:v>-1.5351861916054617</c:v>
                </c:pt>
                <c:pt idx="1">
                  <c:v>-10.559587702388853</c:v>
                </c:pt>
                <c:pt idx="2">
                  <c:v>-4.6694083752601188</c:v>
                </c:pt>
                <c:pt idx="3">
                  <c:v>-4.5192273145153194</c:v>
                </c:pt>
                <c:pt idx="4">
                  <c:v>-1.2664124847114806</c:v>
                </c:pt>
                <c:pt idx="5">
                  <c:v>9.7297062446547216</c:v>
                </c:pt>
                <c:pt idx="6">
                  <c:v>3.9961916951869227</c:v>
                </c:pt>
                <c:pt idx="7">
                  <c:v>3.9239124588274592</c:v>
                </c:pt>
                <c:pt idx="8">
                  <c:v>4.8491281313959291</c:v>
                </c:pt>
                <c:pt idx="9">
                  <c:v>3.6598190972935782</c:v>
                </c:pt>
                <c:pt idx="10">
                  <c:v>2.0291799214766684</c:v>
                </c:pt>
                <c:pt idx="11">
                  <c:v>0.95170963681438536</c:v>
                </c:pt>
                <c:pt idx="12">
                  <c:v>0.26248598087539676</c:v>
                </c:pt>
                <c:pt idx="13">
                  <c:v>0.21777400207922426</c:v>
                </c:pt>
                <c:pt idx="14">
                  <c:v>-0.2818883582691285</c:v>
                </c:pt>
                <c:pt idx="15">
                  <c:v>0.48633188147042006</c:v>
                </c:pt>
                <c:pt idx="16">
                  <c:v>0.48211384634807075</c:v>
                </c:pt>
                <c:pt idx="17">
                  <c:v>0.52357852260544746</c:v>
                </c:pt>
                <c:pt idx="18">
                  <c:v>1.5047596211287271</c:v>
                </c:pt>
                <c:pt idx="19">
                  <c:v>1.9258216207161354</c:v>
                </c:pt>
                <c:pt idx="20">
                  <c:v>2.4318185748620778</c:v>
                </c:pt>
                <c:pt idx="21">
                  <c:v>2.5870683460635888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0-4CF0-B07A-38421591FD3B}"/>
            </c:ext>
          </c:extLst>
        </c:ser>
        <c:ser>
          <c:idx val="1"/>
          <c:order val="1"/>
          <c:tx>
            <c:strRef>
              <c:f>'souhrnná výkonnost 1'!$D$4</c:f>
              <c:strCache>
                <c:ptCount val="1"/>
                <c:pt idx="0">
                  <c:v>EU27 meziroční změna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</c:spPr>
          <c:invertIfNegative val="0"/>
          <c:cat>
            <c:multiLvlStrRef>
              <c:f>'souhrnná výkonnost 1'!$A$13:$B$34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1'!$D$13:$D$34</c:f>
              <c:numCache>
                <c:formatCode>#\ ##0.##########</c:formatCode>
                <c:ptCount val="22"/>
                <c:pt idx="0">
                  <c:v>-2.2000000000000002</c:v>
                </c:pt>
                <c:pt idx="1">
                  <c:v>-13.1</c:v>
                </c:pt>
                <c:pt idx="2">
                  <c:v>-3.9</c:v>
                </c:pt>
                <c:pt idx="3">
                  <c:v>-3.5</c:v>
                </c:pt>
                <c:pt idx="4">
                  <c:v>0.2</c:v>
                </c:pt>
                <c:pt idx="5">
                  <c:v>14.7</c:v>
                </c:pt>
                <c:pt idx="6">
                  <c:v>5.2</c:v>
                </c:pt>
                <c:pt idx="7">
                  <c:v>5.7</c:v>
                </c:pt>
                <c:pt idx="8">
                  <c:v>5.5</c:v>
                </c:pt>
                <c:pt idx="9">
                  <c:v>4.0999999999999996</c:v>
                </c:pt>
                <c:pt idx="10">
                  <c:v>2.8</c:v>
                </c:pt>
                <c:pt idx="11">
                  <c:v>1.7</c:v>
                </c:pt>
                <c:pt idx="12">
                  <c:v>1.3</c:v>
                </c:pt>
                <c:pt idx="13">
                  <c:v>0.6</c:v>
                </c:pt>
                <c:pt idx="14">
                  <c:v>0.2</c:v>
                </c:pt>
                <c:pt idx="15">
                  <c:v>0.5</c:v>
                </c:pt>
                <c:pt idx="16">
                  <c:v>0.7</c:v>
                </c:pt>
                <c:pt idx="17">
                  <c:v>0.9</c:v>
                </c:pt>
                <c:pt idx="18">
                  <c:v>1.2</c:v>
                </c:pt>
                <c:pt idx="19">
                  <c:v>1.5</c:v>
                </c:pt>
                <c:pt idx="20">
                  <c:v>1.6</c:v>
                </c:pt>
                <c:pt idx="21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0-4CF0-B07A-38421591F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7753344"/>
        <c:axId val="267767808"/>
      </c:barChart>
      <c:lineChart>
        <c:grouping val="standard"/>
        <c:varyColors val="0"/>
        <c:ser>
          <c:idx val="2"/>
          <c:order val="2"/>
          <c:tx>
            <c:strRef>
              <c:f>'souhrnná výkonnost 1'!$E$4</c:f>
              <c:strCache>
                <c:ptCount val="1"/>
                <c:pt idx="0">
                  <c:v>ČR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0071BC"/>
              </a:solidFill>
              <a:ln>
                <a:noFill/>
              </a:ln>
            </c:spPr>
          </c:marker>
          <c:cat>
            <c:multiLvlStrRef>
              <c:f>'souhrnná výkonnost 1'!$A$13:$B$34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1'!$E$13:$E$34</c:f>
              <c:numCache>
                <c:formatCode>0.0</c:formatCode>
                <c:ptCount val="22"/>
                <c:pt idx="0">
                  <c:v>-3.2943412602672453</c:v>
                </c:pt>
                <c:pt idx="1">
                  <c:v>-8.7133959463388635</c:v>
                </c:pt>
                <c:pt idx="2">
                  <c:v>7.3327293273359544</c:v>
                </c:pt>
                <c:pt idx="3">
                  <c:v>0.76850445129137768</c:v>
                </c:pt>
                <c:pt idx="4">
                  <c:v>2.0267802636908527E-4</c:v>
                </c:pt>
                <c:pt idx="5">
                  <c:v>1.4533402357052267</c:v>
                </c:pt>
                <c:pt idx="6">
                  <c:v>1.724459823175593</c:v>
                </c:pt>
                <c:pt idx="7">
                  <c:v>0.69846851601238313</c:v>
                </c:pt>
                <c:pt idx="8">
                  <c:v>0.89048627675430225</c:v>
                </c:pt>
                <c:pt idx="9">
                  <c:v>0.30254979774397839</c:v>
                </c:pt>
                <c:pt idx="10">
                  <c:v>0.12426515979501573</c:v>
                </c:pt>
                <c:pt idx="11">
                  <c:v>-0.36494890653776224</c:v>
                </c:pt>
                <c:pt idx="12">
                  <c:v>0.20168060866517123</c:v>
                </c:pt>
                <c:pt idx="13">
                  <c:v>0.25781995251938383</c:v>
                </c:pt>
                <c:pt idx="14">
                  <c:v>-0.37493098735598096</c:v>
                </c:pt>
                <c:pt idx="15">
                  <c:v>0.4026314414784764</c:v>
                </c:pt>
                <c:pt idx="16">
                  <c:v>0.19747452212368444</c:v>
                </c:pt>
                <c:pt idx="17">
                  <c:v>0.29919207226758715</c:v>
                </c:pt>
                <c:pt idx="18">
                  <c:v>0.59748002398004019</c:v>
                </c:pt>
                <c:pt idx="19">
                  <c:v>0.81912159343178814</c:v>
                </c:pt>
                <c:pt idx="20">
                  <c:v>0.69489133088850963</c:v>
                </c:pt>
                <c:pt idx="21">
                  <c:v>0.45120954923483225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A70-4CF0-B07A-38421591FD3B}"/>
            </c:ext>
          </c:extLst>
        </c:ser>
        <c:ser>
          <c:idx val="3"/>
          <c:order val="3"/>
          <c:tx>
            <c:strRef>
              <c:f>'souhrnná výkonnost 1'!$F$4</c:f>
              <c:strCache>
                <c:ptCount val="1"/>
                <c:pt idx="0">
                  <c:v>EU27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BD1B21"/>
              </a:solidFill>
              <a:ln>
                <a:noFill/>
              </a:ln>
            </c:spPr>
          </c:marker>
          <c:cat>
            <c:multiLvlStrRef>
              <c:f>'souhrnná výkonnost 1'!$A$13:$B$34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1'!$F$13:$F$34</c:f>
              <c:numCache>
                <c:formatCode>#\ ##0.##########</c:formatCode>
                <c:ptCount val="22"/>
                <c:pt idx="0" formatCode="#\ ##0.0">
                  <c:v>-3</c:v>
                </c:pt>
                <c:pt idx="1">
                  <c:v>-10.7</c:v>
                </c:pt>
                <c:pt idx="2">
                  <c:v>10.8</c:v>
                </c:pt>
                <c:pt idx="3">
                  <c:v>0.5</c:v>
                </c:pt>
                <c:pt idx="4">
                  <c:v>0.8</c:v>
                </c:pt>
                <c:pt idx="5">
                  <c:v>2.2000000000000002</c:v>
                </c:pt>
                <c:pt idx="6">
                  <c:v>1.7</c:v>
                </c:pt>
                <c:pt idx="7" formatCode="#\ ##0.0">
                  <c:v>1</c:v>
                </c:pt>
                <c:pt idx="8">
                  <c:v>0.6</c:v>
                </c:pt>
                <c:pt idx="9">
                  <c:v>0.8</c:v>
                </c:pt>
                <c:pt idx="10">
                  <c:v>0.5</c:v>
                </c:pt>
                <c:pt idx="11">
                  <c:v>-0.2</c:v>
                </c:pt>
                <c:pt idx="12">
                  <c:v>0.2</c:v>
                </c:pt>
                <c:pt idx="13">
                  <c:v>0.1</c:v>
                </c:pt>
                <c:pt idx="14">
                  <c:v>0.1</c:v>
                </c:pt>
                <c:pt idx="15" formatCode="#\ ##0.0">
                  <c:v>0</c:v>
                </c:pt>
                <c:pt idx="16">
                  <c:v>0.4</c:v>
                </c:pt>
                <c:pt idx="17">
                  <c:v>0.3</c:v>
                </c:pt>
                <c:pt idx="18">
                  <c:v>0.4</c:v>
                </c:pt>
                <c:pt idx="19">
                  <c:v>0.4</c:v>
                </c:pt>
                <c:pt idx="20">
                  <c:v>0.5</c:v>
                </c:pt>
                <c:pt idx="21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A70-4CF0-B07A-38421591F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753344"/>
        <c:axId val="267767808"/>
      </c:lineChart>
      <c:catAx>
        <c:axId val="267753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767808"/>
        <c:crosses val="autoZero"/>
        <c:auto val="1"/>
        <c:lblAlgn val="ctr"/>
        <c:lblOffset val="100"/>
        <c:noMultiLvlLbl val="0"/>
      </c:catAx>
      <c:valAx>
        <c:axId val="267767808"/>
        <c:scaling>
          <c:orientation val="minMax"/>
          <c:max val="15"/>
          <c:min val="-1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75334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8431906450523471E-2"/>
          <c:y val="0.89437255125717996"/>
          <c:w val="0.91838441404930771"/>
          <c:h val="9.0301755758791014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629137115839245E-2"/>
          <c:y val="2.8458510079622041E-2"/>
          <c:w val="0.93688386524822698"/>
          <c:h val="0.67476668918158278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'souhrnná výkonnost 3'!$F$5</c:f>
              <c:strCache>
                <c:ptCount val="1"/>
                <c:pt idx="0">
                  <c:v>Bilance zahraničního obchodu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3'!$F$14:$F$35</c:f>
              <c:numCache>
                <c:formatCode>#\ ##0.0</c:formatCode>
                <c:ptCount val="22"/>
                <c:pt idx="0">
                  <c:v>-1.5220098818172303</c:v>
                </c:pt>
                <c:pt idx="1">
                  <c:v>-8.6080644896923371</c:v>
                </c:pt>
                <c:pt idx="2">
                  <c:v>-0.87113777913486379</c:v>
                </c:pt>
                <c:pt idx="3">
                  <c:v>1.614021737138305</c:v>
                </c:pt>
                <c:pt idx="4">
                  <c:v>1.00806823267428</c:v>
                </c:pt>
                <c:pt idx="5">
                  <c:v>6.0445409199098634</c:v>
                </c:pt>
                <c:pt idx="6">
                  <c:v>-3.6147534072472292</c:v>
                </c:pt>
                <c:pt idx="7">
                  <c:v>-3.6138200235464661</c:v>
                </c:pt>
                <c:pt idx="8">
                  <c:v>-1.7829602338092709</c:v>
                </c:pt>
                <c:pt idx="9">
                  <c:v>-0.36779214215191103</c:v>
                </c:pt>
                <c:pt idx="10">
                  <c:v>3.4250247402899241</c:v>
                </c:pt>
                <c:pt idx="11">
                  <c:v>1.5571662732257714</c:v>
                </c:pt>
                <c:pt idx="12">
                  <c:v>1.389081636710952</c:v>
                </c:pt>
                <c:pt idx="13">
                  <c:v>2.0848251500495598</c:v>
                </c:pt>
                <c:pt idx="14">
                  <c:v>-6.9193170333818277E-2</c:v>
                </c:pt>
                <c:pt idx="15">
                  <c:v>1.9371733646297469</c:v>
                </c:pt>
                <c:pt idx="16">
                  <c:v>1.3566299152857297</c:v>
                </c:pt>
                <c:pt idx="17">
                  <c:v>0.54602858563363244</c:v>
                </c:pt>
                <c:pt idx="18">
                  <c:v>0.68971375614340791</c:v>
                </c:pt>
                <c:pt idx="19">
                  <c:v>-1.0023313701804393</c:v>
                </c:pt>
                <c:pt idx="20">
                  <c:v>0.13421260900080689</c:v>
                </c:pt>
                <c:pt idx="21">
                  <c:v>-0.1984187759559255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78-4895-8DFF-B3EAED0A207A}"/>
            </c:ext>
          </c:extLst>
        </c:ser>
        <c:ser>
          <c:idx val="2"/>
          <c:order val="2"/>
          <c:tx>
            <c:strRef>
              <c:f>'souhrnná výkonnost 3'!$H$5</c:f>
              <c:strCache>
                <c:ptCount val="1"/>
                <c:pt idx="0">
                  <c:v>Změna zásob</c:v>
                </c:pt>
              </c:strCache>
            </c:strRef>
          </c:tx>
          <c:spPr>
            <a:solidFill>
              <a:srgbClr val="E8AFB2"/>
            </a:solidFill>
            <a:ln>
              <a:noFill/>
            </a:ln>
          </c:spPr>
          <c:invertIfNegative val="0"/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3'!$H$14:$H$35</c:f>
              <c:numCache>
                <c:formatCode>#\ ##0.0</c:formatCode>
                <c:ptCount val="22"/>
                <c:pt idx="0">
                  <c:v>-0.41142612595158018</c:v>
                </c:pt>
                <c:pt idx="1">
                  <c:v>0.47087204680237044</c:v>
                </c:pt>
                <c:pt idx="2">
                  <c:v>-1.2262407779150233</c:v>
                </c:pt>
                <c:pt idx="3">
                  <c:v>-2.1516080620905655</c:v>
                </c:pt>
                <c:pt idx="4">
                  <c:v>0.31270763257798917</c:v>
                </c:pt>
                <c:pt idx="5">
                  <c:v>0.61650741218595939</c:v>
                </c:pt>
                <c:pt idx="6">
                  <c:v>2.6077548225619727</c:v>
                </c:pt>
                <c:pt idx="7">
                  <c:v>1.4587483911788564</c:v>
                </c:pt>
                <c:pt idx="8">
                  <c:v>0.7370032046500693</c:v>
                </c:pt>
                <c:pt idx="9">
                  <c:v>1.6997333429922492</c:v>
                </c:pt>
                <c:pt idx="10">
                  <c:v>-0.76175295397537413</c:v>
                </c:pt>
                <c:pt idx="11">
                  <c:v>0.95369117492959898</c:v>
                </c:pt>
                <c:pt idx="12">
                  <c:v>0.47915445264561807</c:v>
                </c:pt>
                <c:pt idx="13">
                  <c:v>-1.4971510065677742</c:v>
                </c:pt>
                <c:pt idx="14">
                  <c:v>-0.50712143488440276</c:v>
                </c:pt>
                <c:pt idx="15">
                  <c:v>-3.4417223821981748</c:v>
                </c:pt>
                <c:pt idx="16">
                  <c:v>-2.7609785748590339</c:v>
                </c:pt>
                <c:pt idx="17">
                  <c:v>-0.70906748137120368</c:v>
                </c:pt>
                <c:pt idx="18">
                  <c:v>0.15842144716124845</c:v>
                </c:pt>
                <c:pt idx="19">
                  <c:v>2.6112529021083422</c:v>
                </c:pt>
                <c:pt idx="20">
                  <c:v>1.827183742832919</c:v>
                </c:pt>
                <c:pt idx="21">
                  <c:v>1.4267627704352672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78-4895-8DFF-B3EAED0A207A}"/>
            </c:ext>
          </c:extLst>
        </c:ser>
        <c:ser>
          <c:idx val="3"/>
          <c:order val="3"/>
          <c:tx>
            <c:strRef>
              <c:f>'souhrnná výkonnost 3'!$G$5</c:f>
              <c:strCache>
                <c:ptCount val="1"/>
                <c:pt idx="0">
                  <c:v>Tvorba hrubého fixního kapitálu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3'!$G$14:$G$35</c:f>
              <c:numCache>
                <c:formatCode>#\ ##0.0</c:formatCode>
                <c:ptCount val="22"/>
                <c:pt idx="0">
                  <c:v>-0.26700598408244552</c:v>
                </c:pt>
                <c:pt idx="1">
                  <c:v>0.17117214561128005</c:v>
                </c:pt>
                <c:pt idx="2">
                  <c:v>-1.0835608783889494</c:v>
                </c:pt>
                <c:pt idx="3">
                  <c:v>-1.2503151391513465</c:v>
                </c:pt>
                <c:pt idx="4">
                  <c:v>0.19329716710704048</c:v>
                </c:pt>
                <c:pt idx="5">
                  <c:v>4.4129877412921126E-2</c:v>
                </c:pt>
                <c:pt idx="6">
                  <c:v>1.9442632515958205</c:v>
                </c:pt>
                <c:pt idx="7">
                  <c:v>2.0044020268363827</c:v>
                </c:pt>
                <c:pt idx="8">
                  <c:v>2.0518449819968736</c:v>
                </c:pt>
                <c:pt idx="9">
                  <c:v>1.4499382287130853</c:v>
                </c:pt>
                <c:pt idx="10">
                  <c:v>0.92691645618860796</c:v>
                </c:pt>
                <c:pt idx="11">
                  <c:v>0.8739358711392371</c:v>
                </c:pt>
                <c:pt idx="12">
                  <c:v>0.34095431774632395</c:v>
                </c:pt>
                <c:pt idx="13">
                  <c:v>0.87661322433525268</c:v>
                </c:pt>
                <c:pt idx="14">
                  <c:v>0.8151154367611948</c:v>
                </c:pt>
                <c:pt idx="15">
                  <c:v>0.96102158219447764</c:v>
                </c:pt>
                <c:pt idx="16">
                  <c:v>0.28328760345871717</c:v>
                </c:pt>
                <c:pt idx="17">
                  <c:v>-0.48652069401857884</c:v>
                </c:pt>
                <c:pt idx="18">
                  <c:v>-0.87586387503576413</c:v>
                </c:pt>
                <c:pt idx="19">
                  <c:v>-1.3280742726126789</c:v>
                </c:pt>
                <c:pt idx="20">
                  <c:v>-0.64777587555009974</c:v>
                </c:pt>
                <c:pt idx="21">
                  <c:v>-0.2878652679429648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78-4895-8DFF-B3EAED0A207A}"/>
            </c:ext>
          </c:extLst>
        </c:ser>
        <c:ser>
          <c:idx val="5"/>
          <c:order val="4"/>
          <c:tx>
            <c:strRef>
              <c:f>'souhrnná výkonnost 3'!$D$5</c:f>
              <c:strCache>
                <c:ptCount val="1"/>
                <c:pt idx="0">
                  <c:v>Výdaje na konečnou spotřebu domácností (vč. nezisk. inst.)</c:v>
                </c:pt>
              </c:strCache>
            </c:strRef>
          </c:tx>
          <c:spPr>
            <a:solidFill>
              <a:srgbClr val="0071BC"/>
            </a:solidFill>
            <a:ln>
              <a:noFill/>
            </a:ln>
          </c:spPr>
          <c:invertIfNegative val="0"/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3'!$D$14:$D$35</c:f>
              <c:numCache>
                <c:formatCode>#\ ##0.0</c:formatCode>
                <c:ptCount val="22"/>
                <c:pt idx="0">
                  <c:v>-0.20652462785548492</c:v>
                </c:pt>
                <c:pt idx="1">
                  <c:v>-3.1846278495284714</c:v>
                </c:pt>
                <c:pt idx="2">
                  <c:v>-1.7932936482460928</c:v>
                </c:pt>
                <c:pt idx="3">
                  <c:v>-4.1601529367988528</c:v>
                </c:pt>
                <c:pt idx="4">
                  <c:v>-2.7114582495040898</c:v>
                </c:pt>
                <c:pt idx="5">
                  <c:v>3.0643008969551713</c:v>
                </c:pt>
                <c:pt idx="6">
                  <c:v>1.9670161927809442</c:v>
                </c:pt>
                <c:pt idx="7">
                  <c:v>3.8180993600086053</c:v>
                </c:pt>
                <c:pt idx="8">
                  <c:v>3.31386782283117</c:v>
                </c:pt>
                <c:pt idx="9">
                  <c:v>0.16881001369198514</c:v>
                </c:pt>
                <c:pt idx="10">
                  <c:v>-1.3101813511687193</c:v>
                </c:pt>
                <c:pt idx="11">
                  <c:v>-2.089708487125038</c:v>
                </c:pt>
                <c:pt idx="12">
                  <c:v>-2.6013321896959831</c:v>
                </c:pt>
                <c:pt idx="13">
                  <c:v>-1.7057384010523833</c:v>
                </c:pt>
                <c:pt idx="14">
                  <c:v>-1.1009050834144585</c:v>
                </c:pt>
                <c:pt idx="15">
                  <c:v>0.28178742175377886</c:v>
                </c:pt>
                <c:pt idx="16">
                  <c:v>1.0133792463119431</c:v>
                </c:pt>
                <c:pt idx="17">
                  <c:v>0.32164940763592303</c:v>
                </c:pt>
                <c:pt idx="18">
                  <c:v>0.74012599190963368</c:v>
                </c:pt>
                <c:pt idx="19">
                  <c:v>0.97150047080534707</c:v>
                </c:pt>
                <c:pt idx="20">
                  <c:v>0.75014010477984605</c:v>
                </c:pt>
                <c:pt idx="21">
                  <c:v>1.2011549419374055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78-4895-8DFF-B3EAED0A207A}"/>
            </c:ext>
          </c:extLst>
        </c:ser>
        <c:ser>
          <c:idx val="4"/>
          <c:order val="5"/>
          <c:tx>
            <c:strRef>
              <c:f>'souhrnná výkonnost 3'!$E$5</c:f>
              <c:strCache>
                <c:ptCount val="1"/>
                <c:pt idx="0">
                  <c:v>Výdaje na konečnou spotřebu vládních institucí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3'!$E$14:$E$35</c:f>
              <c:numCache>
                <c:formatCode>#\ ##0.0</c:formatCode>
                <c:ptCount val="22"/>
                <c:pt idx="0">
                  <c:v>0.86512840343977537</c:v>
                </c:pt>
                <c:pt idx="1">
                  <c:v>0.57364238954899127</c:v>
                </c:pt>
                <c:pt idx="2">
                  <c:v>0.30782450653884724</c:v>
                </c:pt>
                <c:pt idx="3">
                  <c:v>1.4124984433188399</c:v>
                </c:pt>
                <c:pt idx="4">
                  <c:v>-0.11329209027996652</c:v>
                </c:pt>
                <c:pt idx="5">
                  <c:v>-7.0904860317901872E-2</c:v>
                </c:pt>
                <c:pt idx="6">
                  <c:v>0.99024135484615394</c:v>
                </c:pt>
                <c:pt idx="7">
                  <c:v>8.7306640760843102E-2</c:v>
                </c:pt>
                <c:pt idx="8">
                  <c:v>0.39862222919793239</c:v>
                </c:pt>
                <c:pt idx="9">
                  <c:v>0.55855858849053874</c:v>
                </c:pt>
                <c:pt idx="10">
                  <c:v>-0.333976366812193</c:v>
                </c:pt>
                <c:pt idx="11">
                  <c:v>-0.31055874129171235</c:v>
                </c:pt>
                <c:pt idx="12">
                  <c:v>0.59888687487615944</c:v>
                </c:pt>
                <c:pt idx="13">
                  <c:v>0.46547224810803889</c:v>
                </c:pt>
                <c:pt idx="14">
                  <c:v>0.57996402837612049</c:v>
                </c:pt>
                <c:pt idx="15">
                  <c:v>0.62077939777900504</c:v>
                </c:pt>
                <c:pt idx="16">
                  <c:v>0.50937845938335147</c:v>
                </c:pt>
                <c:pt idx="17">
                  <c:v>0.72524269041861322</c:v>
                </c:pt>
                <c:pt idx="18">
                  <c:v>0.65639152463964856</c:v>
                </c:pt>
                <c:pt idx="19">
                  <c:v>0.611281221419816</c:v>
                </c:pt>
                <c:pt idx="20">
                  <c:v>0.33996229749021434</c:v>
                </c:pt>
                <c:pt idx="21">
                  <c:v>0.40890024590806057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78-4895-8DFF-B3EAED0A2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267591040"/>
        <c:axId val="267605120"/>
      </c:barChart>
      <c:lineChart>
        <c:grouping val="standard"/>
        <c:varyColors val="0"/>
        <c:ser>
          <c:idx val="0"/>
          <c:order val="0"/>
          <c:tx>
            <c:strRef>
              <c:f>'souhrnná výkonnost 3'!$C$5</c:f>
              <c:strCache>
                <c:ptCount val="1"/>
                <c:pt idx="0">
                  <c:v>HDP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3'!$A$14:$B$35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3'!$C$14:$C$35</c:f>
              <c:numCache>
                <c:formatCode>#\ ##0.0</c:formatCode>
                <c:ptCount val="22"/>
                <c:pt idx="0">
                  <c:v>-1.5351860152398018</c:v>
                </c:pt>
                <c:pt idx="1">
                  <c:v>-10.559588208597859</c:v>
                </c:pt>
                <c:pt idx="2">
                  <c:v>-4.6693672774553789</c:v>
                </c:pt>
                <c:pt idx="3">
                  <c:v>-4.5192220435162938</c:v>
                </c:pt>
                <c:pt idx="4">
                  <c:v>-1.2664242830816619</c:v>
                </c:pt>
                <c:pt idx="5">
                  <c:v>9.7297344586924766</c:v>
                </c:pt>
                <c:pt idx="6">
                  <c:v>3.996179947304455</c:v>
                </c:pt>
                <c:pt idx="7">
                  <c:v>3.9239119810993373</c:v>
                </c:pt>
                <c:pt idx="8">
                  <c:v>4.8491184646536567</c:v>
                </c:pt>
                <c:pt idx="9">
                  <c:v>3.6598013831556528</c:v>
                </c:pt>
                <c:pt idx="10">
                  <c:v>2.0291770951442913</c:v>
                </c:pt>
                <c:pt idx="11">
                  <c:v>0.95170578002515072</c:v>
                </c:pt>
                <c:pt idx="12">
                  <c:v>0.26249013974401691</c:v>
                </c:pt>
                <c:pt idx="13">
                  <c:v>0.21779356784705328</c:v>
                </c:pt>
                <c:pt idx="14">
                  <c:v>-0.28185838328641921</c:v>
                </c:pt>
                <c:pt idx="15">
                  <c:v>0.48630488598595889</c:v>
                </c:pt>
                <c:pt idx="16">
                  <c:v>0.48212007155818526</c:v>
                </c:pt>
                <c:pt idx="17">
                  <c:v>0.52360239986030876</c:v>
                </c:pt>
                <c:pt idx="18">
                  <c:v>1.504754678124371</c:v>
                </c:pt>
                <c:pt idx="19">
                  <c:v>1.9258312020460409</c:v>
                </c:pt>
                <c:pt idx="20">
                  <c:v>2.4318338013986391</c:v>
                </c:pt>
                <c:pt idx="21">
                  <c:v>2.5870701842117541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C78-4895-8DFF-B3EAED0A2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591040"/>
        <c:axId val="267605120"/>
      </c:lineChart>
      <c:catAx>
        <c:axId val="2675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605120"/>
        <c:crosses val="autoZero"/>
        <c:auto val="1"/>
        <c:lblAlgn val="ctr"/>
        <c:lblOffset val="100"/>
        <c:noMultiLvlLbl val="0"/>
      </c:catAx>
      <c:valAx>
        <c:axId val="267605120"/>
        <c:scaling>
          <c:orientation val="minMax"/>
          <c:max val="10"/>
          <c:min val="-12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591040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71766295170556E-2"/>
          <c:y val="0.81445992344928519"/>
          <c:w val="0.94432624113475194"/>
          <c:h val="0.17481734774287963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26857480580882E-2"/>
          <c:y val="2.9499886988623526E-2"/>
          <c:w val="0.9260266801756164"/>
          <c:h val="0.63445260610154264"/>
        </c:manualLayout>
      </c:layout>
      <c:barChart>
        <c:barDir val="col"/>
        <c:grouping val="stacked"/>
        <c:varyColors val="0"/>
        <c:ser>
          <c:idx val="4"/>
          <c:order val="0"/>
          <c:tx>
            <c:strRef>
              <c:f>'souhrnná výkonnost 4'!$C$5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0071BC"/>
            </a:solidFill>
            <a:ln>
              <a:noFill/>
            </a:ln>
          </c:spPr>
          <c:invertIfNegative val="0"/>
          <c:val>
            <c:numRef>
              <c:f>'souhrnná výkonnost 4'!$C$14:$C$35</c:f>
              <c:numCache>
                <c:formatCode>#\ ##0.0</c:formatCode>
                <c:ptCount val="22"/>
                <c:pt idx="0">
                  <c:v>0.20474410757490741</c:v>
                </c:pt>
                <c:pt idx="1">
                  <c:v>0.18193909338973391</c:v>
                </c:pt>
                <c:pt idx="2">
                  <c:v>0.12986799571839833</c:v>
                </c:pt>
                <c:pt idx="3">
                  <c:v>6.0774672253045774E-2</c:v>
                </c:pt>
                <c:pt idx="4">
                  <c:v>-0.21896810900573507</c:v>
                </c:pt>
                <c:pt idx="5">
                  <c:v>-0.35546246774022089</c:v>
                </c:pt>
                <c:pt idx="6">
                  <c:v>-0.31345773827216172</c:v>
                </c:pt>
                <c:pt idx="7">
                  <c:v>-0.28221462677607811</c:v>
                </c:pt>
                <c:pt idx="8">
                  <c:v>-2.7607081723218754E-2</c:v>
                </c:pt>
                <c:pt idx="9">
                  <c:v>8.8416510484459823E-2</c:v>
                </c:pt>
                <c:pt idx="10">
                  <c:v>0.11003669694477575</c:v>
                </c:pt>
                <c:pt idx="11">
                  <c:v>-7.1734601521123695E-2</c:v>
                </c:pt>
                <c:pt idx="12">
                  <c:v>0.55251546503756477</c:v>
                </c:pt>
                <c:pt idx="13">
                  <c:v>0.43246198901845179</c:v>
                </c:pt>
                <c:pt idx="14">
                  <c:v>0.26031798923309352</c:v>
                </c:pt>
                <c:pt idx="15">
                  <c:v>0.57187060565368231</c:v>
                </c:pt>
                <c:pt idx="16">
                  <c:v>-9.7569089028578901E-2</c:v>
                </c:pt>
                <c:pt idx="17">
                  <c:v>1.1218079485012565E-2</c:v>
                </c:pt>
                <c:pt idx="18">
                  <c:v>0.1569950804337002</c:v>
                </c:pt>
                <c:pt idx="19">
                  <c:v>3.3983416918654107E-2</c:v>
                </c:pt>
                <c:pt idx="20">
                  <c:v>3.6195216982179486E-2</c:v>
                </c:pt>
                <c:pt idx="21">
                  <c:v>3.9743630031979053E-2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99-426E-9F91-F6B4DFB8BCCF}"/>
            </c:ext>
          </c:extLst>
        </c:ser>
        <c:ser>
          <c:idx val="3"/>
          <c:order val="1"/>
          <c:tx>
            <c:strRef>
              <c:f>'souhrnná výkonnost 4'!$D$5</c:f>
              <c:strCache>
                <c:ptCount val="1"/>
                <c:pt idx="0">
                  <c:v>Zpracovatelský průmysl (CZ-NACE C)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val>
            <c:numRef>
              <c:f>'souhrnná výkonnost 4'!$D$14:$D$35</c:f>
              <c:numCache>
                <c:formatCode>#\ ##0.0</c:formatCode>
                <c:ptCount val="22"/>
                <c:pt idx="0">
                  <c:v>-0.99913036972300806</c:v>
                </c:pt>
                <c:pt idx="1">
                  <c:v>-5.8646555137341574</c:v>
                </c:pt>
                <c:pt idx="2">
                  <c:v>-2.1534841805298068</c:v>
                </c:pt>
                <c:pt idx="3">
                  <c:v>-1.5540721517892744</c:v>
                </c:pt>
                <c:pt idx="4">
                  <c:v>-0.79750382840225398</c:v>
                </c:pt>
                <c:pt idx="5">
                  <c:v>3.9909379237888789</c:v>
                </c:pt>
                <c:pt idx="6">
                  <c:v>-0.74858711455149796</c:v>
                </c:pt>
                <c:pt idx="7">
                  <c:v>-0.90527326488749837</c:v>
                </c:pt>
                <c:pt idx="8">
                  <c:v>0.68544605235729006</c:v>
                </c:pt>
                <c:pt idx="9">
                  <c:v>1.6014259985527444</c:v>
                </c:pt>
                <c:pt idx="10">
                  <c:v>2.2123375450016312</c:v>
                </c:pt>
                <c:pt idx="11">
                  <c:v>2.6313203520667794</c:v>
                </c:pt>
                <c:pt idx="12">
                  <c:v>1.6312980907507209</c:v>
                </c:pt>
                <c:pt idx="13">
                  <c:v>1.105966757109025</c:v>
                </c:pt>
                <c:pt idx="14">
                  <c:v>0.58899302624669825</c:v>
                </c:pt>
                <c:pt idx="15">
                  <c:v>0.50026396716330868</c:v>
                </c:pt>
                <c:pt idx="16">
                  <c:v>-0.92066643320344466</c:v>
                </c:pt>
                <c:pt idx="17">
                  <c:v>-1.2534937691766057</c:v>
                </c:pt>
                <c:pt idx="18">
                  <c:v>-0.65492488985599151</c:v>
                </c:pt>
                <c:pt idx="19">
                  <c:v>-0.94186846830821414</c:v>
                </c:pt>
                <c:pt idx="20">
                  <c:v>0.15653725717623515</c:v>
                </c:pt>
                <c:pt idx="21">
                  <c:v>0.43075301660425219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99-426E-9F91-F6B4DFB8BCCF}"/>
            </c:ext>
          </c:extLst>
        </c:ser>
        <c:ser>
          <c:idx val="2"/>
          <c:order val="2"/>
          <c:tx>
            <c:strRef>
              <c:f>'souhrnná výkonnost 4'!$E$5</c:f>
              <c:strCache>
                <c:ptCount val="1"/>
                <c:pt idx="0">
                  <c:v>Ostatní průmyslová odvětví (CZ-NACE B, D, E)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val>
            <c:numRef>
              <c:f>'souhrnná výkonnost 4'!$E$14:$E$35</c:f>
              <c:numCache>
                <c:formatCode>#\ ##0.0</c:formatCode>
                <c:ptCount val="22"/>
                <c:pt idx="0">
                  <c:v>-0.19031586783510557</c:v>
                </c:pt>
                <c:pt idx="1">
                  <c:v>-0.24885055868865447</c:v>
                </c:pt>
                <c:pt idx="2">
                  <c:v>-6.8100757785281907E-2</c:v>
                </c:pt>
                <c:pt idx="3">
                  <c:v>8.6873524737786978E-2</c:v>
                </c:pt>
                <c:pt idx="4">
                  <c:v>0.37090166603725971</c:v>
                </c:pt>
                <c:pt idx="5">
                  <c:v>0.43449287266447101</c:v>
                </c:pt>
                <c:pt idx="6">
                  <c:v>0.30466221362414897</c:v>
                </c:pt>
                <c:pt idx="7">
                  <c:v>1.7094673925321713E-2</c:v>
                </c:pt>
                <c:pt idx="8">
                  <c:v>-0.49498548983118773</c:v>
                </c:pt>
                <c:pt idx="9">
                  <c:v>-0.36703909153071357</c:v>
                </c:pt>
                <c:pt idx="10">
                  <c:v>-0.58289817942589317</c:v>
                </c:pt>
                <c:pt idx="11">
                  <c:v>-0.85284564576950173</c:v>
                </c:pt>
                <c:pt idx="12">
                  <c:v>-0.72089004231394793</c:v>
                </c:pt>
                <c:pt idx="13">
                  <c:v>-0.9587984772254694</c:v>
                </c:pt>
                <c:pt idx="14">
                  <c:v>-0.86317511484719223</c:v>
                </c:pt>
                <c:pt idx="15">
                  <c:v>-0.50223553688522504</c:v>
                </c:pt>
                <c:pt idx="16">
                  <c:v>-7.6857207059448207E-2</c:v>
                </c:pt>
                <c:pt idx="17">
                  <c:v>0.14119539956076999</c:v>
                </c:pt>
                <c:pt idx="18">
                  <c:v>0.24509868949284519</c:v>
                </c:pt>
                <c:pt idx="19">
                  <c:v>0.14324413714995343</c:v>
                </c:pt>
                <c:pt idx="20">
                  <c:v>0.15783518271646166</c:v>
                </c:pt>
                <c:pt idx="21">
                  <c:v>0.14087977820191094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99-426E-9F91-F6B4DFB8BCCF}"/>
            </c:ext>
          </c:extLst>
        </c:ser>
        <c:ser>
          <c:idx val="1"/>
          <c:order val="3"/>
          <c:tx>
            <c:strRef>
              <c:f>'souhrnná výkonnost 4'!$F$5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E8AFB2"/>
            </a:solidFill>
            <a:ln>
              <a:noFill/>
            </a:ln>
          </c:spPr>
          <c:invertIfNegative val="0"/>
          <c:val>
            <c:numRef>
              <c:f>'souhrnná výkonnost 4'!$F$14:$F$35</c:f>
              <c:numCache>
                <c:formatCode>#\ ##0.0</c:formatCode>
                <c:ptCount val="22"/>
                <c:pt idx="0">
                  <c:v>-0.30166772298617284</c:v>
                </c:pt>
                <c:pt idx="1">
                  <c:v>-0.48053456061289057</c:v>
                </c:pt>
                <c:pt idx="2">
                  <c:v>-0.45378387986882363</c:v>
                </c:pt>
                <c:pt idx="3">
                  <c:v>-0.43586476428987242</c:v>
                </c:pt>
                <c:pt idx="4">
                  <c:v>-0.33833459958051637</c:v>
                </c:pt>
                <c:pt idx="5">
                  <c:v>-6.4883402484855884E-2</c:v>
                </c:pt>
                <c:pt idx="6">
                  <c:v>-5.6735775192007655E-2</c:v>
                </c:pt>
                <c:pt idx="7">
                  <c:v>-0.11209281400825521</c:v>
                </c:pt>
                <c:pt idx="8">
                  <c:v>-0.10546033608204923</c:v>
                </c:pt>
                <c:pt idx="9">
                  <c:v>-0.29054660345106559</c:v>
                </c:pt>
                <c:pt idx="10">
                  <c:v>-0.451821017159387</c:v>
                </c:pt>
                <c:pt idx="11">
                  <c:v>-0.32901397344166938</c:v>
                </c:pt>
                <c:pt idx="12">
                  <c:v>-0.13840591105504113</c:v>
                </c:pt>
                <c:pt idx="13">
                  <c:v>-1.2903984714601602E-2</c:v>
                </c:pt>
                <c:pt idx="14">
                  <c:v>0.1616031723963629</c:v>
                </c:pt>
                <c:pt idx="15">
                  <c:v>3.5760466298751591E-2</c:v>
                </c:pt>
                <c:pt idx="16">
                  <c:v>2.2189303764065537E-2</c:v>
                </c:pt>
                <c:pt idx="17">
                  <c:v>1.0531551519348183E-2</c:v>
                </c:pt>
                <c:pt idx="18">
                  <c:v>1.0153227655329503E-2</c:v>
                </c:pt>
                <c:pt idx="19">
                  <c:v>0.11448042101487287</c:v>
                </c:pt>
                <c:pt idx="20">
                  <c:v>0.22704910868350933</c:v>
                </c:pt>
                <c:pt idx="21">
                  <c:v>0.34330499378929458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99-426E-9F91-F6B4DFB8BCCF}"/>
            </c:ext>
          </c:extLst>
        </c:ser>
        <c:ser>
          <c:idx val="0"/>
          <c:order val="4"/>
          <c:tx>
            <c:strRef>
              <c:f>'souhrnná výkonnost 4'!$G$5</c:f>
              <c:strCache>
                <c:ptCount val="1"/>
                <c:pt idx="0">
                  <c:v>Služby (CZ-NACE G až U)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val>
            <c:numRef>
              <c:f>'souhrnná výkonnost 4'!$G$14:$G$35</c:f>
              <c:numCache>
                <c:formatCode>#\ ##0.0</c:formatCode>
                <c:ptCount val="22"/>
                <c:pt idx="0">
                  <c:v>7.093155569492321E-2</c:v>
                </c:pt>
                <c:pt idx="1">
                  <c:v>-4.3045407242818117</c:v>
                </c:pt>
                <c:pt idx="2">
                  <c:v>-1.7237030445478896</c:v>
                </c:pt>
                <c:pt idx="3">
                  <c:v>-2.2257304528365829</c:v>
                </c:pt>
                <c:pt idx="4">
                  <c:v>-0.13287358134730987</c:v>
                </c:pt>
                <c:pt idx="5">
                  <c:v>6.0094667700580624</c:v>
                </c:pt>
                <c:pt idx="6">
                  <c:v>4.4583427477661246</c:v>
                </c:pt>
                <c:pt idx="7">
                  <c:v>4.7441380023749824</c:v>
                </c:pt>
                <c:pt idx="8">
                  <c:v>4.2794753272124808</c:v>
                </c:pt>
                <c:pt idx="9">
                  <c:v>2.6644708506253814</c:v>
                </c:pt>
                <c:pt idx="10">
                  <c:v>0.75291420064175929</c:v>
                </c:pt>
                <c:pt idx="11">
                  <c:v>0.24070555003152422</c:v>
                </c:pt>
                <c:pt idx="12">
                  <c:v>0.21267121835186337</c:v>
                </c:pt>
                <c:pt idx="13">
                  <c:v>9.5064594177366207E-2</c:v>
                </c:pt>
                <c:pt idx="14">
                  <c:v>0.17753332068364941</c:v>
                </c:pt>
                <c:pt idx="15">
                  <c:v>-0.33669513337032031</c:v>
                </c:pt>
                <c:pt idx="16">
                  <c:v>0.51250147083950537</c:v>
                </c:pt>
                <c:pt idx="17">
                  <c:v>1.0790462557093636</c:v>
                </c:pt>
                <c:pt idx="18">
                  <c:v>1.2752999783754857</c:v>
                </c:pt>
                <c:pt idx="19">
                  <c:v>2.0270255746275438</c:v>
                </c:pt>
                <c:pt idx="20">
                  <c:v>2.0783760671146472</c:v>
                </c:pt>
                <c:pt idx="21">
                  <c:v>1.8157373199878959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99-426E-9F91-F6B4DFB8BC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269005952"/>
        <c:axId val="269007488"/>
      </c:barChart>
      <c:lineChart>
        <c:grouping val="standard"/>
        <c:varyColors val="0"/>
        <c:ser>
          <c:idx val="5"/>
          <c:order val="5"/>
          <c:tx>
            <c:strRef>
              <c:f>'souhrnná výkonnost 4'!$H$5</c:f>
              <c:strCache>
                <c:ptCount val="1"/>
                <c:pt idx="0">
                  <c:v>Hrubá přidaná hodnota celkem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4'!$A$14:$B$35</c:f>
              <c:multiLvlStrCache>
                <c:ptCount val="2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4'!$H$14:$H$35</c:f>
              <c:numCache>
                <c:formatCode>#\ ##0.0</c:formatCode>
                <c:ptCount val="22"/>
                <c:pt idx="0">
                  <c:v>-1.2153058513710135</c:v>
                </c:pt>
                <c:pt idx="1">
                  <c:v>-10.716443173048049</c:v>
                </c:pt>
                <c:pt idx="2">
                  <c:v>-4.2693530438049407</c:v>
                </c:pt>
                <c:pt idx="3">
                  <c:v>-4.0682252377118857</c:v>
                </c:pt>
                <c:pt idx="4">
                  <c:v>-1.1167681102123339</c:v>
                </c:pt>
                <c:pt idx="5">
                  <c:v>10.014414773055606</c:v>
                </c:pt>
                <c:pt idx="6">
                  <c:v>3.6442422755888657</c:v>
                </c:pt>
                <c:pt idx="7">
                  <c:v>3.4619136451914159</c:v>
                </c:pt>
                <c:pt idx="8">
                  <c:v>4.3369045569128275</c:v>
                </c:pt>
                <c:pt idx="9">
                  <c:v>3.6967487112593602</c:v>
                </c:pt>
                <c:pt idx="10">
                  <c:v>2.0405324001032739</c:v>
                </c:pt>
                <c:pt idx="11">
                  <c:v>1.6183474426606779</c:v>
                </c:pt>
                <c:pt idx="12">
                  <c:v>1.5370994075002642</c:v>
                </c:pt>
                <c:pt idx="13">
                  <c:v>0.66174660015900599</c:v>
                </c:pt>
                <c:pt idx="14">
                  <c:v>0.32525261895825963</c:v>
                </c:pt>
                <c:pt idx="15">
                  <c:v>0.26916645993897248</c:v>
                </c:pt>
                <c:pt idx="16">
                  <c:v>-0.56044020436465303</c:v>
                </c:pt>
                <c:pt idx="17">
                  <c:v>-1.1462151138246668E-2</c:v>
                </c:pt>
                <c:pt idx="18">
                  <c:v>1.0326285689467483</c:v>
                </c:pt>
                <c:pt idx="19">
                  <c:v>1.3768145822136546</c:v>
                </c:pt>
                <c:pt idx="20">
                  <c:v>2.6560840473608209</c:v>
                </c:pt>
                <c:pt idx="21">
                  <c:v>2.7702441997662532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F99-426E-9F91-F6B4DFB8BC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05952"/>
        <c:axId val="269007488"/>
      </c:lineChart>
      <c:catAx>
        <c:axId val="269005952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9007488"/>
        <c:crosses val="autoZero"/>
        <c:auto val="1"/>
        <c:lblAlgn val="ctr"/>
        <c:lblOffset val="100"/>
        <c:noMultiLvlLbl val="0"/>
      </c:catAx>
      <c:valAx>
        <c:axId val="26900748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9005952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4144292468760548E-2"/>
          <c:y val="0.79016604750647301"/>
          <c:w val="0.92386482607227283"/>
          <c:h val="0.1946248452099494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b8c0c86d-151e-4fca-b0d5-747e6692fa1d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DCA66-E922-435E-A763-FFF2D3EB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1518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3</cp:revision>
  <cp:lastPrinted>2014-07-17T14:07:00Z</cp:lastPrinted>
  <dcterms:created xsi:type="dcterms:W3CDTF">2025-09-16T11:02:00Z</dcterms:created>
  <dcterms:modified xsi:type="dcterms:W3CDTF">2025-09-16T11:07:00Z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