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AD" w:rsidRPr="00A204CF" w:rsidRDefault="005376AD" w:rsidP="00A204CF">
      <w:pPr>
        <w:pStyle w:val="Nadpis2"/>
      </w:pPr>
      <w:bookmarkStart w:id="0" w:name="_Toc481748802"/>
      <w:r w:rsidRPr="00A204CF">
        <w:t>3.5 Zahraniční obchod se zdravotní péčí</w:t>
      </w:r>
      <w:bookmarkEnd w:id="0"/>
    </w:p>
    <w:p w:rsidR="005376AD" w:rsidRPr="005376AD" w:rsidRDefault="005376AD" w:rsidP="005376AD">
      <w:pPr>
        <w:keepNext/>
        <w:spacing w:before="120"/>
        <w:jc w:val="both"/>
      </w:pPr>
      <w:r w:rsidRPr="005376AD">
        <w:t xml:space="preserve">V posledních letech nebývale roste význam mezistátní výměny zdravotních služeb. Příčiny spočívají nejen v rozvoji mezinárodního cestovního ruchu a v migračních pohybech obyvatel některých zemí, ale i ve zvyšující se úrovni zdravotní péče a s ní spojených finančních nákladů. Manuál zdravotnických účtů SHA 2011 potřebu kvantifikace rozsahu zdravotní péče poskytované všem, kteří se nacházejí mimo svá bydliště, předpokládá. Proto již od referenčního roku 2013 ČSÚ kvantifikuje objem </w:t>
      </w:r>
      <w:r w:rsidRPr="00E22935">
        <w:rPr>
          <w:b/>
        </w:rPr>
        <w:t>dovozu a vývozu</w:t>
      </w:r>
      <w:r w:rsidRPr="005376AD">
        <w:t xml:space="preserve"> zdravotních služeb. Oproti vžité představě není v případě zdravotní péče </w:t>
      </w:r>
      <w:r w:rsidRPr="00E22935">
        <w:rPr>
          <w:b/>
        </w:rPr>
        <w:t>dovozem</w:t>
      </w:r>
      <w:r w:rsidRPr="005376AD">
        <w:t xml:space="preserve"> přísun zboží či služeb ze zahraničí, ale </w:t>
      </w:r>
      <w:r w:rsidRPr="00E22935">
        <w:rPr>
          <w:b/>
        </w:rPr>
        <w:t>cesta našeho občana (rezidenta) do cizí země</w:t>
      </w:r>
      <w:r w:rsidRPr="005376AD">
        <w:t xml:space="preserve">, kde mu je poskytnuto ošetření. Obdobně je tomu v případě vývozu zdravotní péče, kdy </w:t>
      </w:r>
      <w:r w:rsidRPr="00E22935">
        <w:rPr>
          <w:b/>
        </w:rPr>
        <w:t>cizinci (nerezidenti)</w:t>
      </w:r>
      <w:r w:rsidRPr="005376AD">
        <w:t xml:space="preserve"> přijíždějí do </w:t>
      </w:r>
      <w:r w:rsidRPr="00E22935">
        <w:rPr>
          <w:b/>
        </w:rPr>
        <w:t>České republiky</w:t>
      </w:r>
      <w:r w:rsidRPr="005376AD">
        <w:t xml:space="preserve">, kde, ať už plánovaně či neplánovaně, </w:t>
      </w:r>
      <w:r w:rsidRPr="00E22935">
        <w:rPr>
          <w:b/>
        </w:rPr>
        <w:t>čerpají zdravotní péči.</w:t>
      </w:r>
    </w:p>
    <w:p w:rsidR="005376AD" w:rsidRPr="005376AD" w:rsidRDefault="005376AD" w:rsidP="005376AD">
      <w:pPr>
        <w:keepNext/>
        <w:spacing w:before="120"/>
        <w:jc w:val="both"/>
      </w:pPr>
      <w:r w:rsidRPr="005376AD">
        <w:t>Rozsah zahraničního obchodu, zejména vývozu, se s ohledem na nedostatek potřebných dat velice obtížně zjišťuje. Důležitým zdrojem jsou data o zdravotní péči Kanceláře zdravotního pojištění (dříve Centra mezistátních úhrad), údaje ze statistiky cestovního ruchu, data z veřejných zdravotních i komerčních pojišťoven a informace o výdajích domácností a veřejných rozpočtů na zdravotní péči. Široká škála různorodých informací naznačuje možné rozdíly v metodických přístupech k získání dat, rozdílnost referenčních období a struktur členění dat a v neposlední řadě také nutnost využití metod odhadu, které</w:t>
      </w:r>
      <w:r w:rsidR="00352ACB">
        <w:t> </w:t>
      </w:r>
      <w:r w:rsidRPr="005376AD">
        <w:t xml:space="preserve">vždy přinášejí určitou míru vlivu subjektivního faktoru (přístupu zpracovatele). Z těchto důvodů je třeba ke konkrétním údajům o dovozu a vývozu zdravotní péče přistupovat jako k informacím s vypovídací schopností na úrovni odborných odhadů. </w:t>
      </w:r>
    </w:p>
    <w:p w:rsidR="005D514D" w:rsidRDefault="005376AD" w:rsidP="005D514D">
      <w:pPr>
        <w:spacing w:before="240" w:after="120"/>
        <w:rPr>
          <w:rFonts w:eastAsia="MS Gothic"/>
          <w:b/>
          <w:i/>
        </w:rPr>
      </w:pPr>
      <w:r w:rsidRPr="005D514D">
        <w:rPr>
          <w:rFonts w:eastAsia="MS Gothic"/>
          <w:b/>
          <w:i/>
        </w:rPr>
        <w:t xml:space="preserve">Dovoz přidává na péči a výdajích, vývoz ubírá na kapacitách </w:t>
      </w:r>
    </w:p>
    <w:p w:rsidR="005D514D" w:rsidRDefault="005376AD" w:rsidP="005D514D">
      <w:pPr>
        <w:spacing w:after="120"/>
        <w:jc w:val="both"/>
      </w:pPr>
      <w:r w:rsidRPr="005376AD">
        <w:t xml:space="preserve">V souladu s výše zmíněnými přístupy byl objem dovozu zdravotní péče (péče o naše občany v zahraničí) kvantifikován v roce </w:t>
      </w:r>
      <w:r w:rsidRPr="00E22935">
        <w:rPr>
          <w:b/>
        </w:rPr>
        <w:t>2015 v úrovni 2,20 mld. Kč</w:t>
      </w:r>
      <w:r w:rsidRPr="005376AD">
        <w:t xml:space="preserve"> (v roce 2014 to bylo 1,44 mld. Kč). Důvody vysokého meziročního nárůstu dovozu zdravotní péče (o více než 50 %) spočívaly jak na straně „pohybu obyvatelstva“ – průměrný denní stav residentů na cestách se zvýšil o více než 30 %, tak i na straně nákladů poskytované zdravotní péče (průměrný roční náklad na 1 residenta na cestách vzrostl o 12 %).</w:t>
      </w:r>
    </w:p>
    <w:p w:rsidR="005D514D" w:rsidRDefault="005376AD" w:rsidP="005D514D">
      <w:pPr>
        <w:spacing w:after="120"/>
        <w:jc w:val="both"/>
      </w:pPr>
      <w:r w:rsidRPr="005376AD">
        <w:t xml:space="preserve">V rámci struktury typu zdravotní péče se v porovnání s rokem 2014 zvýšil podíl nákladů spojených s hospitalizací a s ostatními službami (převozy, laboratorní vyšetření, prostředky zdravotnické techniky). Naopak poklesl podíl výdajů za ambulantní péči a za léky. Objem dovozu zdravotní péče v  roce 2015 zvyšoval celkové domácí výdaje na zdravotní péči o více než 0,6 %. </w:t>
      </w:r>
    </w:p>
    <w:p w:rsidR="005D514D" w:rsidRDefault="005376AD" w:rsidP="005D514D">
      <w:pPr>
        <w:spacing w:after="120"/>
        <w:jc w:val="both"/>
      </w:pPr>
      <w:r w:rsidRPr="005376AD">
        <w:t>Pro kvantifikaci vývozu zdravotní péče (péče o cizí občany u nás) jsou disponibilní data ještě méně dostupná než pro dovoz (např. nejsou k dispozici údaje o komerčním zdravotním pojištění nerezidentů). Dostupnými</w:t>
      </w:r>
      <w:r w:rsidR="00352ACB">
        <w:t> </w:t>
      </w:r>
      <w:r w:rsidRPr="005376AD">
        <w:t xml:space="preserve">metodami byl objem vývozu zdravotní péče v roce 2015 vyčíslen v úrovni téměř </w:t>
      </w:r>
      <w:r w:rsidRPr="00E22935">
        <w:rPr>
          <w:b/>
        </w:rPr>
        <w:t>4,79 mld. Kč</w:t>
      </w:r>
      <w:r w:rsidRPr="005376AD">
        <w:t>, což je o 22,1 % více než v roce předcházejícím (vývoz v roce 2014 dosáhl 3,92 mld. Kč).</w:t>
      </w:r>
    </w:p>
    <w:p w:rsidR="005D514D" w:rsidRDefault="005376AD" w:rsidP="005D514D">
      <w:pPr>
        <w:spacing w:after="120"/>
        <w:jc w:val="both"/>
      </w:pPr>
      <w:r w:rsidRPr="005D514D">
        <w:t>Vysoce aktivní bilanci vycházející z více než dvojnásobného objemu vývozu zdravotní péče v porovnání s dovozem lze mimo jiné přičíst vlivu lázeňské péče o zahraniční klienty. Ta představovala v roce 2015 více než 36 % ce</w:t>
      </w:r>
      <w:r w:rsidR="00352ACB" w:rsidRPr="005D514D">
        <w:t>lkového vývozu zdravotní péče (</w:t>
      </w:r>
      <w:r w:rsidRPr="005D514D">
        <w:t>oproti roku 2014 však její podíl o 19,3 p.b. poklesl).  Ve vývozu (po odpočtu lázeňské péče) je v porovnání s dovozem zejména patrný vyšší objem stomatologické péče a</w:t>
      </w:r>
      <w:r w:rsidR="00352ACB" w:rsidRPr="005D514D">
        <w:t> </w:t>
      </w:r>
      <w:r w:rsidRPr="005D514D">
        <w:t xml:space="preserve">péče ambulantní. Naopak nižší je podíl výdajů za léky a zejména za hospitalizaci. </w:t>
      </w:r>
    </w:p>
    <w:p w:rsidR="005376AD" w:rsidRPr="005376AD" w:rsidRDefault="005376AD" w:rsidP="005D514D">
      <w:pPr>
        <w:spacing w:after="120"/>
        <w:jc w:val="both"/>
      </w:pPr>
      <w:r w:rsidRPr="005376AD">
        <w:t xml:space="preserve">Vzhledem k pojetí zdravotnických účtů </w:t>
      </w:r>
      <w:r w:rsidRPr="004F78C3">
        <w:t>představuje saldo vývozu</w:t>
      </w:r>
      <w:r w:rsidRPr="005376AD">
        <w:t xml:space="preserve"> nad dovozem zdravotní péče, tedy o kolik nákladnější byla léčba cizích státních příslušníků na našem území než léčba našich občanů v cizině, rozsah kapacit našeho zdravotnictví (technických, personálních aj.) použitých na zdravotní péči o cizí státní příslušníky</w:t>
      </w:r>
      <w:r w:rsidRPr="005376AD">
        <w:rPr>
          <w:rFonts w:asciiTheme="minorHAnsi" w:eastAsiaTheme="minorHAnsi" w:hAnsiTheme="minorHAnsi" w:cstheme="minorBidi"/>
          <w:sz w:val="16"/>
          <w:szCs w:val="16"/>
          <w:lang w:eastAsia="en-US"/>
        </w:rPr>
        <w:t xml:space="preserve">. </w:t>
      </w:r>
      <w:r w:rsidRPr="005376AD">
        <w:t xml:space="preserve">V letech 2013 a 2014 to bylo 2,47 a 2,49 mld. Kč, a v roce 2015 více než 2,59 mld. Kč, což bylo vždy méně než 1 % celkových výdajů na zdravotní péči v České republice. Zdravotní péči si cizí státní příslušníci zpravidla hradí ze svých zdrojů (pojištění, vlastní hotovost apod.). Nepatrnou výjimkou v objemu vývozu zdravotní péče jsou úhrady z veřejných prostředků (na základě mezivládních dohod, usnesení vlády atd.). </w:t>
      </w:r>
    </w:p>
    <w:p w:rsidR="005376AD" w:rsidRPr="005376AD" w:rsidRDefault="005376AD" w:rsidP="005376AD">
      <w:pPr>
        <w:keepNext/>
        <w:spacing w:before="120"/>
        <w:jc w:val="both"/>
        <w:rPr>
          <w:b/>
          <w:i/>
        </w:rPr>
      </w:pPr>
      <w:r w:rsidRPr="005376AD">
        <w:rPr>
          <w:b/>
          <w:i/>
        </w:rPr>
        <w:lastRenderedPageBreak/>
        <w:t xml:space="preserve">Mírný rozvoj zdravotní turistiky provází útlum lázeňské péče o cizince </w:t>
      </w:r>
    </w:p>
    <w:p w:rsidR="005376AD" w:rsidRPr="005376AD" w:rsidRDefault="005376AD" w:rsidP="005376AD">
      <w:pPr>
        <w:keepNext/>
        <w:spacing w:before="120"/>
        <w:jc w:val="both"/>
      </w:pPr>
      <w:r w:rsidRPr="005376AD">
        <w:t>Jak data ukazují, cesty cizích státních občanů do České republiky jsou v porovnání s cestami našich občanů do zahraničí více ovlivněny vědomou potřebou zdravotní péče. To může být způsobeno relativně nízkými cenami lékařského ošetření pro samoplátce v České republice v porovnání s některými okolními státy.</w:t>
      </w:r>
    </w:p>
    <w:p w:rsidR="005376AD" w:rsidRPr="005376AD" w:rsidRDefault="005376AD" w:rsidP="005376AD">
      <w:pPr>
        <w:keepNext/>
        <w:spacing w:before="120"/>
        <w:jc w:val="both"/>
      </w:pPr>
      <w:r w:rsidRPr="005376AD">
        <w:t>Podíl plánované zdravotní péče o cizí občany na našem území na celkovém objemu péče rok od roku roste, zatímco ještě v roce 2013 dosahoval 7,5 %, o rok později to bylo 8,6 % a v roce 2015 už 11,3 % (po</w:t>
      </w:r>
      <w:r w:rsidR="00352ACB">
        <w:t> </w:t>
      </w:r>
      <w:r w:rsidRPr="005376AD">
        <w:t>započtení lázeňské péče až 43,3 %). V případě údajů o podílu plánované zdravotní péče se jedná se o</w:t>
      </w:r>
      <w:r w:rsidR="00352ACB">
        <w:t> </w:t>
      </w:r>
      <w:r w:rsidRPr="005376AD">
        <w:t>průměrné dostupné údaje za země EU, EHP a Švýcarska. Naopak naši občané vyhledávali plánovanou zdravotní péči v cizině v zanedbatelné míře (její podíl na celkových nákladech dovozu zdravotní péče činil jen 0,7 %).</w:t>
      </w:r>
    </w:p>
    <w:p w:rsidR="005376AD" w:rsidRPr="005376AD" w:rsidRDefault="005376AD" w:rsidP="005376AD">
      <w:pPr>
        <w:keepNext/>
        <w:spacing w:before="240" w:after="120"/>
        <w:jc w:val="both"/>
      </w:pPr>
      <w:r w:rsidRPr="005376AD">
        <w:rPr>
          <w:b/>
          <w:sz w:val="18"/>
          <w:szCs w:val="18"/>
        </w:rPr>
        <w:t xml:space="preserve">Tabulka č. 3.5.1 Výdaje </w:t>
      </w:r>
      <w:r w:rsidRPr="005376AD">
        <w:rPr>
          <w:rFonts w:cs="Arial"/>
          <w:b/>
          <w:sz w:val="18"/>
          <w:szCs w:val="18"/>
        </w:rPr>
        <w:t>na jednotlivé druhy zdravotní péče (vývoz a dovoz)</w:t>
      </w:r>
      <w:r w:rsidRPr="005376AD">
        <w:rPr>
          <w:b/>
          <w:sz w:val="18"/>
          <w:szCs w:val="18"/>
        </w:rPr>
        <w:t>, 2013-2015 (v mil. Kč)</w:t>
      </w:r>
    </w:p>
    <w:tbl>
      <w:tblPr>
        <w:tblW w:w="9644" w:type="dxa"/>
        <w:tblInd w:w="65" w:type="dxa"/>
        <w:tblCellMar>
          <w:left w:w="70" w:type="dxa"/>
          <w:right w:w="70" w:type="dxa"/>
        </w:tblCellMar>
        <w:tblLook w:val="04A0" w:firstRow="1" w:lastRow="0" w:firstColumn="1" w:lastColumn="0" w:noHBand="0" w:noVBand="1"/>
      </w:tblPr>
      <w:tblGrid>
        <w:gridCol w:w="3124"/>
        <w:gridCol w:w="850"/>
        <w:gridCol w:w="709"/>
        <w:gridCol w:w="851"/>
        <w:gridCol w:w="850"/>
        <w:gridCol w:w="851"/>
        <w:gridCol w:w="850"/>
        <w:gridCol w:w="851"/>
        <w:gridCol w:w="708"/>
      </w:tblGrid>
      <w:tr w:rsidR="005376AD" w:rsidRPr="005376AD" w:rsidTr="004F78C3">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rsidR="005376AD" w:rsidRPr="005376AD" w:rsidRDefault="005376AD" w:rsidP="004F78C3">
            <w:pPr>
              <w:spacing w:line="240" w:lineRule="auto"/>
              <w:rPr>
                <w:rFonts w:cs="Arial"/>
                <w:color w:val="000000"/>
                <w:sz w:val="16"/>
                <w:szCs w:val="16"/>
              </w:rPr>
            </w:pPr>
            <w:r w:rsidRPr="005376AD">
              <w:rPr>
                <w:rFonts w:cs="Arial"/>
                <w:color w:val="000000"/>
                <w:sz w:val="16"/>
                <w:szCs w:val="16"/>
              </w:rPr>
              <w:t> </w:t>
            </w:r>
          </w:p>
        </w:tc>
        <w:tc>
          <w:tcPr>
            <w:tcW w:w="1559"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color w:val="000000"/>
                <w:sz w:val="16"/>
                <w:szCs w:val="16"/>
              </w:rPr>
            </w:pPr>
            <w:r w:rsidRPr="005376AD">
              <w:rPr>
                <w:rFonts w:cs="Arial"/>
                <w:b/>
                <w:color w:val="000000"/>
                <w:sz w:val="16"/>
                <w:szCs w:val="16"/>
              </w:rPr>
              <w:t>2013</w:t>
            </w:r>
          </w:p>
        </w:tc>
        <w:tc>
          <w:tcPr>
            <w:tcW w:w="1701"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color w:val="000000"/>
                <w:sz w:val="16"/>
                <w:szCs w:val="16"/>
              </w:rPr>
            </w:pPr>
            <w:r w:rsidRPr="005376AD">
              <w:rPr>
                <w:rFonts w:cs="Arial"/>
                <w:b/>
                <w:color w:val="000000"/>
                <w:sz w:val="16"/>
                <w:szCs w:val="16"/>
              </w:rPr>
              <w:t>2014</w:t>
            </w:r>
          </w:p>
        </w:tc>
        <w:tc>
          <w:tcPr>
            <w:tcW w:w="1701"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color w:val="000000"/>
                <w:sz w:val="16"/>
                <w:szCs w:val="16"/>
              </w:rPr>
            </w:pPr>
            <w:r w:rsidRPr="005376AD">
              <w:rPr>
                <w:rFonts w:cs="Arial"/>
                <w:b/>
                <w:color w:val="000000"/>
                <w:sz w:val="16"/>
                <w:szCs w:val="16"/>
              </w:rPr>
              <w:t>2015</w:t>
            </w:r>
          </w:p>
        </w:tc>
        <w:tc>
          <w:tcPr>
            <w:tcW w:w="1559"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color w:val="000000"/>
                <w:sz w:val="16"/>
                <w:szCs w:val="16"/>
              </w:rPr>
            </w:pPr>
            <w:r w:rsidRPr="005376AD">
              <w:rPr>
                <w:rFonts w:cs="Arial"/>
                <w:b/>
                <w:color w:val="000000"/>
                <w:sz w:val="16"/>
                <w:szCs w:val="16"/>
              </w:rPr>
              <w:t>Index 2015 /2014</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color w:val="000000"/>
                <w:sz w:val="16"/>
                <w:szCs w:val="16"/>
              </w:rPr>
            </w:pPr>
            <w:r w:rsidRPr="005376AD">
              <w:rPr>
                <w:rFonts w:cs="Arial"/>
                <w:b/>
                <w:color w:val="000000"/>
                <w:sz w:val="16"/>
                <w:szCs w:val="16"/>
              </w:rPr>
              <w:t>Druh zdravotní péče</w:t>
            </w:r>
          </w:p>
        </w:tc>
        <w:tc>
          <w:tcPr>
            <w:tcW w:w="850"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Dovoz</w:t>
            </w:r>
          </w:p>
        </w:tc>
        <w:tc>
          <w:tcPr>
            <w:tcW w:w="709"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Vývoz</w:t>
            </w:r>
          </w:p>
        </w:tc>
        <w:tc>
          <w:tcPr>
            <w:tcW w:w="851"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Dovoz</w:t>
            </w:r>
          </w:p>
        </w:tc>
        <w:tc>
          <w:tcPr>
            <w:tcW w:w="850"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Vývoz</w:t>
            </w:r>
          </w:p>
        </w:tc>
        <w:tc>
          <w:tcPr>
            <w:tcW w:w="851"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Dovoz</w:t>
            </w:r>
          </w:p>
        </w:tc>
        <w:tc>
          <w:tcPr>
            <w:tcW w:w="850"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Vývoz</w:t>
            </w:r>
          </w:p>
        </w:tc>
        <w:tc>
          <w:tcPr>
            <w:tcW w:w="851"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Dovoz</w:t>
            </w:r>
          </w:p>
        </w:tc>
        <w:tc>
          <w:tcPr>
            <w:tcW w:w="708"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center"/>
              <w:rPr>
                <w:rFonts w:cs="Arial"/>
                <w:b/>
                <w:bCs/>
                <w:color w:val="000000"/>
                <w:sz w:val="16"/>
                <w:szCs w:val="16"/>
              </w:rPr>
            </w:pPr>
            <w:r w:rsidRPr="005376AD">
              <w:rPr>
                <w:rFonts w:cs="Arial"/>
                <w:b/>
                <w:bCs/>
                <w:color w:val="000000"/>
                <w:sz w:val="16"/>
                <w:szCs w:val="16"/>
              </w:rPr>
              <w:t>Vývoz</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rPr>
                <w:rFonts w:cs="Arial"/>
                <w:color w:val="000000"/>
                <w:sz w:val="16"/>
                <w:szCs w:val="16"/>
              </w:rPr>
            </w:pPr>
            <w:r w:rsidRPr="005376AD">
              <w:rPr>
                <w:rFonts w:cs="Arial"/>
                <w:color w:val="000000"/>
                <w:sz w:val="16"/>
                <w:szCs w:val="16"/>
              </w:rPr>
              <w:t>Lůžková péče</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800</w:t>
            </w:r>
          </w:p>
        </w:tc>
        <w:tc>
          <w:tcPr>
            <w:tcW w:w="709"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531</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737</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621</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1 163</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986</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157,7</w:t>
            </w:r>
          </w:p>
        </w:tc>
        <w:tc>
          <w:tcPr>
            <w:tcW w:w="708"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158,8</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rPr>
                <w:rFonts w:cs="Arial"/>
                <w:color w:val="000000"/>
                <w:sz w:val="16"/>
                <w:szCs w:val="16"/>
              </w:rPr>
            </w:pPr>
            <w:r w:rsidRPr="005376AD">
              <w:rPr>
                <w:rFonts w:cs="Arial"/>
                <w:color w:val="000000"/>
                <w:sz w:val="16"/>
                <w:szCs w:val="16"/>
              </w:rPr>
              <w:t xml:space="preserve">Ambulantní léčebná péče </w:t>
            </w:r>
            <w:r w:rsidRPr="005376AD">
              <w:rPr>
                <w:rFonts w:cs="Arial"/>
                <w:color w:val="000000"/>
                <w:sz w:val="16"/>
                <w:szCs w:val="16"/>
                <w:vertAlign w:val="superscript"/>
              </w:rPr>
              <w:t>*)</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233</w:t>
            </w:r>
          </w:p>
        </w:tc>
        <w:tc>
          <w:tcPr>
            <w:tcW w:w="709"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464</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258</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561</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347</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1 071</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134,6</w:t>
            </w:r>
          </w:p>
        </w:tc>
        <w:tc>
          <w:tcPr>
            <w:tcW w:w="708"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190,9</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rPr>
                <w:rFonts w:cs="Arial"/>
                <w:color w:val="000000"/>
                <w:sz w:val="16"/>
                <w:szCs w:val="16"/>
              </w:rPr>
            </w:pPr>
            <w:r w:rsidRPr="005376AD">
              <w:rPr>
                <w:rFonts w:cs="Arial"/>
                <w:color w:val="000000"/>
                <w:sz w:val="16"/>
                <w:szCs w:val="16"/>
              </w:rPr>
              <w:t>Stomatologická ambulantní léčebná péče</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25</w:t>
            </w:r>
          </w:p>
        </w:tc>
        <w:tc>
          <w:tcPr>
            <w:tcW w:w="709"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64</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26</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72</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40</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122</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153,2</w:t>
            </w:r>
          </w:p>
        </w:tc>
        <w:tc>
          <w:tcPr>
            <w:tcW w:w="708"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170,8</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rPr>
                <w:rFonts w:cs="Arial"/>
                <w:color w:val="000000"/>
                <w:sz w:val="16"/>
                <w:szCs w:val="16"/>
              </w:rPr>
            </w:pPr>
            <w:r w:rsidRPr="005376AD">
              <w:rPr>
                <w:rFonts w:cs="Arial"/>
                <w:color w:val="000000"/>
                <w:sz w:val="16"/>
                <w:szCs w:val="16"/>
              </w:rPr>
              <w:t>Léky a zdravotnický materiál</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147</w:t>
            </w:r>
          </w:p>
        </w:tc>
        <w:tc>
          <w:tcPr>
            <w:tcW w:w="709"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172</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159</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172</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235</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306</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148,2</w:t>
            </w:r>
          </w:p>
        </w:tc>
        <w:tc>
          <w:tcPr>
            <w:tcW w:w="708"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178,3</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rPr>
                <w:rFonts w:cs="Arial"/>
                <w:color w:val="000000"/>
                <w:sz w:val="16"/>
                <w:szCs w:val="16"/>
              </w:rPr>
            </w:pPr>
            <w:r w:rsidRPr="005376AD">
              <w:rPr>
                <w:rFonts w:cs="Arial"/>
                <w:color w:val="000000"/>
                <w:sz w:val="16"/>
                <w:szCs w:val="16"/>
              </w:rPr>
              <w:t>Ostatní zdravotní péče</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280</w:t>
            </w:r>
          </w:p>
        </w:tc>
        <w:tc>
          <w:tcPr>
            <w:tcW w:w="709"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289</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262</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323</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413</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575</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157,2</w:t>
            </w:r>
          </w:p>
        </w:tc>
        <w:tc>
          <w:tcPr>
            <w:tcW w:w="708"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178,0</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rPr>
                <w:rFonts w:cs="Arial"/>
                <w:color w:val="000000"/>
                <w:sz w:val="16"/>
                <w:szCs w:val="16"/>
              </w:rPr>
            </w:pPr>
            <w:r w:rsidRPr="005376AD">
              <w:rPr>
                <w:rFonts w:cs="Arial"/>
                <w:color w:val="000000"/>
                <w:sz w:val="16"/>
                <w:szCs w:val="16"/>
              </w:rPr>
              <w:t>Lázeňská péče</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2 433</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2 172</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keepNext/>
              <w:spacing w:line="240" w:lineRule="auto"/>
              <w:jc w:val="right"/>
              <w:rPr>
                <w:rFonts w:cs="Arial"/>
                <w:sz w:val="16"/>
                <w:szCs w:val="16"/>
              </w:rPr>
            </w:pPr>
            <w:r w:rsidRPr="005376AD">
              <w:rPr>
                <w:rFonts w:cs="Arial"/>
                <w:sz w:val="16"/>
                <w:szCs w:val="16"/>
              </w:rPr>
              <w:t>1 727</w:t>
            </w:r>
          </w:p>
        </w:tc>
        <w:tc>
          <w:tcPr>
            <w:tcW w:w="851"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5376AD" w:rsidRPr="005376AD" w:rsidRDefault="005376AD" w:rsidP="004F78C3">
            <w:pPr>
              <w:spacing w:line="240" w:lineRule="auto"/>
              <w:jc w:val="right"/>
              <w:rPr>
                <w:rFonts w:cs="Arial"/>
                <w:color w:val="000000"/>
                <w:sz w:val="16"/>
                <w:szCs w:val="16"/>
              </w:rPr>
            </w:pPr>
            <w:r w:rsidRPr="005376AD">
              <w:rPr>
                <w:rFonts w:cs="Arial"/>
                <w:color w:val="000000"/>
                <w:sz w:val="16"/>
                <w:szCs w:val="16"/>
              </w:rPr>
              <w:t>79,5</w:t>
            </w:r>
          </w:p>
        </w:tc>
      </w:tr>
      <w:tr w:rsidR="005376AD" w:rsidRPr="005376AD" w:rsidTr="004F78C3">
        <w:trPr>
          <w:trHeight w:val="300"/>
        </w:trPr>
        <w:tc>
          <w:tcPr>
            <w:tcW w:w="312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rPr>
                <w:rFonts w:cs="Arial"/>
                <w:b/>
                <w:color w:val="000000"/>
                <w:sz w:val="16"/>
                <w:szCs w:val="16"/>
              </w:rPr>
            </w:pPr>
            <w:r w:rsidRPr="005376AD">
              <w:rPr>
                <w:rFonts w:cs="Arial"/>
                <w:b/>
                <w:color w:val="000000"/>
                <w:sz w:val="16"/>
                <w:szCs w:val="16"/>
              </w:rPr>
              <w:t>Celkový součet</w:t>
            </w:r>
          </w:p>
        </w:tc>
        <w:tc>
          <w:tcPr>
            <w:tcW w:w="850"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keepNext/>
              <w:spacing w:line="240" w:lineRule="auto"/>
              <w:jc w:val="right"/>
              <w:rPr>
                <w:rFonts w:cs="Arial"/>
                <w:b/>
                <w:sz w:val="16"/>
                <w:szCs w:val="16"/>
              </w:rPr>
            </w:pPr>
            <w:r w:rsidRPr="005376AD">
              <w:rPr>
                <w:rFonts w:cs="Arial"/>
                <w:b/>
                <w:sz w:val="16"/>
                <w:szCs w:val="16"/>
              </w:rPr>
              <w:t>1 485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keepNext/>
              <w:spacing w:line="240" w:lineRule="auto"/>
              <w:jc w:val="right"/>
              <w:rPr>
                <w:rFonts w:cs="Arial"/>
                <w:b/>
                <w:sz w:val="16"/>
                <w:szCs w:val="16"/>
              </w:rPr>
            </w:pPr>
            <w:r w:rsidRPr="005376AD">
              <w:rPr>
                <w:rFonts w:cs="Arial"/>
                <w:b/>
                <w:sz w:val="16"/>
                <w:szCs w:val="16"/>
              </w:rPr>
              <w:t>3 952</w:t>
            </w:r>
          </w:p>
        </w:tc>
        <w:tc>
          <w:tcPr>
            <w:tcW w:w="851"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keepNext/>
              <w:spacing w:line="240" w:lineRule="auto"/>
              <w:jc w:val="right"/>
              <w:rPr>
                <w:rFonts w:cs="Arial"/>
                <w:b/>
                <w:sz w:val="16"/>
                <w:szCs w:val="16"/>
              </w:rPr>
            </w:pPr>
            <w:r w:rsidRPr="005376AD">
              <w:rPr>
                <w:rFonts w:cs="Arial"/>
                <w:b/>
                <w:sz w:val="16"/>
                <w:szCs w:val="16"/>
              </w:rPr>
              <w:t>1 443</w:t>
            </w:r>
          </w:p>
        </w:tc>
        <w:tc>
          <w:tcPr>
            <w:tcW w:w="850"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keepNext/>
              <w:spacing w:line="240" w:lineRule="auto"/>
              <w:jc w:val="right"/>
              <w:rPr>
                <w:rFonts w:cs="Arial"/>
                <w:b/>
                <w:sz w:val="16"/>
                <w:szCs w:val="16"/>
              </w:rPr>
            </w:pPr>
            <w:r w:rsidRPr="005376AD">
              <w:rPr>
                <w:rFonts w:cs="Arial"/>
                <w:b/>
                <w:sz w:val="16"/>
                <w:szCs w:val="16"/>
              </w:rPr>
              <w:t>3 921</w:t>
            </w:r>
          </w:p>
        </w:tc>
        <w:tc>
          <w:tcPr>
            <w:tcW w:w="851"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keepNext/>
              <w:spacing w:line="240" w:lineRule="auto"/>
              <w:jc w:val="right"/>
              <w:rPr>
                <w:rFonts w:cs="Arial"/>
                <w:b/>
                <w:sz w:val="16"/>
                <w:szCs w:val="16"/>
              </w:rPr>
            </w:pPr>
            <w:r w:rsidRPr="005376AD">
              <w:rPr>
                <w:rFonts w:cs="Arial"/>
                <w:b/>
                <w:sz w:val="16"/>
                <w:szCs w:val="16"/>
              </w:rPr>
              <w:t>2 198</w:t>
            </w:r>
          </w:p>
        </w:tc>
        <w:tc>
          <w:tcPr>
            <w:tcW w:w="850"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keepNext/>
              <w:spacing w:line="240" w:lineRule="auto"/>
              <w:jc w:val="right"/>
              <w:rPr>
                <w:rFonts w:cs="Arial"/>
                <w:b/>
                <w:sz w:val="16"/>
                <w:szCs w:val="16"/>
              </w:rPr>
            </w:pPr>
            <w:r w:rsidRPr="005376AD">
              <w:rPr>
                <w:rFonts w:cs="Arial"/>
                <w:b/>
                <w:sz w:val="16"/>
                <w:szCs w:val="16"/>
              </w:rPr>
              <w:t>4 788</w:t>
            </w:r>
          </w:p>
        </w:tc>
        <w:tc>
          <w:tcPr>
            <w:tcW w:w="851"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right"/>
              <w:rPr>
                <w:rFonts w:cs="Arial"/>
                <w:b/>
                <w:color w:val="000000"/>
                <w:sz w:val="16"/>
                <w:szCs w:val="16"/>
              </w:rPr>
            </w:pPr>
            <w:r w:rsidRPr="005376AD">
              <w:rPr>
                <w:rFonts w:cs="Arial"/>
                <w:b/>
                <w:color w:val="000000"/>
                <w:sz w:val="16"/>
                <w:szCs w:val="16"/>
              </w:rPr>
              <w:t>152,4</w:t>
            </w:r>
          </w:p>
        </w:tc>
        <w:tc>
          <w:tcPr>
            <w:tcW w:w="708" w:type="dxa"/>
            <w:tcBorders>
              <w:top w:val="nil"/>
              <w:left w:val="nil"/>
              <w:bottom w:val="single" w:sz="4" w:space="0" w:color="auto"/>
              <w:right w:val="single" w:sz="4" w:space="0" w:color="auto"/>
            </w:tcBorders>
            <w:shd w:val="clear" w:color="auto" w:fill="F2DBDB" w:themeFill="accent2" w:themeFillTint="33"/>
            <w:noWrap/>
            <w:vAlign w:val="center"/>
            <w:hideMark/>
          </w:tcPr>
          <w:p w:rsidR="005376AD" w:rsidRPr="005376AD" w:rsidRDefault="005376AD" w:rsidP="004F78C3">
            <w:pPr>
              <w:spacing w:line="240" w:lineRule="auto"/>
              <w:jc w:val="right"/>
              <w:rPr>
                <w:rFonts w:cs="Arial"/>
                <w:b/>
                <w:color w:val="000000"/>
                <w:sz w:val="16"/>
                <w:szCs w:val="16"/>
              </w:rPr>
            </w:pPr>
            <w:r w:rsidRPr="005376AD">
              <w:rPr>
                <w:rFonts w:cs="Arial"/>
                <w:b/>
                <w:color w:val="000000"/>
                <w:sz w:val="16"/>
                <w:szCs w:val="16"/>
              </w:rPr>
              <w:t>122,1</w:t>
            </w:r>
          </w:p>
        </w:tc>
      </w:tr>
    </w:tbl>
    <w:p w:rsidR="005376AD" w:rsidRPr="005376AD" w:rsidRDefault="005376AD" w:rsidP="00352ACB">
      <w:pPr>
        <w:spacing w:before="40" w:line="240" w:lineRule="auto"/>
        <w:rPr>
          <w:rFonts w:cs="Arial"/>
          <w:i/>
          <w:color w:val="000000"/>
          <w:sz w:val="16"/>
          <w:szCs w:val="16"/>
        </w:rPr>
      </w:pPr>
      <w:r w:rsidRPr="005376AD">
        <w:rPr>
          <w:rFonts w:cs="Arial"/>
          <w:i/>
          <w:color w:val="000000"/>
          <w:sz w:val="16"/>
          <w:szCs w:val="16"/>
          <w:vertAlign w:val="superscript"/>
        </w:rPr>
        <w:t>*)</w:t>
      </w:r>
      <w:r w:rsidRPr="005376AD">
        <w:rPr>
          <w:rFonts w:cs="Arial"/>
          <w:i/>
          <w:color w:val="000000"/>
          <w:sz w:val="16"/>
          <w:szCs w:val="16"/>
        </w:rPr>
        <w:t>Všeobecná a specializovaná ambulantní léčebná péče</w:t>
      </w:r>
    </w:p>
    <w:p w:rsidR="005376AD" w:rsidRPr="005376AD" w:rsidRDefault="005376AD" w:rsidP="005376AD">
      <w:pPr>
        <w:spacing w:before="120" w:line="240" w:lineRule="auto"/>
        <w:jc w:val="right"/>
        <w:rPr>
          <w:b/>
          <w:bCs/>
          <w:i/>
          <w:sz w:val="16"/>
          <w:szCs w:val="16"/>
        </w:rPr>
      </w:pPr>
      <w:r w:rsidRPr="005376AD">
        <w:rPr>
          <w:b/>
          <w:bCs/>
          <w:i/>
          <w:sz w:val="16"/>
          <w:szCs w:val="16"/>
        </w:rPr>
        <w:t xml:space="preserve"> Zdroj: ČSÚ 2017, Zdravotnické účty ČR 2010 - 2015 </w:t>
      </w:r>
    </w:p>
    <w:p w:rsidR="005376AD" w:rsidRPr="005376AD" w:rsidRDefault="005376AD" w:rsidP="005376AD">
      <w:pPr>
        <w:spacing w:before="240" w:after="120" w:line="276" w:lineRule="auto"/>
        <w:rPr>
          <w:sz w:val="18"/>
          <w:szCs w:val="18"/>
        </w:rPr>
      </w:pPr>
      <w:r w:rsidRPr="005376AD">
        <w:rPr>
          <w:rFonts w:cs="Arial"/>
          <w:b/>
          <w:bCs/>
          <w:color w:val="000000"/>
          <w:sz w:val="18"/>
          <w:szCs w:val="18"/>
        </w:rPr>
        <w:t>Graf č. 3.5.1 Struktura výdajů na zdravotní péči v ČR, vývozu a dovozu zdravotní péče v roce 2015</w:t>
      </w:r>
      <w:r w:rsidR="00426A61">
        <w:rPr>
          <w:rFonts w:cs="Arial"/>
          <w:b/>
          <w:bCs/>
          <w:color w:val="000000"/>
          <w:sz w:val="18"/>
          <w:szCs w:val="18"/>
        </w:rPr>
        <w:t xml:space="preserve"> (v %; mil. Kč)</w:t>
      </w:r>
    </w:p>
    <w:p w:rsidR="005376AD" w:rsidRPr="005376AD" w:rsidRDefault="000C28AA" w:rsidP="005376AD">
      <w:pPr>
        <w:keepNext/>
        <w:jc w:val="both"/>
      </w:pPr>
      <w:r>
        <w:rPr>
          <w:rFonts w:asciiTheme="minorHAnsi" w:eastAsiaTheme="minorHAnsi" w:hAnsiTheme="minorHAnsi" w:cstheme="minorBidi"/>
          <w:noProof/>
          <w:sz w:val="22"/>
          <w:szCs w:val="22"/>
        </w:rPr>
        <mc:AlternateContent>
          <mc:Choice Requires="wps">
            <w:drawing>
              <wp:anchor distT="0" distB="0" distL="114300" distR="114300" simplePos="0" relativeHeight="251676160" behindDoc="0" locked="0" layoutInCell="1" allowOverlap="1">
                <wp:simplePos x="0" y="0"/>
                <wp:positionH relativeFrom="column">
                  <wp:posOffset>4613910</wp:posOffset>
                </wp:positionH>
                <wp:positionV relativeFrom="paragraph">
                  <wp:posOffset>10795</wp:posOffset>
                </wp:positionV>
                <wp:extent cx="748665" cy="209550"/>
                <wp:effectExtent l="0" t="0" r="0" b="0"/>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095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DC" w:rsidRPr="00BE1F2F" w:rsidRDefault="00BD2BDC" w:rsidP="005376AD">
                            <w:pPr>
                              <w:pStyle w:val="Normlnweb"/>
                              <w:spacing w:before="0" w:beforeAutospacing="0" w:after="0" w:afterAutospacing="0"/>
                              <w:jc w:val="center"/>
                              <w:rPr>
                                <w:b/>
                                <w:sz w:val="16"/>
                                <w:szCs w:val="16"/>
                              </w:rPr>
                            </w:pPr>
                            <w:r w:rsidRPr="00BE1F2F">
                              <w:rPr>
                                <w:b/>
                                <w:sz w:val="16"/>
                                <w:szCs w:val="16"/>
                              </w:rPr>
                              <w:t>2 198 mil. Kč</w:t>
                            </w:r>
                          </w:p>
                          <w:p w:rsidR="00BD2BDC" w:rsidRDefault="00BD2BDC" w:rsidP="005376AD">
                            <w:pPr>
                              <w:pStyle w:val="Normlnweb"/>
                              <w:spacing w:before="0" w:beforeAutospacing="0" w:after="0" w:afterAutospacing="0"/>
                              <w:jc w:val="cente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3" o:spid="_x0000_s1026" type="#_x0000_t202" style="position:absolute;left:0;text-align:left;margin-left:363.3pt;margin-top:.85pt;width:58.95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" filled="f" fillcolor="white [3201]" stroked="f">
                <v:textbox inset="1mm,1mm,1mm,1mm">
                  <w:txbxContent>
                    <w:p w:rsidR="00BD2BDC" w:rsidRPr="00BE1F2F" w:rsidRDefault="00BD2BDC" w:rsidP="005376AD">
                      <w:pPr>
                        <w:pStyle w:val="Normlnweb"/>
                        <w:spacing w:before="0" w:beforeAutospacing="0" w:after="0" w:afterAutospacing="0"/>
                        <w:jc w:val="center"/>
                        <w:rPr>
                          <w:b/>
                          <w:sz w:val="16"/>
                          <w:szCs w:val="16"/>
                        </w:rPr>
                      </w:pPr>
                      <w:r w:rsidRPr="00BE1F2F">
                        <w:rPr>
                          <w:b/>
                          <w:sz w:val="16"/>
                          <w:szCs w:val="16"/>
                        </w:rPr>
                        <w:t>2 198 mil. Kč</w:t>
                      </w:r>
                    </w:p>
                    <w:p w:rsidR="00BD2BDC" w:rsidRDefault="00BD2BDC" w:rsidP="005376AD">
                      <w:pPr>
                        <w:pStyle w:val="Normlnweb"/>
                        <w:spacing w:before="0" w:beforeAutospacing="0" w:after="0" w:afterAutospacing="0"/>
                        <w:jc w:val="center"/>
                      </w:pPr>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4112" behindDoc="0" locked="0" layoutInCell="1" allowOverlap="1">
                <wp:simplePos x="0" y="0"/>
                <wp:positionH relativeFrom="column">
                  <wp:posOffset>933450</wp:posOffset>
                </wp:positionH>
                <wp:positionV relativeFrom="paragraph">
                  <wp:posOffset>10795</wp:posOffset>
                </wp:positionV>
                <wp:extent cx="895350" cy="209550"/>
                <wp:effectExtent l="0" t="0" r="0" b="0"/>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095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DC" w:rsidRPr="00BE1F2F" w:rsidRDefault="00BD2BDC" w:rsidP="005376AD">
                            <w:pPr>
                              <w:pStyle w:val="Normlnweb"/>
                              <w:spacing w:before="0" w:beforeAutospacing="0" w:after="0" w:afterAutospacing="0"/>
                              <w:rPr>
                                <w:b/>
                                <w:sz w:val="16"/>
                                <w:szCs w:val="16"/>
                              </w:rPr>
                            </w:pPr>
                            <w:r>
                              <w:rPr>
                                <w:b/>
                                <w:sz w:val="16"/>
                                <w:szCs w:val="16"/>
                              </w:rPr>
                              <w:t xml:space="preserve">   </w:t>
                            </w:r>
                            <w:r w:rsidRPr="00BE1F2F">
                              <w:rPr>
                                <w:b/>
                                <w:sz w:val="16"/>
                                <w:szCs w:val="16"/>
                              </w:rPr>
                              <w:t>253 985 mil.</w:t>
                            </w:r>
                            <w:r>
                              <w:rPr>
                                <w:b/>
                                <w:sz w:val="16"/>
                                <w:szCs w:val="16"/>
                              </w:rPr>
                              <w:t xml:space="preserve"> </w:t>
                            </w:r>
                            <w:r w:rsidRPr="00BE1F2F">
                              <w:rPr>
                                <w:b/>
                                <w:sz w:val="16"/>
                                <w:szCs w:val="16"/>
                              </w:rPr>
                              <w:t>Kč</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ové pole 65" o:spid="_x0000_s1027" type="#_x0000_t202" style="position:absolute;left:0;text-align:left;margin-left:73.5pt;margin-top:.85pt;width:70.5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" filled="f" fillcolor="white [3201]" stroked="f">
                <v:textbox inset="1mm,1mm,1mm,1mm">
                  <w:txbxContent>
                    <w:p w:rsidR="00BD2BDC" w:rsidRPr="00BE1F2F" w:rsidRDefault="00BD2BDC" w:rsidP="005376AD">
                      <w:pPr>
                        <w:pStyle w:val="Normlnweb"/>
                        <w:spacing w:before="0" w:beforeAutospacing="0" w:after="0" w:afterAutospacing="0"/>
                        <w:rPr>
                          <w:b/>
                          <w:sz w:val="16"/>
                          <w:szCs w:val="16"/>
                        </w:rPr>
                      </w:pPr>
                      <w:r>
                        <w:rPr>
                          <w:b/>
                          <w:sz w:val="16"/>
                          <w:szCs w:val="16"/>
                        </w:rPr>
                        <w:t xml:space="preserve">   </w:t>
                      </w:r>
                      <w:r w:rsidRPr="00BE1F2F">
                        <w:rPr>
                          <w:b/>
                          <w:sz w:val="16"/>
                          <w:szCs w:val="16"/>
                        </w:rPr>
                        <w:t>253 985 mil.</w:t>
                      </w:r>
                      <w:r>
                        <w:rPr>
                          <w:b/>
                          <w:sz w:val="16"/>
                          <w:szCs w:val="16"/>
                        </w:rPr>
                        <w:t xml:space="preserve"> </w:t>
                      </w:r>
                      <w:r w:rsidRPr="00BE1F2F">
                        <w:rPr>
                          <w:b/>
                          <w:sz w:val="16"/>
                          <w:szCs w:val="16"/>
                        </w:rPr>
                        <w:t>Kč</w:t>
                      </w:r>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5136" behindDoc="0" locked="0" layoutInCell="1" allowOverlap="1">
                <wp:simplePos x="0" y="0"/>
                <wp:positionH relativeFrom="column">
                  <wp:posOffset>2718435</wp:posOffset>
                </wp:positionH>
                <wp:positionV relativeFrom="paragraph">
                  <wp:posOffset>10795</wp:posOffset>
                </wp:positionV>
                <wp:extent cx="901065" cy="209550"/>
                <wp:effectExtent l="0" t="0" r="0" b="0"/>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2095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DC" w:rsidRPr="00BE1F2F" w:rsidRDefault="00BD2BDC" w:rsidP="005376AD">
                            <w:pPr>
                              <w:pStyle w:val="Normlnweb"/>
                              <w:spacing w:before="0" w:beforeAutospacing="0" w:after="0" w:afterAutospacing="0"/>
                              <w:jc w:val="center"/>
                              <w:rPr>
                                <w:b/>
                                <w:sz w:val="16"/>
                                <w:szCs w:val="16"/>
                              </w:rPr>
                            </w:pPr>
                            <w:r w:rsidRPr="00BE1F2F">
                              <w:rPr>
                                <w:b/>
                                <w:sz w:val="16"/>
                                <w:szCs w:val="16"/>
                              </w:rPr>
                              <w:t>4 788 mil. Kč</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ové pole 64" o:spid="_x0000_s1028" type="#_x0000_t202" style="position:absolute;left:0;text-align:left;margin-left:214.05pt;margin-top:.85pt;width:70.9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" filled="f" fillcolor="white [3201]" stroked="f">
                <v:textbox inset="1mm,1mm,1mm,1mm">
                  <w:txbxContent>
                    <w:p w:rsidR="00BD2BDC" w:rsidRPr="00BE1F2F" w:rsidRDefault="00BD2BDC" w:rsidP="005376AD">
                      <w:pPr>
                        <w:pStyle w:val="Normlnweb"/>
                        <w:spacing w:before="0" w:beforeAutospacing="0" w:after="0" w:afterAutospacing="0"/>
                        <w:jc w:val="center"/>
                        <w:rPr>
                          <w:b/>
                          <w:sz w:val="16"/>
                          <w:szCs w:val="16"/>
                        </w:rPr>
                      </w:pPr>
                      <w:r w:rsidRPr="00BE1F2F">
                        <w:rPr>
                          <w:b/>
                          <w:sz w:val="16"/>
                          <w:szCs w:val="16"/>
                        </w:rPr>
                        <w:t>4 788 mil. Kč</w:t>
                      </w:r>
                    </w:p>
                  </w:txbxContent>
                </v:textbox>
              </v:shape>
            </w:pict>
          </mc:Fallback>
        </mc:AlternateContent>
      </w:r>
      <w:r w:rsidR="005376AD" w:rsidRPr="005376AD">
        <w:t xml:space="preserve"> </w:t>
      </w:r>
      <w:r w:rsidR="005376AD" w:rsidRPr="005376AD">
        <w:rPr>
          <w:noProof/>
        </w:rPr>
        <w:drawing>
          <wp:inline distT="0" distB="0" distL="0" distR="0">
            <wp:extent cx="5972810" cy="3832225"/>
            <wp:effectExtent l="0" t="0" r="0" b="0"/>
            <wp:docPr id="67" name="Graf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76AD" w:rsidRPr="005376AD" w:rsidRDefault="005376AD" w:rsidP="005376AD">
      <w:pPr>
        <w:spacing w:before="120" w:line="240" w:lineRule="auto"/>
        <w:jc w:val="right"/>
        <w:rPr>
          <w:b/>
          <w:bCs/>
          <w:i/>
          <w:sz w:val="16"/>
          <w:szCs w:val="16"/>
        </w:rPr>
      </w:pPr>
      <w:r w:rsidRPr="005376AD">
        <w:rPr>
          <w:b/>
          <w:bCs/>
          <w:i/>
          <w:sz w:val="16"/>
          <w:szCs w:val="16"/>
        </w:rPr>
        <w:t xml:space="preserve">   Zdroj: ČSÚ 2017, Zdravotnické účty ČR 2010 - 2015 </w:t>
      </w:r>
    </w:p>
    <w:p w:rsidR="005376AD" w:rsidRPr="005376AD" w:rsidRDefault="005376AD" w:rsidP="005376AD">
      <w:pPr>
        <w:keepNext/>
        <w:jc w:val="both"/>
      </w:pPr>
      <w:r w:rsidRPr="005376AD">
        <w:lastRenderedPageBreak/>
        <w:t xml:space="preserve">Zahraniční obchod se zdravotní péčí v České republice, především její dovoz, se z velké většiny týká neplánované zdravotní péče, a proto je jeho dynamika ovlivněna zejména rozvojem cestovního ruchu. S oživením výjezdového cestovního ruchu českých rezidentů do zahraničí (zvýšený počet cest i počet přenocování) v  roce 2015 došlo k pozoruhodnému zvýšení dovozu zdravotní péče. Příjezdový cestovní ruch cizích občanů do České republiky v posledních letech naopak rostl pravidelně, avšak pomalejším tempem. Tomu také odpovídá nižší, avšak stálá dynamika objemu vývozu zdravotní péče v porovnání s jejím dovozem. </w:t>
      </w:r>
    </w:p>
    <w:p w:rsidR="005376AD" w:rsidRPr="005376AD" w:rsidRDefault="005376AD" w:rsidP="005376AD">
      <w:pPr>
        <w:keepNext/>
        <w:spacing w:before="120"/>
        <w:jc w:val="both"/>
      </w:pPr>
      <w:r w:rsidRPr="005376AD">
        <w:t>Nepříznivým jevem v rámci vývozu je postupný pokles služeb lázeňské péče o cizince. Započal v  roce 2014 a v roce 2015 se ještě urychlil. Uvedená hodnotová data (viz tabulka č.</w:t>
      </w:r>
      <w:r w:rsidR="00352ACB">
        <w:t xml:space="preserve"> </w:t>
      </w:r>
      <w:r w:rsidRPr="005376AD">
        <w:t>3.5.1) lze doložit i naturálními údaji. Dle informací  ÚZIS ČR se v roce 2015 snížil meziročně počet ošetřovacích dnů lázeňské péče o cizince o</w:t>
      </w:r>
      <w:r w:rsidR="00352ACB">
        <w:t> </w:t>
      </w:r>
      <w:r w:rsidRPr="005376AD">
        <w:t xml:space="preserve">6,7 %, počet pacientů – cizinců byl v porovnání s rokem 2013 nižší zhruba až o 24 %.        </w:t>
      </w:r>
    </w:p>
    <w:p w:rsidR="005376AD" w:rsidRPr="005376AD" w:rsidRDefault="005376AD" w:rsidP="005376AD">
      <w:pPr>
        <w:keepNext/>
        <w:spacing w:before="120"/>
        <w:jc w:val="both"/>
        <w:rPr>
          <w:sz w:val="18"/>
        </w:rPr>
      </w:pPr>
      <w:r w:rsidRPr="005376AD">
        <w:t xml:space="preserve">Rozsah ostatní tzv. „zdravotní turistiky“ ve vývozu v posledních letech narůstá, avšak ve vztahu k celkovým výdajům zdravotních služeb se stále pohybuje na relativně nízké úrovni. Většina cestujících vyhledává zdravotní péči v cizí zemi jen v nezbytně nutných případech a s menšími obtížemi raději vyčkává na návrat </w:t>
      </w:r>
      <w:r w:rsidRPr="005376AD">
        <w:rPr>
          <w:sz w:val="18"/>
        </w:rPr>
        <w:t>domů.</w:t>
      </w:r>
    </w:p>
    <w:p w:rsidR="005376AD" w:rsidRPr="005376AD" w:rsidRDefault="005376AD" w:rsidP="005376AD">
      <w:pPr>
        <w:spacing w:before="240" w:after="120" w:line="276" w:lineRule="auto"/>
        <w:rPr>
          <w:rFonts w:eastAsiaTheme="minorHAnsi" w:cs="Arial"/>
          <w:b/>
          <w:sz w:val="18"/>
          <w:szCs w:val="18"/>
          <w:lang w:eastAsia="en-US"/>
        </w:rPr>
      </w:pPr>
      <w:r w:rsidRPr="005376AD">
        <w:rPr>
          <w:rFonts w:eastAsiaTheme="minorHAnsi" w:cs="Arial"/>
          <w:b/>
          <w:sz w:val="18"/>
          <w:szCs w:val="18"/>
          <w:lang w:eastAsia="en-US"/>
        </w:rPr>
        <w:t>Graf č. 3.5.2 Vývoj vývozu a dovozu zdravotní péče (ZP) absolutně a na 1000 osob na cestách mimo zemi bydliště, 2010 – 2015</w:t>
      </w:r>
      <w:r w:rsidR="00BC66E8">
        <w:rPr>
          <w:rFonts w:eastAsiaTheme="minorHAnsi" w:cs="Arial"/>
          <w:b/>
          <w:sz w:val="18"/>
          <w:szCs w:val="18"/>
          <w:lang w:eastAsia="en-US"/>
        </w:rPr>
        <w:t xml:space="preserve"> (mil. Kč)</w:t>
      </w:r>
    </w:p>
    <w:p w:rsidR="005376AD" w:rsidRPr="005376AD" w:rsidRDefault="005376AD" w:rsidP="005376AD">
      <w:pPr>
        <w:spacing w:line="276" w:lineRule="auto"/>
        <w:rPr>
          <w:rFonts w:eastAsiaTheme="minorHAnsi" w:cs="Arial"/>
          <w:b/>
          <w:sz w:val="18"/>
          <w:szCs w:val="18"/>
          <w:lang w:eastAsia="en-US"/>
        </w:rPr>
      </w:pPr>
      <w:r w:rsidRPr="005376AD">
        <w:rPr>
          <w:noProof/>
        </w:rPr>
        <w:drawing>
          <wp:inline distT="0" distB="0" distL="0" distR="0">
            <wp:extent cx="6125461" cy="3402419"/>
            <wp:effectExtent l="0" t="0" r="0" b="0"/>
            <wp:docPr id="68"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76AD" w:rsidRPr="005376AD" w:rsidRDefault="000C28AA" w:rsidP="005376AD">
      <w:pPr>
        <w:keepNext/>
        <w:jc w:val="both"/>
        <w:rPr>
          <w:rFonts w:asciiTheme="minorHAnsi" w:eastAsiaTheme="minorHAnsi" w:hAnsiTheme="minorHAnsi" w:cstheme="minorBidi"/>
          <w:i/>
          <w:sz w:val="18"/>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77184" behindDoc="0" locked="0" layoutInCell="1" allowOverlap="1">
                <wp:simplePos x="0" y="0"/>
                <wp:positionH relativeFrom="column">
                  <wp:posOffset>-200025</wp:posOffset>
                </wp:positionH>
                <wp:positionV relativeFrom="paragraph">
                  <wp:posOffset>993775</wp:posOffset>
                </wp:positionV>
                <wp:extent cx="266700" cy="514350"/>
                <wp:effectExtent l="0" t="0" r="0" b="0"/>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514350"/>
                        </a:xfrm>
                        <a:prstGeom prst="rect">
                          <a:avLst/>
                        </a:prstGeom>
                        <a:solidFill>
                          <a:sysClr val="window" lastClr="FFFFFF"/>
                        </a:solidFill>
                        <a:ln w="9525" cmpd="sng">
                          <a:noFill/>
                        </a:ln>
                        <a:effectLst/>
                      </wps:spPr>
                      <wps:txbx>
                        <w:txbxContent>
                          <w:p w:rsidR="00BD2BDC" w:rsidRDefault="00BD2BDC" w:rsidP="005376AD">
                            <w:pPr>
                              <w:pStyle w:val="Normlnweb"/>
                              <w:spacing w:before="0" w:beforeAutospacing="0" w:after="0" w:afterAutospacing="0"/>
                              <w:jc w:val="center"/>
                            </w:pPr>
                          </w:p>
                        </w:txbxContent>
                      </wps:txbx>
                      <wps:bodyPr vertOverflow="clip" horzOverflow="clip" vert="vert270" wrap="square" lIns="72000" tIns="36000" rIns="72000" bIns="36000" rtlCol="0" anchor="ctr"/>
                    </wps:wsp>
                  </a:graphicData>
                </a:graphic>
                <wp14:sizeRelH relativeFrom="page">
                  <wp14:pctWidth>0</wp14:pctWidth>
                </wp14:sizeRelH>
                <wp14:sizeRelV relativeFrom="page">
                  <wp14:pctHeight>0</wp14:pctHeight>
                </wp14:sizeRelV>
              </wp:anchor>
            </w:drawing>
          </mc:Choice>
          <mc:Fallback>
            <w:pict>
              <v:shape id="Textové pole 66" o:spid="_x0000_s1029" type="#_x0000_t202" style="position:absolute;left:0;text-align:left;margin-left:-15.75pt;margin-top:78.25pt;width:21pt;height:4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" fillcolor="window" stroked="f">
                <v:path arrowok="t"/>
                <v:textbox style="layout-flow:vertical;mso-layout-flow-alt:bottom-to-top" inset="2mm,1mm,2mm,1mm">
                  <w:txbxContent>
                    <w:p w:rsidR="00BD2BDC" w:rsidRDefault="00BD2BDC" w:rsidP="005376AD">
                      <w:pPr>
                        <w:pStyle w:val="Normlnweb"/>
                        <w:spacing w:before="0" w:beforeAutospacing="0" w:after="0" w:afterAutospacing="0"/>
                        <w:jc w:val="center"/>
                      </w:pPr>
                    </w:p>
                  </w:txbxContent>
                </v:textbox>
              </v:shape>
            </w:pict>
          </mc:Fallback>
        </mc:AlternateContent>
      </w:r>
      <w:r w:rsidR="00BC66E8" w:rsidRPr="00BC66E8">
        <w:rPr>
          <w:rFonts w:asciiTheme="minorHAnsi" w:eastAsiaTheme="minorHAnsi" w:hAnsiTheme="minorHAnsi" w:cstheme="minorBidi"/>
          <w:i/>
          <w:sz w:val="18"/>
          <w:lang w:eastAsia="en-US"/>
        </w:rPr>
        <w:t xml:space="preserve"> </w:t>
      </w:r>
      <w:r w:rsidR="00BC66E8">
        <w:rPr>
          <w:rFonts w:asciiTheme="minorHAnsi" w:eastAsiaTheme="minorHAnsi" w:hAnsiTheme="minorHAnsi" w:cstheme="minorBidi"/>
          <w:i/>
          <w:sz w:val="18"/>
          <w:lang w:eastAsia="en-US"/>
        </w:rPr>
        <w:t>Pozn</w:t>
      </w:r>
      <w:r w:rsidR="004F78C3">
        <w:rPr>
          <w:rFonts w:asciiTheme="minorHAnsi" w:eastAsiaTheme="minorHAnsi" w:hAnsiTheme="minorHAnsi" w:cstheme="minorBidi"/>
          <w:i/>
          <w:sz w:val="18"/>
          <w:lang w:eastAsia="en-US"/>
        </w:rPr>
        <w:t>.</w:t>
      </w:r>
      <w:r w:rsidR="00BC66E8" w:rsidRPr="005376AD">
        <w:rPr>
          <w:rFonts w:asciiTheme="minorHAnsi" w:eastAsiaTheme="minorHAnsi" w:hAnsiTheme="minorHAnsi" w:cstheme="minorBidi"/>
          <w:i/>
          <w:sz w:val="18"/>
          <w:vertAlign w:val="superscript"/>
          <w:lang w:eastAsia="en-US"/>
        </w:rPr>
        <w:t>*</w:t>
      </w:r>
      <w:r w:rsidR="00BC66E8">
        <w:rPr>
          <w:rFonts w:asciiTheme="minorHAnsi" w:eastAsiaTheme="minorHAnsi" w:hAnsiTheme="minorHAnsi" w:cstheme="minorBidi"/>
          <w:i/>
          <w:sz w:val="18"/>
          <w:lang w:eastAsia="en-US"/>
        </w:rPr>
        <w:t>: z</w:t>
      </w:r>
      <w:r w:rsidR="005376AD" w:rsidRPr="005376AD">
        <w:rPr>
          <w:rFonts w:asciiTheme="minorHAnsi" w:eastAsiaTheme="minorHAnsi" w:hAnsiTheme="minorHAnsi" w:cstheme="minorBidi"/>
          <w:i/>
          <w:sz w:val="18"/>
          <w:lang w:eastAsia="en-US"/>
        </w:rPr>
        <w:t>a léta 2010 -12 odborný odhad</w:t>
      </w:r>
    </w:p>
    <w:p w:rsidR="005376AD" w:rsidRPr="005376AD" w:rsidRDefault="005376AD" w:rsidP="005376AD">
      <w:pPr>
        <w:spacing w:before="120" w:line="240" w:lineRule="auto"/>
        <w:jc w:val="right"/>
        <w:rPr>
          <w:b/>
          <w:bCs/>
          <w:i/>
          <w:sz w:val="16"/>
          <w:szCs w:val="16"/>
        </w:rPr>
      </w:pPr>
      <w:r w:rsidRPr="005376AD">
        <w:rPr>
          <w:b/>
          <w:bCs/>
          <w:i/>
          <w:sz w:val="16"/>
          <w:szCs w:val="16"/>
        </w:rPr>
        <w:t xml:space="preserve">Zdroj: ČSÚ 2017, Zdravotnické účty ČR 2010 - 2015 </w:t>
      </w:r>
    </w:p>
    <w:p w:rsidR="005376AD" w:rsidRPr="005376AD" w:rsidRDefault="005376AD" w:rsidP="005376AD">
      <w:pPr>
        <w:spacing w:line="240" w:lineRule="auto"/>
        <w:rPr>
          <w:rFonts w:asciiTheme="minorHAnsi" w:eastAsiaTheme="minorHAnsi" w:hAnsiTheme="minorHAnsi" w:cstheme="minorBidi"/>
          <w:i/>
          <w:sz w:val="18"/>
          <w:lang w:eastAsia="en-US"/>
        </w:rPr>
      </w:pPr>
    </w:p>
    <w:p w:rsidR="001E3731" w:rsidRDefault="001E3731" w:rsidP="001E3731">
      <w:pPr>
        <w:spacing w:after="200"/>
        <w:outlineLvl w:val="0"/>
        <w:rPr>
          <w:rFonts w:eastAsia="MS Gothic"/>
          <w:b/>
          <w:bCs/>
          <w:color w:val="C00000"/>
          <w:sz w:val="32"/>
          <w:szCs w:val="28"/>
        </w:rPr>
      </w:pPr>
    </w:p>
    <w:p w:rsidR="001E3731" w:rsidRDefault="001E3731" w:rsidP="001E3731">
      <w:pPr>
        <w:spacing w:after="200"/>
        <w:outlineLvl w:val="0"/>
        <w:rPr>
          <w:rFonts w:eastAsia="MS Gothic"/>
          <w:b/>
          <w:bCs/>
          <w:color w:val="C00000"/>
          <w:sz w:val="32"/>
          <w:szCs w:val="28"/>
        </w:rPr>
      </w:pPr>
    </w:p>
    <w:p w:rsidR="001E3731" w:rsidRDefault="001E3731" w:rsidP="001E3731">
      <w:pPr>
        <w:spacing w:after="200"/>
        <w:outlineLvl w:val="0"/>
        <w:rPr>
          <w:rFonts w:eastAsia="MS Gothic"/>
          <w:b/>
          <w:bCs/>
          <w:color w:val="C00000"/>
          <w:sz w:val="32"/>
          <w:szCs w:val="28"/>
        </w:rPr>
      </w:pPr>
    </w:p>
    <w:p w:rsidR="001E3731" w:rsidRDefault="001E3731" w:rsidP="001E3731">
      <w:pPr>
        <w:spacing w:after="200"/>
        <w:outlineLvl w:val="0"/>
        <w:rPr>
          <w:rFonts w:eastAsia="MS Gothic"/>
          <w:b/>
          <w:bCs/>
          <w:color w:val="C00000"/>
          <w:sz w:val="32"/>
          <w:szCs w:val="28"/>
        </w:rPr>
      </w:pPr>
    </w:p>
    <w:sectPr w:rsidR="001E3731" w:rsidSect="000C28A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418" w:left="1134" w:header="680" w:footer="680"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4C" w:rsidRDefault="00542B4C" w:rsidP="00E71A58">
      <w:r>
        <w:separator/>
      </w:r>
    </w:p>
  </w:endnote>
  <w:endnote w:type="continuationSeparator" w:id="0">
    <w:p w:rsidR="00542B4C" w:rsidRDefault="00542B4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Default="00BD2BDC" w:rsidP="003A6B38">
    <w:pPr>
      <w:pStyle w:val="Zpat"/>
      <w:tabs>
        <w:tab w:val="clear" w:pos="4536"/>
        <w:tab w:val="clear" w:pos="9072"/>
        <w:tab w:val="center" w:pos="4820"/>
        <w:tab w:val="right" w:pos="9639"/>
      </w:tabs>
    </w:pPr>
    <w:bookmarkStart w:id="1" w:name="_GoBack"/>
    <w:bookmarkEnd w:id="1"/>
    <w:r>
      <w:rPr>
        <w:noProof/>
        <w:lang w:eastAsia="cs-CZ"/>
      </w:rPr>
      <w:drawing>
        <wp:anchor distT="0" distB="0" distL="114300" distR="114300" simplePos="0" relativeHeight="251659264" behindDoc="0" locked="0" layoutInCell="1" allowOverlap="1" wp14:anchorId="506FF15B" wp14:editId="718AFE48">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416C0A" w:rsidRPr="005A21E0">
      <w:rPr>
        <w:rFonts w:ascii="Arial" w:hAnsi="Arial" w:cs="Arial"/>
        <w:sz w:val="16"/>
        <w:szCs w:val="16"/>
      </w:rPr>
      <w:fldChar w:fldCharType="begin"/>
    </w:r>
    <w:r w:rsidRPr="005A21E0">
      <w:rPr>
        <w:rFonts w:ascii="Arial" w:hAnsi="Arial" w:cs="Arial"/>
        <w:sz w:val="16"/>
        <w:szCs w:val="16"/>
      </w:rPr>
      <w:instrText>PAGE   \* MERGEFORMAT</w:instrText>
    </w:r>
    <w:r w:rsidR="00416C0A" w:rsidRPr="005A21E0">
      <w:rPr>
        <w:rFonts w:ascii="Arial" w:hAnsi="Arial" w:cs="Arial"/>
        <w:sz w:val="16"/>
        <w:szCs w:val="16"/>
      </w:rPr>
      <w:fldChar w:fldCharType="separate"/>
    </w:r>
    <w:r w:rsidR="000C28AA">
      <w:rPr>
        <w:rFonts w:ascii="Arial" w:hAnsi="Arial" w:cs="Arial"/>
        <w:noProof/>
        <w:sz w:val="16"/>
        <w:szCs w:val="16"/>
      </w:rPr>
      <w:t>46</w:t>
    </w:r>
    <w:r w:rsidR="00416C0A"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Default="00BD2BDC"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7C4A0245" wp14:editId="3E46037B">
          <wp:simplePos x="0" y="0"/>
          <wp:positionH relativeFrom="column">
            <wp:posOffset>3810</wp:posOffset>
          </wp:positionH>
          <wp:positionV relativeFrom="paragraph">
            <wp:posOffset>90170</wp:posOffset>
          </wp:positionV>
          <wp:extent cx="495300" cy="266700"/>
          <wp:effectExtent l="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BD2BDC" w:rsidRDefault="00BD2BDC"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tab/>
    </w:r>
    <w:r>
      <w:tab/>
    </w:r>
    <w:r w:rsidR="00416C0A" w:rsidRPr="00B6608F">
      <w:rPr>
        <w:rFonts w:ascii="Arial" w:hAnsi="Arial" w:cs="Arial"/>
        <w:sz w:val="16"/>
        <w:szCs w:val="16"/>
      </w:rPr>
      <w:fldChar w:fldCharType="begin"/>
    </w:r>
    <w:r w:rsidRPr="00B6608F">
      <w:rPr>
        <w:rFonts w:ascii="Arial" w:hAnsi="Arial" w:cs="Arial"/>
        <w:sz w:val="16"/>
        <w:szCs w:val="16"/>
      </w:rPr>
      <w:instrText>PAGE   \* MERGEFORMAT</w:instrText>
    </w:r>
    <w:r w:rsidR="00416C0A" w:rsidRPr="00B6608F">
      <w:rPr>
        <w:rFonts w:ascii="Arial" w:hAnsi="Arial" w:cs="Arial"/>
        <w:sz w:val="16"/>
        <w:szCs w:val="16"/>
      </w:rPr>
      <w:fldChar w:fldCharType="separate"/>
    </w:r>
    <w:r w:rsidR="000C28AA">
      <w:rPr>
        <w:rFonts w:ascii="Arial" w:hAnsi="Arial" w:cs="Arial"/>
        <w:noProof/>
        <w:sz w:val="16"/>
        <w:szCs w:val="16"/>
      </w:rPr>
      <w:t>47</w:t>
    </w:r>
    <w:r w:rsidR="00416C0A" w:rsidRPr="00B6608F">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AA" w:rsidRDefault="000C28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4C" w:rsidRDefault="00542B4C" w:rsidP="00E71A58">
      <w:r>
        <w:separator/>
      </w:r>
    </w:p>
  </w:footnote>
  <w:footnote w:type="continuationSeparator" w:id="0">
    <w:p w:rsidR="00542B4C" w:rsidRDefault="00542B4C"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Pr="002175EE" w:rsidRDefault="00BD2BDC"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Pr="002175EE" w:rsidRDefault="00BD2BDC"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AA" w:rsidRDefault="000C28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C32522"/>
    <w:multiLevelType w:val="hybridMultilevel"/>
    <w:tmpl w:val="7F9C2826"/>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4">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26">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F9F4163"/>
    <w:multiLevelType w:val="hybridMultilevel"/>
    <w:tmpl w:val="A78ADFC6"/>
    <w:lvl w:ilvl="0" w:tplc="242AA788">
      <w:numFmt w:val="bullet"/>
      <w:lvlText w:val="-"/>
      <w:lvlJc w:val="left"/>
      <w:pPr>
        <w:ind w:left="1788" w:hanging="360"/>
      </w:pPr>
      <w:rPr>
        <w:rFonts w:ascii="Arial" w:eastAsia="Times New Roman"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num w:numId="1">
    <w:abstractNumId w:val="15"/>
  </w:num>
  <w:num w:numId="2">
    <w:abstractNumId w:val="21"/>
  </w:num>
  <w:num w:numId="3">
    <w:abstractNumId w:val="3"/>
  </w:num>
  <w:num w:numId="4">
    <w:abstractNumId w:val="22"/>
  </w:num>
  <w:num w:numId="5">
    <w:abstractNumId w:val="1"/>
  </w:num>
  <w:num w:numId="6">
    <w:abstractNumId w:val="7"/>
  </w:num>
  <w:num w:numId="7">
    <w:abstractNumId w:val="17"/>
  </w:num>
  <w:num w:numId="8">
    <w:abstractNumId w:val="26"/>
  </w:num>
  <w:num w:numId="9">
    <w:abstractNumId w:val="16"/>
  </w:num>
  <w:num w:numId="10">
    <w:abstractNumId w:val="24"/>
  </w:num>
  <w:num w:numId="11">
    <w:abstractNumId w:val="6"/>
  </w:num>
  <w:num w:numId="12">
    <w:abstractNumId w:val="29"/>
  </w:num>
  <w:num w:numId="13">
    <w:abstractNumId w:val="20"/>
  </w:num>
  <w:num w:numId="14">
    <w:abstractNumId w:val="23"/>
  </w:num>
  <w:num w:numId="15">
    <w:abstractNumId w:val="25"/>
  </w:num>
  <w:num w:numId="16">
    <w:abstractNumId w:val="2"/>
  </w:num>
  <w:num w:numId="17">
    <w:abstractNumId w:val="11"/>
  </w:num>
  <w:num w:numId="18">
    <w:abstractNumId w:val="27"/>
  </w:num>
  <w:num w:numId="19">
    <w:abstractNumId w:val="0"/>
  </w:num>
  <w:num w:numId="20">
    <w:abstractNumId w:val="32"/>
  </w:num>
  <w:num w:numId="21">
    <w:abstractNumId w:val="4"/>
  </w:num>
  <w:num w:numId="22">
    <w:abstractNumId w:val="19"/>
  </w:num>
  <w:num w:numId="23">
    <w:abstractNumId w:val="12"/>
  </w:num>
  <w:num w:numId="24">
    <w:abstractNumId w:val="9"/>
  </w:num>
  <w:num w:numId="25">
    <w:abstractNumId w:val="31"/>
  </w:num>
  <w:num w:numId="26">
    <w:abstractNumId w:val="13"/>
  </w:num>
  <w:num w:numId="27">
    <w:abstractNumId w:val="8"/>
  </w:num>
  <w:num w:numId="28">
    <w:abstractNumId w:val="28"/>
  </w:num>
  <w:num w:numId="29">
    <w:abstractNumId w:val="10"/>
  </w:num>
  <w:num w:numId="30">
    <w:abstractNumId w:val="14"/>
  </w:num>
  <w:num w:numId="31">
    <w:abstractNumId w:val="5"/>
  </w:num>
  <w:num w:numId="32">
    <w:abstractNumId w:val="30"/>
  </w:num>
  <w:num w:numId="3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767A"/>
    <w:rsid w:val="00007BF6"/>
    <w:rsid w:val="00010702"/>
    <w:rsid w:val="0002040C"/>
    <w:rsid w:val="000307D2"/>
    <w:rsid w:val="0004694F"/>
    <w:rsid w:val="00052D0B"/>
    <w:rsid w:val="00062EC5"/>
    <w:rsid w:val="0006345C"/>
    <w:rsid w:val="00074403"/>
    <w:rsid w:val="0007543A"/>
    <w:rsid w:val="00087634"/>
    <w:rsid w:val="000A1183"/>
    <w:rsid w:val="000A2D10"/>
    <w:rsid w:val="000C28AA"/>
    <w:rsid w:val="000C3408"/>
    <w:rsid w:val="000D0933"/>
    <w:rsid w:val="000D21E1"/>
    <w:rsid w:val="000D5E39"/>
    <w:rsid w:val="000E5DE5"/>
    <w:rsid w:val="00110E3B"/>
    <w:rsid w:val="001149A1"/>
    <w:rsid w:val="00121C92"/>
    <w:rsid w:val="00133BA8"/>
    <w:rsid w:val="001351C9"/>
    <w:rsid w:val="001405FA"/>
    <w:rsid w:val="001425C3"/>
    <w:rsid w:val="00154ED5"/>
    <w:rsid w:val="00162D56"/>
    <w:rsid w:val="00163793"/>
    <w:rsid w:val="001714F2"/>
    <w:rsid w:val="00172311"/>
    <w:rsid w:val="00185010"/>
    <w:rsid w:val="00190B38"/>
    <w:rsid w:val="00193560"/>
    <w:rsid w:val="001A177C"/>
    <w:rsid w:val="001A3B66"/>
    <w:rsid w:val="001A552F"/>
    <w:rsid w:val="001B3110"/>
    <w:rsid w:val="001B61BC"/>
    <w:rsid w:val="001C1D52"/>
    <w:rsid w:val="001E3731"/>
    <w:rsid w:val="001F4597"/>
    <w:rsid w:val="00210AA5"/>
    <w:rsid w:val="00213C72"/>
    <w:rsid w:val="002175EE"/>
    <w:rsid w:val="0022139E"/>
    <w:rsid w:val="00223335"/>
    <w:rsid w:val="002237C6"/>
    <w:rsid w:val="002252E0"/>
    <w:rsid w:val="002255F6"/>
    <w:rsid w:val="00226272"/>
    <w:rsid w:val="00227AA9"/>
    <w:rsid w:val="00236443"/>
    <w:rsid w:val="002436BA"/>
    <w:rsid w:val="00244A15"/>
    <w:rsid w:val="0024799E"/>
    <w:rsid w:val="00247A40"/>
    <w:rsid w:val="00254100"/>
    <w:rsid w:val="00264C1E"/>
    <w:rsid w:val="00270041"/>
    <w:rsid w:val="0028438F"/>
    <w:rsid w:val="00290B98"/>
    <w:rsid w:val="002A795D"/>
    <w:rsid w:val="002B6C95"/>
    <w:rsid w:val="002C1EDC"/>
    <w:rsid w:val="002C43BD"/>
    <w:rsid w:val="002E02A1"/>
    <w:rsid w:val="002F59C4"/>
    <w:rsid w:val="00304771"/>
    <w:rsid w:val="00306C5B"/>
    <w:rsid w:val="003209D6"/>
    <w:rsid w:val="00330C8E"/>
    <w:rsid w:val="00341E61"/>
    <w:rsid w:val="00344398"/>
    <w:rsid w:val="00345347"/>
    <w:rsid w:val="0035195A"/>
    <w:rsid w:val="00352ACB"/>
    <w:rsid w:val="00356E1F"/>
    <w:rsid w:val="003657F3"/>
    <w:rsid w:val="00375B3D"/>
    <w:rsid w:val="00385D98"/>
    <w:rsid w:val="00394B23"/>
    <w:rsid w:val="00396A34"/>
    <w:rsid w:val="00397972"/>
    <w:rsid w:val="003A2B4D"/>
    <w:rsid w:val="003A478C"/>
    <w:rsid w:val="003A5525"/>
    <w:rsid w:val="003A6B38"/>
    <w:rsid w:val="003B34FF"/>
    <w:rsid w:val="003B4169"/>
    <w:rsid w:val="003B5A32"/>
    <w:rsid w:val="003B5B99"/>
    <w:rsid w:val="003C627D"/>
    <w:rsid w:val="003C6CC2"/>
    <w:rsid w:val="003E037E"/>
    <w:rsid w:val="003F313C"/>
    <w:rsid w:val="004004F4"/>
    <w:rsid w:val="0040155D"/>
    <w:rsid w:val="00403484"/>
    <w:rsid w:val="00416C0A"/>
    <w:rsid w:val="004242B2"/>
    <w:rsid w:val="00426A61"/>
    <w:rsid w:val="00437DC6"/>
    <w:rsid w:val="00452EBE"/>
    <w:rsid w:val="00470E57"/>
    <w:rsid w:val="00476265"/>
    <w:rsid w:val="0048086F"/>
    <w:rsid w:val="0048139F"/>
    <w:rsid w:val="004859A8"/>
    <w:rsid w:val="004A081C"/>
    <w:rsid w:val="004A77DF"/>
    <w:rsid w:val="004B2C1E"/>
    <w:rsid w:val="004B55B7"/>
    <w:rsid w:val="004B7591"/>
    <w:rsid w:val="004C3867"/>
    <w:rsid w:val="004C4ABE"/>
    <w:rsid w:val="004C4CD0"/>
    <w:rsid w:val="004C70DC"/>
    <w:rsid w:val="004D0211"/>
    <w:rsid w:val="004E1007"/>
    <w:rsid w:val="004F06F5"/>
    <w:rsid w:val="004F0E28"/>
    <w:rsid w:val="004F209C"/>
    <w:rsid w:val="004F78C3"/>
    <w:rsid w:val="005108C0"/>
    <w:rsid w:val="00511873"/>
    <w:rsid w:val="00513B7E"/>
    <w:rsid w:val="00514041"/>
    <w:rsid w:val="005221B3"/>
    <w:rsid w:val="0052495E"/>
    <w:rsid w:val="00525137"/>
    <w:rsid w:val="005251DD"/>
    <w:rsid w:val="00532D7D"/>
    <w:rsid w:val="005376AD"/>
    <w:rsid w:val="00542B4C"/>
    <w:rsid w:val="00542E84"/>
    <w:rsid w:val="00544082"/>
    <w:rsid w:val="005513E1"/>
    <w:rsid w:val="00557A96"/>
    <w:rsid w:val="00572C92"/>
    <w:rsid w:val="00583FFD"/>
    <w:rsid w:val="00586971"/>
    <w:rsid w:val="00593152"/>
    <w:rsid w:val="00593E87"/>
    <w:rsid w:val="005A21E0"/>
    <w:rsid w:val="005A7316"/>
    <w:rsid w:val="005B20AA"/>
    <w:rsid w:val="005C2045"/>
    <w:rsid w:val="005D1BF3"/>
    <w:rsid w:val="005D514D"/>
    <w:rsid w:val="005D5802"/>
    <w:rsid w:val="005E0178"/>
    <w:rsid w:val="005E1DD5"/>
    <w:rsid w:val="005E73F3"/>
    <w:rsid w:val="005F153A"/>
    <w:rsid w:val="006016D1"/>
    <w:rsid w:val="00604307"/>
    <w:rsid w:val="0060487F"/>
    <w:rsid w:val="00624093"/>
    <w:rsid w:val="00625E0F"/>
    <w:rsid w:val="00633AEB"/>
    <w:rsid w:val="00633F6D"/>
    <w:rsid w:val="006352A8"/>
    <w:rsid w:val="00635B35"/>
    <w:rsid w:val="006366C8"/>
    <w:rsid w:val="006404A7"/>
    <w:rsid w:val="006419F8"/>
    <w:rsid w:val="006451E4"/>
    <w:rsid w:val="00645EF8"/>
    <w:rsid w:val="00653860"/>
    <w:rsid w:val="00655906"/>
    <w:rsid w:val="0065667A"/>
    <w:rsid w:val="00657E87"/>
    <w:rsid w:val="006710C9"/>
    <w:rsid w:val="00675DD1"/>
    <w:rsid w:val="00675E37"/>
    <w:rsid w:val="00677696"/>
    <w:rsid w:val="0068260E"/>
    <w:rsid w:val="0069246C"/>
    <w:rsid w:val="006941CE"/>
    <w:rsid w:val="00695BEF"/>
    <w:rsid w:val="00697219"/>
    <w:rsid w:val="006977F6"/>
    <w:rsid w:val="00697A13"/>
    <w:rsid w:val="00697C9B"/>
    <w:rsid w:val="006A109C"/>
    <w:rsid w:val="006A31C8"/>
    <w:rsid w:val="006A420D"/>
    <w:rsid w:val="006B7581"/>
    <w:rsid w:val="006B78D8"/>
    <w:rsid w:val="006C113F"/>
    <w:rsid w:val="006D61F6"/>
    <w:rsid w:val="006E1FDB"/>
    <w:rsid w:val="006E279A"/>
    <w:rsid w:val="006E313B"/>
    <w:rsid w:val="006E5DFC"/>
    <w:rsid w:val="007051F5"/>
    <w:rsid w:val="0070676A"/>
    <w:rsid w:val="007211F5"/>
    <w:rsid w:val="007271FD"/>
    <w:rsid w:val="00730AE8"/>
    <w:rsid w:val="00741493"/>
    <w:rsid w:val="0074736D"/>
    <w:rsid w:val="00750951"/>
    <w:rsid w:val="00752180"/>
    <w:rsid w:val="00755D3A"/>
    <w:rsid w:val="0075757C"/>
    <w:rsid w:val="007609C6"/>
    <w:rsid w:val="00760D36"/>
    <w:rsid w:val="0077264D"/>
    <w:rsid w:val="00776527"/>
    <w:rsid w:val="00784861"/>
    <w:rsid w:val="007949E3"/>
    <w:rsid w:val="007A01BD"/>
    <w:rsid w:val="007A4E4E"/>
    <w:rsid w:val="007A68E8"/>
    <w:rsid w:val="007B47EE"/>
    <w:rsid w:val="007B60D9"/>
    <w:rsid w:val="007D3A47"/>
    <w:rsid w:val="007D6E98"/>
    <w:rsid w:val="007E12CE"/>
    <w:rsid w:val="007E7E61"/>
    <w:rsid w:val="007F6B36"/>
    <w:rsid w:val="00802A57"/>
    <w:rsid w:val="00814887"/>
    <w:rsid w:val="00821FF6"/>
    <w:rsid w:val="0083143E"/>
    <w:rsid w:val="00834FAA"/>
    <w:rsid w:val="0083596D"/>
    <w:rsid w:val="00836086"/>
    <w:rsid w:val="00853E06"/>
    <w:rsid w:val="00857578"/>
    <w:rsid w:val="008605E5"/>
    <w:rsid w:val="00860953"/>
    <w:rsid w:val="008620CA"/>
    <w:rsid w:val="0087055B"/>
    <w:rsid w:val="00876086"/>
    <w:rsid w:val="008877B0"/>
    <w:rsid w:val="008B309A"/>
    <w:rsid w:val="008B7C02"/>
    <w:rsid w:val="008C0E88"/>
    <w:rsid w:val="008D2A16"/>
    <w:rsid w:val="008E31FF"/>
    <w:rsid w:val="008E401B"/>
    <w:rsid w:val="008F60FD"/>
    <w:rsid w:val="009003A8"/>
    <w:rsid w:val="009020FE"/>
    <w:rsid w:val="00902EFF"/>
    <w:rsid w:val="0090382A"/>
    <w:rsid w:val="00921F14"/>
    <w:rsid w:val="009233F1"/>
    <w:rsid w:val="009248E3"/>
    <w:rsid w:val="0094427A"/>
    <w:rsid w:val="00944EA6"/>
    <w:rsid w:val="009552B1"/>
    <w:rsid w:val="00972CA2"/>
    <w:rsid w:val="00973454"/>
    <w:rsid w:val="00974923"/>
    <w:rsid w:val="00991A9E"/>
    <w:rsid w:val="009A23E5"/>
    <w:rsid w:val="009B6FD3"/>
    <w:rsid w:val="009C00F3"/>
    <w:rsid w:val="009C3912"/>
    <w:rsid w:val="009E14B5"/>
    <w:rsid w:val="009E3131"/>
    <w:rsid w:val="009E5300"/>
    <w:rsid w:val="009F30E4"/>
    <w:rsid w:val="00A10D66"/>
    <w:rsid w:val="00A1636E"/>
    <w:rsid w:val="00A202A7"/>
    <w:rsid w:val="00A204CF"/>
    <w:rsid w:val="00A23E43"/>
    <w:rsid w:val="00A33EFD"/>
    <w:rsid w:val="00A34DA0"/>
    <w:rsid w:val="00A35033"/>
    <w:rsid w:val="00A460B2"/>
    <w:rsid w:val="00A46DE0"/>
    <w:rsid w:val="00A52EC2"/>
    <w:rsid w:val="00A5555E"/>
    <w:rsid w:val="00A55FDE"/>
    <w:rsid w:val="00A62CE1"/>
    <w:rsid w:val="00A75E40"/>
    <w:rsid w:val="00A857C0"/>
    <w:rsid w:val="00A902A5"/>
    <w:rsid w:val="00A94AB5"/>
    <w:rsid w:val="00A953D4"/>
    <w:rsid w:val="00AA0168"/>
    <w:rsid w:val="00AA315F"/>
    <w:rsid w:val="00AA3BA1"/>
    <w:rsid w:val="00AA559A"/>
    <w:rsid w:val="00AB2AF1"/>
    <w:rsid w:val="00AB3CE2"/>
    <w:rsid w:val="00AB64E8"/>
    <w:rsid w:val="00AC1752"/>
    <w:rsid w:val="00AC4A24"/>
    <w:rsid w:val="00AD239A"/>
    <w:rsid w:val="00AD306C"/>
    <w:rsid w:val="00AE33C2"/>
    <w:rsid w:val="00AF25EE"/>
    <w:rsid w:val="00B01CAD"/>
    <w:rsid w:val="00B17C49"/>
    <w:rsid w:val="00B17E71"/>
    <w:rsid w:val="00B17FDE"/>
    <w:rsid w:val="00B2098B"/>
    <w:rsid w:val="00B32DDB"/>
    <w:rsid w:val="00B36A65"/>
    <w:rsid w:val="00B40A03"/>
    <w:rsid w:val="00B44676"/>
    <w:rsid w:val="00B448FC"/>
    <w:rsid w:val="00B4643E"/>
    <w:rsid w:val="00B513EB"/>
    <w:rsid w:val="00B551E6"/>
    <w:rsid w:val="00B6608F"/>
    <w:rsid w:val="00B76D1E"/>
    <w:rsid w:val="00B801AF"/>
    <w:rsid w:val="00B80EDA"/>
    <w:rsid w:val="00B81475"/>
    <w:rsid w:val="00B95940"/>
    <w:rsid w:val="00B97BEC"/>
    <w:rsid w:val="00BA0E5F"/>
    <w:rsid w:val="00BA493B"/>
    <w:rsid w:val="00BA4D62"/>
    <w:rsid w:val="00BC3543"/>
    <w:rsid w:val="00BC5568"/>
    <w:rsid w:val="00BC66E8"/>
    <w:rsid w:val="00BD2BDC"/>
    <w:rsid w:val="00BD366B"/>
    <w:rsid w:val="00BD6D50"/>
    <w:rsid w:val="00BD7706"/>
    <w:rsid w:val="00BE23F8"/>
    <w:rsid w:val="00C01506"/>
    <w:rsid w:val="00C107E7"/>
    <w:rsid w:val="00C21F94"/>
    <w:rsid w:val="00C3177E"/>
    <w:rsid w:val="00C41EFF"/>
    <w:rsid w:val="00C556F4"/>
    <w:rsid w:val="00C64B75"/>
    <w:rsid w:val="00C80F44"/>
    <w:rsid w:val="00C90CF4"/>
    <w:rsid w:val="00C91D7C"/>
    <w:rsid w:val="00C92654"/>
    <w:rsid w:val="00C93389"/>
    <w:rsid w:val="00C97E34"/>
    <w:rsid w:val="00CA0463"/>
    <w:rsid w:val="00CA24C7"/>
    <w:rsid w:val="00CB7349"/>
    <w:rsid w:val="00CC1931"/>
    <w:rsid w:val="00CC1CC4"/>
    <w:rsid w:val="00CC475C"/>
    <w:rsid w:val="00CD288B"/>
    <w:rsid w:val="00CF51EC"/>
    <w:rsid w:val="00D03693"/>
    <w:rsid w:val="00D040DD"/>
    <w:rsid w:val="00D10241"/>
    <w:rsid w:val="00D15A3E"/>
    <w:rsid w:val="00D30233"/>
    <w:rsid w:val="00D32AAF"/>
    <w:rsid w:val="00D347C8"/>
    <w:rsid w:val="00D51805"/>
    <w:rsid w:val="00D602CE"/>
    <w:rsid w:val="00D60433"/>
    <w:rsid w:val="00D61A47"/>
    <w:rsid w:val="00D67975"/>
    <w:rsid w:val="00D7363A"/>
    <w:rsid w:val="00D842D3"/>
    <w:rsid w:val="00DA3AAF"/>
    <w:rsid w:val="00DA45FF"/>
    <w:rsid w:val="00DB4F3B"/>
    <w:rsid w:val="00DC2E00"/>
    <w:rsid w:val="00DC5B3B"/>
    <w:rsid w:val="00DE2D8F"/>
    <w:rsid w:val="00DE3724"/>
    <w:rsid w:val="00DF00E1"/>
    <w:rsid w:val="00DF4DBA"/>
    <w:rsid w:val="00DF5641"/>
    <w:rsid w:val="00E01C0E"/>
    <w:rsid w:val="00E03893"/>
    <w:rsid w:val="00E04694"/>
    <w:rsid w:val="00E069D1"/>
    <w:rsid w:val="00E22935"/>
    <w:rsid w:val="00E263D4"/>
    <w:rsid w:val="00E2712D"/>
    <w:rsid w:val="00E42B4D"/>
    <w:rsid w:val="00E438DF"/>
    <w:rsid w:val="00E5040E"/>
    <w:rsid w:val="00E55504"/>
    <w:rsid w:val="00E71A58"/>
    <w:rsid w:val="00E8493B"/>
    <w:rsid w:val="00E90C72"/>
    <w:rsid w:val="00EA0C68"/>
    <w:rsid w:val="00EB3661"/>
    <w:rsid w:val="00ED286F"/>
    <w:rsid w:val="00EE39DC"/>
    <w:rsid w:val="00EE3E78"/>
    <w:rsid w:val="00EE5A6E"/>
    <w:rsid w:val="00EF1AEF"/>
    <w:rsid w:val="00EF1F5A"/>
    <w:rsid w:val="00EF4D97"/>
    <w:rsid w:val="00F014FF"/>
    <w:rsid w:val="00F02F8E"/>
    <w:rsid w:val="00F03967"/>
    <w:rsid w:val="00F04811"/>
    <w:rsid w:val="00F0488C"/>
    <w:rsid w:val="00F15BEF"/>
    <w:rsid w:val="00F24FAA"/>
    <w:rsid w:val="00F3364D"/>
    <w:rsid w:val="00F41C6D"/>
    <w:rsid w:val="00F6371C"/>
    <w:rsid w:val="00F63DDE"/>
    <w:rsid w:val="00F63FB7"/>
    <w:rsid w:val="00F6458A"/>
    <w:rsid w:val="00F71B42"/>
    <w:rsid w:val="00F73A0C"/>
    <w:rsid w:val="00FC0C8F"/>
    <w:rsid w:val="00FC0E5F"/>
    <w:rsid w:val="00FC1CDE"/>
    <w:rsid w:val="00FC56DE"/>
    <w:rsid w:val="00FD0311"/>
    <w:rsid w:val="00FD778F"/>
    <w:rsid w:val="00FE04DC"/>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107122108354368E-2"/>
          <c:y val="7.4430650601152074E-2"/>
          <c:w val="0.89936338602835852"/>
          <c:h val="0.73986835324126321"/>
        </c:manualLayout>
      </c:layout>
      <c:barChart>
        <c:barDir val="col"/>
        <c:grouping val="percentStacked"/>
        <c:varyColors val="0"/>
        <c:ser>
          <c:idx val="0"/>
          <c:order val="0"/>
          <c:tx>
            <c:strRef>
              <c:f>Graf1!$A$3</c:f>
              <c:strCache>
                <c:ptCount val="1"/>
                <c:pt idx="0">
                  <c:v> Lůžková péče vč. lázeňské</c:v>
                </c:pt>
              </c:strCache>
            </c:strRef>
          </c:tx>
          <c:spPr>
            <a:solidFill>
              <a:srgbClr val="92D050"/>
            </a:solidFill>
            <a:ln>
              <a:solidFill>
                <a:srgbClr val="9BBB59">
                  <a:lumMod val="75000"/>
                </a:srgbClr>
              </a:solidFill>
            </a:ln>
          </c:spPr>
          <c:invertIfNegative val="0"/>
          <c:dLbls>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Graf1!$B$2:$D$2</c:f>
              <c:strCache>
                <c:ptCount val="3"/>
                <c:pt idx="0">
                  <c:v>Zdravotnické účty ČR</c:v>
                </c:pt>
                <c:pt idx="1">
                  <c:v>Vývoz 
(péče o cizí občany u nás)</c:v>
                </c:pt>
                <c:pt idx="2">
                  <c:v>Dovoz 
(péče o naše občany v zahraničí)</c:v>
                </c:pt>
              </c:strCache>
            </c:strRef>
          </c:cat>
          <c:val>
            <c:numRef>
              <c:f>Graf1!$B$3:$D$3</c:f>
              <c:numCache>
                <c:formatCode>0%</c:formatCode>
                <c:ptCount val="3"/>
                <c:pt idx="0">
                  <c:v>0.22768694841689541</c:v>
                </c:pt>
                <c:pt idx="1">
                  <c:v>0.56659451936699734</c:v>
                </c:pt>
                <c:pt idx="2">
                  <c:v>0.5289990373083957</c:v>
                </c:pt>
              </c:numCache>
            </c:numRef>
          </c:val>
        </c:ser>
        <c:ser>
          <c:idx val="1"/>
          <c:order val="1"/>
          <c:tx>
            <c:strRef>
              <c:f>Graf1!$A$4</c:f>
              <c:strCache>
                <c:ptCount val="1"/>
                <c:pt idx="0">
                  <c:v> Ambulantní péče</c:v>
                </c:pt>
              </c:strCache>
            </c:strRef>
          </c:tx>
          <c:spPr>
            <a:solidFill>
              <a:srgbClr val="D96D7F"/>
            </a:solidFill>
            <a:ln>
              <a:solidFill>
                <a:srgbClr val="C0504D">
                  <a:lumMod val="75000"/>
                </a:srgbClr>
              </a:solidFill>
            </a:ln>
          </c:spPr>
          <c:invertIfNegative val="0"/>
          <c:dLbls>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Graf1!$B$2:$D$2</c:f>
              <c:strCache>
                <c:ptCount val="3"/>
                <c:pt idx="0">
                  <c:v>Zdravotnické účty ČR</c:v>
                </c:pt>
                <c:pt idx="1">
                  <c:v>Vývoz 
(péče o cizí občany u nás)</c:v>
                </c:pt>
                <c:pt idx="2">
                  <c:v>Dovoz 
(péče o naše občany v zahraničí)</c:v>
                </c:pt>
              </c:strCache>
            </c:strRef>
          </c:cat>
          <c:val>
            <c:numRef>
              <c:f>Graf1!$B$4:$D$4</c:f>
              <c:numCache>
                <c:formatCode>0%</c:formatCode>
                <c:ptCount val="3"/>
                <c:pt idx="0">
                  <c:v>0.28702785648916285</c:v>
                </c:pt>
                <c:pt idx="1">
                  <c:v>0.22373417827260819</c:v>
                </c:pt>
                <c:pt idx="2">
                  <c:v>0.15800016742462722</c:v>
                </c:pt>
              </c:numCache>
            </c:numRef>
          </c:val>
        </c:ser>
        <c:ser>
          <c:idx val="2"/>
          <c:order val="2"/>
          <c:tx>
            <c:strRef>
              <c:f>Graf1!$A$5</c:f>
              <c:strCache>
                <c:ptCount val="1"/>
                <c:pt idx="0">
                  <c:v> Stomatologická péče</c:v>
                </c:pt>
              </c:strCache>
            </c:strRef>
          </c:tx>
          <c:spPr>
            <a:solidFill>
              <a:srgbClr val="CCC1DA"/>
            </a:solidFill>
            <a:ln>
              <a:solidFill>
                <a:srgbClr val="8064A2">
                  <a:lumMod val="75000"/>
                </a:srgbClr>
              </a:solidFill>
            </a:ln>
          </c:spPr>
          <c:invertIfNegative val="0"/>
          <c:dLbls>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Graf1!$B$2:$D$2</c:f>
              <c:strCache>
                <c:ptCount val="3"/>
                <c:pt idx="0">
                  <c:v>Zdravotnické účty ČR</c:v>
                </c:pt>
                <c:pt idx="1">
                  <c:v>Vývoz 
(péče o cizí občany u nás)</c:v>
                </c:pt>
                <c:pt idx="2">
                  <c:v>Dovoz 
(péče o naše občany v zahraničí)</c:v>
                </c:pt>
              </c:strCache>
            </c:strRef>
          </c:cat>
          <c:val>
            <c:numRef>
              <c:f>Graf1!$B$5:$D$5</c:f>
              <c:numCache>
                <c:formatCode>0%</c:formatCode>
                <c:ptCount val="3"/>
                <c:pt idx="0">
                  <c:v>6.8717192327159837E-2</c:v>
                </c:pt>
                <c:pt idx="1">
                  <c:v>2.5569548771685987E-2</c:v>
                </c:pt>
                <c:pt idx="2">
                  <c:v>1.8299784713767604E-2</c:v>
                </c:pt>
              </c:numCache>
            </c:numRef>
          </c:val>
        </c:ser>
        <c:ser>
          <c:idx val="3"/>
          <c:order val="3"/>
          <c:tx>
            <c:strRef>
              <c:f>Graf1!$A$6</c:f>
              <c:strCache>
                <c:ptCount val="1"/>
                <c:pt idx="0">
                  <c:v> Léky a PZT</c:v>
                </c:pt>
              </c:strCache>
            </c:strRef>
          </c:tx>
          <c:spPr>
            <a:solidFill>
              <a:srgbClr val="0071BC"/>
            </a:solidFill>
            <a:ln>
              <a:solidFill>
                <a:srgbClr val="4F81BD">
                  <a:lumMod val="50000"/>
                </a:srgbClr>
              </a:solidFill>
            </a:ln>
          </c:spPr>
          <c:invertIfNegative val="0"/>
          <c:dLbls>
            <c:txPr>
              <a:bodyPr/>
              <a:lstStyle/>
              <a:p>
                <a:pPr>
                  <a:defRPr sz="800" baseline="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Graf1!$B$2:$D$2</c:f>
              <c:strCache>
                <c:ptCount val="3"/>
                <c:pt idx="0">
                  <c:v>Zdravotnické účty ČR</c:v>
                </c:pt>
                <c:pt idx="1">
                  <c:v>Vývoz 
(péče o cizí občany u nás)</c:v>
                </c:pt>
                <c:pt idx="2">
                  <c:v>Dovoz 
(péče o naše občany v zahraničí)</c:v>
                </c:pt>
              </c:strCache>
            </c:strRef>
          </c:cat>
          <c:val>
            <c:numRef>
              <c:f>Graf1!$B$6:$D$6</c:f>
              <c:numCache>
                <c:formatCode>0%</c:formatCode>
                <c:ptCount val="3"/>
                <c:pt idx="0">
                  <c:v>0.25899976527191931</c:v>
                </c:pt>
                <c:pt idx="1">
                  <c:v>6.3924080769333591E-2</c:v>
                </c:pt>
                <c:pt idx="2">
                  <c:v>0.10699980527787947</c:v>
                </c:pt>
              </c:numCache>
            </c:numRef>
          </c:val>
        </c:ser>
        <c:ser>
          <c:idx val="4"/>
          <c:order val="4"/>
          <c:tx>
            <c:strRef>
              <c:f>Graf1!$A$7</c:f>
              <c:strCache>
                <c:ptCount val="1"/>
                <c:pt idx="0">
                  <c:v> Ostatní služby</c:v>
                </c:pt>
              </c:strCache>
            </c:strRef>
          </c:tx>
          <c:spPr>
            <a:solidFill>
              <a:srgbClr val="FFC000"/>
            </a:solidFill>
            <a:ln>
              <a:solidFill>
                <a:srgbClr val="F79646">
                  <a:lumMod val="75000"/>
                </a:srgbClr>
              </a:solidFill>
            </a:ln>
          </c:spPr>
          <c:invertIfNegative val="0"/>
          <c:dLbls>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strRef>
              <c:f>Graf1!$B$2:$D$2</c:f>
              <c:strCache>
                <c:ptCount val="3"/>
                <c:pt idx="0">
                  <c:v>Zdravotnické účty ČR</c:v>
                </c:pt>
                <c:pt idx="1">
                  <c:v>Vývoz 
(péče o cizí občany u nás)</c:v>
                </c:pt>
                <c:pt idx="2">
                  <c:v>Dovoz 
(péče o naše občany v zahraničí)</c:v>
                </c:pt>
              </c:strCache>
            </c:strRef>
          </c:cat>
          <c:val>
            <c:numRef>
              <c:f>Graf1!$B$7:$D$7</c:f>
              <c:numCache>
                <c:formatCode>0%</c:formatCode>
                <c:ptCount val="3"/>
                <c:pt idx="0">
                  <c:v>0.15756823749486315</c:v>
                </c:pt>
                <c:pt idx="1">
                  <c:v>0.12017767281937503</c:v>
                </c:pt>
                <c:pt idx="2">
                  <c:v>0.18770120527533188</c:v>
                </c:pt>
              </c:numCache>
            </c:numRef>
          </c:val>
        </c:ser>
        <c:dLbls>
          <c:showLegendKey val="0"/>
          <c:showVal val="0"/>
          <c:showCatName val="0"/>
          <c:showSerName val="0"/>
          <c:showPercent val="0"/>
          <c:showBubbleSize val="0"/>
        </c:dLbls>
        <c:gapWidth val="150"/>
        <c:overlap val="100"/>
        <c:axId val="43903488"/>
        <c:axId val="50459712"/>
      </c:barChart>
      <c:catAx>
        <c:axId val="43903488"/>
        <c:scaling>
          <c:orientation val="minMax"/>
        </c:scaling>
        <c:delete val="0"/>
        <c:axPos val="b"/>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50459712"/>
        <c:crosses val="autoZero"/>
        <c:auto val="1"/>
        <c:lblAlgn val="ctr"/>
        <c:lblOffset val="100"/>
        <c:noMultiLvlLbl val="0"/>
      </c:catAx>
      <c:valAx>
        <c:axId val="50459712"/>
        <c:scaling>
          <c:orientation val="minMax"/>
          <c:max val="1"/>
        </c:scaling>
        <c:delete val="0"/>
        <c:axPos val="l"/>
        <c:majorGridlines>
          <c:spPr>
            <a:ln>
              <a:solidFill>
                <a:sysClr val="window" lastClr="FFFFFF">
                  <a:lumMod val="75000"/>
                </a:sysClr>
              </a:solidFill>
              <a:prstDash val="sysDot"/>
            </a:ln>
          </c:spPr>
        </c:majorGridlines>
        <c:numFmt formatCode="0%" sourceLinked="1"/>
        <c:majorTickMark val="out"/>
        <c:minorTickMark val="none"/>
        <c:tickLblPos val="nextTo"/>
        <c:spPr>
          <a:ln w="3175">
            <a:solidFill>
              <a:sysClr val="window" lastClr="FFFFFF">
                <a:lumMod val="85000"/>
              </a:sysClr>
            </a:solidFill>
          </a:ln>
        </c:spPr>
        <c:txPr>
          <a:bodyPr/>
          <a:lstStyle/>
          <a:p>
            <a:pPr>
              <a:defRPr sz="800">
                <a:latin typeface="Arial" panose="020B0604020202020204" pitchFamily="34" charset="0"/>
                <a:cs typeface="Arial" panose="020B0604020202020204" pitchFamily="34" charset="0"/>
              </a:defRPr>
            </a:pPr>
            <a:endParaRPr lang="cs-CZ"/>
          </a:p>
        </c:txPr>
        <c:crossAx val="43903488"/>
        <c:crosses val="autoZero"/>
        <c:crossBetween val="between"/>
        <c:majorUnit val="0.2"/>
      </c:valAx>
      <c:spPr>
        <a:ln>
          <a:noFill/>
        </a:ln>
      </c:spPr>
    </c:plotArea>
    <c:legend>
      <c:legendPos val="b"/>
      <c:layout>
        <c:manualLayout>
          <c:xMode val="edge"/>
          <c:yMode val="edge"/>
          <c:x val="2.8239471873372841E-2"/>
          <c:y val="0.94020732081232106"/>
          <c:w val="0.93989362058403014"/>
          <c:h val="4.7072802192314897E-2"/>
        </c:manualLayout>
      </c:layout>
      <c:overlay val="0"/>
      <c:spPr>
        <a:ln>
          <a:noFill/>
        </a:ln>
      </c:spPr>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260582999385714E-2"/>
          <c:y val="4.1059023006866577E-2"/>
          <c:w val="0.9235468154968256"/>
          <c:h val="0.75471774640336775"/>
        </c:manualLayout>
      </c:layout>
      <c:barChart>
        <c:barDir val="col"/>
        <c:grouping val="clustered"/>
        <c:varyColors val="0"/>
        <c:ser>
          <c:idx val="1"/>
          <c:order val="0"/>
          <c:tx>
            <c:strRef>
              <c:f>tabulka!$I$3</c:f>
              <c:strCache>
                <c:ptCount val="1"/>
                <c:pt idx="0">
                  <c:v> Vývoz ZP</c:v>
                </c:pt>
              </c:strCache>
            </c:strRef>
          </c:tx>
          <c:spPr>
            <a:solidFill>
              <a:srgbClr val="D96D7F"/>
            </a:solidFill>
            <a:ln>
              <a:solidFill>
                <a:srgbClr val="C0504D">
                  <a:lumMod val="75000"/>
                </a:srgbClr>
              </a:solidFill>
            </a:ln>
          </c:spPr>
          <c:invertIfNegative val="0"/>
          <c:dLbls>
            <c:txPr>
              <a:bodyPr/>
              <a:lstStyle/>
              <a:p>
                <a:pPr>
                  <a:defRPr sz="800">
                    <a:latin typeface="Arial" panose="020B0604020202020204" pitchFamily="34" charset="0"/>
                    <a:cs typeface="Arial" panose="020B0604020202020204" pitchFamily="34" charset="0"/>
                  </a:defRPr>
                </a:pPr>
                <a:endParaRPr lang="cs-CZ"/>
              </a:p>
            </c:txPr>
            <c:dLblPos val="ctr"/>
            <c:showLegendKey val="0"/>
            <c:showVal val="1"/>
            <c:showCatName val="0"/>
            <c:showSerName val="0"/>
            <c:showPercent val="0"/>
            <c:showBubbleSize val="0"/>
            <c:showLeaderLines val="0"/>
          </c:dLbls>
          <c:cat>
            <c:numRef>
              <c:f>tabulka!$J$1:$O$1</c:f>
              <c:numCache>
                <c:formatCode>General</c:formatCode>
                <c:ptCount val="6"/>
                <c:pt idx="0">
                  <c:v>2010</c:v>
                </c:pt>
                <c:pt idx="1">
                  <c:v>2011</c:v>
                </c:pt>
                <c:pt idx="2">
                  <c:v>2012</c:v>
                </c:pt>
                <c:pt idx="3">
                  <c:v>2013</c:v>
                </c:pt>
                <c:pt idx="4">
                  <c:v>2014</c:v>
                </c:pt>
                <c:pt idx="5">
                  <c:v>2015</c:v>
                </c:pt>
              </c:numCache>
            </c:numRef>
          </c:cat>
          <c:val>
            <c:numRef>
              <c:f>tabulka!$J$3:$O$3</c:f>
              <c:numCache>
                <c:formatCode>#,##0</c:formatCode>
                <c:ptCount val="6"/>
                <c:pt idx="0">
                  <c:v>3479</c:v>
                </c:pt>
                <c:pt idx="1">
                  <c:v>3516</c:v>
                </c:pt>
                <c:pt idx="2">
                  <c:v>3783</c:v>
                </c:pt>
                <c:pt idx="3">
                  <c:v>3952</c:v>
                </c:pt>
                <c:pt idx="4">
                  <c:v>3921</c:v>
                </c:pt>
                <c:pt idx="5">
                  <c:v>4788</c:v>
                </c:pt>
              </c:numCache>
            </c:numRef>
          </c:val>
        </c:ser>
        <c:ser>
          <c:idx val="0"/>
          <c:order val="1"/>
          <c:tx>
            <c:strRef>
              <c:f>tabulka!$I$2</c:f>
              <c:strCache>
                <c:ptCount val="1"/>
                <c:pt idx="0">
                  <c:v> Dovoz ZP *</c:v>
                </c:pt>
              </c:strCache>
            </c:strRef>
          </c:tx>
          <c:spPr>
            <a:solidFill>
              <a:srgbClr val="0071BC"/>
            </a:solidFill>
            <a:ln>
              <a:solidFill>
                <a:srgbClr val="4F81BD">
                  <a:lumMod val="50000"/>
                </a:srgbClr>
              </a:solidFill>
            </a:ln>
          </c:spPr>
          <c:invertIfNegative val="0"/>
          <c:dLbls>
            <c:txPr>
              <a:bodyPr/>
              <a:lstStyle/>
              <a:p>
                <a:pPr>
                  <a:defRPr sz="800">
                    <a:solidFill>
                      <a:schemeClr val="bg1"/>
                    </a:solidFill>
                    <a:latin typeface="Arial" panose="020B0604020202020204" pitchFamily="34" charset="0"/>
                    <a:cs typeface="Arial" panose="020B0604020202020204" pitchFamily="34" charset="0"/>
                  </a:defRPr>
                </a:pPr>
                <a:endParaRPr lang="cs-CZ"/>
              </a:p>
            </c:txPr>
            <c:dLblPos val="inBase"/>
            <c:showLegendKey val="0"/>
            <c:showVal val="1"/>
            <c:showCatName val="0"/>
            <c:showSerName val="0"/>
            <c:showPercent val="0"/>
            <c:showBubbleSize val="0"/>
            <c:showLeaderLines val="0"/>
          </c:dLbls>
          <c:cat>
            <c:numRef>
              <c:f>tabulka!$J$1:$O$1</c:f>
              <c:numCache>
                <c:formatCode>General</c:formatCode>
                <c:ptCount val="6"/>
                <c:pt idx="0">
                  <c:v>2010</c:v>
                </c:pt>
                <c:pt idx="1">
                  <c:v>2011</c:v>
                </c:pt>
                <c:pt idx="2">
                  <c:v>2012</c:v>
                </c:pt>
                <c:pt idx="3">
                  <c:v>2013</c:v>
                </c:pt>
                <c:pt idx="4">
                  <c:v>2014</c:v>
                </c:pt>
                <c:pt idx="5">
                  <c:v>2015</c:v>
                </c:pt>
              </c:numCache>
            </c:numRef>
          </c:cat>
          <c:val>
            <c:numRef>
              <c:f>tabulka!$J$2:$O$2</c:f>
              <c:numCache>
                <c:formatCode>#,##0</c:formatCode>
                <c:ptCount val="6"/>
                <c:pt idx="0">
                  <c:v>1590</c:v>
                </c:pt>
                <c:pt idx="1">
                  <c:v>1505</c:v>
                </c:pt>
                <c:pt idx="2">
                  <c:v>1522</c:v>
                </c:pt>
                <c:pt idx="3">
                  <c:v>1485</c:v>
                </c:pt>
                <c:pt idx="4">
                  <c:v>1443</c:v>
                </c:pt>
                <c:pt idx="5">
                  <c:v>2198</c:v>
                </c:pt>
              </c:numCache>
            </c:numRef>
          </c:val>
        </c:ser>
        <c:dLbls>
          <c:showLegendKey val="0"/>
          <c:showVal val="0"/>
          <c:showCatName val="0"/>
          <c:showSerName val="0"/>
          <c:showPercent val="0"/>
          <c:showBubbleSize val="0"/>
        </c:dLbls>
        <c:gapWidth val="120"/>
        <c:overlap val="40"/>
        <c:axId val="48043008"/>
        <c:axId val="49723008"/>
      </c:barChart>
      <c:lineChart>
        <c:grouping val="standard"/>
        <c:varyColors val="0"/>
        <c:ser>
          <c:idx val="3"/>
          <c:order val="2"/>
          <c:tx>
            <c:strRef>
              <c:f>tabulka!$I$5</c:f>
              <c:strCache>
                <c:ptCount val="1"/>
                <c:pt idx="0">
                  <c:v> Vývoz ZP na 1000 nerezidentů na území ČR</c:v>
                </c:pt>
              </c:strCache>
            </c:strRef>
          </c:tx>
          <c:spPr>
            <a:ln w="31750">
              <a:solidFill>
                <a:srgbClr val="92D050"/>
              </a:solidFill>
            </a:ln>
          </c:spPr>
          <c:marker>
            <c:symbol val="circle"/>
            <c:size val="6"/>
            <c:spPr>
              <a:solidFill>
                <a:srgbClr val="92D050"/>
              </a:solidFill>
              <a:ln>
                <a:solidFill>
                  <a:srgbClr val="9BBB59">
                    <a:lumMod val="50000"/>
                  </a:srgbClr>
                </a:solidFill>
              </a:ln>
            </c:spPr>
          </c:marker>
          <c:dLbls>
            <c:txPr>
              <a:bodyPr/>
              <a:lstStyle/>
              <a:p>
                <a:pPr>
                  <a:defRPr sz="800" b="1">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dLbls>
          <c:cat>
            <c:numRef>
              <c:f>tabulka!$J$1:$N$1</c:f>
              <c:numCache>
                <c:formatCode>General</c:formatCode>
                <c:ptCount val="5"/>
                <c:pt idx="0">
                  <c:v>2010</c:v>
                </c:pt>
                <c:pt idx="1">
                  <c:v>2011</c:v>
                </c:pt>
                <c:pt idx="2">
                  <c:v>2012</c:v>
                </c:pt>
                <c:pt idx="3">
                  <c:v>2013</c:v>
                </c:pt>
                <c:pt idx="4">
                  <c:v>2014</c:v>
                </c:pt>
              </c:numCache>
            </c:numRef>
          </c:cat>
          <c:val>
            <c:numRef>
              <c:f>tabulka!$J$5:$O$5</c:f>
              <c:numCache>
                <c:formatCode>0.0</c:formatCode>
                <c:ptCount val="6"/>
                <c:pt idx="0">
                  <c:v>40.002299643555261</c:v>
                </c:pt>
                <c:pt idx="1">
                  <c:v>40.006827103601239</c:v>
                </c:pt>
                <c:pt idx="2">
                  <c:v>40.999241356887396</c:v>
                </c:pt>
                <c:pt idx="3">
                  <c:v>41.443387619417088</c:v>
                </c:pt>
                <c:pt idx="4">
                  <c:v>39.517445727761974</c:v>
                </c:pt>
                <c:pt idx="5">
                  <c:v>45.580899432618665</c:v>
                </c:pt>
              </c:numCache>
            </c:numRef>
          </c:val>
          <c:smooth val="0"/>
        </c:ser>
        <c:ser>
          <c:idx val="2"/>
          <c:order val="3"/>
          <c:tx>
            <c:strRef>
              <c:f>tabulka!$I$4</c:f>
              <c:strCache>
                <c:ptCount val="1"/>
                <c:pt idx="0">
                  <c:v> Dovoz ZP na 1000 rezidentů na cestách</c:v>
                </c:pt>
              </c:strCache>
            </c:strRef>
          </c:tx>
          <c:spPr>
            <a:ln>
              <a:solidFill>
                <a:srgbClr val="FFC000"/>
              </a:solidFill>
            </a:ln>
          </c:spPr>
          <c:marker>
            <c:symbol val="triangle"/>
            <c:size val="6"/>
            <c:spPr>
              <a:solidFill>
                <a:srgbClr val="FFC000"/>
              </a:solidFill>
              <a:ln>
                <a:solidFill>
                  <a:srgbClr val="F79646">
                    <a:lumMod val="75000"/>
                  </a:srgbClr>
                </a:solidFill>
              </a:ln>
            </c:spPr>
          </c:marker>
          <c:dLbls>
            <c:txPr>
              <a:bodyPr/>
              <a:lstStyle/>
              <a:p>
                <a:pPr>
                  <a:defRPr sz="800" b="1">
                    <a:solidFill>
                      <a:schemeClr val="bg1"/>
                    </a:solidFill>
                    <a:latin typeface="Arial" panose="020B0604020202020204" pitchFamily="34" charset="0"/>
                    <a:cs typeface="Arial" panose="020B0604020202020204" pitchFamily="34" charset="0"/>
                  </a:defRPr>
                </a:pPr>
                <a:endParaRPr lang="cs-CZ"/>
              </a:p>
            </c:txPr>
            <c:dLblPos val="b"/>
            <c:showLegendKey val="0"/>
            <c:showVal val="1"/>
            <c:showCatName val="0"/>
            <c:showSerName val="0"/>
            <c:showPercent val="0"/>
            <c:showBubbleSize val="0"/>
            <c:showLeaderLines val="0"/>
          </c:dLbls>
          <c:cat>
            <c:numRef>
              <c:f>tabulka!$J$1:$N$1</c:f>
              <c:numCache>
                <c:formatCode>General</c:formatCode>
                <c:ptCount val="5"/>
                <c:pt idx="0">
                  <c:v>2010</c:v>
                </c:pt>
                <c:pt idx="1">
                  <c:v>2011</c:v>
                </c:pt>
                <c:pt idx="2">
                  <c:v>2012</c:v>
                </c:pt>
                <c:pt idx="3">
                  <c:v>2013</c:v>
                </c:pt>
                <c:pt idx="4">
                  <c:v>2014</c:v>
                </c:pt>
              </c:numCache>
            </c:numRef>
          </c:cat>
          <c:val>
            <c:numRef>
              <c:f>tabulka!$J$4:$O$4</c:f>
              <c:numCache>
                <c:formatCode>0.0</c:formatCode>
                <c:ptCount val="6"/>
                <c:pt idx="0">
                  <c:v>10.230936034128868</c:v>
                </c:pt>
                <c:pt idx="1">
                  <c:v>10.793095287612683</c:v>
                </c:pt>
                <c:pt idx="2">
                  <c:v>10.631387039766416</c:v>
                </c:pt>
                <c:pt idx="3">
                  <c:v>10.72039618541592</c:v>
                </c:pt>
                <c:pt idx="4">
                  <c:v>10.954973011137168</c:v>
                </c:pt>
                <c:pt idx="5">
                  <c:v>12.794542237123975</c:v>
                </c:pt>
              </c:numCache>
            </c:numRef>
          </c:val>
          <c:smooth val="0"/>
        </c:ser>
        <c:dLbls>
          <c:showLegendKey val="0"/>
          <c:showVal val="0"/>
          <c:showCatName val="0"/>
          <c:showSerName val="0"/>
          <c:showPercent val="0"/>
          <c:showBubbleSize val="0"/>
        </c:dLbls>
        <c:marker val="1"/>
        <c:smooth val="0"/>
        <c:axId val="48087552"/>
        <c:axId val="49723584"/>
      </c:lineChart>
      <c:catAx>
        <c:axId val="48043008"/>
        <c:scaling>
          <c:orientation val="minMax"/>
        </c:scaling>
        <c:delete val="0"/>
        <c:axPos val="b"/>
        <c:numFmt formatCode="General" sourceLinked="1"/>
        <c:majorTickMark val="out"/>
        <c:minorTickMark val="none"/>
        <c:tickLblPos val="nextTo"/>
        <c:spPr>
          <a:ln w="3175">
            <a:solidFill>
              <a:sysClr val="window" lastClr="FFFFFF">
                <a:lumMod val="75000"/>
              </a:sysClr>
            </a:solidFill>
          </a:ln>
        </c:spPr>
        <c:txPr>
          <a:bodyPr/>
          <a:lstStyle/>
          <a:p>
            <a:pPr>
              <a:defRPr sz="800">
                <a:latin typeface="Arial" panose="020B0604020202020204" pitchFamily="34" charset="0"/>
                <a:cs typeface="Arial" panose="020B0604020202020204" pitchFamily="34" charset="0"/>
              </a:defRPr>
            </a:pPr>
            <a:endParaRPr lang="cs-CZ"/>
          </a:p>
        </c:txPr>
        <c:crossAx val="49723008"/>
        <c:crosses val="autoZero"/>
        <c:auto val="1"/>
        <c:lblAlgn val="ctr"/>
        <c:lblOffset val="100"/>
        <c:noMultiLvlLbl val="0"/>
      </c:catAx>
      <c:valAx>
        <c:axId val="49723008"/>
        <c:scaling>
          <c:orientation val="minMax"/>
          <c:max val="5000"/>
          <c:min val="0"/>
        </c:scaling>
        <c:delete val="0"/>
        <c:axPos val="l"/>
        <c:majorGridlines>
          <c:spPr>
            <a:ln>
              <a:solidFill>
                <a:sysClr val="window" lastClr="FFFFFF">
                  <a:lumMod val="75000"/>
                </a:sysClr>
              </a:solidFill>
              <a:prstDash val="sysDot"/>
            </a:ln>
          </c:spPr>
        </c:majorGridlines>
        <c:numFmt formatCode="#,##0" sourceLinked="1"/>
        <c:majorTickMark val="out"/>
        <c:minorTickMark val="none"/>
        <c:tickLblPos val="nextTo"/>
        <c:spPr>
          <a:ln w="3175">
            <a:solidFill>
              <a:sysClr val="window" lastClr="FFFFFF">
                <a:lumMod val="75000"/>
              </a:sysClr>
            </a:solidFill>
          </a:ln>
        </c:spPr>
        <c:txPr>
          <a:bodyPr/>
          <a:lstStyle/>
          <a:p>
            <a:pPr>
              <a:defRPr sz="800">
                <a:latin typeface="Arial" panose="020B0604020202020204" pitchFamily="34" charset="0"/>
                <a:cs typeface="Arial" panose="020B0604020202020204" pitchFamily="34" charset="0"/>
              </a:defRPr>
            </a:pPr>
            <a:endParaRPr lang="cs-CZ"/>
          </a:p>
        </c:txPr>
        <c:crossAx val="48043008"/>
        <c:crosses val="autoZero"/>
        <c:crossBetween val="between"/>
        <c:majorUnit val="1000"/>
      </c:valAx>
      <c:valAx>
        <c:axId val="49723584"/>
        <c:scaling>
          <c:orientation val="minMax"/>
          <c:max val="48"/>
          <c:min val="0"/>
        </c:scaling>
        <c:delete val="0"/>
        <c:axPos val="r"/>
        <c:numFmt formatCode="0" sourceLinked="0"/>
        <c:majorTickMark val="out"/>
        <c:minorTickMark val="none"/>
        <c:tickLblPos val="nextTo"/>
        <c:spPr>
          <a:ln>
            <a:noFill/>
          </a:ln>
        </c:spPr>
        <c:txPr>
          <a:bodyPr/>
          <a:lstStyle/>
          <a:p>
            <a:pPr>
              <a:defRPr sz="100">
                <a:solidFill>
                  <a:schemeClr val="bg1"/>
                </a:solidFill>
                <a:latin typeface="Arial" panose="020B0604020202020204" pitchFamily="34" charset="0"/>
                <a:cs typeface="Arial" panose="020B0604020202020204" pitchFamily="34" charset="0"/>
              </a:defRPr>
            </a:pPr>
            <a:endParaRPr lang="cs-CZ"/>
          </a:p>
        </c:txPr>
        <c:crossAx val="48087552"/>
        <c:crosses val="max"/>
        <c:crossBetween val="between"/>
        <c:majorUnit val="6"/>
        <c:minorUnit val="1"/>
      </c:valAx>
      <c:catAx>
        <c:axId val="48087552"/>
        <c:scaling>
          <c:orientation val="minMax"/>
        </c:scaling>
        <c:delete val="1"/>
        <c:axPos val="b"/>
        <c:numFmt formatCode="General" sourceLinked="1"/>
        <c:majorTickMark val="out"/>
        <c:minorTickMark val="none"/>
        <c:tickLblPos val="none"/>
        <c:crossAx val="49723584"/>
        <c:crosses val="autoZero"/>
        <c:auto val="1"/>
        <c:lblAlgn val="ctr"/>
        <c:lblOffset val="100"/>
        <c:noMultiLvlLbl val="0"/>
      </c:catAx>
    </c:plotArea>
    <c:legend>
      <c:legendPos val="b"/>
      <c:layout>
        <c:manualLayout>
          <c:xMode val="edge"/>
          <c:yMode val="edge"/>
          <c:x val="2.6719746156132398E-2"/>
          <c:y val="0.8723018446223636"/>
          <c:w val="0.9571929824561406"/>
          <c:h val="0.10528919179220246"/>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1FF5-EDD9-4F2B-BE23-3D05531D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3</Pages>
  <Words>1115</Words>
  <Characters>6582</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Vladimíra Kalnická</cp:lastModifiedBy>
  <cp:revision>2</cp:revision>
  <cp:lastPrinted>2017-05-16T06:40:00Z</cp:lastPrinted>
  <dcterms:created xsi:type="dcterms:W3CDTF">2017-05-17T13:42:00Z</dcterms:created>
  <dcterms:modified xsi:type="dcterms:W3CDTF">2017-05-17T13:42:00Z</dcterms:modified>
</cp:coreProperties>
</file>