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30D2" w14:textId="65879EDB" w:rsidR="00010A2C" w:rsidRPr="009110F7" w:rsidRDefault="00010A2C" w:rsidP="00010A2C">
      <w:pPr>
        <w:pStyle w:val="Nadpis1"/>
      </w:pPr>
      <w:bookmarkStart w:id="0" w:name="_Toc90395910"/>
      <w:bookmarkStart w:id="1" w:name="_Toc98756078"/>
      <w:bookmarkStart w:id="2" w:name="_Toc58605374"/>
      <w:bookmarkStart w:id="3" w:name="_Toc66719930"/>
      <w:bookmarkStart w:id="4" w:name="_Toc532558287"/>
      <w:bookmarkStart w:id="5" w:name="_Toc58605375"/>
      <w:r w:rsidRPr="0077605B">
        <w:t>2</w:t>
      </w:r>
      <w:r>
        <w:t>. </w:t>
      </w:r>
      <w:r w:rsidR="004A4BE6" w:rsidRPr="004A4BE6">
        <w:rPr>
          <w:lang w:val="en-GB"/>
        </w:rPr>
        <w:t>Overall Economic Performance</w:t>
      </w:r>
      <w:bookmarkEnd w:id="0"/>
      <w:bookmarkEnd w:id="1"/>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010A2C" w:rsidRPr="009110F7" w14:paraId="1A74DB39" w14:textId="77777777" w:rsidTr="00D2240D">
        <w:trPr>
          <w:trHeight w:val="145"/>
        </w:trPr>
        <w:tc>
          <w:tcPr>
            <w:tcW w:w="1806" w:type="dxa"/>
            <w:shd w:val="clear" w:color="auto" w:fill="auto"/>
            <w:tcMar>
              <w:left w:w="0" w:type="dxa"/>
            </w:tcMar>
          </w:tcPr>
          <w:p w14:paraId="0E4E54F9" w14:textId="77777777" w:rsidR="00FE263A" w:rsidRDefault="00DE1CEC" w:rsidP="00913237">
            <w:pPr>
              <w:pStyle w:val="Marginlie"/>
              <w:rPr>
                <w:lang w:val="en-GB"/>
              </w:rPr>
            </w:pPr>
            <w:r w:rsidRPr="00DE1CEC">
              <w:rPr>
                <w:lang w:val="en-GB"/>
              </w:rPr>
              <w:t xml:space="preserve">Gross domestic product expanded last year, </w:t>
            </w:r>
          </w:p>
          <w:p w14:paraId="2A77C6ED" w14:textId="27BCBA93" w:rsidR="00010A2C" w:rsidRPr="00DE1CEC" w:rsidRDefault="00DE1CEC" w:rsidP="00913237">
            <w:pPr>
              <w:pStyle w:val="Marginlie"/>
              <w:rPr>
                <w:lang w:val="en-GB"/>
              </w:rPr>
            </w:pPr>
            <w:r w:rsidRPr="00DE1CEC">
              <w:rPr>
                <w:lang w:val="en-GB"/>
              </w:rPr>
              <w:t>however it still lagged behin</w:t>
            </w:r>
            <w:r>
              <w:rPr>
                <w:lang w:val="en-GB"/>
              </w:rPr>
              <w:t>d</w:t>
            </w:r>
            <w:r w:rsidRPr="00DE1CEC">
              <w:rPr>
                <w:lang w:val="en-GB"/>
              </w:rPr>
              <w:t xml:space="preserve"> the 2019 level in real terms. </w:t>
            </w:r>
          </w:p>
        </w:tc>
        <w:tc>
          <w:tcPr>
            <w:tcW w:w="223" w:type="dxa"/>
            <w:shd w:val="clear" w:color="auto" w:fill="auto"/>
            <w:tcMar>
              <w:left w:w="0" w:type="dxa"/>
            </w:tcMar>
          </w:tcPr>
          <w:p w14:paraId="50173562" w14:textId="77777777" w:rsidR="00010A2C" w:rsidRDefault="00010A2C" w:rsidP="00913237">
            <w:pPr>
              <w:pStyle w:val="Textpoznpodarou"/>
              <w:jc w:val="both"/>
              <w:rPr>
                <w:spacing w:val="-4"/>
              </w:rPr>
            </w:pPr>
          </w:p>
        </w:tc>
        <w:tc>
          <w:tcPr>
            <w:tcW w:w="7610" w:type="dxa"/>
            <w:shd w:val="clear" w:color="auto" w:fill="auto"/>
            <w:tcMar>
              <w:left w:w="0" w:type="dxa"/>
            </w:tcMar>
          </w:tcPr>
          <w:p w14:paraId="2567CECA" w14:textId="4ABED284" w:rsidR="00010A2C" w:rsidRPr="00DE1CEC" w:rsidRDefault="00DE1CEC" w:rsidP="00913237">
            <w:pPr>
              <w:rPr>
                <w:spacing w:val="-2"/>
                <w:lang w:val="en-GB"/>
              </w:rPr>
            </w:pPr>
            <w:r w:rsidRPr="00DE1CEC">
              <w:rPr>
                <w:spacing w:val="-2"/>
                <w:lang w:val="en-GB"/>
              </w:rPr>
              <w:t xml:space="preserve">The Gross domestic product </w:t>
            </w:r>
            <w:r w:rsidR="00010A2C" w:rsidRPr="00DE1CEC">
              <w:rPr>
                <w:spacing w:val="-2"/>
                <w:lang w:val="en-GB"/>
              </w:rPr>
              <w:t>(</w:t>
            </w:r>
            <w:r w:rsidRPr="00DE1CEC">
              <w:rPr>
                <w:spacing w:val="-2"/>
                <w:lang w:val="en-GB"/>
              </w:rPr>
              <w:t>GDP</w:t>
            </w:r>
            <w:r w:rsidR="00010A2C" w:rsidRPr="00DE1CEC">
              <w:rPr>
                <w:spacing w:val="-2"/>
                <w:lang w:val="en-GB"/>
              </w:rPr>
              <w:t xml:space="preserve">) </w:t>
            </w:r>
            <w:r w:rsidR="00600FFC">
              <w:rPr>
                <w:spacing w:val="-2"/>
                <w:lang w:val="en-GB"/>
              </w:rPr>
              <w:t xml:space="preserve">increased by </w:t>
            </w:r>
            <w:r w:rsidR="00010A2C" w:rsidRPr="00DE1CEC">
              <w:rPr>
                <w:spacing w:val="-2"/>
                <w:lang w:val="en-GB"/>
              </w:rPr>
              <w:t>3</w:t>
            </w:r>
            <w:r w:rsidR="00600FFC">
              <w:rPr>
                <w:spacing w:val="-2"/>
                <w:lang w:val="en-GB"/>
              </w:rPr>
              <w:t>.</w:t>
            </w:r>
            <w:r w:rsidR="00010A2C" w:rsidRPr="00DE1CEC">
              <w:rPr>
                <w:spacing w:val="-2"/>
                <w:lang w:val="en-GB"/>
              </w:rPr>
              <w:t>3%</w:t>
            </w:r>
            <w:r w:rsidR="00010A2C" w:rsidRPr="00DE1CEC">
              <w:rPr>
                <w:rStyle w:val="Znakapoznpodarou"/>
                <w:rFonts w:cs="Arial"/>
                <w:spacing w:val="-2"/>
                <w:lang w:val="en-GB"/>
              </w:rPr>
              <w:footnoteReference w:id="1"/>
            </w:r>
            <w:r w:rsidR="00600FFC">
              <w:rPr>
                <w:spacing w:val="-2"/>
                <w:lang w:val="en-GB"/>
              </w:rPr>
              <w:t xml:space="preserve"> in real terms in year 2021</w:t>
            </w:r>
            <w:r w:rsidR="00010A2C" w:rsidRPr="00DE1CEC">
              <w:rPr>
                <w:spacing w:val="-2"/>
                <w:lang w:val="en-GB"/>
              </w:rPr>
              <w:t xml:space="preserve">. </w:t>
            </w:r>
            <w:r w:rsidR="003734C8">
              <w:rPr>
                <w:spacing w:val="-2"/>
                <w:lang w:val="en-GB"/>
              </w:rPr>
              <w:t xml:space="preserve">Following the deep slump in year </w:t>
            </w:r>
            <w:r w:rsidR="00010A2C" w:rsidRPr="00DE1CEC">
              <w:rPr>
                <w:spacing w:val="-2"/>
                <w:lang w:val="en-GB"/>
              </w:rPr>
              <w:t>2020</w:t>
            </w:r>
            <w:r w:rsidR="003734C8">
              <w:rPr>
                <w:spacing w:val="-2"/>
                <w:lang w:val="en-GB"/>
              </w:rPr>
              <w:t xml:space="preserve">, the domestic economy thus gradually revived. In total nevertheless, the GDP expressed in constant prices fell behind the level of year 2019 for now. </w:t>
            </w:r>
            <w:r w:rsidR="002C3D02">
              <w:rPr>
                <w:spacing w:val="-2"/>
                <w:lang w:val="en-GB"/>
              </w:rPr>
              <w:t>The gross capital formation supported the last year</w:t>
            </w:r>
            <w:r w:rsidR="002C3D02">
              <w:rPr>
                <w:spacing w:val="-2"/>
                <w:lang w:val="en-US"/>
              </w:rPr>
              <w:t>’</w:t>
            </w:r>
            <w:r w:rsidR="002C3D02">
              <w:rPr>
                <w:spacing w:val="-2"/>
                <w:lang w:val="en-GB"/>
              </w:rPr>
              <w:t>s GDP growth the most</w:t>
            </w:r>
            <w:r w:rsidR="00010A2C" w:rsidRPr="00DE1CEC">
              <w:rPr>
                <w:spacing w:val="-2"/>
                <w:lang w:val="en-GB"/>
              </w:rPr>
              <w:t xml:space="preserve">, </w:t>
            </w:r>
            <w:r w:rsidR="002C3D02">
              <w:rPr>
                <w:spacing w:val="-2"/>
                <w:lang w:val="en-GB"/>
              </w:rPr>
              <w:t xml:space="preserve">mainly the increase of inventory stock. The household consumption also grew strongly. On the contrary, the foreign demand significantly </w:t>
            </w:r>
            <w:r w:rsidR="00061E88">
              <w:rPr>
                <w:spacing w:val="-2"/>
                <w:lang w:val="en-GB"/>
              </w:rPr>
              <w:t xml:space="preserve">decelerated the growth of GDP, even more compared to year </w:t>
            </w:r>
            <w:r w:rsidR="00010A2C" w:rsidRPr="00DE1CEC">
              <w:rPr>
                <w:spacing w:val="-2"/>
                <w:lang w:val="en-GB"/>
              </w:rPr>
              <w:t xml:space="preserve">2020, </w:t>
            </w:r>
            <w:r w:rsidR="00061E88">
              <w:rPr>
                <w:spacing w:val="-2"/>
                <w:lang w:val="en-GB"/>
              </w:rPr>
              <w:t xml:space="preserve">when the production in some export oriented businesses halted for some time. </w:t>
            </w:r>
          </w:p>
        </w:tc>
      </w:tr>
      <w:tr w:rsidR="00010A2C" w:rsidRPr="009110F7" w14:paraId="68168430" w14:textId="77777777" w:rsidTr="00D2240D">
        <w:trPr>
          <w:trHeight w:val="145"/>
        </w:trPr>
        <w:tc>
          <w:tcPr>
            <w:tcW w:w="1806" w:type="dxa"/>
            <w:shd w:val="clear" w:color="auto" w:fill="auto"/>
            <w:tcMar>
              <w:left w:w="0" w:type="dxa"/>
            </w:tcMar>
          </w:tcPr>
          <w:p w14:paraId="100AEA42" w14:textId="2E471B5D" w:rsidR="00010A2C" w:rsidRPr="00DE1CEC" w:rsidRDefault="00DE1CEC" w:rsidP="00913237">
            <w:pPr>
              <w:pStyle w:val="Marginlie"/>
              <w:rPr>
                <w:lang w:val="en-GB"/>
              </w:rPr>
            </w:pPr>
            <w:r w:rsidRPr="00DE1CEC">
              <w:rPr>
                <w:lang w:val="en-GB"/>
              </w:rPr>
              <w:t>In Q</w:t>
            </w:r>
            <w:r w:rsidR="00010A2C" w:rsidRPr="00DE1CEC">
              <w:rPr>
                <w:lang w:val="en-GB"/>
              </w:rPr>
              <w:t>4</w:t>
            </w:r>
            <w:r w:rsidRPr="00DE1CEC">
              <w:rPr>
                <w:lang w:val="en-GB"/>
              </w:rPr>
              <w:t>, the GDP grew both year-on-</w:t>
            </w:r>
            <w:r>
              <w:rPr>
                <w:lang w:val="en-GB"/>
              </w:rPr>
              <w:t>y</w:t>
            </w:r>
            <w:r w:rsidRPr="00DE1CEC">
              <w:rPr>
                <w:lang w:val="en-GB"/>
              </w:rPr>
              <w:t xml:space="preserve">ear and quarter-on-quarter. </w:t>
            </w:r>
          </w:p>
        </w:tc>
        <w:tc>
          <w:tcPr>
            <w:tcW w:w="223" w:type="dxa"/>
            <w:shd w:val="clear" w:color="auto" w:fill="auto"/>
            <w:tcMar>
              <w:left w:w="0" w:type="dxa"/>
            </w:tcMar>
          </w:tcPr>
          <w:p w14:paraId="0DC9A392" w14:textId="77777777" w:rsidR="00010A2C" w:rsidRDefault="00010A2C" w:rsidP="00913237">
            <w:pPr>
              <w:pStyle w:val="Textpoznpodarou"/>
              <w:jc w:val="both"/>
              <w:rPr>
                <w:spacing w:val="-4"/>
              </w:rPr>
            </w:pPr>
          </w:p>
        </w:tc>
        <w:tc>
          <w:tcPr>
            <w:tcW w:w="7610" w:type="dxa"/>
            <w:shd w:val="clear" w:color="auto" w:fill="auto"/>
            <w:tcMar>
              <w:left w:w="0" w:type="dxa"/>
            </w:tcMar>
          </w:tcPr>
          <w:p w14:paraId="0B94D75B" w14:textId="38DE5B2C" w:rsidR="00010A2C" w:rsidRPr="005D2FD8" w:rsidRDefault="002C3D02" w:rsidP="00913237">
            <w:pPr>
              <w:rPr>
                <w:spacing w:val="-2"/>
                <w:lang w:val="en-GB"/>
              </w:rPr>
            </w:pPr>
            <w:r w:rsidRPr="005D2FD8">
              <w:rPr>
                <w:spacing w:val="-2"/>
                <w:lang w:val="en-GB"/>
              </w:rPr>
              <w:t xml:space="preserve">Year-on-year GDP dynamics was </w:t>
            </w:r>
            <w:r w:rsidR="005D2FD8" w:rsidRPr="005D2FD8">
              <w:rPr>
                <w:spacing w:val="-2"/>
                <w:lang w:val="en-GB"/>
              </w:rPr>
              <w:t xml:space="preserve">notably affected by the low comparative basis of year 2020 in the course of the last year </w:t>
            </w:r>
            <w:r w:rsidR="00010A2C" w:rsidRPr="005D2FD8">
              <w:rPr>
                <w:spacing w:val="-2"/>
                <w:lang w:val="en-GB"/>
              </w:rPr>
              <w:t xml:space="preserve">– </w:t>
            </w:r>
            <w:r w:rsidR="005D2FD8" w:rsidRPr="005D2FD8">
              <w:rPr>
                <w:spacing w:val="-2"/>
                <w:lang w:val="en-GB"/>
              </w:rPr>
              <w:t>it was apparent the most in Q</w:t>
            </w:r>
            <w:r w:rsidR="00010A2C" w:rsidRPr="005D2FD8">
              <w:rPr>
                <w:spacing w:val="-2"/>
                <w:lang w:val="en-GB"/>
              </w:rPr>
              <w:t>2.</w:t>
            </w:r>
            <w:r w:rsidR="005D2FD8" w:rsidRPr="005D2FD8">
              <w:rPr>
                <w:spacing w:val="-2"/>
                <w:lang w:val="en-GB"/>
              </w:rPr>
              <w:t xml:space="preserve"> </w:t>
            </w:r>
            <w:r w:rsidR="00A452F3">
              <w:rPr>
                <w:spacing w:val="-2"/>
                <w:lang w:val="en-GB"/>
              </w:rPr>
              <w:t>The rules in place in Q</w:t>
            </w:r>
            <w:r w:rsidR="00010A2C" w:rsidRPr="005D2FD8">
              <w:rPr>
                <w:spacing w:val="-2"/>
                <w:lang w:val="en-GB"/>
              </w:rPr>
              <w:t>4</w:t>
            </w:r>
            <w:r w:rsidR="00A452F3">
              <w:rPr>
                <w:spacing w:val="-2"/>
                <w:lang w:val="en-GB"/>
              </w:rPr>
              <w:t xml:space="preserve"> </w:t>
            </w:r>
            <w:r w:rsidR="00010A2C" w:rsidRPr="005D2FD8">
              <w:rPr>
                <w:spacing w:val="-2"/>
                <w:lang w:val="en-GB"/>
              </w:rPr>
              <w:t>2021</w:t>
            </w:r>
            <w:r w:rsidR="00A452F3">
              <w:rPr>
                <w:spacing w:val="-2"/>
                <w:lang w:val="en-GB"/>
              </w:rPr>
              <w:t xml:space="preserve"> were not as restrictive as in the same period of year </w:t>
            </w:r>
            <w:r w:rsidR="00010A2C" w:rsidRPr="005D2FD8">
              <w:rPr>
                <w:spacing w:val="-2"/>
                <w:lang w:val="en-GB"/>
              </w:rPr>
              <w:t>2020</w:t>
            </w:r>
            <w:r w:rsidR="00010A2C" w:rsidRPr="005D2FD8">
              <w:rPr>
                <w:rStyle w:val="Znakapoznpodarou"/>
                <w:spacing w:val="-2"/>
                <w:lang w:val="en-GB"/>
              </w:rPr>
              <w:footnoteReference w:id="2"/>
            </w:r>
            <w:r w:rsidR="00010A2C" w:rsidRPr="005D2FD8">
              <w:rPr>
                <w:spacing w:val="-2"/>
                <w:lang w:val="en-GB"/>
              </w:rPr>
              <w:t xml:space="preserve">, </w:t>
            </w:r>
            <w:r w:rsidR="00D65528">
              <w:rPr>
                <w:spacing w:val="-2"/>
                <w:lang w:val="en-GB"/>
              </w:rPr>
              <w:t>however they were more severe compared to Q</w:t>
            </w:r>
            <w:r w:rsidR="00010A2C" w:rsidRPr="005D2FD8">
              <w:rPr>
                <w:spacing w:val="-2"/>
                <w:lang w:val="en-GB"/>
              </w:rPr>
              <w:t>3</w:t>
            </w:r>
            <w:r w:rsidR="00D65528">
              <w:rPr>
                <w:spacing w:val="-2"/>
                <w:lang w:val="en-GB"/>
              </w:rPr>
              <w:t xml:space="preserve"> </w:t>
            </w:r>
            <w:r w:rsidR="00010A2C" w:rsidRPr="005D2FD8">
              <w:rPr>
                <w:spacing w:val="-2"/>
                <w:lang w:val="en-GB"/>
              </w:rPr>
              <w:t xml:space="preserve">2021. </w:t>
            </w:r>
            <w:r w:rsidR="00E75597">
              <w:rPr>
                <w:spacing w:val="-2"/>
                <w:lang w:val="en-GB"/>
              </w:rPr>
              <w:t xml:space="preserve">Year-on-year GDP addition thus reached </w:t>
            </w:r>
            <w:r w:rsidR="00010A2C" w:rsidRPr="005D2FD8">
              <w:rPr>
                <w:spacing w:val="-2"/>
                <w:lang w:val="en-GB"/>
              </w:rPr>
              <w:t>3</w:t>
            </w:r>
            <w:r w:rsidR="00E75597">
              <w:rPr>
                <w:spacing w:val="-2"/>
                <w:lang w:val="en-GB"/>
              </w:rPr>
              <w:t>.</w:t>
            </w:r>
            <w:r w:rsidR="00010A2C" w:rsidRPr="005D2FD8">
              <w:rPr>
                <w:spacing w:val="-2"/>
                <w:lang w:val="en-GB"/>
              </w:rPr>
              <w:t>6%</w:t>
            </w:r>
            <w:r w:rsidR="00E75597">
              <w:rPr>
                <w:spacing w:val="-2"/>
                <w:lang w:val="en-GB"/>
              </w:rPr>
              <w:t xml:space="preserve"> in Q4</w:t>
            </w:r>
            <w:r w:rsidR="00010A2C" w:rsidRPr="005D2FD8">
              <w:rPr>
                <w:spacing w:val="-2"/>
                <w:lang w:val="en-GB"/>
              </w:rPr>
              <w:t xml:space="preserve">. </w:t>
            </w:r>
            <w:r w:rsidR="00E75597">
              <w:rPr>
                <w:spacing w:val="-2"/>
                <w:lang w:val="en-GB"/>
              </w:rPr>
              <w:t xml:space="preserve">The domestic demand strongly supported its growth </w:t>
            </w:r>
            <w:r w:rsidR="00010A2C" w:rsidRPr="005D2FD8">
              <w:rPr>
                <w:spacing w:val="-2"/>
                <w:lang w:val="en-GB"/>
              </w:rPr>
              <w:t xml:space="preserve">– </w:t>
            </w:r>
            <w:r w:rsidR="00A452F3">
              <w:rPr>
                <w:spacing w:val="-2"/>
                <w:lang w:val="en-GB"/>
              </w:rPr>
              <w:t>both consumption and capital expenditure. The foreign trade balance on the contrary had a negative effect,</w:t>
            </w:r>
            <w:r w:rsidR="00E75597">
              <w:rPr>
                <w:spacing w:val="-2"/>
                <w:lang w:val="en-GB"/>
              </w:rPr>
              <w:t xml:space="preserve"> which was influenced also by the comparison with the strong ending of </w:t>
            </w:r>
            <w:r w:rsidR="00010A2C" w:rsidRPr="005D2FD8">
              <w:rPr>
                <w:spacing w:val="-2"/>
                <w:lang w:val="en-GB"/>
              </w:rPr>
              <w:t xml:space="preserve">2020, </w:t>
            </w:r>
            <w:r w:rsidR="00E75597">
              <w:rPr>
                <w:spacing w:val="-2"/>
                <w:lang w:val="en-GB"/>
              </w:rPr>
              <w:t xml:space="preserve">when the export grew significantly and the foreign trade balance reached record levels. </w:t>
            </w:r>
            <w:r w:rsidR="00A452F3">
              <w:rPr>
                <w:spacing w:val="-2"/>
                <w:lang w:val="en-GB"/>
              </w:rPr>
              <w:t>The quarter-on-quarter GDP addition was</w:t>
            </w:r>
            <w:r w:rsidR="00E75597">
              <w:rPr>
                <w:spacing w:val="-2"/>
                <w:lang w:val="en-GB"/>
              </w:rPr>
              <w:t xml:space="preserve"> </w:t>
            </w:r>
            <w:r w:rsidR="00010A2C" w:rsidRPr="005D2FD8">
              <w:rPr>
                <w:spacing w:val="-2"/>
                <w:lang w:val="en-GB"/>
              </w:rPr>
              <w:t>0</w:t>
            </w:r>
            <w:r w:rsidR="00A452F3">
              <w:rPr>
                <w:spacing w:val="-2"/>
                <w:lang w:val="en-GB"/>
              </w:rPr>
              <w:t>.</w:t>
            </w:r>
            <w:r w:rsidR="00010A2C" w:rsidRPr="005D2FD8">
              <w:rPr>
                <w:spacing w:val="-2"/>
                <w:lang w:val="en-GB"/>
              </w:rPr>
              <w:t>9%</w:t>
            </w:r>
            <w:r w:rsidR="00A452F3">
              <w:rPr>
                <w:spacing w:val="-2"/>
                <w:lang w:val="en-GB"/>
              </w:rPr>
              <w:t xml:space="preserve"> in Q4 2021 and slowed down compared to the dynamics of both Q</w:t>
            </w:r>
            <w:r w:rsidR="00010A2C" w:rsidRPr="005D2FD8">
              <w:rPr>
                <w:spacing w:val="-2"/>
                <w:lang w:val="en-GB"/>
              </w:rPr>
              <w:t>2</w:t>
            </w:r>
            <w:r w:rsidR="00A452F3">
              <w:rPr>
                <w:spacing w:val="-2"/>
                <w:lang w:val="en-GB"/>
              </w:rPr>
              <w:t xml:space="preserve"> and </w:t>
            </w:r>
            <w:r w:rsidR="00010A2C" w:rsidRPr="005D2FD8">
              <w:rPr>
                <w:spacing w:val="-2"/>
                <w:lang w:val="en-GB"/>
              </w:rPr>
              <w:t>3.</w:t>
            </w:r>
            <w:r w:rsidR="00A452F3">
              <w:rPr>
                <w:spacing w:val="-2"/>
                <w:lang w:val="en-GB"/>
              </w:rPr>
              <w:t xml:space="preserve"> </w:t>
            </w:r>
            <w:r w:rsidR="0092303E">
              <w:rPr>
                <w:spacing w:val="-2"/>
                <w:lang w:val="en-GB"/>
              </w:rPr>
              <w:t xml:space="preserve">Simultaneously the domestic consumption as well as expenditures on gross capital formation fell. </w:t>
            </w:r>
            <w:r w:rsidR="004867CC">
              <w:rPr>
                <w:spacing w:val="-2"/>
                <w:lang w:val="en-GB"/>
              </w:rPr>
              <w:t xml:space="preserve">Only the foreign demand thus contributed to the GDP growth. The Gross domestic product expressed in </w:t>
            </w:r>
            <w:r w:rsidR="00010A2C" w:rsidRPr="005D2FD8">
              <w:rPr>
                <w:spacing w:val="-2"/>
                <w:lang w:val="en-GB"/>
              </w:rPr>
              <w:t>2015</w:t>
            </w:r>
            <w:r w:rsidR="004867CC">
              <w:rPr>
                <w:spacing w:val="-2"/>
                <w:lang w:val="en-GB"/>
              </w:rPr>
              <w:t xml:space="preserve"> prices</w:t>
            </w:r>
            <w:r w:rsidR="0092303E">
              <w:rPr>
                <w:spacing w:val="-2"/>
                <w:lang w:val="en-GB"/>
              </w:rPr>
              <w:t xml:space="preserve"> failed to reach the level of the same period of year 2019 in Q</w:t>
            </w:r>
            <w:r w:rsidR="00010A2C" w:rsidRPr="005D2FD8">
              <w:rPr>
                <w:spacing w:val="-2"/>
                <w:lang w:val="en-GB"/>
              </w:rPr>
              <w:t>4</w:t>
            </w:r>
            <w:r w:rsidR="0092303E">
              <w:rPr>
                <w:spacing w:val="-2"/>
                <w:lang w:val="en-GB"/>
              </w:rPr>
              <w:t xml:space="preserve"> </w:t>
            </w:r>
            <w:r w:rsidR="00010A2C" w:rsidRPr="005D2FD8">
              <w:rPr>
                <w:spacing w:val="-2"/>
                <w:lang w:val="en-GB"/>
              </w:rPr>
              <w:t>2021</w:t>
            </w:r>
            <w:r w:rsidR="0092303E">
              <w:rPr>
                <w:spacing w:val="-2"/>
                <w:lang w:val="en-GB"/>
              </w:rPr>
              <w:t xml:space="preserve">. </w:t>
            </w:r>
          </w:p>
        </w:tc>
      </w:tr>
      <w:tr w:rsidR="00364B62" w:rsidRPr="009110F7" w14:paraId="6266996C" w14:textId="77777777" w:rsidTr="00D2240D">
        <w:trPr>
          <w:trHeight w:val="170"/>
        </w:trPr>
        <w:tc>
          <w:tcPr>
            <w:tcW w:w="1806" w:type="dxa"/>
            <w:vMerge w:val="restart"/>
            <w:shd w:val="clear" w:color="auto" w:fill="auto"/>
            <w:tcMar>
              <w:left w:w="0" w:type="dxa"/>
            </w:tcMar>
          </w:tcPr>
          <w:p w14:paraId="42DA263D" w14:textId="77777777" w:rsidR="00364B62" w:rsidRDefault="00364B62" w:rsidP="00364B62">
            <w:pPr>
              <w:pStyle w:val="Marginlie"/>
            </w:pPr>
          </w:p>
        </w:tc>
        <w:tc>
          <w:tcPr>
            <w:tcW w:w="223" w:type="dxa"/>
            <w:vMerge w:val="restart"/>
            <w:shd w:val="clear" w:color="auto" w:fill="auto"/>
            <w:tcMar>
              <w:left w:w="0" w:type="dxa"/>
            </w:tcMar>
          </w:tcPr>
          <w:p w14:paraId="45F9D537" w14:textId="77777777" w:rsidR="00364B62" w:rsidRDefault="00364B62" w:rsidP="00364B62">
            <w:pPr>
              <w:pStyle w:val="Textpoznpodarou"/>
              <w:jc w:val="both"/>
              <w:rPr>
                <w:spacing w:val="-4"/>
              </w:rPr>
            </w:pPr>
          </w:p>
        </w:tc>
        <w:tc>
          <w:tcPr>
            <w:tcW w:w="7610" w:type="dxa"/>
            <w:shd w:val="clear" w:color="auto" w:fill="auto"/>
            <w:tcMar>
              <w:left w:w="0" w:type="dxa"/>
            </w:tcMar>
          </w:tcPr>
          <w:p w14:paraId="1C757DC4" w14:textId="1016FADC" w:rsidR="00364B62" w:rsidRPr="00D721B4" w:rsidRDefault="00364B62" w:rsidP="00364B62">
            <w:pPr>
              <w:spacing w:after="0"/>
              <w:rPr>
                <w:b/>
                <w:szCs w:val="20"/>
              </w:rPr>
            </w:pPr>
            <w:r w:rsidRPr="00D970F7">
              <w:rPr>
                <w:rFonts w:cs="Arial"/>
                <w:b/>
                <w:bCs/>
                <w:color w:val="000000"/>
                <w:sz w:val="18"/>
                <w:szCs w:val="18"/>
                <w:lang w:val="en-GB"/>
              </w:rPr>
              <w:t>Chart 1</w:t>
            </w:r>
            <w:r>
              <w:rPr>
                <w:rFonts w:cs="Arial"/>
                <w:b/>
                <w:bCs/>
                <w:color w:val="000000"/>
                <w:sz w:val="18"/>
                <w:szCs w:val="18"/>
                <w:lang w:val="en-GB"/>
              </w:rPr>
              <w:t xml:space="preserve"> </w:t>
            </w:r>
            <w:r w:rsidRPr="00D970F7">
              <w:rPr>
                <w:rFonts w:cs="Arial"/>
                <w:b/>
                <w:bCs/>
                <w:color w:val="000000"/>
                <w:sz w:val="18"/>
                <w:szCs w:val="18"/>
                <w:lang w:val="en-GB"/>
              </w:rPr>
              <w:t xml:space="preserve"> GDP</w:t>
            </w:r>
            <w:r w:rsidRPr="00D970F7">
              <w:rPr>
                <w:rFonts w:cs="Arial"/>
                <w:b/>
                <w:sz w:val="18"/>
                <w:szCs w:val="18"/>
                <w:lang w:val="en-GB" w:eastAsia="en-US"/>
              </w:rPr>
              <w:t xml:space="preserve"> (volume indices, adjusted for seasonal and calendar effects, in %)</w:t>
            </w:r>
          </w:p>
        </w:tc>
      </w:tr>
      <w:tr w:rsidR="00364B62" w:rsidRPr="009110F7" w14:paraId="15F04752" w14:textId="77777777" w:rsidTr="00D2240D">
        <w:tblPrEx>
          <w:tblCellMar>
            <w:left w:w="70" w:type="dxa"/>
            <w:right w:w="70" w:type="dxa"/>
          </w:tblCellMar>
        </w:tblPrEx>
        <w:trPr>
          <w:trHeight w:val="170"/>
        </w:trPr>
        <w:tc>
          <w:tcPr>
            <w:tcW w:w="1806" w:type="dxa"/>
            <w:vMerge/>
            <w:shd w:val="clear" w:color="auto" w:fill="auto"/>
          </w:tcPr>
          <w:p w14:paraId="1518C08B" w14:textId="77777777" w:rsidR="00364B62" w:rsidRPr="009110F7" w:rsidRDefault="00364B62" w:rsidP="00364B62">
            <w:pPr>
              <w:pStyle w:val="Marginlie"/>
            </w:pPr>
          </w:p>
        </w:tc>
        <w:tc>
          <w:tcPr>
            <w:tcW w:w="223" w:type="dxa"/>
            <w:vMerge/>
            <w:shd w:val="clear" w:color="auto" w:fill="auto"/>
          </w:tcPr>
          <w:p w14:paraId="719F5515" w14:textId="77777777" w:rsidR="00364B62" w:rsidRPr="009110F7" w:rsidRDefault="00364B62" w:rsidP="00364B62">
            <w:pPr>
              <w:pStyle w:val="Textpoznpodarou"/>
              <w:jc w:val="both"/>
              <w:rPr>
                <w:spacing w:val="-4"/>
              </w:rPr>
            </w:pPr>
          </w:p>
        </w:tc>
        <w:tc>
          <w:tcPr>
            <w:tcW w:w="7610" w:type="dxa"/>
            <w:shd w:val="clear" w:color="auto" w:fill="auto"/>
          </w:tcPr>
          <w:p w14:paraId="088FF680" w14:textId="5FB0F90F" w:rsidR="00364B62" w:rsidRPr="009110F7" w:rsidRDefault="00AA570E" w:rsidP="00364B62">
            <w:pPr>
              <w:spacing w:after="0"/>
            </w:pPr>
            <w:r>
              <w:rPr>
                <w:noProof/>
              </w:rPr>
              <w:drawing>
                <wp:inline distT="0" distB="0" distL="0" distR="0" wp14:anchorId="234FAA8A" wp14:editId="3D1A28B4">
                  <wp:extent cx="4737600" cy="3553200"/>
                  <wp:effectExtent l="0" t="0" r="6350" b="0"/>
                  <wp:docPr id="4" name="Graf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64B62" w:rsidRPr="009110F7" w14:paraId="290891F6" w14:textId="77777777" w:rsidTr="00D2240D">
        <w:trPr>
          <w:trHeight w:val="170"/>
        </w:trPr>
        <w:tc>
          <w:tcPr>
            <w:tcW w:w="1806" w:type="dxa"/>
            <w:vMerge/>
            <w:shd w:val="clear" w:color="auto" w:fill="auto"/>
            <w:tcMar>
              <w:left w:w="0" w:type="dxa"/>
            </w:tcMar>
          </w:tcPr>
          <w:p w14:paraId="3DECDED2" w14:textId="77777777" w:rsidR="00364B62" w:rsidRPr="009110F7" w:rsidRDefault="00364B62" w:rsidP="00364B62">
            <w:pPr>
              <w:pStyle w:val="Marginlie"/>
            </w:pPr>
          </w:p>
        </w:tc>
        <w:tc>
          <w:tcPr>
            <w:tcW w:w="223" w:type="dxa"/>
            <w:vMerge/>
            <w:shd w:val="clear" w:color="auto" w:fill="auto"/>
            <w:tcMar>
              <w:left w:w="0" w:type="dxa"/>
            </w:tcMar>
          </w:tcPr>
          <w:p w14:paraId="432CE373" w14:textId="77777777" w:rsidR="00364B62" w:rsidRPr="009110F7" w:rsidRDefault="00364B62" w:rsidP="00364B62">
            <w:pPr>
              <w:pStyle w:val="Textpoznpodarou"/>
              <w:jc w:val="both"/>
              <w:rPr>
                <w:spacing w:val="-4"/>
              </w:rPr>
            </w:pPr>
          </w:p>
        </w:tc>
        <w:tc>
          <w:tcPr>
            <w:tcW w:w="7610" w:type="dxa"/>
            <w:shd w:val="clear" w:color="auto" w:fill="auto"/>
            <w:tcMar>
              <w:left w:w="0" w:type="dxa"/>
            </w:tcMar>
          </w:tcPr>
          <w:p w14:paraId="2C1E7F5B" w14:textId="351F60B7" w:rsidR="00364B62" w:rsidRPr="009110F7" w:rsidRDefault="00364B62" w:rsidP="00AA570E">
            <w:pPr>
              <w:spacing w:after="220"/>
              <w:rPr>
                <w:sz w:val="14"/>
                <w:szCs w:val="14"/>
              </w:rPr>
            </w:pPr>
            <w:r>
              <w:rPr>
                <w:sz w:val="14"/>
                <w:szCs w:val="14"/>
              </w:rPr>
              <w:t>Source: CZSO, Eurostat</w:t>
            </w:r>
          </w:p>
        </w:tc>
      </w:tr>
      <w:tr w:rsidR="00364B62" w:rsidRPr="009110F7" w14:paraId="4797E8D7" w14:textId="77777777" w:rsidTr="00D2240D">
        <w:trPr>
          <w:trHeight w:val="145"/>
        </w:trPr>
        <w:tc>
          <w:tcPr>
            <w:tcW w:w="1806" w:type="dxa"/>
            <w:shd w:val="clear" w:color="auto" w:fill="auto"/>
            <w:tcMar>
              <w:left w:w="0" w:type="dxa"/>
            </w:tcMar>
          </w:tcPr>
          <w:p w14:paraId="48D46448" w14:textId="5069E771" w:rsidR="00364B62" w:rsidRPr="004A5A24" w:rsidRDefault="00364B62" w:rsidP="00364B62">
            <w:pPr>
              <w:pStyle w:val="Marginlie"/>
              <w:rPr>
                <w:lang w:val="en-GB"/>
              </w:rPr>
            </w:pPr>
            <w:r w:rsidRPr="004A5A24">
              <w:rPr>
                <w:lang w:val="en-GB"/>
              </w:rPr>
              <w:lastRenderedPageBreak/>
              <w:t>European economies managed to recover and many already overcame the pre</w:t>
            </w:r>
            <w:r w:rsidR="00D43857">
              <w:rPr>
                <w:lang w:val="en-GB"/>
              </w:rPr>
              <w:t>-</w:t>
            </w:r>
            <w:r w:rsidRPr="004A5A24">
              <w:rPr>
                <w:lang w:val="en-GB"/>
              </w:rPr>
              <w:t xml:space="preserve">crisis level. </w:t>
            </w:r>
          </w:p>
        </w:tc>
        <w:tc>
          <w:tcPr>
            <w:tcW w:w="223" w:type="dxa"/>
            <w:shd w:val="clear" w:color="auto" w:fill="auto"/>
            <w:tcMar>
              <w:left w:w="0" w:type="dxa"/>
            </w:tcMar>
          </w:tcPr>
          <w:p w14:paraId="1717F6CD" w14:textId="77777777" w:rsidR="00364B62" w:rsidRPr="004A5A24" w:rsidRDefault="00364B62" w:rsidP="00364B62">
            <w:pPr>
              <w:pStyle w:val="Textpoznpodarou"/>
              <w:jc w:val="both"/>
              <w:rPr>
                <w:spacing w:val="-4"/>
                <w:lang w:val="en-GB"/>
              </w:rPr>
            </w:pPr>
          </w:p>
        </w:tc>
        <w:tc>
          <w:tcPr>
            <w:tcW w:w="7610" w:type="dxa"/>
            <w:shd w:val="clear" w:color="auto" w:fill="auto"/>
            <w:tcMar>
              <w:left w:w="0" w:type="dxa"/>
            </w:tcMar>
          </w:tcPr>
          <w:p w14:paraId="0D63C562" w14:textId="57CA2ADF" w:rsidR="00364B62" w:rsidRPr="004A5A24" w:rsidRDefault="00364B62" w:rsidP="00364B62">
            <w:pPr>
              <w:rPr>
                <w:lang w:val="en-GB"/>
              </w:rPr>
            </w:pPr>
            <w:r>
              <w:rPr>
                <w:lang w:val="en-GB"/>
              </w:rPr>
              <w:t>The total year-on-year growth of GDP in the European Union slightly accelerated to 4.</w:t>
            </w:r>
            <w:r w:rsidRPr="004A5A24">
              <w:rPr>
                <w:lang w:val="en-GB"/>
              </w:rPr>
              <w:t>8%</w:t>
            </w:r>
            <w:r w:rsidRPr="004A5A24">
              <w:rPr>
                <w:rStyle w:val="Znakapoznpodarou"/>
                <w:lang w:val="en-GB"/>
              </w:rPr>
              <w:footnoteReference w:id="3"/>
            </w:r>
            <w:r>
              <w:rPr>
                <w:lang w:val="en-GB"/>
              </w:rPr>
              <w:t xml:space="preserve"> in Q4 2021</w:t>
            </w:r>
            <w:r w:rsidRPr="004A5A24">
              <w:rPr>
                <w:lang w:val="en-GB"/>
              </w:rPr>
              <w:t xml:space="preserve">. </w:t>
            </w:r>
            <w:r>
              <w:rPr>
                <w:lang w:val="en-GB"/>
              </w:rPr>
              <w:t xml:space="preserve">The gradual revival of European economies thus continued and majority of them also exceeded the level from the same period of year </w:t>
            </w:r>
            <w:r w:rsidRPr="004A5A24">
              <w:rPr>
                <w:lang w:val="en-GB"/>
              </w:rPr>
              <w:t>2019</w:t>
            </w:r>
            <w:r w:rsidRPr="004A5A24">
              <w:rPr>
                <w:rStyle w:val="Znakapoznpodarou"/>
                <w:lang w:val="en-GB"/>
              </w:rPr>
              <w:footnoteReference w:id="4"/>
            </w:r>
            <w:r w:rsidRPr="004A5A24">
              <w:rPr>
                <w:lang w:val="en-GB"/>
              </w:rPr>
              <w:t xml:space="preserve">. </w:t>
            </w:r>
            <w:r>
              <w:rPr>
                <w:lang w:val="en-GB"/>
              </w:rPr>
              <w:t xml:space="preserve">The GDP grew in all EU economies year-on-year and based on the available data, Slovenia </w:t>
            </w:r>
            <w:r w:rsidRPr="004A5A24">
              <w:rPr>
                <w:lang w:val="en-GB"/>
              </w:rPr>
              <w:t>(10</w:t>
            </w:r>
            <w:r>
              <w:rPr>
                <w:lang w:val="en-GB"/>
              </w:rPr>
              <w:t>.</w:t>
            </w:r>
            <w:r w:rsidRPr="004A5A24">
              <w:rPr>
                <w:lang w:val="en-GB"/>
              </w:rPr>
              <w:t>5%), C</w:t>
            </w:r>
            <w:r>
              <w:rPr>
                <w:lang w:val="en-GB"/>
              </w:rPr>
              <w:t xml:space="preserve">roatia </w:t>
            </w:r>
            <w:r w:rsidRPr="004A5A24">
              <w:rPr>
                <w:lang w:val="en-GB"/>
              </w:rPr>
              <w:t>(9</w:t>
            </w:r>
            <w:r>
              <w:rPr>
                <w:lang w:val="en-GB"/>
              </w:rPr>
              <w:t>.</w:t>
            </w:r>
            <w:r w:rsidRPr="004A5A24">
              <w:rPr>
                <w:lang w:val="en-GB"/>
              </w:rPr>
              <w:t>9%) a</w:t>
            </w:r>
            <w:r>
              <w:rPr>
                <w:lang w:val="en-GB"/>
              </w:rPr>
              <w:t xml:space="preserve">nd Estonia </w:t>
            </w:r>
            <w:r w:rsidRPr="004A5A24">
              <w:rPr>
                <w:lang w:val="en-GB"/>
              </w:rPr>
              <w:t>(8</w:t>
            </w:r>
            <w:r>
              <w:rPr>
                <w:lang w:val="en-GB"/>
              </w:rPr>
              <w:t>.</w:t>
            </w:r>
            <w:r w:rsidRPr="004A5A24">
              <w:rPr>
                <w:lang w:val="en-GB"/>
              </w:rPr>
              <w:t>8%)</w:t>
            </w:r>
            <w:r>
              <w:rPr>
                <w:lang w:val="en-GB"/>
              </w:rPr>
              <w:t xml:space="preserve"> recorded the largest increase</w:t>
            </w:r>
            <w:r w:rsidRPr="004A5A24">
              <w:rPr>
                <w:lang w:val="en-GB"/>
              </w:rPr>
              <w:t xml:space="preserve">. </w:t>
            </w:r>
            <w:r>
              <w:rPr>
                <w:lang w:val="en-GB"/>
              </w:rPr>
              <w:t xml:space="preserve">GDP grew only slightly in Slovakia </w:t>
            </w:r>
            <w:r w:rsidRPr="004A5A24">
              <w:rPr>
                <w:lang w:val="en-GB"/>
              </w:rPr>
              <w:t>(1</w:t>
            </w:r>
            <w:r>
              <w:rPr>
                <w:lang w:val="en-GB"/>
              </w:rPr>
              <w:t>.</w:t>
            </w:r>
            <w:r w:rsidRPr="004A5A24">
              <w:rPr>
                <w:lang w:val="en-GB"/>
              </w:rPr>
              <w:t>1%),</w:t>
            </w:r>
            <w:r>
              <w:rPr>
                <w:lang w:val="en-GB"/>
              </w:rPr>
              <w:t xml:space="preserve"> Germany </w:t>
            </w:r>
            <w:r w:rsidRPr="004A5A24">
              <w:rPr>
                <w:lang w:val="en-GB"/>
              </w:rPr>
              <w:t>(1</w:t>
            </w:r>
            <w:r>
              <w:rPr>
                <w:lang w:val="en-GB"/>
              </w:rPr>
              <w:t>.</w:t>
            </w:r>
            <w:r w:rsidRPr="004A5A24">
              <w:rPr>
                <w:lang w:val="en-GB"/>
              </w:rPr>
              <w:t>8%) a</w:t>
            </w:r>
            <w:r>
              <w:rPr>
                <w:lang w:val="en-GB"/>
              </w:rPr>
              <w:t xml:space="preserve">nd Romania </w:t>
            </w:r>
            <w:r w:rsidRPr="004A5A24">
              <w:rPr>
                <w:lang w:val="en-GB"/>
              </w:rPr>
              <w:t>(2</w:t>
            </w:r>
            <w:r>
              <w:rPr>
                <w:lang w:val="en-GB"/>
              </w:rPr>
              <w:t>.</w:t>
            </w:r>
            <w:r w:rsidRPr="004A5A24">
              <w:rPr>
                <w:lang w:val="en-GB"/>
              </w:rPr>
              <w:t xml:space="preserve">7%). </w:t>
            </w:r>
            <w:r>
              <w:rPr>
                <w:lang w:val="en-GB"/>
              </w:rPr>
              <w:t>The GDP increased by 0.4% in the EU compared to Q</w:t>
            </w:r>
            <w:r w:rsidRPr="004A5A24">
              <w:rPr>
                <w:lang w:val="en-GB"/>
              </w:rPr>
              <w:t>3</w:t>
            </w:r>
            <w:r>
              <w:rPr>
                <w:lang w:val="en-GB"/>
              </w:rPr>
              <w:t xml:space="preserve"> </w:t>
            </w:r>
            <w:r w:rsidRPr="004A5A24">
              <w:rPr>
                <w:lang w:val="en-GB"/>
              </w:rPr>
              <w:t xml:space="preserve">2021. </w:t>
            </w:r>
            <w:r>
              <w:rPr>
                <w:lang w:val="en-GB"/>
              </w:rPr>
              <w:t>Relatively low total increase was mainly affected by the difficult development of the German economy</w:t>
            </w:r>
            <w:r w:rsidRPr="004A5A24">
              <w:rPr>
                <w:lang w:val="en-GB"/>
              </w:rPr>
              <w:t xml:space="preserve">, </w:t>
            </w:r>
            <w:r>
              <w:rPr>
                <w:lang w:val="en-GB"/>
              </w:rPr>
              <w:t xml:space="preserve">which fell by </w:t>
            </w:r>
            <w:r w:rsidRPr="004A5A24">
              <w:rPr>
                <w:lang w:val="en-GB"/>
              </w:rPr>
              <w:t>0</w:t>
            </w:r>
            <w:r>
              <w:rPr>
                <w:lang w:val="en-GB"/>
              </w:rPr>
              <w:t>.</w:t>
            </w:r>
            <w:r w:rsidRPr="004A5A24">
              <w:rPr>
                <w:lang w:val="en-GB"/>
              </w:rPr>
              <w:t>3%</w:t>
            </w:r>
            <w:r>
              <w:rPr>
                <w:lang w:val="en-GB"/>
              </w:rPr>
              <w:t xml:space="preserve"> quarter-on-quarter</w:t>
            </w:r>
            <w:r w:rsidRPr="004A5A24">
              <w:rPr>
                <w:lang w:val="en-GB"/>
              </w:rPr>
              <w:t>.</w:t>
            </w:r>
            <w:r>
              <w:rPr>
                <w:lang w:val="en-GB"/>
              </w:rPr>
              <w:t xml:space="preserve"> The GDP was also lower in Austria </w:t>
            </w:r>
            <w:r w:rsidRPr="004A5A24">
              <w:rPr>
                <w:lang w:val="en-GB"/>
              </w:rPr>
              <w:t>(–2</w:t>
            </w:r>
            <w:r>
              <w:rPr>
                <w:lang w:val="en-GB"/>
              </w:rPr>
              <w:t>.</w:t>
            </w:r>
            <w:r w:rsidRPr="004A5A24">
              <w:rPr>
                <w:lang w:val="en-GB"/>
              </w:rPr>
              <w:t>2%), R</w:t>
            </w:r>
            <w:r>
              <w:rPr>
                <w:lang w:val="en-GB"/>
              </w:rPr>
              <w:t xml:space="preserve">omania </w:t>
            </w:r>
            <w:r w:rsidRPr="004A5A24">
              <w:rPr>
                <w:lang w:val="en-GB"/>
              </w:rPr>
              <w:t>(–0</w:t>
            </w:r>
            <w:r>
              <w:rPr>
                <w:lang w:val="en-GB"/>
              </w:rPr>
              <w:t>.</w:t>
            </w:r>
            <w:r w:rsidRPr="004A5A24">
              <w:rPr>
                <w:lang w:val="en-GB"/>
              </w:rPr>
              <w:t>5%),</w:t>
            </w:r>
            <w:r>
              <w:rPr>
                <w:lang w:val="en-GB"/>
              </w:rPr>
              <w:t xml:space="preserve"> in Latvia </w:t>
            </w:r>
            <w:r w:rsidRPr="004A5A24">
              <w:rPr>
                <w:lang w:val="en-GB"/>
              </w:rPr>
              <w:t>(–0</w:t>
            </w:r>
            <w:r>
              <w:rPr>
                <w:lang w:val="en-GB"/>
              </w:rPr>
              <w:t>.</w:t>
            </w:r>
            <w:r w:rsidRPr="004A5A24">
              <w:rPr>
                <w:lang w:val="en-GB"/>
              </w:rPr>
              <w:t>1%)</w:t>
            </w:r>
            <w:r>
              <w:rPr>
                <w:lang w:val="en-GB"/>
              </w:rPr>
              <w:t xml:space="preserve"> and in Croatia </w:t>
            </w:r>
            <w:r w:rsidRPr="004A5A24">
              <w:rPr>
                <w:lang w:val="en-GB"/>
              </w:rPr>
              <w:t>(–0</w:t>
            </w:r>
            <w:r>
              <w:rPr>
                <w:lang w:val="en-GB"/>
              </w:rPr>
              <w:t>.</w:t>
            </w:r>
            <w:r w:rsidRPr="004A5A24">
              <w:rPr>
                <w:lang w:val="en-GB"/>
              </w:rPr>
              <w:t>1%). Slov</w:t>
            </w:r>
            <w:r>
              <w:rPr>
                <w:lang w:val="en-GB"/>
              </w:rPr>
              <w:t xml:space="preserve">enia </w:t>
            </w:r>
            <w:r w:rsidRPr="004A5A24">
              <w:rPr>
                <w:lang w:val="en-GB"/>
              </w:rPr>
              <w:t>(5</w:t>
            </w:r>
            <w:r>
              <w:rPr>
                <w:lang w:val="en-GB"/>
              </w:rPr>
              <w:t>.</w:t>
            </w:r>
            <w:r w:rsidRPr="004A5A24">
              <w:rPr>
                <w:lang w:val="en-GB"/>
              </w:rPr>
              <w:t xml:space="preserve">4%), </w:t>
            </w:r>
            <w:r>
              <w:rPr>
                <w:lang w:val="en-GB"/>
              </w:rPr>
              <w:t xml:space="preserve">Spain </w:t>
            </w:r>
            <w:r w:rsidRPr="004A5A24">
              <w:rPr>
                <w:lang w:val="en-GB"/>
              </w:rPr>
              <w:t>(2</w:t>
            </w:r>
            <w:r>
              <w:rPr>
                <w:lang w:val="en-GB"/>
              </w:rPr>
              <w:t>.</w:t>
            </w:r>
            <w:r w:rsidRPr="004A5A24">
              <w:rPr>
                <w:lang w:val="en-GB"/>
              </w:rPr>
              <w:t>0%) a</w:t>
            </w:r>
            <w:r>
              <w:rPr>
                <w:lang w:val="en-GB"/>
              </w:rPr>
              <w:t xml:space="preserve">nd Hungary </w:t>
            </w:r>
            <w:r w:rsidRPr="004A5A24">
              <w:rPr>
                <w:lang w:val="en-GB"/>
              </w:rPr>
              <w:t>(2</w:t>
            </w:r>
            <w:r>
              <w:rPr>
                <w:lang w:val="en-GB"/>
              </w:rPr>
              <w:t>.</w:t>
            </w:r>
            <w:r w:rsidRPr="004A5A24">
              <w:rPr>
                <w:lang w:val="en-GB"/>
              </w:rPr>
              <w:t>0%)</w:t>
            </w:r>
            <w:r>
              <w:rPr>
                <w:lang w:val="en-GB"/>
              </w:rPr>
              <w:t xml:space="preserve"> on the contrary attained a very strong quarter-on-quarter increase of GDP</w:t>
            </w:r>
            <w:r w:rsidRPr="004A5A24">
              <w:rPr>
                <w:lang w:val="en-GB"/>
              </w:rPr>
              <w:t>.</w:t>
            </w:r>
          </w:p>
        </w:tc>
      </w:tr>
      <w:tr w:rsidR="00364B62" w:rsidRPr="009110F7" w14:paraId="40D86DAD" w14:textId="77777777" w:rsidTr="00D2240D">
        <w:trPr>
          <w:trHeight w:val="145"/>
        </w:trPr>
        <w:tc>
          <w:tcPr>
            <w:tcW w:w="1806" w:type="dxa"/>
            <w:shd w:val="clear" w:color="auto" w:fill="auto"/>
            <w:tcMar>
              <w:left w:w="0" w:type="dxa"/>
            </w:tcMar>
          </w:tcPr>
          <w:p w14:paraId="29CC4857" w14:textId="70EE57E4" w:rsidR="00364B62" w:rsidRPr="00CC1B66" w:rsidRDefault="00364B62" w:rsidP="00364B62">
            <w:pPr>
              <w:pStyle w:val="Marginlie"/>
              <w:rPr>
                <w:lang w:val="en-GB"/>
              </w:rPr>
            </w:pPr>
            <w:r w:rsidRPr="00CC1B66">
              <w:rPr>
                <w:lang w:val="en-GB"/>
              </w:rPr>
              <w:t xml:space="preserve">Wages and salaries faced the strong price growth last year, which dampened their real growth. </w:t>
            </w:r>
          </w:p>
        </w:tc>
        <w:tc>
          <w:tcPr>
            <w:tcW w:w="223" w:type="dxa"/>
            <w:shd w:val="clear" w:color="auto" w:fill="auto"/>
            <w:tcMar>
              <w:left w:w="0" w:type="dxa"/>
            </w:tcMar>
          </w:tcPr>
          <w:p w14:paraId="1CFFE8FB" w14:textId="77777777" w:rsidR="00364B62" w:rsidRPr="00CC1B66" w:rsidRDefault="00364B62" w:rsidP="00364B62">
            <w:pPr>
              <w:pStyle w:val="Textpoznpodarou"/>
              <w:jc w:val="both"/>
              <w:rPr>
                <w:spacing w:val="-4"/>
                <w:lang w:val="en-GB"/>
              </w:rPr>
            </w:pPr>
          </w:p>
        </w:tc>
        <w:tc>
          <w:tcPr>
            <w:tcW w:w="7610" w:type="dxa"/>
            <w:shd w:val="clear" w:color="auto" w:fill="auto"/>
            <w:tcMar>
              <w:left w:w="0" w:type="dxa"/>
            </w:tcMar>
          </w:tcPr>
          <w:p w14:paraId="2099A194" w14:textId="448D117B" w:rsidR="00364B62" w:rsidRPr="00CC1B66" w:rsidRDefault="00364B62" w:rsidP="00364B62">
            <w:pPr>
              <w:rPr>
                <w:spacing w:val="-2"/>
                <w:lang w:val="en-GB"/>
              </w:rPr>
            </w:pPr>
            <w:r>
              <w:rPr>
                <w:spacing w:val="-2"/>
                <w:lang w:val="en-GB"/>
              </w:rPr>
              <w:t xml:space="preserve">In </w:t>
            </w:r>
            <w:r w:rsidRPr="00CC1B66">
              <w:rPr>
                <w:spacing w:val="-2"/>
                <w:lang w:val="en-GB"/>
              </w:rPr>
              <w:t>2021</w:t>
            </w:r>
            <w:r>
              <w:rPr>
                <w:spacing w:val="-2"/>
                <w:lang w:val="en-GB"/>
              </w:rPr>
              <w:t xml:space="preserve">, the total volume of paid out wages and salaries expanded by </w:t>
            </w:r>
            <w:r w:rsidRPr="00CC1B66">
              <w:rPr>
                <w:spacing w:val="-2"/>
                <w:lang w:val="en-GB"/>
              </w:rPr>
              <w:t>6</w:t>
            </w:r>
            <w:r>
              <w:rPr>
                <w:spacing w:val="-2"/>
                <w:lang w:val="en-GB"/>
              </w:rPr>
              <w:t>.</w:t>
            </w:r>
            <w:r w:rsidRPr="00CC1B66">
              <w:rPr>
                <w:spacing w:val="-2"/>
                <w:lang w:val="en-GB"/>
              </w:rPr>
              <w:t>8%</w:t>
            </w:r>
            <w:r>
              <w:rPr>
                <w:spacing w:val="-2"/>
                <w:lang w:val="en-GB"/>
              </w:rPr>
              <w:t xml:space="preserve"> given the simultaneous increase of the total employment by </w:t>
            </w:r>
            <w:r w:rsidRPr="00CC1B66">
              <w:rPr>
                <w:spacing w:val="-2"/>
                <w:lang w:val="en-GB"/>
              </w:rPr>
              <w:t>0</w:t>
            </w:r>
            <w:r>
              <w:rPr>
                <w:spacing w:val="-2"/>
                <w:lang w:val="en-GB"/>
              </w:rPr>
              <w:t>.</w:t>
            </w:r>
            <w:r w:rsidRPr="00CC1B66">
              <w:rPr>
                <w:spacing w:val="-2"/>
                <w:lang w:val="en-GB"/>
              </w:rPr>
              <w:t>1%</w:t>
            </w:r>
            <w:r w:rsidRPr="00CC1B66">
              <w:rPr>
                <w:rStyle w:val="Znakapoznpodarou"/>
                <w:spacing w:val="-2"/>
                <w:lang w:val="en-GB"/>
              </w:rPr>
              <w:footnoteReference w:id="5"/>
            </w:r>
            <w:r w:rsidRPr="00CC1B66">
              <w:rPr>
                <w:spacing w:val="-2"/>
                <w:lang w:val="en-GB"/>
              </w:rPr>
              <w:t xml:space="preserve">. </w:t>
            </w:r>
            <w:r>
              <w:rPr>
                <w:spacing w:val="-2"/>
                <w:lang w:val="en-GB"/>
              </w:rPr>
              <w:t xml:space="preserve">However, strengthening of the price growth caused, that the real increase of the volume of wages ended at </w:t>
            </w:r>
            <w:r w:rsidRPr="00CC1B66">
              <w:rPr>
                <w:spacing w:val="-2"/>
                <w:lang w:val="en-GB"/>
              </w:rPr>
              <w:t>3</w:t>
            </w:r>
            <w:r>
              <w:rPr>
                <w:spacing w:val="-2"/>
                <w:lang w:val="en-GB"/>
              </w:rPr>
              <w:t>.</w:t>
            </w:r>
            <w:r w:rsidRPr="00CC1B66">
              <w:rPr>
                <w:spacing w:val="-2"/>
                <w:lang w:val="en-GB"/>
              </w:rPr>
              <w:t>7%</w:t>
            </w:r>
            <w:r w:rsidRPr="00CC1B66">
              <w:rPr>
                <w:rStyle w:val="Znakapoznpodarou"/>
                <w:spacing w:val="-2"/>
                <w:lang w:val="en-GB"/>
              </w:rPr>
              <w:footnoteReference w:id="6"/>
            </w:r>
            <w:r>
              <w:rPr>
                <w:spacing w:val="-2"/>
                <w:lang w:val="en-GB"/>
              </w:rPr>
              <w:t xml:space="preserve"> last year</w:t>
            </w:r>
            <w:r w:rsidRPr="00CC1B66">
              <w:rPr>
                <w:spacing w:val="-2"/>
                <w:lang w:val="en-GB"/>
              </w:rPr>
              <w:t xml:space="preserve">. </w:t>
            </w:r>
            <w:r>
              <w:rPr>
                <w:spacing w:val="-2"/>
                <w:lang w:val="en-GB"/>
              </w:rPr>
              <w:t xml:space="preserve">The volume of paid out wages expanded the most in real estate activities </w:t>
            </w:r>
            <w:r w:rsidRPr="00CC1B66">
              <w:rPr>
                <w:spacing w:val="-2"/>
                <w:lang w:val="en-GB"/>
              </w:rPr>
              <w:t>(14</w:t>
            </w:r>
            <w:r>
              <w:rPr>
                <w:spacing w:val="-2"/>
                <w:lang w:val="en-GB"/>
              </w:rPr>
              <w:t>.</w:t>
            </w:r>
            <w:r w:rsidRPr="00CC1B66">
              <w:rPr>
                <w:spacing w:val="-2"/>
                <w:lang w:val="en-GB"/>
              </w:rPr>
              <w:t>1%</w:t>
            </w:r>
            <w:r>
              <w:rPr>
                <w:spacing w:val="-2"/>
                <w:lang w:val="en-GB"/>
              </w:rPr>
              <w:t xml:space="preserve"> </w:t>
            </w:r>
            <w:r w:rsidRPr="00CC1B66">
              <w:rPr>
                <w:spacing w:val="-2"/>
                <w:lang w:val="en-GB"/>
              </w:rPr>
              <w:t xml:space="preserve"> </w:t>
            </w:r>
            <w:r>
              <w:rPr>
                <w:spacing w:val="-2"/>
                <w:lang w:val="en-GB"/>
              </w:rPr>
              <w:t>given the employment stagnation</w:t>
            </w:r>
            <w:r w:rsidRPr="00CC1B66">
              <w:rPr>
                <w:spacing w:val="-2"/>
                <w:lang w:val="en-GB"/>
              </w:rPr>
              <w:t>) a</w:t>
            </w:r>
            <w:r>
              <w:rPr>
                <w:spacing w:val="-2"/>
                <w:lang w:val="en-GB"/>
              </w:rPr>
              <w:t>nd further in branches with the dominant government sector activities</w:t>
            </w:r>
            <w:r w:rsidRPr="00CC1B66">
              <w:rPr>
                <w:rStyle w:val="Znakapoznpodarou"/>
                <w:spacing w:val="-2"/>
                <w:lang w:val="en-GB"/>
              </w:rPr>
              <w:footnoteReference w:id="7"/>
            </w:r>
            <w:r w:rsidRPr="00CC1B66">
              <w:rPr>
                <w:spacing w:val="-2"/>
                <w:lang w:val="en-GB"/>
              </w:rPr>
              <w:t xml:space="preserve"> (8</w:t>
            </w:r>
            <w:r>
              <w:rPr>
                <w:spacing w:val="-2"/>
                <w:lang w:val="en-GB"/>
              </w:rPr>
              <w:t>.</w:t>
            </w:r>
            <w:r w:rsidRPr="00CC1B66">
              <w:rPr>
                <w:spacing w:val="-2"/>
                <w:lang w:val="en-GB"/>
              </w:rPr>
              <w:t xml:space="preserve">9%, </w:t>
            </w:r>
            <w:r>
              <w:rPr>
                <w:spacing w:val="-2"/>
                <w:lang w:val="en-GB"/>
              </w:rPr>
              <w:t xml:space="preserve">employment growth of </w:t>
            </w:r>
            <w:r w:rsidRPr="00CC1B66">
              <w:rPr>
                <w:spacing w:val="-2"/>
                <w:lang w:val="en-GB"/>
              </w:rPr>
              <w:t>2</w:t>
            </w:r>
            <w:r>
              <w:rPr>
                <w:spacing w:val="-2"/>
                <w:lang w:val="en-GB"/>
              </w:rPr>
              <w:t>.</w:t>
            </w:r>
            <w:r w:rsidRPr="00CC1B66">
              <w:rPr>
                <w:spacing w:val="-2"/>
                <w:lang w:val="en-GB"/>
              </w:rPr>
              <w:t>8%),</w:t>
            </w:r>
            <w:r>
              <w:rPr>
                <w:spacing w:val="-2"/>
                <w:lang w:val="en-GB"/>
              </w:rPr>
              <w:t xml:space="preserve"> where the payment of bonuses to health care professionals and other forces participating on tackling the pandemics. The volume of earnings also grew at above average pace </w:t>
            </w:r>
            <w:r w:rsidRPr="00CC1B66">
              <w:rPr>
                <w:spacing w:val="-2"/>
                <w:lang w:val="en-GB"/>
              </w:rPr>
              <w:t>(7</w:t>
            </w:r>
            <w:r>
              <w:rPr>
                <w:spacing w:val="-2"/>
                <w:lang w:val="en-GB"/>
              </w:rPr>
              <w:t>.</w:t>
            </w:r>
            <w:r w:rsidRPr="00CC1B66">
              <w:rPr>
                <w:spacing w:val="-2"/>
                <w:lang w:val="en-GB"/>
              </w:rPr>
              <w:t>7%)</w:t>
            </w:r>
            <w:r>
              <w:rPr>
                <w:spacing w:val="-2"/>
                <w:lang w:val="en-GB"/>
              </w:rPr>
              <w:t xml:space="preserve"> in professional, scientific, technical and administrative activities and continuing growth of employment</w:t>
            </w:r>
            <w:r w:rsidRPr="00CC1B66">
              <w:rPr>
                <w:rStyle w:val="Znakapoznpodarou"/>
                <w:spacing w:val="-2"/>
                <w:lang w:val="en-GB"/>
              </w:rPr>
              <w:footnoteReference w:id="8"/>
            </w:r>
            <w:r>
              <w:rPr>
                <w:spacing w:val="-2"/>
                <w:lang w:val="en-GB"/>
              </w:rPr>
              <w:t xml:space="preserve"> </w:t>
            </w:r>
            <w:r w:rsidRPr="00CC1B66">
              <w:rPr>
                <w:spacing w:val="-2"/>
                <w:lang w:val="en-GB"/>
              </w:rPr>
              <w:t>(3</w:t>
            </w:r>
            <w:r>
              <w:rPr>
                <w:spacing w:val="-2"/>
                <w:lang w:val="en-GB"/>
              </w:rPr>
              <w:t>.</w:t>
            </w:r>
            <w:r w:rsidRPr="00CC1B66">
              <w:rPr>
                <w:spacing w:val="-2"/>
                <w:lang w:val="en-GB"/>
              </w:rPr>
              <w:t>4%)</w:t>
            </w:r>
            <w:r>
              <w:rPr>
                <w:spacing w:val="-2"/>
                <w:lang w:val="en-GB"/>
              </w:rPr>
              <w:t xml:space="preserve"> supported the growth of wages and salaries in information and communication </w:t>
            </w:r>
            <w:r w:rsidRPr="00CC1B66">
              <w:rPr>
                <w:spacing w:val="-2"/>
                <w:lang w:val="en-GB"/>
              </w:rPr>
              <w:t>(6</w:t>
            </w:r>
            <w:r>
              <w:rPr>
                <w:spacing w:val="-2"/>
                <w:lang w:val="en-GB"/>
              </w:rPr>
              <w:t>.</w:t>
            </w:r>
            <w:r w:rsidRPr="00CC1B66">
              <w:rPr>
                <w:spacing w:val="-2"/>
                <w:lang w:val="en-GB"/>
              </w:rPr>
              <w:t xml:space="preserve">9%). </w:t>
            </w:r>
            <w:r>
              <w:rPr>
                <w:spacing w:val="-2"/>
                <w:lang w:val="en-GB"/>
              </w:rPr>
              <w:t xml:space="preserve">Wages and salaries were by </w:t>
            </w:r>
            <w:r w:rsidRPr="00CC1B66">
              <w:rPr>
                <w:spacing w:val="-2"/>
                <w:lang w:val="en-GB"/>
              </w:rPr>
              <w:t>6</w:t>
            </w:r>
            <w:r>
              <w:rPr>
                <w:spacing w:val="-2"/>
                <w:lang w:val="en-GB"/>
              </w:rPr>
              <w:t>.</w:t>
            </w:r>
            <w:r w:rsidRPr="00CC1B66">
              <w:rPr>
                <w:spacing w:val="-2"/>
                <w:lang w:val="en-GB"/>
              </w:rPr>
              <w:t>3%</w:t>
            </w:r>
            <w:r>
              <w:rPr>
                <w:spacing w:val="-2"/>
                <w:lang w:val="en-GB"/>
              </w:rPr>
              <w:t xml:space="preserve"> higher in manufacturing</w:t>
            </w:r>
            <w:r w:rsidRPr="00CC1B66">
              <w:rPr>
                <w:spacing w:val="-2"/>
                <w:lang w:val="en-GB"/>
              </w:rPr>
              <w:t xml:space="preserve">, </w:t>
            </w:r>
            <w:r>
              <w:rPr>
                <w:spacing w:val="-2"/>
                <w:lang w:val="en-GB"/>
              </w:rPr>
              <w:t xml:space="preserve">while the employment dropped by </w:t>
            </w:r>
            <w:r w:rsidRPr="00CC1B66">
              <w:rPr>
                <w:spacing w:val="-2"/>
                <w:lang w:val="en-GB"/>
              </w:rPr>
              <w:t>0</w:t>
            </w:r>
            <w:r>
              <w:rPr>
                <w:spacing w:val="-2"/>
                <w:lang w:val="en-GB"/>
              </w:rPr>
              <w:t>.</w:t>
            </w:r>
            <w:r w:rsidRPr="00CC1B66">
              <w:rPr>
                <w:spacing w:val="-2"/>
                <w:lang w:val="en-GB"/>
              </w:rPr>
              <w:t>5%.</w:t>
            </w:r>
            <w:r>
              <w:rPr>
                <w:spacing w:val="-2"/>
                <w:lang w:val="en-GB"/>
              </w:rPr>
              <w:t xml:space="preserve"> The </w:t>
            </w:r>
            <w:r w:rsidR="00801CCF">
              <w:rPr>
                <w:spacing w:val="-2"/>
                <w:lang w:val="en-GB"/>
              </w:rPr>
              <w:t xml:space="preserve">division </w:t>
            </w:r>
            <w:r>
              <w:rPr>
                <w:spacing w:val="-2"/>
                <w:lang w:val="en-GB"/>
              </w:rPr>
              <w:t xml:space="preserve">trade, transportation, accommodation and food </w:t>
            </w:r>
            <w:r w:rsidR="00FE263A">
              <w:rPr>
                <w:spacing w:val="-2"/>
                <w:lang w:val="en-GB"/>
              </w:rPr>
              <w:t xml:space="preserve">service </w:t>
            </w:r>
            <w:r w:rsidR="00FE263A" w:rsidRPr="00CC1B66">
              <w:rPr>
                <w:spacing w:val="-2"/>
                <w:lang w:val="en-GB"/>
              </w:rPr>
              <w:t>(</w:t>
            </w:r>
            <w:r w:rsidRPr="00CC1B66">
              <w:rPr>
                <w:spacing w:val="-2"/>
                <w:lang w:val="en-GB"/>
              </w:rPr>
              <w:t>5</w:t>
            </w:r>
            <w:r>
              <w:rPr>
                <w:spacing w:val="-2"/>
                <w:lang w:val="en-GB"/>
              </w:rPr>
              <w:t>.</w:t>
            </w:r>
            <w:r w:rsidRPr="00CC1B66">
              <w:rPr>
                <w:spacing w:val="-2"/>
                <w:lang w:val="en-GB"/>
              </w:rPr>
              <w:t>7%</w:t>
            </w:r>
            <w:r>
              <w:rPr>
                <w:spacing w:val="-2"/>
                <w:lang w:val="en-GB"/>
              </w:rPr>
              <w:t xml:space="preserve"> given the fall of employment by </w:t>
            </w:r>
            <w:r w:rsidRPr="00CC1B66">
              <w:rPr>
                <w:spacing w:val="-2"/>
                <w:lang w:val="en-GB"/>
              </w:rPr>
              <w:t>1</w:t>
            </w:r>
            <w:r>
              <w:rPr>
                <w:spacing w:val="-2"/>
                <w:lang w:val="en-GB"/>
              </w:rPr>
              <w:t>.</w:t>
            </w:r>
            <w:r w:rsidRPr="00CC1B66">
              <w:rPr>
                <w:spacing w:val="-2"/>
                <w:lang w:val="en-GB"/>
              </w:rPr>
              <w:t xml:space="preserve">7%), </w:t>
            </w:r>
            <w:r>
              <w:rPr>
                <w:spacing w:val="-2"/>
                <w:lang w:val="en-GB"/>
              </w:rPr>
              <w:t xml:space="preserve">construction </w:t>
            </w:r>
            <w:r w:rsidRPr="00CC1B66">
              <w:rPr>
                <w:spacing w:val="-2"/>
                <w:lang w:val="en-GB"/>
              </w:rPr>
              <w:t>(5</w:t>
            </w:r>
            <w:r>
              <w:rPr>
                <w:spacing w:val="-2"/>
                <w:lang w:val="en-GB"/>
              </w:rPr>
              <w:t>.</w:t>
            </w:r>
            <w:r w:rsidRPr="00CC1B66">
              <w:rPr>
                <w:spacing w:val="-2"/>
                <w:lang w:val="en-GB"/>
              </w:rPr>
              <w:t>5%),</w:t>
            </w:r>
            <w:r>
              <w:rPr>
                <w:spacing w:val="-2"/>
                <w:lang w:val="en-GB"/>
              </w:rPr>
              <w:t xml:space="preserve"> other activities </w:t>
            </w:r>
            <w:r w:rsidRPr="00CC1B66">
              <w:rPr>
                <w:spacing w:val="-2"/>
                <w:lang w:val="en-GB"/>
              </w:rPr>
              <w:t>(5</w:t>
            </w:r>
            <w:r>
              <w:rPr>
                <w:spacing w:val="-2"/>
                <w:lang w:val="en-GB"/>
              </w:rPr>
              <w:t>.</w:t>
            </w:r>
            <w:r w:rsidRPr="00CC1B66">
              <w:rPr>
                <w:spacing w:val="-2"/>
                <w:lang w:val="en-GB"/>
              </w:rPr>
              <w:t>4%),</w:t>
            </w:r>
            <w:r>
              <w:rPr>
                <w:spacing w:val="-2"/>
                <w:lang w:val="en-GB"/>
              </w:rPr>
              <w:t xml:space="preserve"> agriculture, forestry and fishing </w:t>
            </w:r>
            <w:r w:rsidRPr="00CC1B66">
              <w:rPr>
                <w:spacing w:val="-2"/>
                <w:lang w:val="en-GB"/>
              </w:rPr>
              <w:t>(4</w:t>
            </w:r>
            <w:r>
              <w:rPr>
                <w:spacing w:val="-2"/>
                <w:lang w:val="en-GB"/>
              </w:rPr>
              <w:t>.</w:t>
            </w:r>
            <w:r w:rsidRPr="00CC1B66">
              <w:rPr>
                <w:spacing w:val="-2"/>
                <w:lang w:val="en-GB"/>
              </w:rPr>
              <w:t>9%) a</w:t>
            </w:r>
            <w:r>
              <w:rPr>
                <w:spacing w:val="-2"/>
                <w:lang w:val="en-GB"/>
              </w:rPr>
              <w:t xml:space="preserve">nd financial and insurance activities </w:t>
            </w:r>
            <w:r w:rsidRPr="00CC1B66">
              <w:rPr>
                <w:spacing w:val="-2"/>
                <w:lang w:val="en-GB"/>
              </w:rPr>
              <w:t>(2</w:t>
            </w:r>
            <w:r>
              <w:rPr>
                <w:spacing w:val="-2"/>
                <w:lang w:val="en-GB"/>
              </w:rPr>
              <w:t>.</w:t>
            </w:r>
            <w:r w:rsidRPr="00CC1B66">
              <w:rPr>
                <w:spacing w:val="-2"/>
                <w:lang w:val="en-GB"/>
              </w:rPr>
              <w:t>2%)</w:t>
            </w:r>
            <w:r>
              <w:rPr>
                <w:spacing w:val="-2"/>
                <w:lang w:val="en-GB"/>
              </w:rPr>
              <w:t xml:space="preserve"> also featured below average increase</w:t>
            </w:r>
            <w:r w:rsidRPr="00CC1B66">
              <w:rPr>
                <w:spacing w:val="-2"/>
                <w:lang w:val="en-GB"/>
              </w:rPr>
              <w:t>.</w:t>
            </w:r>
          </w:p>
        </w:tc>
      </w:tr>
      <w:tr w:rsidR="00364B62" w:rsidRPr="009110F7" w14:paraId="2B117F54" w14:textId="77777777" w:rsidTr="00D2240D">
        <w:trPr>
          <w:trHeight w:val="145"/>
        </w:trPr>
        <w:tc>
          <w:tcPr>
            <w:tcW w:w="1806" w:type="dxa"/>
            <w:shd w:val="clear" w:color="auto" w:fill="auto"/>
            <w:tcMar>
              <w:left w:w="0" w:type="dxa"/>
            </w:tcMar>
          </w:tcPr>
          <w:p w14:paraId="49F4678E" w14:textId="083B0203" w:rsidR="00364B62" w:rsidRPr="007118D5" w:rsidRDefault="00364B62" w:rsidP="00364B62">
            <w:pPr>
              <w:pStyle w:val="Marginlie"/>
              <w:rPr>
                <w:lang w:val="en-GB"/>
              </w:rPr>
            </w:pPr>
            <w:r w:rsidRPr="007118D5">
              <w:rPr>
                <w:lang w:val="en-GB"/>
              </w:rPr>
              <w:t>Both wages and employment expanded year-on-year in Q4.</w:t>
            </w:r>
          </w:p>
        </w:tc>
        <w:tc>
          <w:tcPr>
            <w:tcW w:w="223" w:type="dxa"/>
            <w:shd w:val="clear" w:color="auto" w:fill="auto"/>
            <w:tcMar>
              <w:left w:w="0" w:type="dxa"/>
            </w:tcMar>
          </w:tcPr>
          <w:p w14:paraId="40358708" w14:textId="77777777" w:rsidR="00364B62" w:rsidRPr="007118D5" w:rsidRDefault="00364B62" w:rsidP="00364B62">
            <w:pPr>
              <w:pStyle w:val="Textpoznpodarou"/>
              <w:jc w:val="both"/>
              <w:rPr>
                <w:spacing w:val="-4"/>
                <w:lang w:val="en-GB"/>
              </w:rPr>
            </w:pPr>
          </w:p>
        </w:tc>
        <w:tc>
          <w:tcPr>
            <w:tcW w:w="7610" w:type="dxa"/>
            <w:shd w:val="clear" w:color="auto" w:fill="auto"/>
            <w:tcMar>
              <w:left w:w="0" w:type="dxa"/>
            </w:tcMar>
          </w:tcPr>
          <w:p w14:paraId="608A0C94" w14:textId="5AEE6954" w:rsidR="00364B62" w:rsidRPr="007118D5" w:rsidRDefault="00364B62" w:rsidP="00364B62">
            <w:pPr>
              <w:rPr>
                <w:spacing w:val="-2"/>
                <w:lang w:val="en-GB"/>
              </w:rPr>
            </w:pPr>
            <w:r>
              <w:rPr>
                <w:spacing w:val="-2"/>
                <w:lang w:val="en-GB"/>
              </w:rPr>
              <w:t>In Q</w:t>
            </w:r>
            <w:r w:rsidRPr="007118D5">
              <w:rPr>
                <w:spacing w:val="-2"/>
                <w:lang w:val="en-GB"/>
              </w:rPr>
              <w:t>4</w:t>
            </w:r>
            <w:r>
              <w:rPr>
                <w:spacing w:val="-2"/>
                <w:lang w:val="en-GB"/>
              </w:rPr>
              <w:t xml:space="preserve">, the volume of paid out wages and salaries increased by </w:t>
            </w:r>
            <w:r w:rsidRPr="007118D5">
              <w:rPr>
                <w:spacing w:val="-2"/>
                <w:lang w:val="en-GB"/>
              </w:rPr>
              <w:t>7</w:t>
            </w:r>
            <w:r>
              <w:rPr>
                <w:spacing w:val="-2"/>
                <w:lang w:val="en-GB"/>
              </w:rPr>
              <w:t>.</w:t>
            </w:r>
            <w:r w:rsidRPr="007118D5">
              <w:rPr>
                <w:spacing w:val="-2"/>
                <w:lang w:val="en-GB"/>
              </w:rPr>
              <w:t>6%</w:t>
            </w:r>
            <w:r>
              <w:rPr>
                <w:spacing w:val="-2"/>
                <w:lang w:val="en-GB"/>
              </w:rPr>
              <w:t xml:space="preserve"> year-on-year and the total employment was by </w:t>
            </w:r>
            <w:r w:rsidRPr="007118D5">
              <w:rPr>
                <w:spacing w:val="-2"/>
                <w:lang w:val="en-GB"/>
              </w:rPr>
              <w:t>1</w:t>
            </w:r>
            <w:r>
              <w:rPr>
                <w:spacing w:val="-2"/>
                <w:lang w:val="en-GB"/>
              </w:rPr>
              <w:t>.</w:t>
            </w:r>
            <w:r w:rsidRPr="007118D5">
              <w:rPr>
                <w:spacing w:val="-2"/>
                <w:lang w:val="en-GB"/>
              </w:rPr>
              <w:t>3%</w:t>
            </w:r>
            <w:r>
              <w:rPr>
                <w:spacing w:val="-2"/>
                <w:lang w:val="en-GB"/>
              </w:rPr>
              <w:t xml:space="preserve"> higher</w:t>
            </w:r>
            <w:r w:rsidRPr="007118D5">
              <w:rPr>
                <w:spacing w:val="-2"/>
                <w:lang w:val="en-GB"/>
              </w:rPr>
              <w:t>.</w:t>
            </w:r>
            <w:r>
              <w:rPr>
                <w:spacing w:val="-2"/>
                <w:lang w:val="en-GB"/>
              </w:rPr>
              <w:t xml:space="preserve"> Real growth of the volume of wages was </w:t>
            </w:r>
            <w:r w:rsidRPr="007118D5">
              <w:rPr>
                <w:spacing w:val="-2"/>
                <w:lang w:val="en-GB"/>
              </w:rPr>
              <w:t>2</w:t>
            </w:r>
            <w:r>
              <w:rPr>
                <w:spacing w:val="-2"/>
                <w:lang w:val="en-GB"/>
              </w:rPr>
              <w:t>.</w:t>
            </w:r>
            <w:r w:rsidRPr="007118D5">
              <w:rPr>
                <w:spacing w:val="-2"/>
                <w:lang w:val="en-GB"/>
              </w:rPr>
              <w:t>8%,</w:t>
            </w:r>
            <w:r>
              <w:rPr>
                <w:spacing w:val="-2"/>
                <w:lang w:val="en-GB"/>
              </w:rPr>
              <w:t xml:space="preserve"> which is with the </w:t>
            </w:r>
            <w:r w:rsidRPr="004D57FF">
              <w:rPr>
                <w:spacing w:val="-2"/>
                <w:lang w:val="en-GB"/>
              </w:rPr>
              <w:t xml:space="preserve">exception of periods </w:t>
            </w:r>
            <w:r w:rsidR="00687D2B">
              <w:rPr>
                <w:spacing w:val="-2"/>
                <w:lang w:val="en-GB"/>
              </w:rPr>
              <w:t xml:space="preserve">of </w:t>
            </w:r>
            <w:r w:rsidRPr="004D57FF">
              <w:rPr>
                <w:spacing w:val="-2"/>
                <w:lang w:val="en-GB"/>
              </w:rPr>
              <w:t>year 2020 and last year’s Q1, hit by the pandemics, the least since Q3 2014.</w:t>
            </w:r>
            <w:r>
              <w:rPr>
                <w:spacing w:val="-2"/>
                <w:lang w:val="en-GB"/>
              </w:rPr>
              <w:t xml:space="preserve"> Quarter-on-quarter, the volume of wages and salaries grew by </w:t>
            </w:r>
            <w:r w:rsidRPr="004D57FF">
              <w:rPr>
                <w:spacing w:val="-2"/>
                <w:lang w:val="en-GB"/>
              </w:rPr>
              <w:t>1</w:t>
            </w:r>
            <w:r>
              <w:rPr>
                <w:spacing w:val="-2"/>
                <w:lang w:val="en-GB"/>
              </w:rPr>
              <w:t>.</w:t>
            </w:r>
            <w:r w:rsidRPr="004D57FF">
              <w:rPr>
                <w:spacing w:val="-2"/>
                <w:lang w:val="en-GB"/>
              </w:rPr>
              <w:t>5% a</w:t>
            </w:r>
            <w:r>
              <w:rPr>
                <w:spacing w:val="-2"/>
                <w:lang w:val="en-GB"/>
              </w:rPr>
              <w:t xml:space="preserve">nd employment by </w:t>
            </w:r>
            <w:r w:rsidRPr="004D57FF">
              <w:rPr>
                <w:spacing w:val="-2"/>
                <w:lang w:val="en-GB"/>
              </w:rPr>
              <w:t>0</w:t>
            </w:r>
            <w:r>
              <w:rPr>
                <w:spacing w:val="-2"/>
                <w:lang w:val="en-GB"/>
              </w:rPr>
              <w:t>.</w:t>
            </w:r>
            <w:r w:rsidRPr="004D57FF">
              <w:rPr>
                <w:spacing w:val="-2"/>
                <w:lang w:val="en-GB"/>
              </w:rPr>
              <w:t>1%.</w:t>
            </w:r>
            <w:r>
              <w:rPr>
                <w:spacing w:val="-2"/>
                <w:lang w:val="en-GB"/>
              </w:rPr>
              <w:t xml:space="preserve"> Wages and salaries in real estate activities achieve the strongest year-on-year increase </w:t>
            </w:r>
            <w:r w:rsidRPr="004D57FF">
              <w:rPr>
                <w:spacing w:val="-2"/>
                <w:lang w:val="en-GB"/>
              </w:rPr>
              <w:t>(21</w:t>
            </w:r>
            <w:r>
              <w:rPr>
                <w:spacing w:val="-2"/>
                <w:lang w:val="en-GB"/>
              </w:rPr>
              <w:t>.</w:t>
            </w:r>
            <w:r w:rsidRPr="004D57FF">
              <w:rPr>
                <w:spacing w:val="-2"/>
                <w:lang w:val="en-GB"/>
              </w:rPr>
              <w:t xml:space="preserve">8%). </w:t>
            </w:r>
            <w:r>
              <w:rPr>
                <w:spacing w:val="-2"/>
                <w:lang w:val="en-GB"/>
              </w:rPr>
              <w:t xml:space="preserve">Increase in other activities </w:t>
            </w:r>
            <w:r w:rsidRPr="004D57FF">
              <w:rPr>
                <w:spacing w:val="-2"/>
                <w:lang w:val="en-GB"/>
              </w:rPr>
              <w:t>(20</w:t>
            </w:r>
            <w:r>
              <w:rPr>
                <w:spacing w:val="-2"/>
                <w:lang w:val="en-GB"/>
              </w:rPr>
              <w:t>.</w:t>
            </w:r>
            <w:r w:rsidRPr="004D57FF">
              <w:rPr>
                <w:spacing w:val="-2"/>
                <w:lang w:val="en-GB"/>
              </w:rPr>
              <w:t>5%)</w:t>
            </w:r>
            <w:r>
              <w:rPr>
                <w:spacing w:val="-2"/>
                <w:lang w:val="en-GB"/>
              </w:rPr>
              <w:t xml:space="preserve"> and in trade, transportation, accommodation and food service </w:t>
            </w:r>
            <w:r w:rsidRPr="004D57FF">
              <w:rPr>
                <w:spacing w:val="-2"/>
                <w:lang w:val="en-GB"/>
              </w:rPr>
              <w:t>(18</w:t>
            </w:r>
            <w:r>
              <w:rPr>
                <w:spacing w:val="-2"/>
                <w:lang w:val="en-GB"/>
              </w:rPr>
              <w:t>.</w:t>
            </w:r>
            <w:r w:rsidRPr="004D57FF">
              <w:rPr>
                <w:spacing w:val="-2"/>
                <w:lang w:val="en-GB"/>
              </w:rPr>
              <w:t>2%)</w:t>
            </w:r>
            <w:r>
              <w:rPr>
                <w:spacing w:val="-2"/>
                <w:lang w:val="en-GB"/>
              </w:rPr>
              <w:t xml:space="preserve"> was to a large extent affected by low comparative basis of Q</w:t>
            </w:r>
            <w:r w:rsidRPr="004D57FF">
              <w:rPr>
                <w:spacing w:val="-2"/>
                <w:lang w:val="en-GB"/>
              </w:rPr>
              <w:t>4</w:t>
            </w:r>
            <w:r>
              <w:rPr>
                <w:spacing w:val="-2"/>
                <w:lang w:val="en-GB"/>
              </w:rPr>
              <w:t xml:space="preserve"> </w:t>
            </w:r>
            <w:r w:rsidRPr="004D57FF">
              <w:rPr>
                <w:spacing w:val="-2"/>
                <w:lang w:val="en-GB"/>
              </w:rPr>
              <w:t xml:space="preserve">2020. </w:t>
            </w:r>
            <w:r>
              <w:rPr>
                <w:spacing w:val="-2"/>
                <w:lang w:val="en-GB"/>
              </w:rPr>
              <w:t>Volume of wages and salaries also expanded at above average pace in professional, scientific, technical and administrative activities (</w:t>
            </w:r>
            <w:r w:rsidRPr="004D57FF">
              <w:rPr>
                <w:spacing w:val="-2"/>
                <w:lang w:val="en-GB"/>
              </w:rPr>
              <w:t>9</w:t>
            </w:r>
            <w:r>
              <w:rPr>
                <w:spacing w:val="-2"/>
                <w:lang w:val="en-GB"/>
              </w:rPr>
              <w:t>.</w:t>
            </w:r>
            <w:r w:rsidRPr="004D57FF">
              <w:rPr>
                <w:spacing w:val="-2"/>
                <w:lang w:val="en-GB"/>
              </w:rPr>
              <w:t xml:space="preserve">7%). </w:t>
            </w:r>
            <w:r>
              <w:rPr>
                <w:spacing w:val="-2"/>
                <w:lang w:val="en-GB"/>
              </w:rPr>
              <w:t xml:space="preserve">The wage resources were growing slower in the remaining part of the economy. It was by </w:t>
            </w:r>
            <w:r w:rsidRPr="004D57FF">
              <w:rPr>
                <w:spacing w:val="-2"/>
                <w:lang w:val="en-GB"/>
              </w:rPr>
              <w:t>6</w:t>
            </w:r>
            <w:r>
              <w:rPr>
                <w:spacing w:val="-2"/>
                <w:lang w:val="en-GB"/>
              </w:rPr>
              <w:t>.</w:t>
            </w:r>
            <w:r w:rsidRPr="004D57FF">
              <w:rPr>
                <w:spacing w:val="-2"/>
                <w:lang w:val="en-GB"/>
              </w:rPr>
              <w:t>4%</w:t>
            </w:r>
            <w:r>
              <w:rPr>
                <w:spacing w:val="-2"/>
                <w:lang w:val="en-GB"/>
              </w:rPr>
              <w:t xml:space="preserve"> in communication</w:t>
            </w:r>
            <w:r w:rsidRPr="004D57FF">
              <w:rPr>
                <w:spacing w:val="-2"/>
                <w:lang w:val="en-GB"/>
              </w:rPr>
              <w:t>,</w:t>
            </w:r>
            <w:r>
              <w:rPr>
                <w:spacing w:val="-2"/>
                <w:lang w:val="en-GB"/>
              </w:rPr>
              <w:t xml:space="preserve"> by 6.1% in agriculture, forestry and fishing, by </w:t>
            </w:r>
            <w:r w:rsidRPr="004D57FF">
              <w:rPr>
                <w:spacing w:val="-2"/>
                <w:lang w:val="en-GB"/>
              </w:rPr>
              <w:t>5</w:t>
            </w:r>
            <w:r>
              <w:rPr>
                <w:spacing w:val="-2"/>
                <w:lang w:val="en-GB"/>
              </w:rPr>
              <w:t>.</w:t>
            </w:r>
            <w:r w:rsidRPr="004D57FF">
              <w:rPr>
                <w:spacing w:val="-2"/>
                <w:lang w:val="en-GB"/>
              </w:rPr>
              <w:t>5%</w:t>
            </w:r>
            <w:r>
              <w:rPr>
                <w:spacing w:val="-2"/>
                <w:lang w:val="en-GB"/>
              </w:rPr>
              <w:t xml:space="preserve"> in construction</w:t>
            </w:r>
            <w:r w:rsidRPr="004D57FF">
              <w:rPr>
                <w:spacing w:val="-2"/>
                <w:lang w:val="en-GB"/>
              </w:rPr>
              <w:t>,</w:t>
            </w:r>
            <w:r>
              <w:rPr>
                <w:spacing w:val="-2"/>
                <w:lang w:val="en-GB"/>
              </w:rPr>
              <w:t xml:space="preserve"> by </w:t>
            </w:r>
            <w:r w:rsidRPr="004D57FF">
              <w:rPr>
                <w:spacing w:val="-2"/>
                <w:lang w:val="en-GB"/>
              </w:rPr>
              <w:t>5</w:t>
            </w:r>
            <w:r>
              <w:rPr>
                <w:spacing w:val="-2"/>
                <w:lang w:val="en-GB"/>
              </w:rPr>
              <w:t>.</w:t>
            </w:r>
            <w:r w:rsidRPr="004D57FF">
              <w:rPr>
                <w:spacing w:val="-2"/>
                <w:lang w:val="en-GB"/>
              </w:rPr>
              <w:t>4%</w:t>
            </w:r>
            <w:r>
              <w:rPr>
                <w:spacing w:val="-2"/>
                <w:lang w:val="en-GB"/>
              </w:rPr>
              <w:t xml:space="preserve"> in financial and insurance activities</w:t>
            </w:r>
            <w:r w:rsidRPr="004D57FF">
              <w:rPr>
                <w:spacing w:val="-2"/>
                <w:lang w:val="en-GB"/>
              </w:rPr>
              <w:t xml:space="preserve">. </w:t>
            </w:r>
            <w:r>
              <w:rPr>
                <w:spacing w:val="-2"/>
                <w:lang w:val="en-GB"/>
              </w:rPr>
              <w:t xml:space="preserve">Their year-on-year growth markedly slowed down to </w:t>
            </w:r>
            <w:r w:rsidRPr="004D57FF">
              <w:rPr>
                <w:spacing w:val="-2"/>
                <w:lang w:val="en-GB"/>
              </w:rPr>
              <w:t>4</w:t>
            </w:r>
            <w:r>
              <w:rPr>
                <w:spacing w:val="-2"/>
                <w:lang w:val="en-GB"/>
              </w:rPr>
              <w:t>.</w:t>
            </w:r>
            <w:r w:rsidRPr="004D57FF">
              <w:rPr>
                <w:spacing w:val="-2"/>
                <w:lang w:val="en-GB"/>
              </w:rPr>
              <w:t>6%</w:t>
            </w:r>
            <w:r>
              <w:rPr>
                <w:spacing w:val="-2"/>
                <w:lang w:val="en-GB"/>
              </w:rPr>
              <w:t xml:space="preserve"> in manufacturing and it also moderated under the influence of high comparative basis in branches with the dominance of the government sector to </w:t>
            </w:r>
            <w:r w:rsidRPr="004D57FF">
              <w:rPr>
                <w:spacing w:val="-2"/>
                <w:lang w:val="en-GB"/>
              </w:rPr>
              <w:t>2</w:t>
            </w:r>
            <w:r>
              <w:rPr>
                <w:spacing w:val="-2"/>
                <w:lang w:val="en-GB"/>
              </w:rPr>
              <w:t>.</w:t>
            </w:r>
            <w:r w:rsidRPr="004D57FF">
              <w:rPr>
                <w:spacing w:val="-2"/>
                <w:lang w:val="en-GB"/>
              </w:rPr>
              <w:t>1%</w:t>
            </w:r>
            <w:r w:rsidRPr="004D57FF">
              <w:rPr>
                <w:rStyle w:val="Znakapoznpodarou"/>
                <w:spacing w:val="-2"/>
                <w:lang w:val="en-GB"/>
              </w:rPr>
              <w:footnoteReference w:id="9"/>
            </w:r>
            <w:r w:rsidRPr="004D57FF">
              <w:rPr>
                <w:spacing w:val="-2"/>
                <w:lang w:val="en-GB"/>
              </w:rPr>
              <w:t>.</w:t>
            </w:r>
          </w:p>
        </w:tc>
      </w:tr>
      <w:tr w:rsidR="00364B62" w:rsidRPr="009110F7" w14:paraId="25F143C5" w14:textId="77777777" w:rsidTr="00D2240D">
        <w:trPr>
          <w:trHeight w:val="145"/>
        </w:trPr>
        <w:tc>
          <w:tcPr>
            <w:tcW w:w="1806" w:type="dxa"/>
            <w:shd w:val="clear" w:color="auto" w:fill="auto"/>
            <w:tcMar>
              <w:left w:w="0" w:type="dxa"/>
            </w:tcMar>
          </w:tcPr>
          <w:p w14:paraId="594E9321" w14:textId="224C26E6" w:rsidR="00364B62" w:rsidRPr="006D6CE9" w:rsidRDefault="00364B62" w:rsidP="00364B62">
            <w:pPr>
              <w:pStyle w:val="Marginlie"/>
              <w:rPr>
                <w:lang w:val="en-GB"/>
              </w:rPr>
            </w:pPr>
            <w:r w:rsidRPr="006D6CE9">
              <w:rPr>
                <w:lang w:val="en-GB"/>
              </w:rPr>
              <w:t xml:space="preserve">Consumption significantly contributed to the GDP growth last year. </w:t>
            </w:r>
          </w:p>
        </w:tc>
        <w:tc>
          <w:tcPr>
            <w:tcW w:w="223" w:type="dxa"/>
            <w:shd w:val="clear" w:color="auto" w:fill="auto"/>
            <w:tcMar>
              <w:left w:w="0" w:type="dxa"/>
            </w:tcMar>
          </w:tcPr>
          <w:p w14:paraId="366F3C1F" w14:textId="77777777" w:rsidR="00364B62" w:rsidRDefault="00364B62" w:rsidP="00364B62">
            <w:pPr>
              <w:pStyle w:val="Textpoznpodarou"/>
              <w:jc w:val="both"/>
              <w:rPr>
                <w:spacing w:val="-4"/>
              </w:rPr>
            </w:pPr>
          </w:p>
        </w:tc>
        <w:tc>
          <w:tcPr>
            <w:tcW w:w="7610" w:type="dxa"/>
            <w:shd w:val="clear" w:color="auto" w:fill="auto"/>
            <w:tcMar>
              <w:left w:w="0" w:type="dxa"/>
            </w:tcMar>
          </w:tcPr>
          <w:p w14:paraId="646230A6" w14:textId="418AD6F9" w:rsidR="00364B62" w:rsidRPr="00507216" w:rsidRDefault="00364B62" w:rsidP="00364B62">
            <w:pPr>
              <w:rPr>
                <w:spacing w:val="-2"/>
                <w:lang w:val="en-GB"/>
              </w:rPr>
            </w:pPr>
            <w:r w:rsidRPr="00507216">
              <w:rPr>
                <w:spacing w:val="-2"/>
                <w:lang w:val="en-GB"/>
              </w:rPr>
              <w:t xml:space="preserve">The domestic consumption increased by 3.5% in 2021. </w:t>
            </w:r>
            <w:r>
              <w:rPr>
                <w:spacing w:val="-2"/>
                <w:lang w:val="en-GB"/>
              </w:rPr>
              <w:t xml:space="preserve">It contributed </w:t>
            </w:r>
            <w:r w:rsidRPr="00507216">
              <w:rPr>
                <w:spacing w:val="-2"/>
                <w:lang w:val="en-GB"/>
              </w:rPr>
              <w:t>1</w:t>
            </w:r>
            <w:r>
              <w:rPr>
                <w:spacing w:val="-2"/>
                <w:lang w:val="en-GB"/>
              </w:rPr>
              <w:t>.</w:t>
            </w:r>
            <w:r w:rsidRPr="00507216">
              <w:rPr>
                <w:spacing w:val="-2"/>
                <w:lang w:val="en-GB"/>
              </w:rPr>
              <w:t>4 p.</w:t>
            </w:r>
            <w:r>
              <w:rPr>
                <w:spacing w:val="-2"/>
                <w:lang w:val="en-GB"/>
              </w:rPr>
              <w:t>p.</w:t>
            </w:r>
            <w:r w:rsidRPr="00507216">
              <w:rPr>
                <w:rStyle w:val="Znakapoznpodarou"/>
                <w:spacing w:val="-2"/>
                <w:lang w:val="en-GB"/>
              </w:rPr>
              <w:footnoteReference w:id="10"/>
            </w:r>
            <w:r>
              <w:rPr>
                <w:spacing w:val="-2"/>
                <w:lang w:val="en-GB"/>
              </w:rPr>
              <w:t xml:space="preserve"> to the GDP growth. Especially the household consumption was growing </w:t>
            </w:r>
            <w:r w:rsidRPr="00507216">
              <w:rPr>
                <w:spacing w:val="-2"/>
                <w:lang w:val="en-GB"/>
              </w:rPr>
              <w:t>(4</w:t>
            </w:r>
            <w:r>
              <w:rPr>
                <w:spacing w:val="-2"/>
                <w:lang w:val="en-GB"/>
              </w:rPr>
              <w:t>.</w:t>
            </w:r>
            <w:r w:rsidRPr="00507216">
              <w:rPr>
                <w:spacing w:val="-2"/>
                <w:lang w:val="en-GB"/>
              </w:rPr>
              <w:t xml:space="preserve">3%), </w:t>
            </w:r>
            <w:r>
              <w:rPr>
                <w:spacing w:val="-2"/>
                <w:lang w:val="en-GB"/>
              </w:rPr>
              <w:t xml:space="preserve">the increase was smaller in case of government institutions </w:t>
            </w:r>
            <w:r w:rsidRPr="00507216">
              <w:rPr>
                <w:spacing w:val="-2"/>
                <w:lang w:val="en-GB"/>
              </w:rPr>
              <w:t>(1</w:t>
            </w:r>
            <w:r>
              <w:rPr>
                <w:spacing w:val="-2"/>
                <w:lang w:val="en-GB"/>
              </w:rPr>
              <w:t>.</w:t>
            </w:r>
            <w:r w:rsidRPr="00507216">
              <w:rPr>
                <w:spacing w:val="-2"/>
                <w:lang w:val="en-GB"/>
              </w:rPr>
              <w:t>6%).</w:t>
            </w:r>
            <w:r>
              <w:rPr>
                <w:spacing w:val="-2"/>
                <w:lang w:val="en-GB"/>
              </w:rPr>
              <w:t xml:space="preserve"> The structure of consumption </w:t>
            </w:r>
            <w:r>
              <w:rPr>
                <w:spacing w:val="-2"/>
                <w:lang w:val="en-GB"/>
              </w:rPr>
              <w:lastRenderedPageBreak/>
              <w:t>according to the durability</w:t>
            </w:r>
            <w:r w:rsidRPr="00507216">
              <w:rPr>
                <w:rStyle w:val="Znakapoznpodarou"/>
                <w:lang w:val="en-GB"/>
              </w:rPr>
              <w:footnoteReference w:id="11"/>
            </w:r>
            <w:r w:rsidRPr="00507216">
              <w:rPr>
                <w:spacing w:val="-2"/>
                <w:lang w:val="en-GB"/>
              </w:rPr>
              <w:t xml:space="preserve"> </w:t>
            </w:r>
            <w:r>
              <w:rPr>
                <w:spacing w:val="-2"/>
                <w:lang w:val="en-GB"/>
              </w:rPr>
              <w:t xml:space="preserve">partially reflected the comparison with year </w:t>
            </w:r>
            <w:r w:rsidRPr="00507216">
              <w:rPr>
                <w:spacing w:val="-2"/>
                <w:lang w:val="en-GB"/>
              </w:rPr>
              <w:t xml:space="preserve">2020, </w:t>
            </w:r>
            <w:r>
              <w:rPr>
                <w:spacing w:val="-2"/>
                <w:lang w:val="en-GB"/>
              </w:rPr>
              <w:t>when the sale of part of retail products</w:t>
            </w:r>
            <w:r w:rsidRPr="00507216">
              <w:rPr>
                <w:rStyle w:val="Znakapoznpodarou"/>
                <w:spacing w:val="-2"/>
                <w:lang w:val="en-GB"/>
              </w:rPr>
              <w:footnoteReference w:id="12"/>
            </w:r>
            <w:r>
              <w:rPr>
                <w:spacing w:val="-2"/>
                <w:lang w:val="en-GB"/>
              </w:rPr>
              <w:t xml:space="preserve"> and the operations of services was restricted for a given period of time. The consumption of durable goods thus increased by </w:t>
            </w:r>
            <w:r w:rsidRPr="00507216">
              <w:rPr>
                <w:spacing w:val="-2"/>
                <w:lang w:val="en-GB"/>
              </w:rPr>
              <w:t>5</w:t>
            </w:r>
            <w:r>
              <w:rPr>
                <w:spacing w:val="-2"/>
                <w:lang w:val="en-GB"/>
              </w:rPr>
              <w:t>.</w:t>
            </w:r>
            <w:r w:rsidRPr="00507216">
              <w:rPr>
                <w:spacing w:val="-2"/>
                <w:lang w:val="en-GB"/>
              </w:rPr>
              <w:t>0%,</w:t>
            </w:r>
            <w:r>
              <w:rPr>
                <w:spacing w:val="-2"/>
                <w:lang w:val="en-GB"/>
              </w:rPr>
              <w:t xml:space="preserve"> medium-term goods by </w:t>
            </w:r>
            <w:r w:rsidRPr="00507216">
              <w:rPr>
                <w:spacing w:val="-2"/>
                <w:lang w:val="en-GB"/>
              </w:rPr>
              <w:t>4</w:t>
            </w:r>
            <w:r>
              <w:rPr>
                <w:spacing w:val="-2"/>
                <w:lang w:val="en-GB"/>
              </w:rPr>
              <w:t>.</w:t>
            </w:r>
            <w:r w:rsidRPr="00507216">
              <w:rPr>
                <w:spacing w:val="-2"/>
                <w:lang w:val="en-GB"/>
              </w:rPr>
              <w:t>8% a</w:t>
            </w:r>
            <w:r>
              <w:rPr>
                <w:spacing w:val="-2"/>
                <w:lang w:val="en-GB"/>
              </w:rPr>
              <w:t xml:space="preserve">nd services by </w:t>
            </w:r>
            <w:r w:rsidRPr="00507216">
              <w:rPr>
                <w:spacing w:val="-2"/>
                <w:lang w:val="en-GB"/>
              </w:rPr>
              <w:t>4</w:t>
            </w:r>
            <w:r>
              <w:rPr>
                <w:spacing w:val="-2"/>
                <w:lang w:val="en-GB"/>
              </w:rPr>
              <w:t>.</w:t>
            </w:r>
            <w:r w:rsidRPr="00507216">
              <w:rPr>
                <w:spacing w:val="-2"/>
                <w:lang w:val="en-GB"/>
              </w:rPr>
              <w:t>0%</w:t>
            </w:r>
            <w:r>
              <w:rPr>
                <w:spacing w:val="-2"/>
                <w:lang w:val="en-GB"/>
              </w:rPr>
              <w:t xml:space="preserve"> last year</w:t>
            </w:r>
            <w:r w:rsidRPr="00507216">
              <w:rPr>
                <w:spacing w:val="-2"/>
                <w:lang w:val="en-GB"/>
              </w:rPr>
              <w:t>.</w:t>
            </w:r>
            <w:r>
              <w:rPr>
                <w:spacing w:val="-2"/>
                <w:lang w:val="en-GB"/>
              </w:rPr>
              <w:t xml:space="preserve"> Consumption of non-durable goods was higher by </w:t>
            </w:r>
            <w:r w:rsidRPr="00507216">
              <w:rPr>
                <w:spacing w:val="-2"/>
                <w:lang w:val="en-GB"/>
              </w:rPr>
              <w:t>3</w:t>
            </w:r>
            <w:r>
              <w:rPr>
                <w:spacing w:val="-2"/>
                <w:lang w:val="en-GB"/>
              </w:rPr>
              <w:t>.</w:t>
            </w:r>
            <w:r w:rsidRPr="00507216">
              <w:rPr>
                <w:spacing w:val="-2"/>
                <w:lang w:val="en-GB"/>
              </w:rPr>
              <w:t>0%.</w:t>
            </w:r>
          </w:p>
        </w:tc>
      </w:tr>
      <w:tr w:rsidR="00364B62" w:rsidRPr="009110F7" w14:paraId="4C2C521A" w14:textId="77777777" w:rsidTr="00D2240D">
        <w:trPr>
          <w:trHeight w:val="145"/>
        </w:trPr>
        <w:tc>
          <w:tcPr>
            <w:tcW w:w="1806" w:type="dxa"/>
            <w:shd w:val="clear" w:color="auto" w:fill="auto"/>
            <w:tcMar>
              <w:left w:w="0" w:type="dxa"/>
            </w:tcMar>
          </w:tcPr>
          <w:p w14:paraId="33C1B2E3" w14:textId="2536E890" w:rsidR="00364B62" w:rsidRPr="00A340F5" w:rsidRDefault="00364B62" w:rsidP="00364B62">
            <w:pPr>
              <w:pStyle w:val="Marginlie"/>
              <w:rPr>
                <w:lang w:val="en-GB"/>
              </w:rPr>
            </w:pPr>
            <w:r w:rsidRPr="00A340F5">
              <w:rPr>
                <w:lang w:val="en-GB"/>
              </w:rPr>
              <w:lastRenderedPageBreak/>
              <w:t>Household consumption lowered compared to Q3.</w:t>
            </w:r>
          </w:p>
        </w:tc>
        <w:tc>
          <w:tcPr>
            <w:tcW w:w="223" w:type="dxa"/>
            <w:shd w:val="clear" w:color="auto" w:fill="auto"/>
            <w:tcMar>
              <w:left w:w="0" w:type="dxa"/>
            </w:tcMar>
          </w:tcPr>
          <w:p w14:paraId="28F86B88" w14:textId="77777777" w:rsidR="00364B62" w:rsidRPr="00A340F5" w:rsidRDefault="00364B62" w:rsidP="00364B62">
            <w:pPr>
              <w:pStyle w:val="Textpoznpodarou"/>
              <w:jc w:val="both"/>
              <w:rPr>
                <w:spacing w:val="-4"/>
                <w:lang w:val="en-GB"/>
              </w:rPr>
            </w:pPr>
          </w:p>
        </w:tc>
        <w:tc>
          <w:tcPr>
            <w:tcW w:w="7610" w:type="dxa"/>
            <w:shd w:val="clear" w:color="auto" w:fill="auto"/>
            <w:tcMar>
              <w:left w:w="0" w:type="dxa"/>
            </w:tcMar>
          </w:tcPr>
          <w:p w14:paraId="5D421BAB" w14:textId="17F46F0B" w:rsidR="00364B62" w:rsidRDefault="00364B62" w:rsidP="00364B62">
            <w:pPr>
              <w:rPr>
                <w:spacing w:val="-2"/>
              </w:rPr>
            </w:pPr>
            <w:r>
              <w:rPr>
                <w:spacing w:val="-2"/>
                <w:lang w:val="en-GB"/>
              </w:rPr>
              <w:t>In Q</w:t>
            </w:r>
            <w:r w:rsidRPr="000A337A">
              <w:rPr>
                <w:spacing w:val="-2"/>
                <w:lang w:val="en-GB"/>
              </w:rPr>
              <w:t>4</w:t>
            </w:r>
            <w:r>
              <w:rPr>
                <w:spacing w:val="-2"/>
                <w:lang w:val="en-GB"/>
              </w:rPr>
              <w:t xml:space="preserve"> </w:t>
            </w:r>
            <w:r w:rsidRPr="000A337A">
              <w:rPr>
                <w:spacing w:val="-2"/>
                <w:lang w:val="en-GB"/>
              </w:rPr>
              <w:t>2021</w:t>
            </w:r>
            <w:r>
              <w:rPr>
                <w:spacing w:val="-2"/>
                <w:lang w:val="en-GB"/>
              </w:rPr>
              <w:t xml:space="preserve">, the total consumption increased by </w:t>
            </w:r>
            <w:r w:rsidRPr="000A337A">
              <w:rPr>
                <w:spacing w:val="-2"/>
                <w:lang w:val="en-GB"/>
              </w:rPr>
              <w:t>6</w:t>
            </w:r>
            <w:r>
              <w:rPr>
                <w:spacing w:val="-2"/>
                <w:lang w:val="en-GB"/>
              </w:rPr>
              <w:t>.</w:t>
            </w:r>
            <w:r w:rsidRPr="000A337A">
              <w:rPr>
                <w:spacing w:val="-2"/>
                <w:lang w:val="en-GB"/>
              </w:rPr>
              <w:t>2%</w:t>
            </w:r>
            <w:r>
              <w:rPr>
                <w:spacing w:val="-2"/>
                <w:lang w:val="en-GB"/>
              </w:rPr>
              <w:t xml:space="preserve"> year-on-year and contributed </w:t>
            </w:r>
            <w:r w:rsidRPr="000A337A">
              <w:rPr>
                <w:spacing w:val="-2"/>
                <w:lang w:val="en-GB"/>
              </w:rPr>
              <w:t>3</w:t>
            </w:r>
            <w:r>
              <w:rPr>
                <w:spacing w:val="-2"/>
                <w:lang w:val="en-GB"/>
              </w:rPr>
              <w:t>.</w:t>
            </w:r>
            <w:r w:rsidRPr="000A337A">
              <w:rPr>
                <w:spacing w:val="-2"/>
                <w:lang w:val="en-GB"/>
              </w:rPr>
              <w:t>8 p.</w:t>
            </w:r>
            <w:r>
              <w:rPr>
                <w:spacing w:val="-2"/>
                <w:lang w:val="en-GB"/>
              </w:rPr>
              <w:t xml:space="preserve">p. to the GDP growth. While the government consumption stagnated </w:t>
            </w:r>
            <w:r w:rsidRPr="000A337A">
              <w:rPr>
                <w:spacing w:val="-2"/>
                <w:lang w:val="en-GB"/>
              </w:rPr>
              <w:t>(0</w:t>
            </w:r>
            <w:r>
              <w:rPr>
                <w:spacing w:val="-2"/>
                <w:lang w:val="en-GB"/>
              </w:rPr>
              <w:t>.</w:t>
            </w:r>
            <w:r w:rsidRPr="000A337A">
              <w:rPr>
                <w:spacing w:val="-2"/>
                <w:lang w:val="en-GB"/>
              </w:rPr>
              <w:t>1%)</w:t>
            </w:r>
            <w:r>
              <w:rPr>
                <w:spacing w:val="-2"/>
                <w:lang w:val="en-GB"/>
              </w:rPr>
              <w:t xml:space="preserve">, the household consumption was by </w:t>
            </w:r>
            <w:r w:rsidRPr="000A337A">
              <w:rPr>
                <w:spacing w:val="-2"/>
                <w:lang w:val="en-GB"/>
              </w:rPr>
              <w:t>9</w:t>
            </w:r>
            <w:r>
              <w:rPr>
                <w:spacing w:val="-2"/>
                <w:lang w:val="en-GB"/>
              </w:rPr>
              <w:t>.</w:t>
            </w:r>
            <w:r w:rsidRPr="000A337A">
              <w:rPr>
                <w:spacing w:val="-2"/>
                <w:lang w:val="en-GB"/>
              </w:rPr>
              <w:t>3%</w:t>
            </w:r>
            <w:r>
              <w:rPr>
                <w:spacing w:val="-2"/>
                <w:lang w:val="en-GB"/>
              </w:rPr>
              <w:t xml:space="preserve"> </w:t>
            </w:r>
            <w:r w:rsidR="00150333">
              <w:rPr>
                <w:spacing w:val="-2"/>
                <w:lang w:val="en-GB"/>
              </w:rPr>
              <w:t xml:space="preserve">higher </w:t>
            </w:r>
            <w:r>
              <w:rPr>
                <w:spacing w:val="-2"/>
                <w:lang w:val="en-GB"/>
              </w:rPr>
              <w:t>year-on-year</w:t>
            </w:r>
            <w:r w:rsidRPr="000A337A">
              <w:rPr>
                <w:spacing w:val="-2"/>
                <w:lang w:val="en-GB"/>
              </w:rPr>
              <w:t>,</w:t>
            </w:r>
            <w:r>
              <w:rPr>
                <w:spacing w:val="-2"/>
                <w:lang w:val="en-GB"/>
              </w:rPr>
              <w:t xml:space="preserve"> which is a record increase, however affected by the comparison with the end of year </w:t>
            </w:r>
            <w:r w:rsidRPr="000A337A">
              <w:rPr>
                <w:spacing w:val="-2"/>
                <w:lang w:val="en-GB"/>
              </w:rPr>
              <w:t>2020,</w:t>
            </w:r>
            <w:r>
              <w:rPr>
                <w:spacing w:val="-2"/>
                <w:lang w:val="en-GB"/>
              </w:rPr>
              <w:t xml:space="preserve"> when both the retail and services were restricted. The consumption of medium-term </w:t>
            </w:r>
            <w:r w:rsidR="00CA669C">
              <w:rPr>
                <w:spacing w:val="-2"/>
                <w:lang w:val="en-GB"/>
              </w:rPr>
              <w:t xml:space="preserve">durability </w:t>
            </w:r>
            <w:r>
              <w:rPr>
                <w:spacing w:val="-2"/>
                <w:lang w:val="en-GB"/>
              </w:rPr>
              <w:t>goods thus deepened very strongly year-on-year in the last year</w:t>
            </w:r>
            <w:r>
              <w:rPr>
                <w:spacing w:val="-2"/>
                <w:lang w:val="en-US"/>
              </w:rPr>
              <w:t>’</w:t>
            </w:r>
            <w:r>
              <w:rPr>
                <w:spacing w:val="-2"/>
              </w:rPr>
              <w:t>s Q</w:t>
            </w:r>
            <w:r w:rsidRPr="000A337A">
              <w:rPr>
                <w:spacing w:val="-2"/>
                <w:lang w:val="en-GB"/>
              </w:rPr>
              <w:t>4</w:t>
            </w:r>
            <w:r>
              <w:rPr>
                <w:spacing w:val="-2"/>
                <w:lang w:val="en-GB"/>
              </w:rPr>
              <w:t xml:space="preserve"> </w:t>
            </w:r>
            <w:r w:rsidRPr="000A337A">
              <w:rPr>
                <w:spacing w:val="-2"/>
                <w:lang w:val="en-GB"/>
              </w:rPr>
              <w:t>(30</w:t>
            </w:r>
            <w:r>
              <w:rPr>
                <w:spacing w:val="-2"/>
                <w:lang w:val="en-GB"/>
              </w:rPr>
              <w:t>.</w:t>
            </w:r>
            <w:r w:rsidRPr="000A337A">
              <w:rPr>
                <w:spacing w:val="-2"/>
                <w:lang w:val="en-GB"/>
              </w:rPr>
              <w:t>0%).</w:t>
            </w:r>
            <w:r>
              <w:rPr>
                <w:spacing w:val="-2"/>
                <w:lang w:val="en-GB"/>
              </w:rPr>
              <w:t xml:space="preserve"> Nevertheless, the consumption of durable goods </w:t>
            </w:r>
            <w:r w:rsidRPr="000A337A">
              <w:rPr>
                <w:spacing w:val="-2"/>
                <w:lang w:val="en-GB"/>
              </w:rPr>
              <w:t>(9</w:t>
            </w:r>
            <w:r>
              <w:rPr>
                <w:spacing w:val="-2"/>
                <w:lang w:val="en-GB"/>
              </w:rPr>
              <w:t>.</w:t>
            </w:r>
            <w:r w:rsidRPr="000A337A">
              <w:rPr>
                <w:spacing w:val="-2"/>
                <w:lang w:val="en-GB"/>
              </w:rPr>
              <w:t>4%) a</w:t>
            </w:r>
            <w:r>
              <w:rPr>
                <w:spacing w:val="-2"/>
                <w:lang w:val="en-GB"/>
              </w:rPr>
              <w:t xml:space="preserve">nd services </w:t>
            </w:r>
            <w:r w:rsidRPr="000A337A">
              <w:rPr>
                <w:spacing w:val="-2"/>
                <w:lang w:val="en-GB"/>
              </w:rPr>
              <w:t>(13</w:t>
            </w:r>
            <w:r>
              <w:rPr>
                <w:spacing w:val="-2"/>
                <w:lang w:val="en-GB"/>
              </w:rPr>
              <w:t>.</w:t>
            </w:r>
            <w:r w:rsidRPr="000A337A">
              <w:rPr>
                <w:spacing w:val="-2"/>
                <w:lang w:val="en-GB"/>
              </w:rPr>
              <w:t>5%)</w:t>
            </w:r>
            <w:r>
              <w:rPr>
                <w:spacing w:val="-2"/>
                <w:lang w:val="en-GB"/>
              </w:rPr>
              <w:t xml:space="preserve"> also recorded strong increases</w:t>
            </w:r>
            <w:r w:rsidRPr="000A337A">
              <w:rPr>
                <w:spacing w:val="-2"/>
                <w:lang w:val="en-GB"/>
              </w:rPr>
              <w:t xml:space="preserve">. </w:t>
            </w:r>
            <w:r>
              <w:rPr>
                <w:spacing w:val="-2"/>
                <w:lang w:val="en-GB"/>
              </w:rPr>
              <w:t xml:space="preserve">Consumption of non-durable goods was higher by </w:t>
            </w:r>
            <w:r w:rsidRPr="000A337A">
              <w:rPr>
                <w:spacing w:val="-2"/>
                <w:lang w:val="en-GB"/>
              </w:rPr>
              <w:t>2</w:t>
            </w:r>
            <w:r>
              <w:rPr>
                <w:spacing w:val="-2"/>
                <w:lang w:val="en-GB"/>
              </w:rPr>
              <w:t>.</w:t>
            </w:r>
            <w:r w:rsidRPr="000A337A">
              <w:rPr>
                <w:spacing w:val="-2"/>
                <w:lang w:val="en-GB"/>
              </w:rPr>
              <w:t>8%.</w:t>
            </w:r>
            <w:r>
              <w:rPr>
                <w:spacing w:val="-2"/>
                <w:lang w:val="en-GB"/>
              </w:rPr>
              <w:t xml:space="preserve"> In total, the consumption plunged by </w:t>
            </w:r>
            <w:r w:rsidRPr="000A337A">
              <w:rPr>
                <w:spacing w:val="-2"/>
                <w:lang w:val="en-GB"/>
              </w:rPr>
              <w:t>1</w:t>
            </w:r>
            <w:r>
              <w:rPr>
                <w:spacing w:val="-2"/>
                <w:lang w:val="en-GB"/>
              </w:rPr>
              <w:t>.</w:t>
            </w:r>
            <w:r w:rsidRPr="000A337A">
              <w:rPr>
                <w:spacing w:val="-2"/>
                <w:lang w:val="en-GB"/>
              </w:rPr>
              <w:t>1%</w:t>
            </w:r>
            <w:r>
              <w:rPr>
                <w:spacing w:val="-2"/>
                <w:lang w:val="en-GB"/>
              </w:rPr>
              <w:t xml:space="preserve"> compared to Q3</w:t>
            </w:r>
            <w:r w:rsidRPr="000A337A">
              <w:rPr>
                <w:spacing w:val="-2"/>
                <w:lang w:val="en-GB"/>
              </w:rPr>
              <w:t xml:space="preserve">. </w:t>
            </w:r>
            <w:r>
              <w:rPr>
                <w:spacing w:val="-2"/>
                <w:lang w:val="en-GB"/>
              </w:rPr>
              <w:t xml:space="preserve">Household consumption lowered </w:t>
            </w:r>
            <w:r w:rsidRPr="000A337A">
              <w:rPr>
                <w:spacing w:val="-2"/>
                <w:lang w:val="en-GB"/>
              </w:rPr>
              <w:t>(–1</w:t>
            </w:r>
            <w:r>
              <w:rPr>
                <w:spacing w:val="-2"/>
                <w:lang w:val="en-GB"/>
              </w:rPr>
              <w:t>.</w:t>
            </w:r>
            <w:r w:rsidRPr="000A337A">
              <w:rPr>
                <w:spacing w:val="-2"/>
                <w:lang w:val="en-GB"/>
              </w:rPr>
              <w:t>8%),</w:t>
            </w:r>
            <w:r>
              <w:rPr>
                <w:spacing w:val="-2"/>
                <w:lang w:val="en-GB"/>
              </w:rPr>
              <w:t xml:space="preserve"> the government consumption was slightly higher </w:t>
            </w:r>
            <w:r w:rsidRPr="000A337A">
              <w:rPr>
                <w:spacing w:val="-2"/>
                <w:lang w:val="en-GB"/>
              </w:rPr>
              <w:t>(0</w:t>
            </w:r>
            <w:r>
              <w:rPr>
                <w:spacing w:val="-2"/>
                <w:lang w:val="en-GB"/>
              </w:rPr>
              <w:t>.</w:t>
            </w:r>
            <w:r w:rsidRPr="000A337A">
              <w:rPr>
                <w:spacing w:val="-2"/>
                <w:lang w:val="en-GB"/>
              </w:rPr>
              <w:t xml:space="preserve">2%). </w:t>
            </w:r>
            <w:r>
              <w:rPr>
                <w:spacing w:val="-2"/>
                <w:lang w:val="en-GB"/>
              </w:rPr>
              <w:t>It mirrored the uncertainty and growing pessimism as well</w:t>
            </w:r>
            <w:r w:rsidRPr="000A337A">
              <w:rPr>
                <w:spacing w:val="-2"/>
                <w:lang w:val="en-GB"/>
              </w:rPr>
              <w:t>, expressed by households in the business cycle surveys towards the end of the year, mainly in connection to the growth of prices</w:t>
            </w:r>
            <w:r>
              <w:rPr>
                <w:spacing w:val="-2"/>
              </w:rPr>
              <w:t xml:space="preserve">. </w:t>
            </w:r>
          </w:p>
        </w:tc>
      </w:tr>
      <w:tr w:rsidR="00364B62" w:rsidRPr="009110F7" w14:paraId="743D7C8C" w14:textId="77777777" w:rsidTr="00D2240D">
        <w:trPr>
          <w:trHeight w:val="170"/>
        </w:trPr>
        <w:tc>
          <w:tcPr>
            <w:tcW w:w="1806" w:type="dxa"/>
            <w:vMerge w:val="restart"/>
            <w:shd w:val="clear" w:color="auto" w:fill="auto"/>
            <w:tcMar>
              <w:left w:w="0" w:type="dxa"/>
            </w:tcMar>
          </w:tcPr>
          <w:p w14:paraId="5B568743" w14:textId="77777777" w:rsidR="00364B62" w:rsidRDefault="00364B62" w:rsidP="00364B62">
            <w:pPr>
              <w:pStyle w:val="Marginlie"/>
            </w:pPr>
          </w:p>
        </w:tc>
        <w:tc>
          <w:tcPr>
            <w:tcW w:w="223" w:type="dxa"/>
            <w:vMerge w:val="restart"/>
            <w:shd w:val="clear" w:color="auto" w:fill="auto"/>
            <w:tcMar>
              <w:left w:w="0" w:type="dxa"/>
            </w:tcMar>
          </w:tcPr>
          <w:p w14:paraId="218FEAAF" w14:textId="77777777" w:rsidR="00364B62" w:rsidRDefault="00364B62" w:rsidP="00364B62">
            <w:pPr>
              <w:pStyle w:val="Textpoznpodarou"/>
              <w:jc w:val="both"/>
              <w:rPr>
                <w:spacing w:val="-4"/>
              </w:rPr>
            </w:pPr>
          </w:p>
        </w:tc>
        <w:tc>
          <w:tcPr>
            <w:tcW w:w="7610" w:type="dxa"/>
            <w:shd w:val="clear" w:color="auto" w:fill="auto"/>
            <w:tcMar>
              <w:left w:w="0" w:type="dxa"/>
            </w:tcMar>
          </w:tcPr>
          <w:p w14:paraId="292B1125" w14:textId="491052A0" w:rsidR="00364B62" w:rsidRPr="00D721B4" w:rsidRDefault="00364B62" w:rsidP="00364B62">
            <w:pPr>
              <w:spacing w:after="0"/>
              <w:rPr>
                <w:szCs w:val="20"/>
              </w:rPr>
            </w:pPr>
            <w:r>
              <w:rPr>
                <w:b/>
                <w:szCs w:val="20"/>
              </w:rPr>
              <w:t xml:space="preserve">Chart </w:t>
            </w:r>
            <w:r w:rsidRPr="00D721B4">
              <w:rPr>
                <w:b/>
                <w:szCs w:val="20"/>
              </w:rPr>
              <w:t>2</w:t>
            </w:r>
            <w:r>
              <w:rPr>
                <w:b/>
                <w:szCs w:val="20"/>
              </w:rPr>
              <w:t xml:space="preserve"> </w:t>
            </w:r>
            <w:r w:rsidRPr="00D721B4">
              <w:rPr>
                <w:b/>
                <w:szCs w:val="20"/>
              </w:rPr>
              <w:t xml:space="preserve"> </w:t>
            </w:r>
            <w:r w:rsidR="00CA669C" w:rsidRPr="00D970F7">
              <w:rPr>
                <w:b/>
                <w:szCs w:val="20"/>
                <w:lang w:val="en-GB"/>
              </w:rPr>
              <w:t>Contribution of expenditure items to real GDP change</w:t>
            </w:r>
            <w:r w:rsidR="00CA669C" w:rsidRPr="00D970F7">
              <w:rPr>
                <w:rFonts w:cs="Arial"/>
                <w:b/>
                <w:szCs w:val="20"/>
                <w:lang w:val="en-GB" w:eastAsia="en-US"/>
              </w:rPr>
              <w:t>*</w:t>
            </w:r>
            <w:r w:rsidR="00CA669C" w:rsidRPr="00D970F7">
              <w:rPr>
                <w:rFonts w:cs="Arial"/>
                <w:b/>
                <w:sz w:val="18"/>
                <w:szCs w:val="18"/>
                <w:lang w:val="en-GB" w:eastAsia="en-US"/>
              </w:rPr>
              <w:t xml:space="preserve"> </w:t>
            </w:r>
            <w:r w:rsidR="00CA669C" w:rsidRPr="00D970F7">
              <w:rPr>
                <w:rFonts w:cs="Arial"/>
                <w:bCs/>
                <w:sz w:val="18"/>
                <w:szCs w:val="18"/>
                <w:lang w:val="en-GB" w:eastAsia="en-US"/>
              </w:rPr>
              <w:t>(volume indices, year-on-year growth, contributions in p.p., GDP in %)</w:t>
            </w:r>
          </w:p>
        </w:tc>
      </w:tr>
      <w:tr w:rsidR="00364B62" w:rsidRPr="009110F7" w14:paraId="77429A57" w14:textId="77777777" w:rsidTr="00D2240D">
        <w:tblPrEx>
          <w:tblCellMar>
            <w:left w:w="70" w:type="dxa"/>
            <w:right w:w="70" w:type="dxa"/>
          </w:tblCellMar>
        </w:tblPrEx>
        <w:trPr>
          <w:trHeight w:val="170"/>
        </w:trPr>
        <w:tc>
          <w:tcPr>
            <w:tcW w:w="1806" w:type="dxa"/>
            <w:vMerge/>
            <w:shd w:val="clear" w:color="auto" w:fill="auto"/>
          </w:tcPr>
          <w:p w14:paraId="75E00B54" w14:textId="77777777" w:rsidR="00364B62" w:rsidRDefault="00364B62" w:rsidP="00364B62">
            <w:pPr>
              <w:pStyle w:val="Marginlie"/>
            </w:pPr>
          </w:p>
        </w:tc>
        <w:tc>
          <w:tcPr>
            <w:tcW w:w="223" w:type="dxa"/>
            <w:vMerge/>
            <w:shd w:val="clear" w:color="auto" w:fill="auto"/>
          </w:tcPr>
          <w:p w14:paraId="2F1F9B1D" w14:textId="77777777" w:rsidR="00364B62" w:rsidRDefault="00364B62" w:rsidP="00364B62">
            <w:pPr>
              <w:pStyle w:val="Textpoznpodarou"/>
              <w:jc w:val="both"/>
              <w:rPr>
                <w:spacing w:val="-4"/>
              </w:rPr>
            </w:pPr>
          </w:p>
        </w:tc>
        <w:tc>
          <w:tcPr>
            <w:tcW w:w="7610" w:type="dxa"/>
            <w:shd w:val="clear" w:color="auto" w:fill="auto"/>
          </w:tcPr>
          <w:p w14:paraId="6A8E7C47" w14:textId="09E6FDC6" w:rsidR="00364B62" w:rsidRDefault="00AA570E" w:rsidP="00364B62">
            <w:pPr>
              <w:spacing w:after="0"/>
            </w:pPr>
            <w:r>
              <w:rPr>
                <w:noProof/>
              </w:rPr>
              <w:drawing>
                <wp:inline distT="0" distB="0" distL="0" distR="0" wp14:anchorId="7DA25032" wp14:editId="03EE72AD">
                  <wp:extent cx="4737600" cy="3553200"/>
                  <wp:effectExtent l="0" t="0" r="6350" b="0"/>
                  <wp:docPr id="10" name="Graf 1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64B62" w:rsidRPr="009110F7" w14:paraId="65850752" w14:textId="77777777" w:rsidTr="00D2240D">
        <w:trPr>
          <w:trHeight w:val="170"/>
        </w:trPr>
        <w:tc>
          <w:tcPr>
            <w:tcW w:w="1806" w:type="dxa"/>
            <w:vMerge/>
            <w:shd w:val="clear" w:color="auto" w:fill="auto"/>
            <w:tcMar>
              <w:left w:w="0" w:type="dxa"/>
            </w:tcMar>
          </w:tcPr>
          <w:p w14:paraId="5127E0AF" w14:textId="77777777" w:rsidR="00364B62" w:rsidRDefault="00364B62" w:rsidP="00364B62">
            <w:pPr>
              <w:pStyle w:val="Marginlie"/>
            </w:pPr>
          </w:p>
        </w:tc>
        <w:tc>
          <w:tcPr>
            <w:tcW w:w="223" w:type="dxa"/>
            <w:vMerge/>
            <w:shd w:val="clear" w:color="auto" w:fill="auto"/>
            <w:tcMar>
              <w:left w:w="0" w:type="dxa"/>
            </w:tcMar>
          </w:tcPr>
          <w:p w14:paraId="01E374C4" w14:textId="77777777" w:rsidR="00364B62" w:rsidRDefault="00364B62" w:rsidP="00364B62">
            <w:pPr>
              <w:pStyle w:val="Textpoznpodarou"/>
              <w:jc w:val="both"/>
              <w:rPr>
                <w:spacing w:val="-4"/>
              </w:rPr>
            </w:pPr>
          </w:p>
        </w:tc>
        <w:tc>
          <w:tcPr>
            <w:tcW w:w="7610" w:type="dxa"/>
            <w:shd w:val="clear" w:color="auto" w:fill="auto"/>
            <w:tcMar>
              <w:left w:w="0" w:type="dxa"/>
            </w:tcMar>
          </w:tcPr>
          <w:p w14:paraId="0E0338DB" w14:textId="1E2C4DBC" w:rsidR="00364B62" w:rsidRDefault="00364B62" w:rsidP="00364B62">
            <w:pPr>
              <w:spacing w:after="0"/>
              <w:rPr>
                <w:sz w:val="14"/>
                <w:szCs w:val="14"/>
              </w:rPr>
            </w:pPr>
            <w:r>
              <w:rPr>
                <w:sz w:val="14"/>
                <w:szCs w:val="14"/>
              </w:rPr>
              <w:t>Source: CZSO</w:t>
            </w:r>
          </w:p>
          <w:p w14:paraId="2CA8DF23" w14:textId="0AAD7DC4" w:rsidR="00764231" w:rsidRPr="00CA669C" w:rsidRDefault="00364B62" w:rsidP="00AA570E">
            <w:pPr>
              <w:rPr>
                <w:b/>
                <w:bCs/>
                <w:sz w:val="16"/>
                <w:szCs w:val="16"/>
                <w:lang w:val="en-GB"/>
              </w:rPr>
            </w:pPr>
            <w:r>
              <w:rPr>
                <w:sz w:val="14"/>
                <w:szCs w:val="14"/>
              </w:rPr>
              <w:t xml:space="preserve">* </w:t>
            </w:r>
            <w:r w:rsidR="00CA669C" w:rsidRPr="00CA669C">
              <w:rPr>
                <w:sz w:val="14"/>
                <w:szCs w:val="14"/>
                <w:lang w:val="en-GB"/>
              </w:rPr>
              <w:t>after exclusion of import for final use</w:t>
            </w:r>
          </w:p>
        </w:tc>
      </w:tr>
      <w:tr w:rsidR="00364B62" w:rsidRPr="009110F7" w14:paraId="1B32CA00" w14:textId="77777777" w:rsidTr="00D2240D">
        <w:trPr>
          <w:trHeight w:val="145"/>
        </w:trPr>
        <w:tc>
          <w:tcPr>
            <w:tcW w:w="1806" w:type="dxa"/>
            <w:shd w:val="clear" w:color="auto" w:fill="auto"/>
            <w:tcMar>
              <w:left w:w="0" w:type="dxa"/>
            </w:tcMar>
          </w:tcPr>
          <w:p w14:paraId="3B76CB2D" w14:textId="4F4CF3D3" w:rsidR="00364B62" w:rsidRPr="00B34255" w:rsidRDefault="00364B62" w:rsidP="00364B62">
            <w:pPr>
              <w:pStyle w:val="Marginlie"/>
              <w:rPr>
                <w:lang w:val="en-GB"/>
              </w:rPr>
            </w:pPr>
            <w:r w:rsidRPr="00B34255">
              <w:rPr>
                <w:lang w:val="en-GB"/>
              </w:rPr>
              <w:t xml:space="preserve">The inventory stock strongly grew last year. </w:t>
            </w:r>
          </w:p>
        </w:tc>
        <w:tc>
          <w:tcPr>
            <w:tcW w:w="223" w:type="dxa"/>
            <w:shd w:val="clear" w:color="auto" w:fill="auto"/>
            <w:tcMar>
              <w:left w:w="0" w:type="dxa"/>
            </w:tcMar>
          </w:tcPr>
          <w:p w14:paraId="575D56E3" w14:textId="77777777" w:rsidR="00364B62" w:rsidRPr="00B34255" w:rsidRDefault="00364B62" w:rsidP="00364B62">
            <w:pPr>
              <w:pStyle w:val="Textpoznpodarou"/>
              <w:jc w:val="both"/>
              <w:rPr>
                <w:spacing w:val="-4"/>
                <w:lang w:val="en-GB"/>
              </w:rPr>
            </w:pPr>
          </w:p>
        </w:tc>
        <w:tc>
          <w:tcPr>
            <w:tcW w:w="7610" w:type="dxa"/>
            <w:shd w:val="clear" w:color="auto" w:fill="auto"/>
            <w:tcMar>
              <w:left w:w="0" w:type="dxa"/>
            </w:tcMar>
          </w:tcPr>
          <w:p w14:paraId="32DB1EA1" w14:textId="0ED645AC" w:rsidR="00364B62" w:rsidRPr="00911619" w:rsidRDefault="00364B62" w:rsidP="00364B62">
            <w:pPr>
              <w:rPr>
                <w:lang w:val="en-GB"/>
              </w:rPr>
            </w:pPr>
            <w:r w:rsidRPr="00911619">
              <w:rPr>
                <w:lang w:val="en-GB"/>
              </w:rPr>
              <w:t>Expenditures on gross capital formation increased by 18.2% in 2021. In that the expenditures on fixed capital were by 0.9% higher. Following the deep slump in 2020,    especially the businesses in unsteady situation kept avoiding the strengthening of investment activity. The inventory stock expanded on the contrary</w:t>
            </w:r>
            <w:r w:rsidRPr="00911619">
              <w:rPr>
                <w:rStyle w:val="Znakapoznpodarou"/>
                <w:lang w:val="en-GB"/>
              </w:rPr>
              <w:footnoteReference w:id="13"/>
            </w:r>
            <w:r w:rsidRPr="00911619">
              <w:rPr>
                <w:lang w:val="en-GB"/>
              </w:rPr>
              <w:t xml:space="preserve">, mainly of the unfinished production. In real terms investment lagged behind the levels of both year </w:t>
            </w:r>
            <w:r w:rsidRPr="00911619">
              <w:rPr>
                <w:lang w:val="en-GB"/>
              </w:rPr>
              <w:lastRenderedPageBreak/>
              <w:t>2018 and</w:t>
            </w:r>
            <w:r w:rsidR="0095639D">
              <w:rPr>
                <w:lang w:val="en-GB"/>
              </w:rPr>
              <w:t xml:space="preserve"> </w:t>
            </w:r>
            <w:r w:rsidRPr="00911619">
              <w:rPr>
                <w:lang w:val="en-GB"/>
              </w:rPr>
              <w:t>2019 last year. The development of expenditures on gross fixed capital formation according to the type classification indirectly signals the continuing downturn of the investment activity of the non-financial businesses. After the deep slump in year 2020, investment into ICT and other machinery and equipment (–0.5%) kept further falling last year. Expenditures on other buildings and structures (–2.0%) were also lower. Investment into transport equipment did increase by 5.7%, however they dived by nearly one quarter in the pr</w:t>
            </w:r>
            <w:r w:rsidR="00E852EE">
              <w:rPr>
                <w:lang w:val="en-GB"/>
              </w:rPr>
              <w:t>evious year, thus the last year</w:t>
            </w:r>
            <w:r w:rsidRPr="00911619">
              <w:rPr>
                <w:lang w:val="en-GB"/>
              </w:rPr>
              <w:t xml:space="preserve">‘s expenditures in real terms fell deeply behind the level from years 2016–2019. </w:t>
            </w:r>
            <w:r>
              <w:rPr>
                <w:lang w:val="en-GB"/>
              </w:rPr>
              <w:t xml:space="preserve">Investment into the products of intellectual property went up by </w:t>
            </w:r>
            <w:r w:rsidRPr="00911619">
              <w:rPr>
                <w:lang w:val="en-GB"/>
              </w:rPr>
              <w:t>1</w:t>
            </w:r>
            <w:r>
              <w:rPr>
                <w:lang w:val="en-GB"/>
              </w:rPr>
              <w:t>.</w:t>
            </w:r>
            <w:r w:rsidRPr="00911619">
              <w:rPr>
                <w:lang w:val="en-GB"/>
              </w:rPr>
              <w:t>5% a</w:t>
            </w:r>
            <w:r>
              <w:rPr>
                <w:lang w:val="en-GB"/>
              </w:rPr>
              <w:t xml:space="preserve">nd also lagged behind the level from year 2019 in real terms. The only area, where the investment activity has been growing already eighth year in row, were the expenditures on housing, which increased by </w:t>
            </w:r>
            <w:r w:rsidRPr="00911619">
              <w:rPr>
                <w:lang w:val="en-GB"/>
              </w:rPr>
              <w:t xml:space="preserve"> 4</w:t>
            </w:r>
            <w:r>
              <w:rPr>
                <w:lang w:val="en-GB"/>
              </w:rPr>
              <w:t>.</w:t>
            </w:r>
            <w:r w:rsidRPr="00911619">
              <w:rPr>
                <w:lang w:val="en-GB"/>
              </w:rPr>
              <w:t>1%</w:t>
            </w:r>
            <w:r>
              <w:rPr>
                <w:lang w:val="en-GB"/>
              </w:rPr>
              <w:t xml:space="preserve"> last year</w:t>
            </w:r>
            <w:r w:rsidRPr="00911619">
              <w:rPr>
                <w:lang w:val="en-GB"/>
              </w:rPr>
              <w:t xml:space="preserve">. Expenditures on housing are the domain of the household sector. </w:t>
            </w:r>
          </w:p>
        </w:tc>
      </w:tr>
      <w:tr w:rsidR="00364B62" w:rsidRPr="009110F7" w14:paraId="2A648B51" w14:textId="77777777" w:rsidTr="00D2240D">
        <w:trPr>
          <w:trHeight w:val="145"/>
        </w:trPr>
        <w:tc>
          <w:tcPr>
            <w:tcW w:w="1806" w:type="dxa"/>
            <w:shd w:val="clear" w:color="auto" w:fill="auto"/>
            <w:tcMar>
              <w:left w:w="0" w:type="dxa"/>
            </w:tcMar>
          </w:tcPr>
          <w:p w14:paraId="067C2EBB" w14:textId="4880957F" w:rsidR="00364B62" w:rsidRPr="00E94DD2" w:rsidRDefault="00364B62" w:rsidP="00364B62">
            <w:pPr>
              <w:pStyle w:val="Marginlie"/>
              <w:rPr>
                <w:lang w:val="en-GB"/>
              </w:rPr>
            </w:pPr>
            <w:r w:rsidRPr="00E94DD2">
              <w:rPr>
                <w:lang w:val="en-GB"/>
              </w:rPr>
              <w:lastRenderedPageBreak/>
              <w:t>Investment grew in Q4.</w:t>
            </w:r>
          </w:p>
        </w:tc>
        <w:tc>
          <w:tcPr>
            <w:tcW w:w="223" w:type="dxa"/>
            <w:shd w:val="clear" w:color="auto" w:fill="auto"/>
            <w:tcMar>
              <w:left w:w="0" w:type="dxa"/>
            </w:tcMar>
          </w:tcPr>
          <w:p w14:paraId="65196F68" w14:textId="77777777" w:rsidR="00364B62" w:rsidRDefault="00364B62" w:rsidP="00364B62">
            <w:pPr>
              <w:pStyle w:val="Textpoznpodarou"/>
              <w:jc w:val="both"/>
              <w:rPr>
                <w:spacing w:val="-4"/>
              </w:rPr>
            </w:pPr>
          </w:p>
        </w:tc>
        <w:tc>
          <w:tcPr>
            <w:tcW w:w="7610" w:type="dxa"/>
            <w:shd w:val="clear" w:color="auto" w:fill="auto"/>
            <w:tcMar>
              <w:left w:w="0" w:type="dxa"/>
            </w:tcMar>
          </w:tcPr>
          <w:p w14:paraId="1BD3E0D2" w14:textId="0840CFCD" w:rsidR="00364B62" w:rsidRPr="00911619" w:rsidRDefault="00364B62" w:rsidP="00364B62">
            <w:pPr>
              <w:rPr>
                <w:lang w:val="en-GB"/>
              </w:rPr>
            </w:pPr>
            <w:r>
              <w:rPr>
                <w:lang w:val="en-GB"/>
              </w:rPr>
              <w:t xml:space="preserve">Expenditures on gross capital increased by </w:t>
            </w:r>
            <w:r w:rsidRPr="00911619">
              <w:rPr>
                <w:lang w:val="en-GB"/>
              </w:rPr>
              <w:t>26</w:t>
            </w:r>
            <w:r>
              <w:rPr>
                <w:lang w:val="en-GB"/>
              </w:rPr>
              <w:t>.</w:t>
            </w:r>
            <w:r w:rsidRPr="00911619">
              <w:rPr>
                <w:lang w:val="en-GB"/>
              </w:rPr>
              <w:t>9%</w:t>
            </w:r>
            <w:r>
              <w:rPr>
                <w:lang w:val="en-GB"/>
              </w:rPr>
              <w:t xml:space="preserve"> year-on-year in Q4</w:t>
            </w:r>
            <w:r w:rsidRPr="00911619">
              <w:rPr>
                <w:lang w:val="en-GB"/>
              </w:rPr>
              <w:t xml:space="preserve">. </w:t>
            </w:r>
            <w:r>
              <w:rPr>
                <w:lang w:val="en-GB"/>
              </w:rPr>
              <w:t xml:space="preserve">In that, the investment only increased by </w:t>
            </w:r>
            <w:r w:rsidRPr="00911619">
              <w:rPr>
                <w:lang w:val="en-GB"/>
              </w:rPr>
              <w:t>3</w:t>
            </w:r>
            <w:r>
              <w:rPr>
                <w:lang w:val="en-GB"/>
              </w:rPr>
              <w:t>.</w:t>
            </w:r>
            <w:r w:rsidRPr="00911619">
              <w:rPr>
                <w:lang w:val="en-GB"/>
              </w:rPr>
              <w:t>5% a</w:t>
            </w:r>
            <w:r>
              <w:rPr>
                <w:lang w:val="en-GB"/>
              </w:rPr>
              <w:t>nd the rest can be attributed to the increase of the inventory stock. Compared to Q</w:t>
            </w:r>
            <w:r w:rsidRPr="00911619">
              <w:rPr>
                <w:lang w:val="en-GB"/>
              </w:rPr>
              <w:t>3</w:t>
            </w:r>
            <w:r>
              <w:rPr>
                <w:lang w:val="en-GB"/>
              </w:rPr>
              <w:t xml:space="preserve">, the capital expenditures went down by </w:t>
            </w:r>
            <w:r w:rsidRPr="00911619">
              <w:rPr>
                <w:lang w:val="en-GB"/>
              </w:rPr>
              <w:t>0</w:t>
            </w:r>
            <w:r>
              <w:rPr>
                <w:lang w:val="en-GB"/>
              </w:rPr>
              <w:t>.</w:t>
            </w:r>
            <w:r w:rsidRPr="00911619">
              <w:rPr>
                <w:lang w:val="en-GB"/>
              </w:rPr>
              <w:t xml:space="preserve">2%. </w:t>
            </w:r>
            <w:r>
              <w:rPr>
                <w:lang w:val="en-GB"/>
              </w:rPr>
              <w:t xml:space="preserve">However, the investment alone grew by </w:t>
            </w:r>
            <w:r w:rsidRPr="00911619">
              <w:rPr>
                <w:lang w:val="en-GB"/>
              </w:rPr>
              <w:t>0</w:t>
            </w:r>
            <w:r>
              <w:rPr>
                <w:lang w:val="en-GB"/>
              </w:rPr>
              <w:t>.</w:t>
            </w:r>
            <w:r w:rsidRPr="00911619">
              <w:rPr>
                <w:lang w:val="en-GB"/>
              </w:rPr>
              <w:t xml:space="preserve">5%. </w:t>
            </w:r>
            <w:r>
              <w:rPr>
                <w:lang w:val="en-GB"/>
              </w:rPr>
              <w:t xml:space="preserve">Based on the data of type classification of gross fixed capital formation, the expenditures on transport equipment </w:t>
            </w:r>
            <w:r w:rsidRPr="00911619">
              <w:rPr>
                <w:lang w:val="en-GB"/>
              </w:rPr>
              <w:t>(20</w:t>
            </w:r>
            <w:r>
              <w:rPr>
                <w:lang w:val="en-GB"/>
              </w:rPr>
              <w:t>.</w:t>
            </w:r>
            <w:r w:rsidRPr="00911619">
              <w:rPr>
                <w:lang w:val="en-GB"/>
              </w:rPr>
              <w:t>1%)</w:t>
            </w:r>
            <w:r>
              <w:rPr>
                <w:lang w:val="en-GB"/>
              </w:rPr>
              <w:t xml:space="preserve"> and housing </w:t>
            </w:r>
            <w:r w:rsidRPr="00911619">
              <w:rPr>
                <w:lang w:val="en-GB"/>
              </w:rPr>
              <w:t>(7</w:t>
            </w:r>
            <w:r>
              <w:rPr>
                <w:lang w:val="en-GB"/>
              </w:rPr>
              <w:t>.</w:t>
            </w:r>
            <w:r w:rsidRPr="00911619">
              <w:rPr>
                <w:lang w:val="en-GB"/>
              </w:rPr>
              <w:t>5%)</w:t>
            </w:r>
            <w:r>
              <w:rPr>
                <w:lang w:val="en-GB"/>
              </w:rPr>
              <w:t xml:space="preserve"> grew the most year-on-year in Q4</w:t>
            </w:r>
            <w:r w:rsidRPr="00911619">
              <w:rPr>
                <w:lang w:val="en-GB"/>
              </w:rPr>
              <w:t xml:space="preserve">. </w:t>
            </w:r>
            <w:r>
              <w:rPr>
                <w:lang w:val="en-GB"/>
              </w:rPr>
              <w:t xml:space="preserve">Investment into other buildings and structures </w:t>
            </w:r>
            <w:r w:rsidRPr="00911619">
              <w:rPr>
                <w:lang w:val="en-GB"/>
              </w:rPr>
              <w:t>(1</w:t>
            </w:r>
            <w:r>
              <w:rPr>
                <w:lang w:val="en-GB"/>
              </w:rPr>
              <w:t>.</w:t>
            </w:r>
            <w:r w:rsidRPr="00911619">
              <w:rPr>
                <w:lang w:val="en-GB"/>
              </w:rPr>
              <w:t>3%), ICT a</w:t>
            </w:r>
            <w:r>
              <w:rPr>
                <w:lang w:val="en-GB"/>
              </w:rPr>
              <w:t xml:space="preserve">nd other machinery and equipment </w:t>
            </w:r>
            <w:r w:rsidRPr="00911619">
              <w:rPr>
                <w:lang w:val="en-GB"/>
              </w:rPr>
              <w:t>(0</w:t>
            </w:r>
            <w:r>
              <w:rPr>
                <w:lang w:val="en-GB"/>
              </w:rPr>
              <w:t>.</w:t>
            </w:r>
            <w:r w:rsidRPr="00911619">
              <w:rPr>
                <w:lang w:val="en-GB"/>
              </w:rPr>
              <w:t>9%)</w:t>
            </w:r>
            <w:r>
              <w:rPr>
                <w:lang w:val="en-GB"/>
              </w:rPr>
              <w:t xml:space="preserve"> and products of intellectual property </w:t>
            </w:r>
            <w:r w:rsidRPr="00911619">
              <w:rPr>
                <w:lang w:val="en-GB"/>
              </w:rPr>
              <w:t>(0</w:t>
            </w:r>
            <w:r>
              <w:rPr>
                <w:lang w:val="en-GB"/>
              </w:rPr>
              <w:t>.</w:t>
            </w:r>
            <w:r w:rsidRPr="00911619">
              <w:rPr>
                <w:lang w:val="en-GB"/>
              </w:rPr>
              <w:t>2%)</w:t>
            </w:r>
            <w:r>
              <w:rPr>
                <w:lang w:val="en-GB"/>
              </w:rPr>
              <w:t xml:space="preserve"> were only slightly higher</w:t>
            </w:r>
            <w:r w:rsidRPr="00911619">
              <w:rPr>
                <w:lang w:val="en-GB"/>
              </w:rPr>
              <w:t>.</w:t>
            </w:r>
            <w:r>
              <w:rPr>
                <w:lang w:val="en-GB"/>
              </w:rPr>
              <w:t xml:space="preserve"> Investment into the products of intellectual property </w:t>
            </w:r>
            <w:r w:rsidRPr="00911619">
              <w:rPr>
                <w:lang w:val="en-GB"/>
              </w:rPr>
              <w:t>(5</w:t>
            </w:r>
            <w:r>
              <w:rPr>
                <w:lang w:val="en-GB"/>
              </w:rPr>
              <w:t>.</w:t>
            </w:r>
            <w:r w:rsidRPr="00911619">
              <w:rPr>
                <w:lang w:val="en-GB"/>
              </w:rPr>
              <w:t>6%) a</w:t>
            </w:r>
            <w:r>
              <w:rPr>
                <w:lang w:val="en-GB"/>
              </w:rPr>
              <w:t xml:space="preserve">nd other buildings and structures </w:t>
            </w:r>
            <w:r w:rsidRPr="00911619">
              <w:rPr>
                <w:lang w:val="en-GB"/>
              </w:rPr>
              <w:t>(3</w:t>
            </w:r>
            <w:r>
              <w:rPr>
                <w:lang w:val="en-GB"/>
              </w:rPr>
              <w:t>.</w:t>
            </w:r>
            <w:r w:rsidRPr="00911619">
              <w:rPr>
                <w:lang w:val="en-GB"/>
              </w:rPr>
              <w:t>4%)</w:t>
            </w:r>
            <w:r>
              <w:rPr>
                <w:lang w:val="en-GB"/>
              </w:rPr>
              <w:t xml:space="preserve"> considerably increased in comparison to Q3 2021</w:t>
            </w:r>
            <w:r w:rsidRPr="00911619">
              <w:rPr>
                <w:lang w:val="en-GB"/>
              </w:rPr>
              <w:t xml:space="preserve">. </w:t>
            </w:r>
            <w:r>
              <w:rPr>
                <w:lang w:val="en-GB"/>
              </w:rPr>
              <w:t xml:space="preserve">Expenditures on housing grew moderately </w:t>
            </w:r>
            <w:r w:rsidRPr="00911619">
              <w:rPr>
                <w:lang w:val="en-GB"/>
              </w:rPr>
              <w:t>(0</w:t>
            </w:r>
            <w:r>
              <w:rPr>
                <w:lang w:val="en-GB"/>
              </w:rPr>
              <w:t>.</w:t>
            </w:r>
            <w:r w:rsidRPr="00911619">
              <w:rPr>
                <w:lang w:val="en-GB"/>
              </w:rPr>
              <w:t>2%) a</w:t>
            </w:r>
            <w:r>
              <w:rPr>
                <w:lang w:val="en-GB"/>
              </w:rPr>
              <w:t xml:space="preserve">nd investment into transport equipment stagnated. Expenditures on ICT and other machinery and equipment were markedly lower quarter-on-quarter </w:t>
            </w:r>
            <w:r w:rsidRPr="00911619">
              <w:rPr>
                <w:lang w:val="en-GB"/>
              </w:rPr>
              <w:t>(–4</w:t>
            </w:r>
            <w:r>
              <w:rPr>
                <w:lang w:val="en-GB"/>
              </w:rPr>
              <w:t>.</w:t>
            </w:r>
            <w:r w:rsidRPr="00911619">
              <w:rPr>
                <w:lang w:val="en-GB"/>
              </w:rPr>
              <w:t>9%).</w:t>
            </w:r>
          </w:p>
        </w:tc>
      </w:tr>
      <w:tr w:rsidR="00364B62" w:rsidRPr="009110F7" w14:paraId="4364195F" w14:textId="77777777" w:rsidTr="00D2240D">
        <w:trPr>
          <w:trHeight w:val="145"/>
        </w:trPr>
        <w:tc>
          <w:tcPr>
            <w:tcW w:w="1806" w:type="dxa"/>
            <w:shd w:val="clear" w:color="auto" w:fill="auto"/>
            <w:tcMar>
              <w:left w:w="0" w:type="dxa"/>
            </w:tcMar>
          </w:tcPr>
          <w:p w14:paraId="6E4170A6" w14:textId="461CDAE8" w:rsidR="00364B62" w:rsidRPr="002E25FF" w:rsidRDefault="00364B62" w:rsidP="00364B62">
            <w:pPr>
              <w:pStyle w:val="Marginlie"/>
              <w:rPr>
                <w:lang w:val="en-GB"/>
              </w:rPr>
            </w:pPr>
            <w:r w:rsidRPr="002E25FF">
              <w:rPr>
                <w:lang w:val="en-GB"/>
              </w:rPr>
              <w:t xml:space="preserve">The foreign trade balance experienced record worsening last year. </w:t>
            </w:r>
          </w:p>
        </w:tc>
        <w:tc>
          <w:tcPr>
            <w:tcW w:w="223" w:type="dxa"/>
            <w:shd w:val="clear" w:color="auto" w:fill="auto"/>
            <w:tcMar>
              <w:left w:w="0" w:type="dxa"/>
            </w:tcMar>
          </w:tcPr>
          <w:p w14:paraId="5F8B826B" w14:textId="77777777" w:rsidR="00364B62" w:rsidRPr="002E25FF" w:rsidRDefault="00364B62" w:rsidP="00364B62">
            <w:pPr>
              <w:pStyle w:val="Textpoznpodarou"/>
              <w:jc w:val="both"/>
              <w:rPr>
                <w:spacing w:val="-4"/>
                <w:lang w:val="en-GB"/>
              </w:rPr>
            </w:pPr>
          </w:p>
        </w:tc>
        <w:tc>
          <w:tcPr>
            <w:tcW w:w="7610" w:type="dxa"/>
            <w:shd w:val="clear" w:color="auto" w:fill="auto"/>
            <w:tcMar>
              <w:left w:w="0" w:type="dxa"/>
            </w:tcMar>
          </w:tcPr>
          <w:p w14:paraId="0617354A" w14:textId="1069CD8E" w:rsidR="00364B62" w:rsidRPr="002E25FF" w:rsidRDefault="00364B62" w:rsidP="00364B62">
            <w:pPr>
              <w:rPr>
                <w:lang w:val="en-GB"/>
              </w:rPr>
            </w:pPr>
            <w:r>
              <w:rPr>
                <w:lang w:val="en-GB"/>
              </w:rPr>
              <w:t xml:space="preserve">The export of goods and services in real terms expanded by </w:t>
            </w:r>
            <w:r w:rsidRPr="002E25FF">
              <w:rPr>
                <w:lang w:val="en-GB"/>
              </w:rPr>
              <w:t>5</w:t>
            </w:r>
            <w:r>
              <w:rPr>
                <w:lang w:val="en-GB"/>
              </w:rPr>
              <w:t>.</w:t>
            </w:r>
            <w:r w:rsidRPr="002E25FF">
              <w:rPr>
                <w:lang w:val="en-GB"/>
              </w:rPr>
              <w:t>0%</w:t>
            </w:r>
            <w:r w:rsidRPr="002E25FF">
              <w:rPr>
                <w:rStyle w:val="Znakapoznpodarou"/>
                <w:lang w:val="en-GB"/>
              </w:rPr>
              <w:footnoteReference w:id="14"/>
            </w:r>
            <w:r>
              <w:rPr>
                <w:lang w:val="en-GB"/>
              </w:rPr>
              <w:t xml:space="preserve"> in year 2021</w:t>
            </w:r>
            <w:r w:rsidRPr="002E25FF">
              <w:rPr>
                <w:lang w:val="en-GB"/>
              </w:rPr>
              <w:t>.</w:t>
            </w:r>
            <w:r>
              <w:rPr>
                <w:lang w:val="en-GB"/>
              </w:rPr>
              <w:t xml:space="preserve"> In that, the export of goods was by </w:t>
            </w:r>
            <w:r w:rsidRPr="002E25FF">
              <w:rPr>
                <w:lang w:val="en-GB"/>
              </w:rPr>
              <w:t>5</w:t>
            </w:r>
            <w:r>
              <w:rPr>
                <w:lang w:val="en-GB"/>
              </w:rPr>
              <w:t>.</w:t>
            </w:r>
            <w:r w:rsidRPr="002E25FF">
              <w:rPr>
                <w:lang w:val="en-GB"/>
              </w:rPr>
              <w:t>1% a</w:t>
            </w:r>
            <w:r>
              <w:rPr>
                <w:lang w:val="en-GB"/>
              </w:rPr>
              <w:t xml:space="preserve">nd services </w:t>
            </w:r>
            <w:r w:rsidRPr="002E25FF">
              <w:rPr>
                <w:lang w:val="en-GB"/>
              </w:rPr>
              <w:t>4</w:t>
            </w:r>
            <w:r>
              <w:rPr>
                <w:lang w:val="en-GB"/>
              </w:rPr>
              <w:t>.</w:t>
            </w:r>
            <w:r w:rsidRPr="002E25FF">
              <w:rPr>
                <w:lang w:val="en-GB"/>
              </w:rPr>
              <w:t>6%</w:t>
            </w:r>
            <w:r>
              <w:rPr>
                <w:lang w:val="en-GB"/>
              </w:rPr>
              <w:t xml:space="preserve"> higher</w:t>
            </w:r>
            <w:r w:rsidRPr="002E25FF">
              <w:rPr>
                <w:lang w:val="en-GB"/>
              </w:rPr>
              <w:t xml:space="preserve">. </w:t>
            </w:r>
            <w:r>
              <w:rPr>
                <w:lang w:val="en-GB"/>
              </w:rPr>
              <w:t xml:space="preserve">The export of goods in real terms lagged behind the level of year </w:t>
            </w:r>
            <w:r w:rsidRPr="002E25FF">
              <w:rPr>
                <w:lang w:val="en-GB"/>
              </w:rPr>
              <w:t>2019</w:t>
            </w:r>
            <w:r>
              <w:rPr>
                <w:lang w:val="en-GB"/>
              </w:rPr>
              <w:t xml:space="preserve"> by </w:t>
            </w:r>
            <w:r w:rsidRPr="002E25FF">
              <w:rPr>
                <w:lang w:val="en-GB"/>
              </w:rPr>
              <w:t>0</w:t>
            </w:r>
            <w:r>
              <w:rPr>
                <w:lang w:val="en-GB"/>
              </w:rPr>
              <w:t>.</w:t>
            </w:r>
            <w:r w:rsidRPr="002E25FF">
              <w:rPr>
                <w:lang w:val="en-GB"/>
              </w:rPr>
              <w:t>2% a</w:t>
            </w:r>
            <w:r>
              <w:rPr>
                <w:lang w:val="en-GB"/>
              </w:rPr>
              <w:t xml:space="preserve">nd services by </w:t>
            </w:r>
            <w:r w:rsidRPr="002E25FF">
              <w:rPr>
                <w:lang w:val="en-GB"/>
              </w:rPr>
              <w:t>13</w:t>
            </w:r>
            <w:r>
              <w:rPr>
                <w:lang w:val="en-GB"/>
              </w:rPr>
              <w:t>.</w:t>
            </w:r>
            <w:r w:rsidRPr="002E25FF">
              <w:rPr>
                <w:lang w:val="en-GB"/>
              </w:rPr>
              <w:t xml:space="preserve">2%. </w:t>
            </w:r>
            <w:r>
              <w:rPr>
                <w:lang w:val="en-GB"/>
              </w:rPr>
              <w:t xml:space="preserve">Part of the domestic exporters however faced difficulties with supplies of some components. The import of goods and services thus grew at a faster pace compared to export last year and increased by </w:t>
            </w:r>
            <w:r w:rsidRPr="002E25FF">
              <w:rPr>
                <w:lang w:val="en-GB"/>
              </w:rPr>
              <w:t>11</w:t>
            </w:r>
            <w:r>
              <w:rPr>
                <w:lang w:val="en-GB"/>
              </w:rPr>
              <w:t>.</w:t>
            </w:r>
            <w:r w:rsidRPr="002E25FF">
              <w:rPr>
                <w:lang w:val="en-GB"/>
              </w:rPr>
              <w:t>4%</w:t>
            </w:r>
            <w:r>
              <w:rPr>
                <w:lang w:val="en-GB"/>
              </w:rPr>
              <w:t xml:space="preserve"> in total</w:t>
            </w:r>
            <w:r w:rsidRPr="002E25FF">
              <w:rPr>
                <w:lang w:val="en-GB"/>
              </w:rPr>
              <w:t xml:space="preserve">. Import </w:t>
            </w:r>
            <w:r>
              <w:rPr>
                <w:lang w:val="en-GB"/>
              </w:rPr>
              <w:t xml:space="preserve">of goods increased more </w:t>
            </w:r>
            <w:r w:rsidRPr="002E25FF">
              <w:rPr>
                <w:lang w:val="en-GB"/>
              </w:rPr>
              <w:t>(12</w:t>
            </w:r>
            <w:r>
              <w:rPr>
                <w:lang w:val="en-GB"/>
              </w:rPr>
              <w:t>.</w:t>
            </w:r>
            <w:r w:rsidRPr="002E25FF">
              <w:rPr>
                <w:lang w:val="en-GB"/>
              </w:rPr>
              <w:t>5%)</w:t>
            </w:r>
            <w:r>
              <w:rPr>
                <w:lang w:val="en-GB"/>
              </w:rPr>
              <w:t xml:space="preserve"> than the import of services </w:t>
            </w:r>
            <w:r w:rsidRPr="002E25FF">
              <w:rPr>
                <w:lang w:val="en-GB"/>
              </w:rPr>
              <w:t>(4</w:t>
            </w:r>
            <w:r>
              <w:rPr>
                <w:lang w:val="en-GB"/>
              </w:rPr>
              <w:t>.</w:t>
            </w:r>
            <w:r w:rsidRPr="002E25FF">
              <w:rPr>
                <w:lang w:val="en-GB"/>
              </w:rPr>
              <w:t>6%).</w:t>
            </w:r>
            <w:r>
              <w:rPr>
                <w:lang w:val="en-GB"/>
              </w:rPr>
              <w:t xml:space="preserve"> The balance of foreign trade in total reached surplus of </w:t>
            </w:r>
            <w:r w:rsidRPr="002E25FF">
              <w:rPr>
                <w:lang w:val="en-GB"/>
              </w:rPr>
              <w:t>185</w:t>
            </w:r>
            <w:r>
              <w:rPr>
                <w:lang w:val="en-GB"/>
              </w:rPr>
              <w:t>.</w:t>
            </w:r>
            <w:r w:rsidRPr="002E25FF">
              <w:rPr>
                <w:lang w:val="en-GB"/>
              </w:rPr>
              <w:t>2</w:t>
            </w:r>
            <w:r>
              <w:rPr>
                <w:lang w:val="en-GB"/>
              </w:rPr>
              <w:t xml:space="preserve"> CZK bn</w:t>
            </w:r>
            <w:r w:rsidRPr="002E25FF">
              <w:rPr>
                <w:lang w:val="en-GB"/>
              </w:rPr>
              <w:t>.</w:t>
            </w:r>
            <w:r>
              <w:rPr>
                <w:lang w:val="en-GB"/>
              </w:rPr>
              <w:t xml:space="preserve"> It is by </w:t>
            </w:r>
            <w:r w:rsidRPr="002E25FF">
              <w:rPr>
                <w:lang w:val="en-GB"/>
              </w:rPr>
              <w:t>204</w:t>
            </w:r>
            <w:r>
              <w:rPr>
                <w:lang w:val="en-GB"/>
              </w:rPr>
              <w:t>.</w:t>
            </w:r>
            <w:r w:rsidRPr="002E25FF">
              <w:rPr>
                <w:lang w:val="en-GB"/>
              </w:rPr>
              <w:t>1</w:t>
            </w:r>
            <w:r>
              <w:rPr>
                <w:lang w:val="en-GB"/>
              </w:rPr>
              <w:t xml:space="preserve"> bn</w:t>
            </w:r>
            <w:r w:rsidRPr="002E25FF">
              <w:rPr>
                <w:rStyle w:val="Znakapoznpodarou"/>
                <w:lang w:val="en-GB"/>
              </w:rPr>
              <w:footnoteReference w:id="15"/>
            </w:r>
            <w:r>
              <w:rPr>
                <w:lang w:val="en-GB"/>
              </w:rPr>
              <w:t xml:space="preserve"> worse result than in year </w:t>
            </w:r>
            <w:r w:rsidRPr="002E25FF">
              <w:rPr>
                <w:lang w:val="en-GB"/>
              </w:rPr>
              <w:t>2020.</w:t>
            </w:r>
            <w:r>
              <w:rPr>
                <w:lang w:val="en-GB"/>
              </w:rPr>
              <w:t xml:space="preserve"> For this reason also, the foreign trade balance worked strongly in the direction of GDP decrease </w:t>
            </w:r>
            <w:r w:rsidRPr="002E25FF">
              <w:rPr>
                <w:lang w:val="en-GB"/>
              </w:rPr>
              <w:t>(–2</w:t>
            </w:r>
            <w:r>
              <w:rPr>
                <w:lang w:val="en-GB"/>
              </w:rPr>
              <w:t>.</w:t>
            </w:r>
            <w:r w:rsidRPr="002E25FF">
              <w:rPr>
                <w:lang w:val="en-GB"/>
              </w:rPr>
              <w:t>0 p.</w:t>
            </w:r>
            <w:r>
              <w:rPr>
                <w:lang w:val="en-GB"/>
              </w:rPr>
              <w:t>p.</w:t>
            </w:r>
            <w:r w:rsidRPr="002E25FF">
              <w:rPr>
                <w:lang w:val="en-GB"/>
              </w:rPr>
              <w:t>).</w:t>
            </w:r>
            <w:r>
              <w:rPr>
                <w:lang w:val="en-GB"/>
              </w:rPr>
              <w:t xml:space="preserve"> Solely the positive balance of trade with goods was worsening </w:t>
            </w:r>
            <w:r w:rsidRPr="002E25FF">
              <w:rPr>
                <w:lang w:val="en-GB"/>
              </w:rPr>
              <w:t>(–211</w:t>
            </w:r>
            <w:r>
              <w:rPr>
                <w:lang w:val="en-GB"/>
              </w:rPr>
              <w:t>.</w:t>
            </w:r>
            <w:r w:rsidRPr="002E25FF">
              <w:rPr>
                <w:lang w:val="en-GB"/>
              </w:rPr>
              <w:t>6</w:t>
            </w:r>
            <w:r>
              <w:rPr>
                <w:lang w:val="en-GB"/>
              </w:rPr>
              <w:t xml:space="preserve"> CZK bn</w:t>
            </w:r>
            <w:r w:rsidRPr="002E25FF">
              <w:rPr>
                <w:lang w:val="en-GB"/>
              </w:rPr>
              <w:t xml:space="preserve">). </w:t>
            </w:r>
            <w:r>
              <w:rPr>
                <w:lang w:val="en-GB"/>
              </w:rPr>
              <w:t xml:space="preserve">On the contrary, the surplus of trade with services improved by </w:t>
            </w:r>
            <w:r w:rsidRPr="002E25FF">
              <w:rPr>
                <w:lang w:val="en-GB"/>
              </w:rPr>
              <w:t>7</w:t>
            </w:r>
            <w:r>
              <w:rPr>
                <w:lang w:val="en-GB"/>
              </w:rPr>
              <w:t>.</w:t>
            </w:r>
            <w:r w:rsidRPr="002E25FF">
              <w:rPr>
                <w:lang w:val="en-GB"/>
              </w:rPr>
              <w:t>5</w:t>
            </w:r>
            <w:r>
              <w:rPr>
                <w:lang w:val="en-GB"/>
              </w:rPr>
              <w:t xml:space="preserve"> CZK bn last year</w:t>
            </w:r>
            <w:r w:rsidRPr="002E25FF">
              <w:rPr>
                <w:lang w:val="en-GB"/>
              </w:rPr>
              <w:t>.</w:t>
            </w:r>
          </w:p>
        </w:tc>
      </w:tr>
      <w:tr w:rsidR="00364B62" w:rsidRPr="009110F7" w14:paraId="7690EAE2" w14:textId="77777777" w:rsidTr="00D2240D">
        <w:trPr>
          <w:trHeight w:val="145"/>
        </w:trPr>
        <w:tc>
          <w:tcPr>
            <w:tcW w:w="1806" w:type="dxa"/>
            <w:shd w:val="clear" w:color="auto" w:fill="auto"/>
            <w:tcMar>
              <w:left w:w="0" w:type="dxa"/>
            </w:tcMar>
          </w:tcPr>
          <w:p w14:paraId="722E21E8" w14:textId="5441BDAB" w:rsidR="00364B62" w:rsidRPr="00836096" w:rsidRDefault="00364B62" w:rsidP="00364B62">
            <w:pPr>
              <w:pStyle w:val="Marginlie"/>
              <w:rPr>
                <w:lang w:val="en-GB"/>
              </w:rPr>
            </w:pPr>
            <w:r w:rsidRPr="00836096">
              <w:rPr>
                <w:lang w:val="en-GB"/>
              </w:rPr>
              <w:t xml:space="preserve">In Q4, the foreign trade balance was in deficit. </w:t>
            </w:r>
          </w:p>
        </w:tc>
        <w:tc>
          <w:tcPr>
            <w:tcW w:w="223" w:type="dxa"/>
            <w:shd w:val="clear" w:color="auto" w:fill="auto"/>
            <w:tcMar>
              <w:left w:w="0" w:type="dxa"/>
            </w:tcMar>
          </w:tcPr>
          <w:p w14:paraId="6ED7BDA9" w14:textId="77777777" w:rsidR="00364B62" w:rsidRDefault="00364B62" w:rsidP="00364B62">
            <w:pPr>
              <w:pStyle w:val="Textpoznpodarou"/>
              <w:jc w:val="both"/>
              <w:rPr>
                <w:spacing w:val="-4"/>
              </w:rPr>
            </w:pPr>
          </w:p>
        </w:tc>
        <w:tc>
          <w:tcPr>
            <w:tcW w:w="7610" w:type="dxa"/>
            <w:shd w:val="clear" w:color="auto" w:fill="auto"/>
            <w:tcMar>
              <w:left w:w="0" w:type="dxa"/>
            </w:tcMar>
          </w:tcPr>
          <w:p w14:paraId="6593EA50" w14:textId="4F64A1AE" w:rsidR="00364B62" w:rsidRPr="00634DCA" w:rsidRDefault="00364B62" w:rsidP="00364B62">
            <w:pPr>
              <w:rPr>
                <w:lang w:val="en-GB"/>
              </w:rPr>
            </w:pPr>
            <w:r w:rsidRPr="00634DCA">
              <w:rPr>
                <w:lang w:val="en-GB"/>
              </w:rPr>
              <w:t>In Q4, the export of goods and services dropped by 5.7% in real terms year-on-year, while the export of goods went down (–8.9%), while it grew strongly for services (15.3%). The import was on the contrary</w:t>
            </w:r>
            <w:r>
              <w:rPr>
                <w:lang w:val="en-GB"/>
              </w:rPr>
              <w:t xml:space="preserve"> expanding </w:t>
            </w:r>
            <w:r w:rsidRPr="00634DCA">
              <w:rPr>
                <w:lang w:val="en-GB"/>
              </w:rPr>
              <w:t>(4</w:t>
            </w:r>
            <w:r>
              <w:rPr>
                <w:lang w:val="en-GB"/>
              </w:rPr>
              <w:t>.</w:t>
            </w:r>
            <w:r w:rsidRPr="00634DCA">
              <w:rPr>
                <w:lang w:val="en-GB"/>
              </w:rPr>
              <w:t>0%). Import</w:t>
            </w:r>
            <w:r>
              <w:rPr>
                <w:lang w:val="en-GB"/>
              </w:rPr>
              <w:t xml:space="preserve"> of goods was by </w:t>
            </w:r>
            <w:r w:rsidRPr="00634DCA">
              <w:rPr>
                <w:lang w:val="en-GB"/>
              </w:rPr>
              <w:t>3</w:t>
            </w:r>
            <w:r>
              <w:rPr>
                <w:lang w:val="en-GB"/>
              </w:rPr>
              <w:t>.</w:t>
            </w:r>
            <w:r w:rsidRPr="00634DCA">
              <w:rPr>
                <w:lang w:val="en-GB"/>
              </w:rPr>
              <w:t>5%</w:t>
            </w:r>
            <w:r>
              <w:rPr>
                <w:lang w:val="en-GB"/>
              </w:rPr>
              <w:t xml:space="preserve"> and services by </w:t>
            </w:r>
            <w:r w:rsidRPr="00634DCA">
              <w:rPr>
                <w:lang w:val="en-GB"/>
              </w:rPr>
              <w:t>7</w:t>
            </w:r>
            <w:r>
              <w:rPr>
                <w:lang w:val="en-GB"/>
              </w:rPr>
              <w:t>.</w:t>
            </w:r>
            <w:r w:rsidRPr="00634DCA">
              <w:rPr>
                <w:lang w:val="en-GB"/>
              </w:rPr>
              <w:t>6%</w:t>
            </w:r>
            <w:r>
              <w:rPr>
                <w:lang w:val="en-GB"/>
              </w:rPr>
              <w:t xml:space="preserve"> higher year-on-year</w:t>
            </w:r>
            <w:r w:rsidRPr="00634DCA">
              <w:rPr>
                <w:lang w:val="en-GB"/>
              </w:rPr>
              <w:t xml:space="preserve">. </w:t>
            </w:r>
            <w:r>
              <w:rPr>
                <w:lang w:val="en-GB"/>
              </w:rPr>
              <w:t>Compared to Q</w:t>
            </w:r>
            <w:r w:rsidRPr="00634DCA">
              <w:rPr>
                <w:lang w:val="en-GB"/>
              </w:rPr>
              <w:t>3</w:t>
            </w:r>
            <w:r>
              <w:rPr>
                <w:lang w:val="en-GB"/>
              </w:rPr>
              <w:t xml:space="preserve">, the export increased by </w:t>
            </w:r>
            <w:r w:rsidRPr="00634DCA">
              <w:rPr>
                <w:lang w:val="en-GB"/>
              </w:rPr>
              <w:t>2</w:t>
            </w:r>
            <w:r>
              <w:rPr>
                <w:lang w:val="en-GB"/>
              </w:rPr>
              <w:t>.</w:t>
            </w:r>
            <w:r w:rsidRPr="00634DCA">
              <w:rPr>
                <w:lang w:val="en-GB"/>
              </w:rPr>
              <w:t>2%</w:t>
            </w:r>
            <w:r>
              <w:rPr>
                <w:lang w:val="en-GB"/>
              </w:rPr>
              <w:t xml:space="preserve"> in real terms</w:t>
            </w:r>
            <w:r w:rsidRPr="00634DCA">
              <w:rPr>
                <w:lang w:val="en-GB"/>
              </w:rPr>
              <w:t>,</w:t>
            </w:r>
            <w:r>
              <w:rPr>
                <w:lang w:val="en-GB"/>
              </w:rPr>
              <w:t xml:space="preserve"> both export of goods </w:t>
            </w:r>
            <w:r w:rsidRPr="00634DCA">
              <w:rPr>
                <w:lang w:val="en-GB"/>
              </w:rPr>
              <w:t>(1</w:t>
            </w:r>
            <w:r>
              <w:rPr>
                <w:lang w:val="en-GB"/>
              </w:rPr>
              <w:t>.</w:t>
            </w:r>
            <w:r w:rsidRPr="00634DCA">
              <w:rPr>
                <w:lang w:val="en-GB"/>
              </w:rPr>
              <w:t>2%)</w:t>
            </w:r>
            <w:r>
              <w:rPr>
                <w:lang w:val="en-GB"/>
              </w:rPr>
              <w:t xml:space="preserve"> as well as services </w:t>
            </w:r>
            <w:r w:rsidRPr="00634DCA">
              <w:rPr>
                <w:lang w:val="en-GB"/>
              </w:rPr>
              <w:t>(7</w:t>
            </w:r>
            <w:r>
              <w:rPr>
                <w:lang w:val="en-GB"/>
              </w:rPr>
              <w:t>.</w:t>
            </w:r>
            <w:r w:rsidRPr="00634DCA">
              <w:rPr>
                <w:lang w:val="en-GB"/>
              </w:rPr>
              <w:t>7%)</w:t>
            </w:r>
            <w:r>
              <w:rPr>
                <w:lang w:val="en-GB"/>
              </w:rPr>
              <w:t xml:space="preserve"> was growing</w:t>
            </w:r>
            <w:r w:rsidRPr="00634DCA">
              <w:rPr>
                <w:lang w:val="en-GB"/>
              </w:rPr>
              <w:t xml:space="preserve">. </w:t>
            </w:r>
            <w:r>
              <w:rPr>
                <w:lang w:val="en-GB"/>
              </w:rPr>
              <w:t xml:space="preserve">On the other hand, the import decreased by </w:t>
            </w:r>
            <w:r w:rsidRPr="00634DCA">
              <w:rPr>
                <w:lang w:val="en-GB"/>
              </w:rPr>
              <w:t>0</w:t>
            </w:r>
            <w:r>
              <w:rPr>
                <w:lang w:val="en-GB"/>
              </w:rPr>
              <w:t>.</w:t>
            </w:r>
            <w:r w:rsidRPr="00634DCA">
              <w:rPr>
                <w:lang w:val="en-GB"/>
              </w:rPr>
              <w:t>4%</w:t>
            </w:r>
            <w:r>
              <w:rPr>
                <w:lang w:val="en-GB"/>
              </w:rPr>
              <w:t xml:space="preserve"> quarter-on-quarter</w:t>
            </w:r>
            <w:r w:rsidRPr="00634DCA">
              <w:rPr>
                <w:lang w:val="en-GB"/>
              </w:rPr>
              <w:t xml:space="preserve">. </w:t>
            </w:r>
            <w:r>
              <w:rPr>
                <w:lang w:val="en-GB"/>
              </w:rPr>
              <w:t xml:space="preserve">The foreign trade balance reached total surplus of </w:t>
            </w:r>
            <w:r w:rsidRPr="00634DCA">
              <w:rPr>
                <w:lang w:val="en-GB"/>
              </w:rPr>
              <w:t>22</w:t>
            </w:r>
            <w:r>
              <w:rPr>
                <w:lang w:val="en-GB"/>
              </w:rPr>
              <w:t>.</w:t>
            </w:r>
            <w:r w:rsidRPr="00634DCA">
              <w:rPr>
                <w:lang w:val="en-GB"/>
              </w:rPr>
              <w:t>5</w:t>
            </w:r>
            <w:r>
              <w:rPr>
                <w:lang w:val="en-GB"/>
              </w:rPr>
              <w:t xml:space="preserve"> CZK bn last year</w:t>
            </w:r>
            <w:r w:rsidRPr="00634DCA">
              <w:rPr>
                <w:lang w:val="en-GB"/>
              </w:rPr>
              <w:t>,</w:t>
            </w:r>
            <w:r>
              <w:rPr>
                <w:lang w:val="en-GB"/>
              </w:rPr>
              <w:t xml:space="preserve"> which is by </w:t>
            </w:r>
            <w:r w:rsidRPr="00634DCA">
              <w:rPr>
                <w:lang w:val="en-GB"/>
              </w:rPr>
              <w:t>122</w:t>
            </w:r>
            <w:r>
              <w:rPr>
                <w:lang w:val="en-GB"/>
              </w:rPr>
              <w:t>.</w:t>
            </w:r>
            <w:r w:rsidRPr="00634DCA">
              <w:rPr>
                <w:lang w:val="en-GB"/>
              </w:rPr>
              <w:t>6</w:t>
            </w:r>
            <w:r>
              <w:rPr>
                <w:lang w:val="en-GB"/>
              </w:rPr>
              <w:t xml:space="preserve"> bn worse result year-on-year. The year-on-year comparison was apart from the situation in industry also affected by the high comparative basis of Q</w:t>
            </w:r>
            <w:r w:rsidRPr="00634DCA">
              <w:rPr>
                <w:lang w:val="en-GB"/>
              </w:rPr>
              <w:t>4</w:t>
            </w:r>
            <w:r>
              <w:rPr>
                <w:lang w:val="en-GB"/>
              </w:rPr>
              <w:t xml:space="preserve"> </w:t>
            </w:r>
            <w:r w:rsidRPr="00634DCA">
              <w:rPr>
                <w:lang w:val="en-GB"/>
              </w:rPr>
              <w:t>2020.</w:t>
            </w:r>
            <w:r>
              <w:rPr>
                <w:lang w:val="en-GB"/>
              </w:rPr>
              <w:t xml:space="preserve"> The balance of trade with goods fell by </w:t>
            </w:r>
            <w:r w:rsidRPr="00634DCA">
              <w:rPr>
                <w:lang w:val="en-GB"/>
              </w:rPr>
              <w:t>137</w:t>
            </w:r>
            <w:r>
              <w:rPr>
                <w:lang w:val="en-GB"/>
              </w:rPr>
              <w:t>.</w:t>
            </w:r>
            <w:r w:rsidRPr="00634DCA">
              <w:rPr>
                <w:lang w:val="en-GB"/>
              </w:rPr>
              <w:t>1</w:t>
            </w:r>
            <w:r>
              <w:rPr>
                <w:lang w:val="en-GB"/>
              </w:rPr>
              <w:t xml:space="preserve"> CZK bn year-on-year into the deficit of </w:t>
            </w:r>
            <w:r w:rsidRPr="00634DCA">
              <w:rPr>
                <w:lang w:val="en-GB"/>
              </w:rPr>
              <w:t>–12</w:t>
            </w:r>
            <w:r>
              <w:rPr>
                <w:lang w:val="en-GB"/>
              </w:rPr>
              <w:t>.</w:t>
            </w:r>
            <w:r w:rsidRPr="00634DCA">
              <w:rPr>
                <w:lang w:val="en-GB"/>
              </w:rPr>
              <w:t>2</w:t>
            </w:r>
            <w:r>
              <w:rPr>
                <w:lang w:val="en-GB"/>
              </w:rPr>
              <w:t xml:space="preserve"> bn, while the surplus of trade with services improved by </w:t>
            </w:r>
            <w:r w:rsidRPr="00634DCA">
              <w:rPr>
                <w:lang w:val="en-GB"/>
              </w:rPr>
              <w:t>14</w:t>
            </w:r>
            <w:r>
              <w:rPr>
                <w:lang w:val="en-GB"/>
              </w:rPr>
              <w:t>.</w:t>
            </w:r>
            <w:r w:rsidRPr="00634DCA">
              <w:rPr>
                <w:lang w:val="en-GB"/>
              </w:rPr>
              <w:t>5</w:t>
            </w:r>
            <w:r>
              <w:rPr>
                <w:lang w:val="en-GB"/>
              </w:rPr>
              <w:t xml:space="preserve"> bn</w:t>
            </w:r>
            <w:r w:rsidRPr="00634DCA">
              <w:rPr>
                <w:lang w:val="en-GB"/>
              </w:rPr>
              <w:t>.</w:t>
            </w:r>
            <w:r>
              <w:rPr>
                <w:lang w:val="en-GB"/>
              </w:rPr>
              <w:t xml:space="preserve"> Quarter-on-quarter, the total surplus improved. </w:t>
            </w:r>
          </w:p>
        </w:tc>
      </w:tr>
      <w:tr w:rsidR="00364B62" w:rsidRPr="009110F7" w14:paraId="7F9110A0" w14:textId="77777777" w:rsidTr="00D2240D">
        <w:trPr>
          <w:trHeight w:val="145"/>
        </w:trPr>
        <w:tc>
          <w:tcPr>
            <w:tcW w:w="1806" w:type="dxa"/>
            <w:shd w:val="clear" w:color="auto" w:fill="auto"/>
            <w:tcMar>
              <w:left w:w="0" w:type="dxa"/>
            </w:tcMar>
          </w:tcPr>
          <w:p w14:paraId="308FC88E" w14:textId="02A70FF4" w:rsidR="00364B62" w:rsidRPr="00836096" w:rsidRDefault="00364B62" w:rsidP="00364B62">
            <w:pPr>
              <w:pStyle w:val="Marginlie"/>
              <w:rPr>
                <w:lang w:val="en-GB"/>
              </w:rPr>
            </w:pPr>
            <w:r>
              <w:rPr>
                <w:lang w:val="en-GB"/>
              </w:rPr>
              <w:lastRenderedPageBreak/>
              <w:t xml:space="preserve">The gross value added grew last year but did not exceed the level from year 2019 in real terms. </w:t>
            </w:r>
          </w:p>
        </w:tc>
        <w:tc>
          <w:tcPr>
            <w:tcW w:w="223" w:type="dxa"/>
            <w:shd w:val="clear" w:color="auto" w:fill="auto"/>
            <w:tcMar>
              <w:left w:w="0" w:type="dxa"/>
            </w:tcMar>
          </w:tcPr>
          <w:p w14:paraId="170DAB28" w14:textId="77777777" w:rsidR="00364B62" w:rsidRDefault="00364B62" w:rsidP="00364B62">
            <w:pPr>
              <w:pStyle w:val="Textpoznpodarou"/>
              <w:jc w:val="both"/>
              <w:rPr>
                <w:spacing w:val="-4"/>
              </w:rPr>
            </w:pPr>
          </w:p>
        </w:tc>
        <w:tc>
          <w:tcPr>
            <w:tcW w:w="7610" w:type="dxa"/>
            <w:shd w:val="clear" w:color="auto" w:fill="auto"/>
            <w:tcMar>
              <w:left w:w="0" w:type="dxa"/>
            </w:tcMar>
          </w:tcPr>
          <w:p w14:paraId="026BE085" w14:textId="1C48DB2A" w:rsidR="00364B62" w:rsidRPr="00634DCA" w:rsidRDefault="00364B62" w:rsidP="00364B62">
            <w:pPr>
              <w:rPr>
                <w:lang w:val="en-GB"/>
              </w:rPr>
            </w:pPr>
            <w:r w:rsidRPr="00634DCA">
              <w:rPr>
                <w:lang w:val="en-GB"/>
              </w:rPr>
              <w:t>The Gross value added (GVA) increased by 3.0% in 2021.</w:t>
            </w:r>
            <w:r>
              <w:rPr>
                <w:lang w:val="en-GB"/>
              </w:rPr>
              <w:t xml:space="preserve"> Still in Q</w:t>
            </w:r>
            <w:r w:rsidRPr="00634DCA">
              <w:rPr>
                <w:lang w:val="en-GB"/>
              </w:rPr>
              <w:t>1</w:t>
            </w:r>
            <w:r>
              <w:rPr>
                <w:lang w:val="en-GB"/>
              </w:rPr>
              <w:t xml:space="preserve">, some economic activities were significantly hit by the counter pandemic restrictions, the Autumn worsening of the epidemic situation however did not lead to such strict measures as in </w:t>
            </w:r>
            <w:r w:rsidRPr="00634DCA">
              <w:rPr>
                <w:lang w:val="en-GB"/>
              </w:rPr>
              <w:t xml:space="preserve">2020. </w:t>
            </w:r>
            <w:r>
              <w:rPr>
                <w:lang w:val="en-GB"/>
              </w:rPr>
              <w:t xml:space="preserve">The increase was however not sufficient to offset the slump from year </w:t>
            </w:r>
            <w:r w:rsidRPr="00634DCA">
              <w:rPr>
                <w:lang w:val="en-GB"/>
              </w:rPr>
              <w:t>2020</w:t>
            </w:r>
            <w:r>
              <w:rPr>
                <w:lang w:val="en-GB"/>
              </w:rPr>
              <w:t xml:space="preserve"> and the total GVA in real terms lagged behind the level from year </w:t>
            </w:r>
            <w:r w:rsidRPr="00634DCA">
              <w:rPr>
                <w:lang w:val="en-GB"/>
              </w:rPr>
              <w:t xml:space="preserve">2019. </w:t>
            </w:r>
            <w:r>
              <w:rPr>
                <w:lang w:val="en-GB"/>
              </w:rPr>
              <w:t xml:space="preserve">Among the individual branches, only agriculture, forestry and fishing, information and communication, financial and insurance activities and branches with the dominant government sector managed to climb above the level from year 2019. Compared to year </w:t>
            </w:r>
            <w:r w:rsidRPr="00634DCA">
              <w:rPr>
                <w:lang w:val="en-GB"/>
              </w:rPr>
              <w:t>2020</w:t>
            </w:r>
            <w:r>
              <w:rPr>
                <w:lang w:val="en-GB"/>
              </w:rPr>
              <w:t xml:space="preserve">, the GVA was lower only in other activities </w:t>
            </w:r>
            <w:r w:rsidRPr="00634DCA">
              <w:rPr>
                <w:lang w:val="en-GB"/>
              </w:rPr>
              <w:t>(–1</w:t>
            </w:r>
            <w:r>
              <w:rPr>
                <w:lang w:val="en-GB"/>
              </w:rPr>
              <w:t>.</w:t>
            </w:r>
            <w:r w:rsidRPr="00634DCA">
              <w:rPr>
                <w:lang w:val="en-GB"/>
              </w:rPr>
              <w:t>4%).</w:t>
            </w:r>
            <w:r>
              <w:rPr>
                <w:lang w:val="en-GB"/>
              </w:rPr>
              <w:t xml:space="preserve"> These were strongly hit by the government restrictions since they include for instance personal care services. In other branches, the GVA increased, the most in financial and insurance activities </w:t>
            </w:r>
            <w:r w:rsidRPr="00634DCA">
              <w:rPr>
                <w:lang w:val="en-GB"/>
              </w:rPr>
              <w:t>(9</w:t>
            </w:r>
            <w:r>
              <w:rPr>
                <w:lang w:val="en-GB"/>
              </w:rPr>
              <w:t>.</w:t>
            </w:r>
            <w:r w:rsidRPr="00634DCA">
              <w:rPr>
                <w:lang w:val="en-GB"/>
              </w:rPr>
              <w:t>4%),</w:t>
            </w:r>
            <w:r>
              <w:rPr>
                <w:lang w:val="en-GB"/>
              </w:rPr>
              <w:t xml:space="preserve"> in manufacturing </w:t>
            </w:r>
            <w:r w:rsidRPr="00634DCA">
              <w:rPr>
                <w:lang w:val="en-GB"/>
              </w:rPr>
              <w:t>(4</w:t>
            </w:r>
            <w:r>
              <w:rPr>
                <w:lang w:val="en-GB"/>
              </w:rPr>
              <w:t>.</w:t>
            </w:r>
            <w:r w:rsidRPr="00634DCA">
              <w:rPr>
                <w:lang w:val="en-GB"/>
              </w:rPr>
              <w:t>5%),</w:t>
            </w:r>
            <w:r>
              <w:rPr>
                <w:lang w:val="en-GB"/>
              </w:rPr>
              <w:t xml:space="preserve"> in information and communication </w:t>
            </w:r>
            <w:r w:rsidRPr="00634DCA">
              <w:rPr>
                <w:lang w:val="en-GB"/>
              </w:rPr>
              <w:t>(4</w:t>
            </w:r>
            <w:r>
              <w:rPr>
                <w:lang w:val="en-GB"/>
              </w:rPr>
              <w:t>.</w:t>
            </w:r>
            <w:r w:rsidRPr="00634DCA">
              <w:rPr>
                <w:lang w:val="en-GB"/>
              </w:rPr>
              <w:t xml:space="preserve">3%). </w:t>
            </w:r>
            <w:r>
              <w:rPr>
                <w:lang w:val="en-GB"/>
              </w:rPr>
              <w:t xml:space="preserve">The GVA in branches with the dominant government sector </w:t>
            </w:r>
            <w:r w:rsidRPr="00634DCA">
              <w:rPr>
                <w:lang w:val="en-GB"/>
              </w:rPr>
              <w:t>(2</w:t>
            </w:r>
            <w:r>
              <w:rPr>
                <w:lang w:val="en-GB"/>
              </w:rPr>
              <w:t>.</w:t>
            </w:r>
            <w:r w:rsidRPr="00634DCA">
              <w:rPr>
                <w:lang w:val="en-GB"/>
              </w:rPr>
              <w:t>9%),</w:t>
            </w:r>
            <w:r>
              <w:rPr>
                <w:lang w:val="en-GB"/>
              </w:rPr>
              <w:t xml:space="preserve"> agriculture, forestry and fishing </w:t>
            </w:r>
            <w:r w:rsidRPr="00634DCA">
              <w:rPr>
                <w:lang w:val="en-GB"/>
              </w:rPr>
              <w:t>(2</w:t>
            </w:r>
            <w:r>
              <w:rPr>
                <w:lang w:val="en-GB"/>
              </w:rPr>
              <w:t>.</w:t>
            </w:r>
            <w:r w:rsidRPr="00634DCA">
              <w:rPr>
                <w:lang w:val="en-GB"/>
              </w:rPr>
              <w:t>8%)</w:t>
            </w:r>
            <w:r>
              <w:rPr>
                <w:lang w:val="en-GB"/>
              </w:rPr>
              <w:t xml:space="preserve"> in </w:t>
            </w:r>
            <w:r w:rsidR="00C02704">
              <w:rPr>
                <w:lang w:val="en-GB"/>
              </w:rPr>
              <w:t xml:space="preserve">division </w:t>
            </w:r>
            <w:r>
              <w:rPr>
                <w:lang w:val="en-GB"/>
              </w:rPr>
              <w:t xml:space="preserve">trade, transportation, accommodation and food service </w:t>
            </w:r>
            <w:r w:rsidRPr="00634DCA">
              <w:rPr>
                <w:lang w:val="en-GB"/>
              </w:rPr>
              <w:t>(2</w:t>
            </w:r>
            <w:r>
              <w:rPr>
                <w:lang w:val="en-GB"/>
              </w:rPr>
              <w:t>.</w:t>
            </w:r>
            <w:r w:rsidRPr="00634DCA">
              <w:rPr>
                <w:lang w:val="en-GB"/>
              </w:rPr>
              <w:t>5%),</w:t>
            </w:r>
            <w:r>
              <w:rPr>
                <w:lang w:val="en-GB"/>
              </w:rPr>
              <w:t xml:space="preserve"> in professional, scientific, technical and administrative activities </w:t>
            </w:r>
            <w:r w:rsidRPr="00634DCA">
              <w:rPr>
                <w:lang w:val="en-GB"/>
              </w:rPr>
              <w:t>(2</w:t>
            </w:r>
            <w:r>
              <w:rPr>
                <w:lang w:val="en-GB"/>
              </w:rPr>
              <w:t>.</w:t>
            </w:r>
            <w:r w:rsidRPr="00634DCA">
              <w:rPr>
                <w:lang w:val="en-GB"/>
              </w:rPr>
              <w:t>3%),</w:t>
            </w:r>
            <w:r>
              <w:rPr>
                <w:lang w:val="en-GB"/>
              </w:rPr>
              <w:t xml:space="preserve"> in construction </w:t>
            </w:r>
            <w:r w:rsidRPr="00634DCA">
              <w:rPr>
                <w:lang w:val="en-GB"/>
              </w:rPr>
              <w:t>(0</w:t>
            </w:r>
            <w:r>
              <w:rPr>
                <w:lang w:val="en-GB"/>
              </w:rPr>
              <w:t>.</w:t>
            </w:r>
            <w:r w:rsidRPr="00634DCA">
              <w:rPr>
                <w:lang w:val="en-GB"/>
              </w:rPr>
              <w:t>9%) a</w:t>
            </w:r>
            <w:r>
              <w:rPr>
                <w:lang w:val="en-GB"/>
              </w:rPr>
              <w:t xml:space="preserve">nd in real estate activities </w:t>
            </w:r>
            <w:r w:rsidRPr="00634DCA">
              <w:rPr>
                <w:lang w:val="en-GB"/>
              </w:rPr>
              <w:t>(0</w:t>
            </w:r>
            <w:r>
              <w:rPr>
                <w:lang w:val="en-GB"/>
              </w:rPr>
              <w:t>.</w:t>
            </w:r>
            <w:r w:rsidRPr="00634DCA">
              <w:rPr>
                <w:lang w:val="en-GB"/>
              </w:rPr>
              <w:t>5%)</w:t>
            </w:r>
            <w:r>
              <w:rPr>
                <w:lang w:val="en-GB"/>
              </w:rPr>
              <w:t xml:space="preserve"> featured below average growth pace</w:t>
            </w:r>
            <w:r w:rsidRPr="00634DCA">
              <w:rPr>
                <w:lang w:val="en-GB"/>
              </w:rPr>
              <w:t>.</w:t>
            </w:r>
          </w:p>
        </w:tc>
      </w:tr>
      <w:tr w:rsidR="00364B62" w:rsidRPr="009110F7" w14:paraId="6B8A5B8A" w14:textId="77777777" w:rsidTr="00D2240D">
        <w:trPr>
          <w:trHeight w:val="170"/>
        </w:trPr>
        <w:tc>
          <w:tcPr>
            <w:tcW w:w="1806" w:type="dxa"/>
            <w:vMerge w:val="restart"/>
            <w:shd w:val="clear" w:color="auto" w:fill="auto"/>
            <w:tcMar>
              <w:left w:w="0" w:type="dxa"/>
            </w:tcMar>
          </w:tcPr>
          <w:p w14:paraId="1C1459C2" w14:textId="77777777" w:rsidR="00364B62" w:rsidRDefault="00364B62" w:rsidP="00364B62">
            <w:pPr>
              <w:pStyle w:val="Marginlie"/>
            </w:pPr>
          </w:p>
        </w:tc>
        <w:tc>
          <w:tcPr>
            <w:tcW w:w="223" w:type="dxa"/>
            <w:vMerge w:val="restart"/>
            <w:shd w:val="clear" w:color="auto" w:fill="auto"/>
            <w:tcMar>
              <w:left w:w="0" w:type="dxa"/>
            </w:tcMar>
          </w:tcPr>
          <w:p w14:paraId="53C43181" w14:textId="77777777" w:rsidR="00364B62" w:rsidRDefault="00364B62" w:rsidP="00364B62">
            <w:pPr>
              <w:pStyle w:val="Textpoznpodarou"/>
              <w:jc w:val="both"/>
              <w:rPr>
                <w:spacing w:val="-4"/>
              </w:rPr>
            </w:pPr>
          </w:p>
        </w:tc>
        <w:tc>
          <w:tcPr>
            <w:tcW w:w="7610" w:type="dxa"/>
            <w:shd w:val="clear" w:color="auto" w:fill="auto"/>
            <w:tcMar>
              <w:left w:w="0" w:type="dxa"/>
            </w:tcMar>
          </w:tcPr>
          <w:p w14:paraId="28AC0D63" w14:textId="1F49CDB5" w:rsidR="00364B62" w:rsidRPr="00D721B4" w:rsidRDefault="00364B62" w:rsidP="00364B62">
            <w:pPr>
              <w:spacing w:after="0"/>
              <w:rPr>
                <w:szCs w:val="20"/>
              </w:rPr>
            </w:pPr>
            <w:r>
              <w:rPr>
                <w:b/>
                <w:szCs w:val="20"/>
              </w:rPr>
              <w:t xml:space="preserve">Chart </w:t>
            </w:r>
            <w:r w:rsidRPr="00D721B4">
              <w:rPr>
                <w:b/>
                <w:szCs w:val="20"/>
              </w:rPr>
              <w:t>3</w:t>
            </w:r>
            <w:r>
              <w:rPr>
                <w:b/>
                <w:szCs w:val="20"/>
              </w:rPr>
              <w:t xml:space="preserve"> </w:t>
            </w:r>
            <w:r w:rsidRPr="00D721B4">
              <w:rPr>
                <w:b/>
                <w:szCs w:val="20"/>
              </w:rPr>
              <w:t xml:space="preserve"> </w:t>
            </w:r>
            <w:r w:rsidR="002515B3" w:rsidRPr="00D970F7">
              <w:rPr>
                <w:b/>
                <w:sz w:val="18"/>
                <w:szCs w:val="18"/>
                <w:lang w:val="en-GB"/>
              </w:rPr>
              <w:t xml:space="preserve">Contributions of branches to real change in GVA </w:t>
            </w:r>
            <w:r w:rsidR="002515B3" w:rsidRPr="00D970F7">
              <w:rPr>
                <w:bCs/>
                <w:sz w:val="18"/>
                <w:szCs w:val="18"/>
                <w:lang w:val="en-GB"/>
              </w:rPr>
              <w:t>(volume indices, year-on-year contributions in p.p., GVA in %)</w:t>
            </w:r>
          </w:p>
        </w:tc>
      </w:tr>
      <w:tr w:rsidR="00364B62" w:rsidRPr="009110F7" w14:paraId="46504275" w14:textId="77777777" w:rsidTr="00D2240D">
        <w:tblPrEx>
          <w:tblCellMar>
            <w:left w:w="70" w:type="dxa"/>
            <w:right w:w="70" w:type="dxa"/>
          </w:tblCellMar>
        </w:tblPrEx>
        <w:trPr>
          <w:trHeight w:val="170"/>
        </w:trPr>
        <w:tc>
          <w:tcPr>
            <w:tcW w:w="1806" w:type="dxa"/>
            <w:vMerge/>
            <w:shd w:val="clear" w:color="auto" w:fill="auto"/>
          </w:tcPr>
          <w:p w14:paraId="35E6AF66" w14:textId="77777777" w:rsidR="00364B62" w:rsidRPr="009110F7" w:rsidRDefault="00364B62" w:rsidP="00364B62">
            <w:pPr>
              <w:pStyle w:val="Marginlie"/>
            </w:pPr>
          </w:p>
        </w:tc>
        <w:tc>
          <w:tcPr>
            <w:tcW w:w="223" w:type="dxa"/>
            <w:vMerge/>
            <w:shd w:val="clear" w:color="auto" w:fill="auto"/>
          </w:tcPr>
          <w:p w14:paraId="6DE3B60B" w14:textId="77777777" w:rsidR="00364B62" w:rsidRPr="009110F7" w:rsidRDefault="00364B62" w:rsidP="00364B62">
            <w:pPr>
              <w:pStyle w:val="Textpoznpodarou"/>
              <w:jc w:val="both"/>
              <w:rPr>
                <w:spacing w:val="-4"/>
              </w:rPr>
            </w:pPr>
          </w:p>
        </w:tc>
        <w:tc>
          <w:tcPr>
            <w:tcW w:w="7610" w:type="dxa"/>
            <w:shd w:val="clear" w:color="auto" w:fill="auto"/>
          </w:tcPr>
          <w:p w14:paraId="53CBA39B" w14:textId="568B04C5" w:rsidR="00364B62" w:rsidRPr="009110F7" w:rsidRDefault="00AA570E" w:rsidP="00364B62">
            <w:pPr>
              <w:spacing w:after="0"/>
            </w:pPr>
            <w:r>
              <w:rPr>
                <w:noProof/>
              </w:rPr>
              <w:drawing>
                <wp:inline distT="0" distB="0" distL="0" distR="0" wp14:anchorId="2E42CA91" wp14:editId="6A60558C">
                  <wp:extent cx="4737600" cy="3553200"/>
                  <wp:effectExtent l="0" t="0" r="6350" b="0"/>
                  <wp:docPr id="23" name="Graf 2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64B62" w:rsidRPr="009110F7" w14:paraId="5CFC5BEB" w14:textId="77777777" w:rsidTr="00D2240D">
        <w:trPr>
          <w:trHeight w:val="170"/>
        </w:trPr>
        <w:tc>
          <w:tcPr>
            <w:tcW w:w="1806" w:type="dxa"/>
            <w:vMerge/>
            <w:shd w:val="clear" w:color="auto" w:fill="auto"/>
            <w:tcMar>
              <w:left w:w="0" w:type="dxa"/>
            </w:tcMar>
          </w:tcPr>
          <w:p w14:paraId="1012517B" w14:textId="77777777" w:rsidR="00364B62" w:rsidRPr="009110F7" w:rsidRDefault="00364B62" w:rsidP="00364B62">
            <w:pPr>
              <w:pStyle w:val="Marginlie"/>
            </w:pPr>
          </w:p>
        </w:tc>
        <w:tc>
          <w:tcPr>
            <w:tcW w:w="223" w:type="dxa"/>
            <w:vMerge/>
            <w:shd w:val="clear" w:color="auto" w:fill="auto"/>
            <w:tcMar>
              <w:left w:w="0" w:type="dxa"/>
            </w:tcMar>
          </w:tcPr>
          <w:p w14:paraId="29CCA065" w14:textId="77777777" w:rsidR="00364B62" w:rsidRPr="009110F7" w:rsidRDefault="00364B62" w:rsidP="00364B62">
            <w:pPr>
              <w:pStyle w:val="Textpoznpodarou"/>
              <w:jc w:val="both"/>
              <w:rPr>
                <w:spacing w:val="-4"/>
              </w:rPr>
            </w:pPr>
          </w:p>
        </w:tc>
        <w:tc>
          <w:tcPr>
            <w:tcW w:w="7610" w:type="dxa"/>
            <w:shd w:val="clear" w:color="auto" w:fill="auto"/>
            <w:tcMar>
              <w:left w:w="0" w:type="dxa"/>
            </w:tcMar>
          </w:tcPr>
          <w:p w14:paraId="2A320BD3" w14:textId="342FA9C1" w:rsidR="00764231" w:rsidRPr="002515B3" w:rsidRDefault="00364B62" w:rsidP="00AA570E">
            <w:pPr>
              <w:rPr>
                <w:b/>
                <w:bCs/>
                <w:sz w:val="16"/>
                <w:szCs w:val="16"/>
              </w:rPr>
            </w:pPr>
            <w:r>
              <w:rPr>
                <w:sz w:val="14"/>
                <w:szCs w:val="14"/>
              </w:rPr>
              <w:t>Source</w:t>
            </w:r>
            <w:r w:rsidRPr="00A85DE1">
              <w:rPr>
                <w:sz w:val="14"/>
                <w:szCs w:val="14"/>
              </w:rPr>
              <w:t xml:space="preserve">: </w:t>
            </w:r>
            <w:r>
              <w:rPr>
                <w:sz w:val="14"/>
                <w:szCs w:val="14"/>
              </w:rPr>
              <w:t>CZSO</w:t>
            </w:r>
          </w:p>
        </w:tc>
      </w:tr>
      <w:tr w:rsidR="00D2240D" w:rsidRPr="009110F7" w14:paraId="4B13E960" w14:textId="77777777" w:rsidTr="00D2240D">
        <w:trPr>
          <w:trHeight w:val="170"/>
        </w:trPr>
        <w:tc>
          <w:tcPr>
            <w:tcW w:w="1806" w:type="dxa"/>
            <w:shd w:val="clear" w:color="auto" w:fill="auto"/>
            <w:tcMar>
              <w:left w:w="0" w:type="dxa"/>
            </w:tcMar>
          </w:tcPr>
          <w:p w14:paraId="20848390" w14:textId="206E4D73" w:rsidR="00D2240D" w:rsidRPr="009110F7" w:rsidRDefault="00D2240D" w:rsidP="00D2240D">
            <w:pPr>
              <w:pStyle w:val="Marginlie"/>
            </w:pPr>
            <w:r w:rsidRPr="006762B5">
              <w:rPr>
                <w:lang w:val="en-GB"/>
              </w:rPr>
              <w:t>In Q4, the GVA fell</w:t>
            </w:r>
            <w:r>
              <w:rPr>
                <w:lang w:val="en-GB"/>
              </w:rPr>
              <w:t xml:space="preserve"> in manufacturing both year-on-year and quarter-on-quarter. </w:t>
            </w:r>
          </w:p>
        </w:tc>
        <w:tc>
          <w:tcPr>
            <w:tcW w:w="223" w:type="dxa"/>
            <w:shd w:val="clear" w:color="auto" w:fill="auto"/>
            <w:tcMar>
              <w:left w:w="0" w:type="dxa"/>
            </w:tcMar>
          </w:tcPr>
          <w:p w14:paraId="16B7F20C" w14:textId="77777777" w:rsidR="00D2240D" w:rsidRPr="009110F7" w:rsidRDefault="00D2240D" w:rsidP="00D2240D">
            <w:pPr>
              <w:pStyle w:val="Textpoznpodarou"/>
              <w:jc w:val="both"/>
              <w:rPr>
                <w:spacing w:val="-4"/>
              </w:rPr>
            </w:pPr>
          </w:p>
        </w:tc>
        <w:tc>
          <w:tcPr>
            <w:tcW w:w="7610" w:type="dxa"/>
            <w:shd w:val="clear" w:color="auto" w:fill="auto"/>
            <w:tcMar>
              <w:left w:w="0" w:type="dxa"/>
            </w:tcMar>
          </w:tcPr>
          <w:p w14:paraId="29CD7BD2" w14:textId="429E0A6C" w:rsidR="00D2240D" w:rsidRDefault="00D2240D" w:rsidP="00D2240D">
            <w:pPr>
              <w:rPr>
                <w:sz w:val="14"/>
                <w:szCs w:val="14"/>
              </w:rPr>
            </w:pPr>
            <w:r>
              <w:rPr>
                <w:lang w:val="en-GB"/>
              </w:rPr>
              <w:t>The gross value added increased by 2.9% year-on-year in Q</w:t>
            </w:r>
            <w:r w:rsidRPr="006762B5">
              <w:rPr>
                <w:lang w:val="en-GB"/>
              </w:rPr>
              <w:t>4.</w:t>
            </w:r>
            <w:r>
              <w:rPr>
                <w:lang w:val="en-GB"/>
              </w:rPr>
              <w:t xml:space="preserve"> It presents a relatively moderate increase, also due to the low comparative basis of Q</w:t>
            </w:r>
            <w:r w:rsidRPr="006762B5">
              <w:rPr>
                <w:lang w:val="en-GB"/>
              </w:rPr>
              <w:t>4</w:t>
            </w:r>
            <w:r>
              <w:rPr>
                <w:lang w:val="en-GB"/>
              </w:rPr>
              <w:t xml:space="preserve"> </w:t>
            </w:r>
            <w:r w:rsidRPr="006762B5">
              <w:rPr>
                <w:lang w:val="en-GB"/>
              </w:rPr>
              <w:t>2020 (</w:t>
            </w:r>
            <w:r>
              <w:rPr>
                <w:lang w:val="en-GB"/>
              </w:rPr>
              <w:t xml:space="preserve">GVA fell by </w:t>
            </w:r>
            <w:r w:rsidRPr="006762B5">
              <w:rPr>
                <w:lang w:val="en-GB"/>
              </w:rPr>
              <w:t>5</w:t>
            </w:r>
            <w:r>
              <w:rPr>
                <w:lang w:val="en-GB"/>
              </w:rPr>
              <w:t>.</w:t>
            </w:r>
            <w:r w:rsidRPr="006762B5">
              <w:rPr>
                <w:lang w:val="en-GB"/>
              </w:rPr>
              <w:t>0%</w:t>
            </w:r>
            <w:r>
              <w:rPr>
                <w:lang w:val="en-GB"/>
              </w:rPr>
              <w:t xml:space="preserve"> at that time</w:t>
            </w:r>
            <w:r w:rsidRPr="006762B5">
              <w:rPr>
                <w:lang w:val="en-GB"/>
              </w:rPr>
              <w:t xml:space="preserve">). </w:t>
            </w:r>
            <w:r>
              <w:rPr>
                <w:lang w:val="en-GB"/>
              </w:rPr>
              <w:t xml:space="preserve">The GVA thus lagged behind the same time period of the year 2019. Lasting difficulties with supplies led to the year-on-year GVA decrease in manufacturing </w:t>
            </w:r>
            <w:r w:rsidRPr="006762B5">
              <w:rPr>
                <w:lang w:val="en-GB"/>
              </w:rPr>
              <w:t>(–3</w:t>
            </w:r>
            <w:r>
              <w:rPr>
                <w:lang w:val="en-GB"/>
              </w:rPr>
              <w:t>.</w:t>
            </w:r>
            <w:r w:rsidRPr="006762B5">
              <w:rPr>
                <w:lang w:val="en-GB"/>
              </w:rPr>
              <w:t>3%).</w:t>
            </w:r>
            <w:r>
              <w:rPr>
                <w:lang w:val="en-GB"/>
              </w:rPr>
              <w:t xml:space="preserve"> The GVA stagnated in agriculture, forestry and fishing, but in the remaining part of the economy, it grew. The GVA in in trade, transportation, accommodation and food service </w:t>
            </w:r>
            <w:r w:rsidRPr="006762B5">
              <w:rPr>
                <w:lang w:val="en-GB"/>
              </w:rPr>
              <w:t>(10</w:t>
            </w:r>
            <w:r>
              <w:rPr>
                <w:lang w:val="en-GB"/>
              </w:rPr>
              <w:t>.</w:t>
            </w:r>
            <w:r w:rsidRPr="006762B5">
              <w:rPr>
                <w:lang w:val="en-GB"/>
              </w:rPr>
              <w:t>7%),</w:t>
            </w:r>
            <w:r>
              <w:rPr>
                <w:lang w:val="en-GB"/>
              </w:rPr>
              <w:t xml:space="preserve"> in financial and insurance activities </w:t>
            </w:r>
            <w:r w:rsidRPr="006762B5">
              <w:rPr>
                <w:lang w:val="en-GB"/>
              </w:rPr>
              <w:t>(8</w:t>
            </w:r>
            <w:r>
              <w:rPr>
                <w:lang w:val="en-GB"/>
              </w:rPr>
              <w:t>.</w:t>
            </w:r>
            <w:r w:rsidRPr="006762B5">
              <w:rPr>
                <w:lang w:val="en-GB"/>
              </w:rPr>
              <w:t>6%),</w:t>
            </w:r>
            <w:r>
              <w:rPr>
                <w:lang w:val="en-GB"/>
              </w:rPr>
              <w:t xml:space="preserve"> other activities </w:t>
            </w:r>
            <w:r w:rsidRPr="006762B5">
              <w:rPr>
                <w:lang w:val="en-GB"/>
              </w:rPr>
              <w:t>(6</w:t>
            </w:r>
            <w:r>
              <w:rPr>
                <w:lang w:val="en-GB"/>
              </w:rPr>
              <w:t>.</w:t>
            </w:r>
            <w:r w:rsidRPr="006762B5">
              <w:rPr>
                <w:lang w:val="en-GB"/>
              </w:rPr>
              <w:t>5%),</w:t>
            </w:r>
            <w:r>
              <w:rPr>
                <w:lang w:val="en-GB"/>
              </w:rPr>
              <w:t xml:space="preserve"> construction </w:t>
            </w:r>
            <w:r w:rsidRPr="006762B5">
              <w:rPr>
                <w:lang w:val="en-GB"/>
              </w:rPr>
              <w:t>(4</w:t>
            </w:r>
            <w:r>
              <w:rPr>
                <w:lang w:val="en-GB"/>
              </w:rPr>
              <w:t>.</w:t>
            </w:r>
            <w:r w:rsidRPr="006762B5">
              <w:rPr>
                <w:lang w:val="en-GB"/>
              </w:rPr>
              <w:t xml:space="preserve">7%), </w:t>
            </w:r>
            <w:r>
              <w:rPr>
                <w:lang w:val="en-GB"/>
              </w:rPr>
              <w:t xml:space="preserve">professional, scientific, technical and administrative activities </w:t>
            </w:r>
            <w:r w:rsidRPr="006762B5">
              <w:rPr>
                <w:lang w:val="en-GB"/>
              </w:rPr>
              <w:t>(4</w:t>
            </w:r>
            <w:r>
              <w:rPr>
                <w:lang w:val="en-GB"/>
              </w:rPr>
              <w:t>.</w:t>
            </w:r>
            <w:r w:rsidRPr="006762B5">
              <w:rPr>
                <w:lang w:val="en-GB"/>
              </w:rPr>
              <w:t>6%)</w:t>
            </w:r>
            <w:r>
              <w:rPr>
                <w:lang w:val="en-GB"/>
              </w:rPr>
              <w:t xml:space="preserve"> and information and communication </w:t>
            </w:r>
            <w:r w:rsidRPr="006762B5">
              <w:rPr>
                <w:lang w:val="en-GB"/>
              </w:rPr>
              <w:t>(3</w:t>
            </w:r>
            <w:r>
              <w:rPr>
                <w:lang w:val="en-GB"/>
              </w:rPr>
              <w:t>.</w:t>
            </w:r>
            <w:r w:rsidRPr="006762B5">
              <w:rPr>
                <w:lang w:val="en-GB"/>
              </w:rPr>
              <w:t>2%)</w:t>
            </w:r>
            <w:r>
              <w:rPr>
                <w:lang w:val="en-GB"/>
              </w:rPr>
              <w:t xml:space="preserve"> had the largest year-on-year addition in Q4. GVA in branches with the predominance of government sector </w:t>
            </w:r>
            <w:r w:rsidRPr="006762B5">
              <w:rPr>
                <w:lang w:val="en-GB"/>
              </w:rPr>
              <w:t>(2</w:t>
            </w:r>
            <w:r>
              <w:rPr>
                <w:lang w:val="en-GB"/>
              </w:rPr>
              <w:t>.</w:t>
            </w:r>
            <w:r w:rsidRPr="006762B5">
              <w:rPr>
                <w:lang w:val="en-GB"/>
              </w:rPr>
              <w:t>6%) a</w:t>
            </w:r>
            <w:r>
              <w:rPr>
                <w:lang w:val="en-GB"/>
              </w:rPr>
              <w:t xml:space="preserve">nd in real estate activities </w:t>
            </w:r>
            <w:r w:rsidRPr="006762B5">
              <w:rPr>
                <w:lang w:val="en-GB"/>
              </w:rPr>
              <w:t>(1</w:t>
            </w:r>
            <w:r>
              <w:rPr>
                <w:lang w:val="en-GB"/>
              </w:rPr>
              <w:t>.</w:t>
            </w:r>
            <w:r w:rsidRPr="006762B5">
              <w:rPr>
                <w:lang w:val="en-GB"/>
              </w:rPr>
              <w:t xml:space="preserve">0%). </w:t>
            </w:r>
            <w:r>
              <w:rPr>
                <w:lang w:val="en-GB"/>
              </w:rPr>
              <w:t>Compared to Q</w:t>
            </w:r>
            <w:r w:rsidRPr="006762B5">
              <w:rPr>
                <w:lang w:val="en-GB"/>
              </w:rPr>
              <w:t>3</w:t>
            </w:r>
            <w:r>
              <w:rPr>
                <w:lang w:val="en-GB"/>
              </w:rPr>
              <w:t xml:space="preserve"> </w:t>
            </w:r>
            <w:r w:rsidRPr="006762B5">
              <w:rPr>
                <w:lang w:val="en-GB"/>
              </w:rPr>
              <w:t>2021</w:t>
            </w:r>
            <w:r>
              <w:rPr>
                <w:lang w:val="en-GB"/>
              </w:rPr>
              <w:t xml:space="preserve">, the GVA increased in total by </w:t>
            </w:r>
            <w:r w:rsidRPr="006762B5">
              <w:rPr>
                <w:lang w:val="en-GB"/>
              </w:rPr>
              <w:t>0</w:t>
            </w:r>
            <w:r>
              <w:rPr>
                <w:lang w:val="en-GB"/>
              </w:rPr>
              <w:t>.</w:t>
            </w:r>
            <w:r w:rsidRPr="006762B5">
              <w:rPr>
                <w:lang w:val="en-GB"/>
              </w:rPr>
              <w:t xml:space="preserve">7%. </w:t>
            </w:r>
            <w:r>
              <w:rPr>
                <w:lang w:val="en-GB"/>
              </w:rPr>
              <w:t>Even though “hard” restrictive measures were not introduced in Q</w:t>
            </w:r>
            <w:r w:rsidRPr="006762B5">
              <w:rPr>
                <w:lang w:val="en-GB"/>
              </w:rPr>
              <w:t>4</w:t>
            </w:r>
            <w:r>
              <w:rPr>
                <w:lang w:val="en-GB"/>
              </w:rPr>
              <w:t xml:space="preserve">, the GVA </w:t>
            </w:r>
            <w:r>
              <w:rPr>
                <w:lang w:val="en-GB"/>
              </w:rPr>
              <w:lastRenderedPageBreak/>
              <w:t xml:space="preserve">fell quarter-on-quarter in the previously affected other activities </w:t>
            </w:r>
            <w:r w:rsidRPr="006762B5">
              <w:rPr>
                <w:lang w:val="en-GB"/>
              </w:rPr>
              <w:t>(–8</w:t>
            </w:r>
            <w:r>
              <w:rPr>
                <w:lang w:val="en-GB"/>
              </w:rPr>
              <w:t>.</w:t>
            </w:r>
            <w:r w:rsidRPr="006762B5">
              <w:rPr>
                <w:lang w:val="en-GB"/>
              </w:rPr>
              <w:t>0%) a</w:t>
            </w:r>
            <w:r>
              <w:rPr>
                <w:lang w:val="en-GB"/>
              </w:rPr>
              <w:t xml:space="preserve">nd the growth markedly slowed down in case of trade, transportation, accommodation and food service </w:t>
            </w:r>
            <w:r w:rsidRPr="006762B5">
              <w:rPr>
                <w:lang w:val="en-GB"/>
              </w:rPr>
              <w:t>(0</w:t>
            </w:r>
            <w:r>
              <w:rPr>
                <w:lang w:val="en-GB"/>
              </w:rPr>
              <w:t>.</w:t>
            </w:r>
            <w:r w:rsidRPr="006762B5">
              <w:rPr>
                <w:lang w:val="en-GB"/>
              </w:rPr>
              <w:t xml:space="preserve">5%). </w:t>
            </w:r>
            <w:r>
              <w:rPr>
                <w:lang w:val="en-GB"/>
              </w:rPr>
              <w:t xml:space="preserve">Gross value added was also falling in manufacturing quarter-on-quarter </w:t>
            </w:r>
            <w:r w:rsidRPr="006762B5">
              <w:rPr>
                <w:lang w:val="en-GB"/>
              </w:rPr>
              <w:t>(–1</w:t>
            </w:r>
            <w:r>
              <w:rPr>
                <w:lang w:val="en-GB"/>
              </w:rPr>
              <w:t>.</w:t>
            </w:r>
            <w:r w:rsidRPr="006762B5">
              <w:rPr>
                <w:lang w:val="en-GB"/>
              </w:rPr>
              <w:t>6%) a</w:t>
            </w:r>
            <w:r>
              <w:rPr>
                <w:lang w:val="en-GB"/>
              </w:rPr>
              <w:t xml:space="preserve">nd construction </w:t>
            </w:r>
            <w:r w:rsidRPr="006762B5">
              <w:rPr>
                <w:lang w:val="en-GB"/>
              </w:rPr>
              <w:t>(–0</w:t>
            </w:r>
            <w:r>
              <w:rPr>
                <w:lang w:val="en-GB"/>
              </w:rPr>
              <w:t>.</w:t>
            </w:r>
            <w:r w:rsidRPr="006762B5">
              <w:rPr>
                <w:lang w:val="en-GB"/>
              </w:rPr>
              <w:t xml:space="preserve">3%). </w:t>
            </w:r>
            <w:r>
              <w:rPr>
                <w:lang w:val="en-GB"/>
              </w:rPr>
              <w:t xml:space="preserve">GVA recorded notable quarter-on-quarter increase in agriculture, forestry and fishing </w:t>
            </w:r>
            <w:r w:rsidRPr="006762B5">
              <w:rPr>
                <w:lang w:val="en-GB"/>
              </w:rPr>
              <w:t>(3</w:t>
            </w:r>
            <w:r>
              <w:rPr>
                <w:lang w:val="en-GB"/>
              </w:rPr>
              <w:t>.</w:t>
            </w:r>
            <w:r w:rsidRPr="006762B5">
              <w:rPr>
                <w:lang w:val="en-GB"/>
              </w:rPr>
              <w:t>4%),</w:t>
            </w:r>
            <w:r>
              <w:rPr>
                <w:lang w:val="en-GB"/>
              </w:rPr>
              <w:t xml:space="preserve"> real estate activities </w:t>
            </w:r>
            <w:r w:rsidRPr="006762B5">
              <w:rPr>
                <w:lang w:val="en-GB"/>
              </w:rPr>
              <w:t>(2</w:t>
            </w:r>
            <w:r>
              <w:rPr>
                <w:lang w:val="en-GB"/>
              </w:rPr>
              <w:t>.</w:t>
            </w:r>
            <w:r w:rsidRPr="006762B5">
              <w:rPr>
                <w:lang w:val="en-GB"/>
              </w:rPr>
              <w:t>7%),</w:t>
            </w:r>
            <w:r>
              <w:rPr>
                <w:lang w:val="en-GB"/>
              </w:rPr>
              <w:t xml:space="preserve"> financial and insurance activities </w:t>
            </w:r>
            <w:r w:rsidRPr="006762B5">
              <w:rPr>
                <w:lang w:val="en-GB"/>
              </w:rPr>
              <w:t>(2</w:t>
            </w:r>
            <w:r>
              <w:rPr>
                <w:lang w:val="en-GB"/>
              </w:rPr>
              <w:t>.</w:t>
            </w:r>
            <w:r w:rsidRPr="006762B5">
              <w:rPr>
                <w:lang w:val="en-GB"/>
              </w:rPr>
              <w:t>2%) a</w:t>
            </w:r>
            <w:r>
              <w:rPr>
                <w:lang w:val="en-GB"/>
              </w:rPr>
              <w:t xml:space="preserve">nd branches with the predominance of the government sector </w:t>
            </w:r>
            <w:r w:rsidRPr="006762B5">
              <w:rPr>
                <w:lang w:val="en-GB"/>
              </w:rPr>
              <w:t>(1</w:t>
            </w:r>
            <w:r>
              <w:rPr>
                <w:lang w:val="en-GB"/>
              </w:rPr>
              <w:t>.</w:t>
            </w:r>
            <w:r w:rsidRPr="006762B5">
              <w:rPr>
                <w:lang w:val="en-GB"/>
              </w:rPr>
              <w:t xml:space="preserve">9%). </w:t>
            </w:r>
            <w:r>
              <w:rPr>
                <w:lang w:val="en-GB"/>
              </w:rPr>
              <w:t xml:space="preserve">The GVA grew only moderately in information and communication </w:t>
            </w:r>
            <w:r w:rsidRPr="006762B5">
              <w:rPr>
                <w:lang w:val="en-GB"/>
              </w:rPr>
              <w:t>(0</w:t>
            </w:r>
            <w:r>
              <w:rPr>
                <w:lang w:val="en-GB"/>
              </w:rPr>
              <w:t>.</w:t>
            </w:r>
            <w:r w:rsidRPr="006762B5">
              <w:rPr>
                <w:lang w:val="en-GB"/>
              </w:rPr>
              <w:t>7%) a</w:t>
            </w:r>
            <w:r>
              <w:rPr>
                <w:lang w:val="en-GB"/>
              </w:rPr>
              <w:t xml:space="preserve">nd professional, scientific, technical and administrative activities </w:t>
            </w:r>
            <w:r w:rsidRPr="006762B5">
              <w:rPr>
                <w:lang w:val="en-GB"/>
              </w:rPr>
              <w:t>(0</w:t>
            </w:r>
            <w:r>
              <w:rPr>
                <w:lang w:val="en-GB"/>
              </w:rPr>
              <w:t>.</w:t>
            </w:r>
            <w:r w:rsidRPr="006762B5">
              <w:rPr>
                <w:lang w:val="en-GB"/>
              </w:rPr>
              <w:t>5%).</w:t>
            </w:r>
          </w:p>
        </w:tc>
      </w:tr>
    </w:tbl>
    <w:p w14:paraId="3CD0E278" w14:textId="77777777" w:rsidR="00D2240D" w:rsidRDefault="00D2240D" w:rsidP="0073261D">
      <w:pPr>
        <w:pStyle w:val="Nadpis11"/>
      </w:pPr>
      <w:bookmarkStart w:id="6" w:name="_Toc82508186"/>
      <w:bookmarkStart w:id="7" w:name="_Toc98756079"/>
    </w:p>
    <w:p w14:paraId="5BAB8EA3" w14:textId="2CCF54AC" w:rsidR="000663F0" w:rsidRPr="00E42054" w:rsidRDefault="000663F0" w:rsidP="00AB3BA7">
      <w:pPr>
        <w:pStyle w:val="Nadpis11"/>
        <w:rPr>
          <w:b w:val="0"/>
          <w:sz w:val="2"/>
          <w:szCs w:val="2"/>
        </w:rPr>
      </w:pPr>
      <w:bookmarkStart w:id="8" w:name="_GoBack"/>
      <w:bookmarkEnd w:id="2"/>
      <w:bookmarkEnd w:id="3"/>
      <w:bookmarkEnd w:id="4"/>
      <w:bookmarkEnd w:id="5"/>
      <w:bookmarkEnd w:id="6"/>
      <w:bookmarkEnd w:id="7"/>
      <w:bookmarkEnd w:id="8"/>
    </w:p>
    <w:sectPr w:rsidR="000663F0" w:rsidRPr="00E42054" w:rsidSect="00377784">
      <w:headerReference w:type="even" r:id="rId12"/>
      <w:headerReference w:type="default" r:id="rId13"/>
      <w:footerReference w:type="even" r:id="rId14"/>
      <w:footerReference w:type="default" r:id="rId15"/>
      <w:pgSz w:w="11906" w:h="16838" w:code="9"/>
      <w:pgMar w:top="1134" w:right="1134" w:bottom="1418" w:left="1134" w:header="680" w:footer="73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3F206" w14:textId="77777777" w:rsidR="003D5D1F" w:rsidRDefault="003D5D1F" w:rsidP="00E71A58">
      <w:r>
        <w:separator/>
      </w:r>
    </w:p>
  </w:endnote>
  <w:endnote w:type="continuationSeparator" w:id="0">
    <w:p w14:paraId="59454B0A" w14:textId="77777777" w:rsidR="003D5D1F" w:rsidRDefault="003D5D1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51289673" w:rsidR="007C581C" w:rsidRPr="00932443" w:rsidRDefault="007C58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377784">
      <w:rPr>
        <w:szCs w:val="16"/>
      </w:rPr>
      <w:t>10</w:t>
    </w:r>
    <w:r w:rsidRPr="00932443">
      <w:rPr>
        <w:szCs w:val="16"/>
      </w:rPr>
      <w:fldChar w:fldCharType="end"/>
    </w:r>
    <w:r w:rsidRPr="00932443">
      <w:rPr>
        <w:szCs w:val="16"/>
      </w:rPr>
      <w:tab/>
    </w:r>
    <w:r>
      <w:rPr>
        <w:szCs w:val="16"/>
      </w:rPr>
      <w:t>year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0866C812" w:rsidR="007C581C" w:rsidRPr="00932443" w:rsidRDefault="00E81D18" w:rsidP="00FA6CB6">
    <w:pPr>
      <w:pStyle w:val="Zpat"/>
      <w:rPr>
        <w:szCs w:val="16"/>
      </w:rPr>
    </w:pPr>
    <w:r>
      <w:rPr>
        <w:lang w:eastAsia="cs-CZ"/>
      </w:rPr>
      <w:drawing>
        <wp:anchor distT="0" distB="0" distL="114300" distR="114300" simplePos="0" relativeHeight="251670016" behindDoc="0" locked="0" layoutInCell="1" allowOverlap="1" wp14:anchorId="06D08D78" wp14:editId="29900516">
          <wp:simplePos x="0" y="0"/>
          <wp:positionH relativeFrom="margin">
            <wp:align>left</wp:align>
          </wp:positionH>
          <wp:positionV relativeFrom="paragraph">
            <wp:posOffset>-74428</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1C" w:rsidRPr="00FA6CB6">
      <w:rPr>
        <w:szCs w:val="16"/>
      </w:rPr>
      <w:tab/>
    </w:r>
    <w:r w:rsidR="007C581C">
      <w:rPr>
        <w:szCs w:val="16"/>
      </w:rPr>
      <w:t>Year 2021</w:t>
    </w:r>
    <w:r w:rsidR="007C581C" w:rsidRPr="00932443">
      <w:rPr>
        <w:szCs w:val="16"/>
      </w:rPr>
      <w:tab/>
    </w:r>
    <w:r w:rsidR="007C581C" w:rsidRPr="00932443">
      <w:rPr>
        <w:rStyle w:val="ZpatChar"/>
        <w:szCs w:val="16"/>
      </w:rPr>
      <w:fldChar w:fldCharType="begin"/>
    </w:r>
    <w:r w:rsidR="007C581C" w:rsidRPr="00932443">
      <w:rPr>
        <w:rStyle w:val="ZpatChar"/>
        <w:szCs w:val="16"/>
      </w:rPr>
      <w:instrText>PAGE   \* MERGEFORMAT</w:instrText>
    </w:r>
    <w:r w:rsidR="007C581C" w:rsidRPr="00932443">
      <w:rPr>
        <w:rStyle w:val="ZpatChar"/>
        <w:szCs w:val="16"/>
      </w:rPr>
      <w:fldChar w:fldCharType="separate"/>
    </w:r>
    <w:r w:rsidR="00377784">
      <w:rPr>
        <w:rStyle w:val="ZpatChar"/>
        <w:szCs w:val="16"/>
      </w:rPr>
      <w:t>11</w:t>
    </w:r>
    <w:r w:rsidR="007C581C"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55DE" w14:textId="77777777" w:rsidR="003D5D1F" w:rsidRDefault="003D5D1F" w:rsidP="00A21B4D">
      <w:pPr>
        <w:spacing w:after="0"/>
      </w:pPr>
      <w:r>
        <w:separator/>
      </w:r>
    </w:p>
  </w:footnote>
  <w:footnote w:type="continuationSeparator" w:id="0">
    <w:p w14:paraId="0E1363DF" w14:textId="77777777" w:rsidR="003D5D1F" w:rsidRDefault="003D5D1F" w:rsidP="00E71A58">
      <w:r>
        <w:continuationSeparator/>
      </w:r>
    </w:p>
  </w:footnote>
  <w:footnote w:id="1">
    <w:p w14:paraId="72CC7700" w14:textId="2740AB03" w:rsidR="007C581C" w:rsidRPr="000348AF" w:rsidRDefault="007C581C" w:rsidP="0045412A">
      <w:pPr>
        <w:pStyle w:val="Textpoznpodarou"/>
        <w:rPr>
          <w:sz w:val="16"/>
          <w:szCs w:val="16"/>
        </w:rPr>
      </w:pPr>
      <w:r w:rsidRPr="000348AF">
        <w:rPr>
          <w:rStyle w:val="Znakapoznpodarou"/>
          <w:sz w:val="16"/>
          <w:szCs w:val="16"/>
        </w:rPr>
        <w:footnoteRef/>
      </w:r>
      <w:r w:rsidRPr="000348AF">
        <w:rPr>
          <w:sz w:val="16"/>
          <w:szCs w:val="16"/>
        </w:rPr>
        <w:t xml:space="preserve"> </w:t>
      </w:r>
      <w:r w:rsidRPr="00CE719A">
        <w:rPr>
          <w:sz w:val="16"/>
          <w:szCs w:val="16"/>
          <w:lang w:val="en-GB"/>
        </w:rPr>
        <w:t xml:space="preserve">The development of the GDP, gross value added and their components is expressed with the help of the volume indices (i.e. adjusted for changes in prices) and adjusted for seasonal and calendar effects. Data are valid as of 1st </w:t>
      </w:r>
      <w:r>
        <w:rPr>
          <w:sz w:val="16"/>
          <w:szCs w:val="16"/>
          <w:lang w:val="en-GB"/>
        </w:rPr>
        <w:t>March</w:t>
      </w:r>
      <w:r w:rsidRPr="00CE719A">
        <w:rPr>
          <w:sz w:val="16"/>
          <w:szCs w:val="16"/>
          <w:lang w:val="en-GB"/>
        </w:rPr>
        <w:t xml:space="preserve"> 202</w:t>
      </w:r>
      <w:r>
        <w:rPr>
          <w:sz w:val="16"/>
          <w:szCs w:val="16"/>
          <w:lang w:val="en-GB"/>
        </w:rPr>
        <w:t>2</w:t>
      </w:r>
      <w:r w:rsidRPr="00CE719A">
        <w:rPr>
          <w:sz w:val="16"/>
          <w:szCs w:val="16"/>
          <w:lang w:val="en-GB"/>
        </w:rPr>
        <w:t>.</w:t>
      </w:r>
    </w:p>
  </w:footnote>
  <w:footnote w:id="2">
    <w:p w14:paraId="28FE3D14" w14:textId="41B25C81" w:rsidR="007C581C" w:rsidRPr="003313AD" w:rsidRDefault="007C581C" w:rsidP="003313AD">
      <w:pPr>
        <w:pStyle w:val="Textpoznpodarou"/>
        <w:jc w:val="both"/>
        <w:rPr>
          <w:sz w:val="16"/>
          <w:szCs w:val="16"/>
          <w:lang w:val="en-GB"/>
        </w:rPr>
      </w:pPr>
      <w:r w:rsidRPr="007B6713">
        <w:rPr>
          <w:rStyle w:val="Znakapoznpodarou"/>
          <w:sz w:val="16"/>
          <w:szCs w:val="16"/>
        </w:rPr>
        <w:footnoteRef/>
      </w:r>
      <w:r w:rsidRPr="007B6713">
        <w:rPr>
          <w:sz w:val="16"/>
          <w:szCs w:val="16"/>
        </w:rPr>
        <w:t xml:space="preserve"> </w:t>
      </w:r>
      <w:r w:rsidRPr="003313AD">
        <w:rPr>
          <w:sz w:val="16"/>
          <w:szCs w:val="16"/>
          <w:lang w:val="en-GB"/>
        </w:rPr>
        <w:t>Retail operations were maintained. In se</w:t>
      </w:r>
      <w:r>
        <w:rPr>
          <w:sz w:val="16"/>
          <w:szCs w:val="16"/>
          <w:lang w:val="en-GB"/>
        </w:rPr>
        <w:t>r</w:t>
      </w:r>
      <w:r w:rsidRPr="003313AD">
        <w:rPr>
          <w:sz w:val="16"/>
          <w:szCs w:val="16"/>
          <w:lang w:val="en-GB"/>
        </w:rPr>
        <w:t>vices the entrance into sh</w:t>
      </w:r>
      <w:r>
        <w:rPr>
          <w:sz w:val="16"/>
          <w:szCs w:val="16"/>
          <w:lang w:val="en-GB"/>
        </w:rPr>
        <w:t>o</w:t>
      </w:r>
      <w:r w:rsidRPr="003313AD">
        <w:rPr>
          <w:sz w:val="16"/>
          <w:szCs w:val="16"/>
          <w:lang w:val="en-GB"/>
        </w:rPr>
        <w:t>ps was at first restricted to persons, who do not prove absence of infect</w:t>
      </w:r>
      <w:r>
        <w:rPr>
          <w:sz w:val="16"/>
          <w:szCs w:val="16"/>
          <w:lang w:val="en-GB"/>
        </w:rPr>
        <w:t>i</w:t>
      </w:r>
      <w:r w:rsidRPr="003313AD">
        <w:rPr>
          <w:sz w:val="16"/>
          <w:szCs w:val="16"/>
          <w:lang w:val="en-GB"/>
        </w:rPr>
        <w:t xml:space="preserve">on. </w:t>
      </w:r>
      <w:r w:rsidRPr="003313AD">
        <w:rPr>
          <w:spacing w:val="-2"/>
          <w:sz w:val="16"/>
          <w:szCs w:val="16"/>
          <w:lang w:val="en-GB"/>
        </w:rPr>
        <w:t xml:space="preserve">Subsequently the ban shifted to persons without completed vaccination. </w:t>
      </w:r>
    </w:p>
  </w:footnote>
  <w:footnote w:id="3">
    <w:p w14:paraId="3C79E854" w14:textId="56A6DB0C" w:rsidR="007C581C" w:rsidRPr="00EB61F4" w:rsidRDefault="007C581C" w:rsidP="00EB61F4">
      <w:pPr>
        <w:pStyle w:val="Textpoznpodarou"/>
        <w:rPr>
          <w:sz w:val="16"/>
          <w:szCs w:val="16"/>
          <w:lang w:val="en-GB"/>
        </w:rPr>
      </w:pPr>
      <w:r w:rsidRPr="001E74E3">
        <w:rPr>
          <w:rStyle w:val="Znakapoznpodarou"/>
          <w:sz w:val="16"/>
          <w:szCs w:val="16"/>
        </w:rPr>
        <w:footnoteRef/>
      </w:r>
      <w:r w:rsidRPr="001E74E3">
        <w:rPr>
          <w:sz w:val="16"/>
          <w:szCs w:val="16"/>
        </w:rPr>
        <w:t xml:space="preserve"> </w:t>
      </w:r>
      <w:r w:rsidRPr="00EB61F4">
        <w:rPr>
          <w:sz w:val="16"/>
          <w:szCs w:val="16"/>
          <w:lang w:val="en-GB"/>
        </w:rPr>
        <w:t xml:space="preserve">Data for Bulgaria, Ireland, Greece and Malta were not available. </w:t>
      </w:r>
    </w:p>
  </w:footnote>
  <w:footnote w:id="4">
    <w:p w14:paraId="2BD2C3F8" w14:textId="67BC9ACE" w:rsidR="007C581C" w:rsidRPr="00EB61F4" w:rsidRDefault="007C581C" w:rsidP="00EB61F4">
      <w:pPr>
        <w:pStyle w:val="Textpoznpodarou"/>
        <w:rPr>
          <w:sz w:val="16"/>
          <w:szCs w:val="16"/>
          <w:lang w:val="en-GB"/>
        </w:rPr>
      </w:pPr>
      <w:r w:rsidRPr="00EB61F4">
        <w:rPr>
          <w:rStyle w:val="Znakapoznpodarou"/>
          <w:sz w:val="16"/>
          <w:szCs w:val="16"/>
          <w:lang w:val="en-GB"/>
        </w:rPr>
        <w:footnoteRef/>
      </w:r>
      <w:r w:rsidRPr="00EB61F4">
        <w:rPr>
          <w:sz w:val="16"/>
          <w:szCs w:val="16"/>
          <w:lang w:val="en-GB"/>
        </w:rPr>
        <w:t xml:space="preserve"> GDP comparison in prices of year 2015.</w:t>
      </w:r>
    </w:p>
  </w:footnote>
  <w:footnote w:id="5">
    <w:p w14:paraId="4FB4D8AF" w14:textId="2558B8FC" w:rsidR="007C581C" w:rsidRPr="00EB61F4" w:rsidRDefault="007C581C" w:rsidP="00EB61F4">
      <w:pPr>
        <w:pStyle w:val="Textpoznpodarou"/>
        <w:rPr>
          <w:lang w:val="en-GB"/>
        </w:rPr>
      </w:pPr>
      <w:r w:rsidRPr="00EB61F4">
        <w:rPr>
          <w:rStyle w:val="Znakapoznpodarou"/>
          <w:sz w:val="16"/>
          <w:szCs w:val="16"/>
          <w:lang w:val="en-GB"/>
        </w:rPr>
        <w:footnoteRef/>
      </w:r>
      <w:r w:rsidRPr="00EB61F4">
        <w:rPr>
          <w:sz w:val="16"/>
          <w:szCs w:val="16"/>
          <w:lang w:val="en-GB"/>
        </w:rPr>
        <w:t xml:space="preserve"> </w:t>
      </w:r>
      <w:r>
        <w:rPr>
          <w:sz w:val="16"/>
          <w:szCs w:val="16"/>
          <w:lang w:val="en-GB"/>
        </w:rPr>
        <w:t xml:space="preserve">Employment in the national accounts conception </w:t>
      </w:r>
      <w:r w:rsidRPr="00EB61F4">
        <w:rPr>
          <w:sz w:val="16"/>
          <w:szCs w:val="16"/>
          <w:lang w:val="en-GB"/>
        </w:rPr>
        <w:t>(</w:t>
      </w:r>
      <w:r>
        <w:rPr>
          <w:sz w:val="16"/>
          <w:szCs w:val="16"/>
          <w:lang w:val="en-GB"/>
        </w:rPr>
        <w:t>persons</w:t>
      </w:r>
      <w:r w:rsidRPr="00EB61F4">
        <w:rPr>
          <w:sz w:val="16"/>
          <w:szCs w:val="16"/>
          <w:lang w:val="en-GB"/>
        </w:rPr>
        <w:t xml:space="preserve">), </w:t>
      </w:r>
      <w:r>
        <w:rPr>
          <w:sz w:val="16"/>
          <w:szCs w:val="16"/>
          <w:lang w:val="en-GB"/>
        </w:rPr>
        <w:t xml:space="preserve">figure is seasonally adjusted. The volume of hours worked expanded by </w:t>
      </w:r>
      <w:r w:rsidRPr="00EB61F4">
        <w:rPr>
          <w:sz w:val="16"/>
          <w:lang w:val="en-GB"/>
        </w:rPr>
        <w:t>2</w:t>
      </w:r>
      <w:r>
        <w:rPr>
          <w:sz w:val="16"/>
          <w:lang w:val="en-GB"/>
        </w:rPr>
        <w:t>.</w:t>
      </w:r>
      <w:r w:rsidRPr="00EB61F4">
        <w:rPr>
          <w:sz w:val="16"/>
          <w:lang w:val="en-GB"/>
        </w:rPr>
        <w:t>9%</w:t>
      </w:r>
      <w:r>
        <w:rPr>
          <w:sz w:val="16"/>
          <w:lang w:val="en-GB"/>
        </w:rPr>
        <w:t xml:space="preserve"> last year</w:t>
      </w:r>
      <w:r w:rsidRPr="00EB61F4">
        <w:rPr>
          <w:sz w:val="16"/>
          <w:lang w:val="en-GB"/>
        </w:rPr>
        <w:t>.</w:t>
      </w:r>
    </w:p>
  </w:footnote>
  <w:footnote w:id="6">
    <w:p w14:paraId="67E99860" w14:textId="31CB67D6" w:rsidR="007C581C" w:rsidRPr="00EB61F4" w:rsidRDefault="007C581C" w:rsidP="00EB61F4">
      <w:pPr>
        <w:pStyle w:val="Textpoznpodarou"/>
        <w:rPr>
          <w:sz w:val="16"/>
          <w:szCs w:val="16"/>
          <w:lang w:val="en-GB"/>
        </w:rPr>
      </w:pPr>
      <w:r w:rsidRPr="00EB61F4">
        <w:rPr>
          <w:rStyle w:val="Znakapoznpodarou"/>
          <w:sz w:val="16"/>
          <w:szCs w:val="16"/>
          <w:lang w:val="en-GB"/>
        </w:rPr>
        <w:footnoteRef/>
      </w:r>
      <w:r w:rsidRPr="00EB61F4">
        <w:rPr>
          <w:sz w:val="16"/>
          <w:szCs w:val="16"/>
          <w:lang w:val="en-GB"/>
        </w:rPr>
        <w:t xml:space="preserve"> </w:t>
      </w:r>
      <w:r w:rsidRPr="00D57CF3">
        <w:rPr>
          <w:sz w:val="16"/>
          <w:szCs w:val="16"/>
          <w:lang w:val="en-GB"/>
        </w:rPr>
        <w:t xml:space="preserve">Converted into the real expression using the deflator of final consumption expenditure of households. </w:t>
      </w:r>
    </w:p>
  </w:footnote>
  <w:footnote w:id="7">
    <w:p w14:paraId="07877CCF" w14:textId="2C7652C7" w:rsidR="007C581C" w:rsidRPr="00EB61F4" w:rsidRDefault="007C581C" w:rsidP="00EB61F4">
      <w:pPr>
        <w:pStyle w:val="Textpoznpodarou"/>
        <w:rPr>
          <w:sz w:val="16"/>
          <w:szCs w:val="16"/>
          <w:lang w:val="en-GB"/>
        </w:rPr>
      </w:pPr>
      <w:r w:rsidRPr="00EB61F4">
        <w:rPr>
          <w:rStyle w:val="Znakapoznpodarou"/>
          <w:sz w:val="16"/>
          <w:szCs w:val="16"/>
          <w:lang w:val="en-GB"/>
        </w:rPr>
        <w:footnoteRef/>
      </w:r>
      <w:r w:rsidRPr="00EB61F4">
        <w:rPr>
          <w:sz w:val="16"/>
          <w:szCs w:val="16"/>
          <w:lang w:val="en-GB"/>
        </w:rPr>
        <w:t xml:space="preserve"> </w:t>
      </w:r>
      <w:r w:rsidRPr="0080001B">
        <w:rPr>
          <w:sz w:val="16"/>
          <w:szCs w:val="16"/>
          <w:lang w:val="en-GB"/>
        </w:rPr>
        <w:t>Public administration, education, health and social work</w:t>
      </w:r>
      <w:r>
        <w:rPr>
          <w:sz w:val="16"/>
          <w:szCs w:val="16"/>
          <w:lang w:val="en-GB"/>
        </w:rPr>
        <w:t xml:space="preserve">. </w:t>
      </w:r>
    </w:p>
  </w:footnote>
  <w:footnote w:id="8">
    <w:p w14:paraId="73CBD42F" w14:textId="6C7A8145" w:rsidR="007C581C" w:rsidRPr="00EB61F4" w:rsidRDefault="007C581C" w:rsidP="00EB61F4">
      <w:pPr>
        <w:pStyle w:val="Textpoznpodarou"/>
        <w:rPr>
          <w:sz w:val="16"/>
          <w:szCs w:val="16"/>
          <w:lang w:val="en-GB"/>
        </w:rPr>
      </w:pPr>
      <w:r w:rsidRPr="00EB61F4">
        <w:rPr>
          <w:rStyle w:val="Znakapoznpodarou"/>
          <w:sz w:val="16"/>
          <w:szCs w:val="16"/>
          <w:lang w:val="en-GB"/>
        </w:rPr>
        <w:footnoteRef/>
      </w:r>
      <w:r w:rsidRPr="00EB61F4">
        <w:rPr>
          <w:sz w:val="16"/>
          <w:szCs w:val="16"/>
          <w:lang w:val="en-GB"/>
        </w:rPr>
        <w:t xml:space="preserve"> </w:t>
      </w:r>
      <w:r>
        <w:rPr>
          <w:sz w:val="16"/>
          <w:szCs w:val="16"/>
          <w:lang w:val="en-GB"/>
        </w:rPr>
        <w:t xml:space="preserve">Employment grew here for the tenth year in a row and it expanded by more than </w:t>
      </w:r>
      <w:r w:rsidRPr="00EB61F4">
        <w:rPr>
          <w:sz w:val="16"/>
          <w:szCs w:val="16"/>
          <w:lang w:val="en-GB"/>
        </w:rPr>
        <w:t>40%</w:t>
      </w:r>
      <w:r>
        <w:rPr>
          <w:sz w:val="16"/>
          <w:szCs w:val="16"/>
          <w:lang w:val="en-GB"/>
        </w:rPr>
        <w:t xml:space="preserve"> in this period</w:t>
      </w:r>
      <w:r w:rsidRPr="00EB61F4">
        <w:rPr>
          <w:sz w:val="16"/>
          <w:szCs w:val="16"/>
          <w:lang w:val="en-GB"/>
        </w:rPr>
        <w:t xml:space="preserve"> (</w:t>
      </w:r>
      <w:r>
        <w:rPr>
          <w:sz w:val="16"/>
          <w:szCs w:val="16"/>
          <w:lang w:val="en-GB"/>
        </w:rPr>
        <w:t xml:space="preserve">more than </w:t>
      </w:r>
      <w:r w:rsidRPr="00EB61F4">
        <w:rPr>
          <w:sz w:val="16"/>
          <w:szCs w:val="16"/>
          <w:lang w:val="en-GB"/>
        </w:rPr>
        <w:t>50 t</w:t>
      </w:r>
      <w:r>
        <w:rPr>
          <w:sz w:val="16"/>
          <w:szCs w:val="16"/>
          <w:lang w:val="en-GB"/>
        </w:rPr>
        <w:t>housand persons</w:t>
      </w:r>
      <w:r w:rsidRPr="00EB61F4">
        <w:rPr>
          <w:sz w:val="16"/>
          <w:szCs w:val="16"/>
          <w:lang w:val="en-GB"/>
        </w:rPr>
        <w:t>).</w:t>
      </w:r>
    </w:p>
  </w:footnote>
  <w:footnote w:id="9">
    <w:p w14:paraId="6D97F7BF" w14:textId="4E3D6D61" w:rsidR="007C581C" w:rsidRPr="00687D2B" w:rsidRDefault="007C581C" w:rsidP="00687D2B">
      <w:pPr>
        <w:pStyle w:val="Textpoznpodarou"/>
        <w:jc w:val="both"/>
        <w:rPr>
          <w:sz w:val="16"/>
          <w:szCs w:val="16"/>
          <w:lang w:val="en-GB"/>
        </w:rPr>
      </w:pPr>
      <w:r w:rsidRPr="003764DF">
        <w:rPr>
          <w:rStyle w:val="Znakapoznpodarou"/>
          <w:sz w:val="16"/>
          <w:szCs w:val="16"/>
        </w:rPr>
        <w:footnoteRef/>
      </w:r>
      <w:r w:rsidRPr="003764DF">
        <w:rPr>
          <w:sz w:val="16"/>
          <w:szCs w:val="16"/>
        </w:rPr>
        <w:t xml:space="preserve"> </w:t>
      </w:r>
      <w:r w:rsidRPr="00687D2B">
        <w:rPr>
          <w:sz w:val="16"/>
          <w:szCs w:val="16"/>
          <w:lang w:val="en-GB"/>
        </w:rPr>
        <w:t xml:space="preserve">Especially the high basis of Q4 2020 manifested, when the extraordinary bonuses were paid out to the medical staff. </w:t>
      </w:r>
    </w:p>
  </w:footnote>
  <w:footnote w:id="10">
    <w:p w14:paraId="7A085125" w14:textId="067E0FD0" w:rsidR="007C581C" w:rsidRPr="00687D2B" w:rsidRDefault="007C581C" w:rsidP="00687D2B">
      <w:pPr>
        <w:pStyle w:val="Textpoznpodarou"/>
        <w:jc w:val="both"/>
        <w:rPr>
          <w:sz w:val="16"/>
          <w:szCs w:val="16"/>
          <w:lang w:val="en-GB"/>
        </w:rPr>
      </w:pPr>
      <w:r w:rsidRPr="00687D2B">
        <w:rPr>
          <w:rStyle w:val="Znakapoznpodarou"/>
          <w:sz w:val="16"/>
          <w:szCs w:val="16"/>
          <w:lang w:val="en-GB"/>
        </w:rPr>
        <w:footnoteRef/>
      </w:r>
      <w:r w:rsidRPr="00687D2B">
        <w:rPr>
          <w:sz w:val="16"/>
          <w:szCs w:val="16"/>
          <w:lang w:val="en-GB"/>
        </w:rPr>
        <w:t xml:space="preserve"> Additions to the GDP change after exclusion of imports for final use.</w:t>
      </w:r>
    </w:p>
  </w:footnote>
  <w:footnote w:id="11">
    <w:p w14:paraId="2C1DF4E6" w14:textId="19C7B376" w:rsidR="007C581C" w:rsidRPr="00687D2B" w:rsidRDefault="007C581C" w:rsidP="00687D2B">
      <w:pPr>
        <w:pStyle w:val="Textpoznpodarou"/>
        <w:jc w:val="both"/>
        <w:rPr>
          <w:sz w:val="16"/>
          <w:szCs w:val="16"/>
          <w:lang w:val="en-GB"/>
        </w:rPr>
      </w:pPr>
      <w:r w:rsidRPr="00687D2B">
        <w:rPr>
          <w:rStyle w:val="Znakapoznpodarou"/>
          <w:sz w:val="16"/>
          <w:szCs w:val="16"/>
          <w:lang w:val="en-GB"/>
        </w:rPr>
        <w:footnoteRef/>
      </w:r>
      <w:r w:rsidRPr="00687D2B">
        <w:rPr>
          <w:sz w:val="16"/>
          <w:szCs w:val="16"/>
          <w:lang w:val="en-GB"/>
        </w:rPr>
        <w:t xml:space="preserve"> </w:t>
      </w:r>
      <w:r>
        <w:rPr>
          <w:sz w:val="16"/>
          <w:szCs w:val="16"/>
          <w:lang w:val="en-GB"/>
        </w:rPr>
        <w:t xml:space="preserve">Data regarding consumption based on durability are in the domestic conception. </w:t>
      </w:r>
    </w:p>
  </w:footnote>
  <w:footnote w:id="12">
    <w:p w14:paraId="5656590E" w14:textId="37BFA8F8" w:rsidR="007C581C" w:rsidRPr="00687D2B" w:rsidRDefault="007C581C" w:rsidP="00687D2B">
      <w:pPr>
        <w:pStyle w:val="Textpoznpodarou"/>
        <w:jc w:val="both"/>
        <w:rPr>
          <w:sz w:val="16"/>
          <w:szCs w:val="16"/>
          <w:lang w:val="en-GB"/>
        </w:rPr>
      </w:pPr>
      <w:r w:rsidRPr="00687D2B">
        <w:rPr>
          <w:rStyle w:val="Znakapoznpodarou"/>
          <w:sz w:val="16"/>
          <w:szCs w:val="16"/>
          <w:lang w:val="en-GB"/>
        </w:rPr>
        <w:footnoteRef/>
      </w:r>
      <w:r w:rsidRPr="00687D2B">
        <w:rPr>
          <w:sz w:val="16"/>
          <w:szCs w:val="16"/>
          <w:lang w:val="en-GB"/>
        </w:rPr>
        <w:t xml:space="preserve"> </w:t>
      </w:r>
      <w:r>
        <w:rPr>
          <w:sz w:val="16"/>
          <w:szCs w:val="16"/>
          <w:lang w:val="en-GB"/>
        </w:rPr>
        <w:t xml:space="preserve">Large part of the restricted retail belongs to the category of goods of medium term consumption – clothing, recreation and sport equipment and the like. </w:t>
      </w:r>
    </w:p>
  </w:footnote>
  <w:footnote w:id="13">
    <w:p w14:paraId="4C4BC8C3" w14:textId="12F8C37F" w:rsidR="007C581C" w:rsidRPr="00ED1ED0" w:rsidRDefault="007C581C" w:rsidP="00597E79">
      <w:pPr>
        <w:pStyle w:val="Textpoznpodarou"/>
        <w:jc w:val="both"/>
        <w:rPr>
          <w:sz w:val="16"/>
          <w:szCs w:val="16"/>
          <w:lang w:val="en-GB"/>
        </w:rPr>
      </w:pPr>
      <w:r w:rsidRPr="004831F6">
        <w:rPr>
          <w:rStyle w:val="Znakapoznpodarou"/>
          <w:sz w:val="16"/>
          <w:szCs w:val="16"/>
        </w:rPr>
        <w:footnoteRef/>
      </w:r>
      <w:r w:rsidRPr="004831F6">
        <w:rPr>
          <w:sz w:val="16"/>
          <w:szCs w:val="16"/>
        </w:rPr>
        <w:t xml:space="preserve"> </w:t>
      </w:r>
      <w:r w:rsidRPr="00ED1ED0">
        <w:rPr>
          <w:sz w:val="16"/>
          <w:szCs w:val="16"/>
          <w:lang w:val="en-GB"/>
        </w:rPr>
        <w:t xml:space="preserve">The inventory stock (in current prices and seasonally adjusted) </w:t>
      </w:r>
      <w:r>
        <w:rPr>
          <w:sz w:val="16"/>
          <w:szCs w:val="16"/>
          <w:lang w:val="en-GB"/>
        </w:rPr>
        <w:t xml:space="preserve">amounted to </w:t>
      </w:r>
      <w:r w:rsidRPr="00ED1ED0">
        <w:rPr>
          <w:sz w:val="16"/>
          <w:szCs w:val="16"/>
          <w:lang w:val="en-GB"/>
        </w:rPr>
        <w:t>+275</w:t>
      </w:r>
      <w:r>
        <w:rPr>
          <w:sz w:val="16"/>
          <w:szCs w:val="16"/>
          <w:lang w:val="en-GB"/>
        </w:rPr>
        <w:t>.</w:t>
      </w:r>
      <w:r w:rsidRPr="00ED1ED0">
        <w:rPr>
          <w:sz w:val="16"/>
          <w:szCs w:val="16"/>
          <w:lang w:val="en-GB"/>
        </w:rPr>
        <w:t>1 </w:t>
      </w:r>
      <w:r>
        <w:rPr>
          <w:sz w:val="16"/>
          <w:szCs w:val="16"/>
          <w:lang w:val="en-GB"/>
        </w:rPr>
        <w:t>CZK bn in year 2021</w:t>
      </w:r>
      <w:r w:rsidRPr="00ED1ED0">
        <w:rPr>
          <w:sz w:val="16"/>
          <w:szCs w:val="16"/>
          <w:lang w:val="en-GB"/>
        </w:rPr>
        <w:t xml:space="preserve">. </w:t>
      </w:r>
      <w:r>
        <w:rPr>
          <w:sz w:val="16"/>
          <w:szCs w:val="16"/>
          <w:lang w:val="en-GB"/>
        </w:rPr>
        <w:t xml:space="preserve">In Q4 itself, the inventory stock expanded by </w:t>
      </w:r>
      <w:r w:rsidRPr="00ED1ED0">
        <w:rPr>
          <w:sz w:val="16"/>
          <w:szCs w:val="16"/>
          <w:lang w:val="en-GB"/>
        </w:rPr>
        <w:t>82</w:t>
      </w:r>
      <w:r>
        <w:rPr>
          <w:sz w:val="16"/>
          <w:szCs w:val="16"/>
          <w:lang w:val="en-GB"/>
        </w:rPr>
        <w:t>.</w:t>
      </w:r>
      <w:r w:rsidRPr="00ED1ED0">
        <w:rPr>
          <w:sz w:val="16"/>
          <w:szCs w:val="16"/>
          <w:lang w:val="en-GB"/>
        </w:rPr>
        <w:t>5</w:t>
      </w:r>
      <w:r>
        <w:rPr>
          <w:sz w:val="16"/>
          <w:szCs w:val="16"/>
          <w:lang w:val="en-GB"/>
        </w:rPr>
        <w:t xml:space="preserve"> CZK bn</w:t>
      </w:r>
      <w:r w:rsidRPr="00ED1ED0">
        <w:rPr>
          <w:sz w:val="16"/>
          <w:szCs w:val="16"/>
          <w:lang w:val="en-GB"/>
        </w:rPr>
        <w:t>.</w:t>
      </w:r>
    </w:p>
  </w:footnote>
  <w:footnote w:id="14">
    <w:p w14:paraId="1261BE94" w14:textId="4B8AFDD4" w:rsidR="007C581C" w:rsidRPr="00CC6BB7" w:rsidRDefault="007C581C" w:rsidP="00010A2C">
      <w:pPr>
        <w:pStyle w:val="Textpoznpodarou"/>
        <w:rPr>
          <w:sz w:val="16"/>
          <w:szCs w:val="16"/>
          <w:lang w:val="en-GB"/>
        </w:rPr>
      </w:pPr>
      <w:r w:rsidRPr="00167B30">
        <w:rPr>
          <w:rStyle w:val="Znakapoznpodarou"/>
          <w:sz w:val="16"/>
          <w:szCs w:val="16"/>
        </w:rPr>
        <w:footnoteRef/>
      </w:r>
      <w:r w:rsidRPr="00167B30">
        <w:rPr>
          <w:sz w:val="16"/>
          <w:szCs w:val="16"/>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r>
        <w:rPr>
          <w:sz w:val="16"/>
          <w:szCs w:val="16"/>
          <w:lang w:val="en-GB"/>
        </w:rPr>
        <w:t xml:space="preserve"> Foreign trade balance in current </w:t>
      </w:r>
      <w:r w:rsidRPr="00CC6BB7">
        <w:rPr>
          <w:sz w:val="16"/>
          <w:szCs w:val="16"/>
          <w:lang w:val="en-GB"/>
        </w:rPr>
        <w:t xml:space="preserve">prices and after seasonal adjustment. </w:t>
      </w:r>
    </w:p>
  </w:footnote>
  <w:footnote w:id="15">
    <w:p w14:paraId="4AD8F028" w14:textId="66F3D8AD" w:rsidR="007C581C" w:rsidRPr="00CC6BB7" w:rsidRDefault="007C581C" w:rsidP="00010A2C">
      <w:pPr>
        <w:pStyle w:val="Textpoznpodarou"/>
        <w:rPr>
          <w:sz w:val="16"/>
          <w:szCs w:val="16"/>
          <w:lang w:val="en-GB"/>
        </w:rPr>
      </w:pPr>
      <w:r w:rsidRPr="00CC6BB7">
        <w:rPr>
          <w:rStyle w:val="Znakapoznpodarou"/>
          <w:sz w:val="16"/>
          <w:szCs w:val="16"/>
          <w:lang w:val="en-GB"/>
        </w:rPr>
        <w:footnoteRef/>
      </w:r>
      <w:r w:rsidRPr="00CC6BB7">
        <w:rPr>
          <w:sz w:val="16"/>
          <w:szCs w:val="16"/>
          <w:lang w:val="en-GB"/>
        </w:rPr>
        <w:t xml:space="preserve"> It represents the largest recorded worsening.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2A94712D" w:rsidR="007C581C" w:rsidRPr="00504720" w:rsidRDefault="007C581C" w:rsidP="00937AE2">
    <w:pPr>
      <w:pStyle w:val="Zhlav"/>
      <w:rPr>
        <w:lang w:val="en-GB"/>
      </w:rPr>
    </w:pPr>
    <w:r w:rsidRPr="00504720">
      <w:rPr>
        <w:lang w:val="en-GB"/>
      </w:rPr>
      <w:t>The Czech Economy Development</w:t>
    </w:r>
  </w:p>
  <w:p w14:paraId="3E881AB3" w14:textId="77777777" w:rsidR="007C581C" w:rsidRPr="006F5416" w:rsidRDefault="007C58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28CD1F5" w:rsidR="007C581C" w:rsidRPr="00504720" w:rsidRDefault="007C581C" w:rsidP="00937AE2">
    <w:pPr>
      <w:pStyle w:val="Zhlav"/>
      <w:rPr>
        <w:lang w:val="en-GB"/>
      </w:rPr>
    </w:pPr>
    <w:r w:rsidRPr="00504720">
      <w:rPr>
        <w:lang w:val="en-GB"/>
      </w:rPr>
      <w:t>The Czech Economy Development</w:t>
    </w:r>
  </w:p>
  <w:p w14:paraId="57266714" w14:textId="77777777" w:rsidR="007C581C" w:rsidRPr="006F5416" w:rsidRDefault="007C58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31A"/>
    <w:rsid w:val="000005AF"/>
    <w:rsid w:val="00000B55"/>
    <w:rsid w:val="0000209D"/>
    <w:rsid w:val="0000232E"/>
    <w:rsid w:val="00002566"/>
    <w:rsid w:val="0000370A"/>
    <w:rsid w:val="00003849"/>
    <w:rsid w:val="00003F5C"/>
    <w:rsid w:val="00004D5A"/>
    <w:rsid w:val="00005613"/>
    <w:rsid w:val="0000567F"/>
    <w:rsid w:val="000056D5"/>
    <w:rsid w:val="00005D9E"/>
    <w:rsid w:val="000063D5"/>
    <w:rsid w:val="00006625"/>
    <w:rsid w:val="00006ABD"/>
    <w:rsid w:val="00006B67"/>
    <w:rsid w:val="00006C0B"/>
    <w:rsid w:val="000073A0"/>
    <w:rsid w:val="0000767A"/>
    <w:rsid w:val="00007ABE"/>
    <w:rsid w:val="00010256"/>
    <w:rsid w:val="00010702"/>
    <w:rsid w:val="00010816"/>
    <w:rsid w:val="00010A2C"/>
    <w:rsid w:val="00010A36"/>
    <w:rsid w:val="000110E8"/>
    <w:rsid w:val="0001128E"/>
    <w:rsid w:val="00011912"/>
    <w:rsid w:val="00011BFC"/>
    <w:rsid w:val="000129B7"/>
    <w:rsid w:val="00012A35"/>
    <w:rsid w:val="00012F79"/>
    <w:rsid w:val="0001387D"/>
    <w:rsid w:val="00014ED0"/>
    <w:rsid w:val="00015657"/>
    <w:rsid w:val="00016420"/>
    <w:rsid w:val="00016BDB"/>
    <w:rsid w:val="00017945"/>
    <w:rsid w:val="00017B01"/>
    <w:rsid w:val="000200BE"/>
    <w:rsid w:val="000205D1"/>
    <w:rsid w:val="00020F22"/>
    <w:rsid w:val="0002195D"/>
    <w:rsid w:val="00021F9B"/>
    <w:rsid w:val="000221DD"/>
    <w:rsid w:val="000228AE"/>
    <w:rsid w:val="000233D1"/>
    <w:rsid w:val="000234D6"/>
    <w:rsid w:val="00023D29"/>
    <w:rsid w:val="00024219"/>
    <w:rsid w:val="00024348"/>
    <w:rsid w:val="00026109"/>
    <w:rsid w:val="00026389"/>
    <w:rsid w:val="0002669F"/>
    <w:rsid w:val="000279A9"/>
    <w:rsid w:val="000279E5"/>
    <w:rsid w:val="00027EF4"/>
    <w:rsid w:val="000305E0"/>
    <w:rsid w:val="00031AE0"/>
    <w:rsid w:val="00031BB2"/>
    <w:rsid w:val="000322EF"/>
    <w:rsid w:val="00033FCD"/>
    <w:rsid w:val="000348AF"/>
    <w:rsid w:val="00034B70"/>
    <w:rsid w:val="00034DF7"/>
    <w:rsid w:val="00034E68"/>
    <w:rsid w:val="000350C8"/>
    <w:rsid w:val="00036195"/>
    <w:rsid w:val="00037362"/>
    <w:rsid w:val="000374B2"/>
    <w:rsid w:val="000376C0"/>
    <w:rsid w:val="000403A7"/>
    <w:rsid w:val="00040632"/>
    <w:rsid w:val="00041AFC"/>
    <w:rsid w:val="00041CEC"/>
    <w:rsid w:val="00041D02"/>
    <w:rsid w:val="00042596"/>
    <w:rsid w:val="00042A4A"/>
    <w:rsid w:val="00044183"/>
    <w:rsid w:val="0004431D"/>
    <w:rsid w:val="0004443E"/>
    <w:rsid w:val="00044AAC"/>
    <w:rsid w:val="0004694F"/>
    <w:rsid w:val="00046F2F"/>
    <w:rsid w:val="00047AD4"/>
    <w:rsid w:val="00047D54"/>
    <w:rsid w:val="0005054A"/>
    <w:rsid w:val="00050CD8"/>
    <w:rsid w:val="00051506"/>
    <w:rsid w:val="000522E4"/>
    <w:rsid w:val="00053713"/>
    <w:rsid w:val="0005434E"/>
    <w:rsid w:val="0005480E"/>
    <w:rsid w:val="00055CB6"/>
    <w:rsid w:val="0005658B"/>
    <w:rsid w:val="000572DD"/>
    <w:rsid w:val="00057B1E"/>
    <w:rsid w:val="0006033F"/>
    <w:rsid w:val="000610E1"/>
    <w:rsid w:val="000616AD"/>
    <w:rsid w:val="00061E88"/>
    <w:rsid w:val="000622A6"/>
    <w:rsid w:val="000627BD"/>
    <w:rsid w:val="0006286E"/>
    <w:rsid w:val="00062D70"/>
    <w:rsid w:val="00062EC5"/>
    <w:rsid w:val="00062F22"/>
    <w:rsid w:val="00063975"/>
    <w:rsid w:val="00063CEA"/>
    <w:rsid w:val="0006444D"/>
    <w:rsid w:val="000645FC"/>
    <w:rsid w:val="0006533F"/>
    <w:rsid w:val="00065348"/>
    <w:rsid w:val="0006551C"/>
    <w:rsid w:val="00065A75"/>
    <w:rsid w:val="000663F0"/>
    <w:rsid w:val="00066558"/>
    <w:rsid w:val="000668F1"/>
    <w:rsid w:val="000671DB"/>
    <w:rsid w:val="000672E3"/>
    <w:rsid w:val="000676FF"/>
    <w:rsid w:val="00067982"/>
    <w:rsid w:val="00070A87"/>
    <w:rsid w:val="000712B3"/>
    <w:rsid w:val="00071A7C"/>
    <w:rsid w:val="00071E38"/>
    <w:rsid w:val="00072FF5"/>
    <w:rsid w:val="00073A5A"/>
    <w:rsid w:val="000743F9"/>
    <w:rsid w:val="0007474E"/>
    <w:rsid w:val="00074988"/>
    <w:rsid w:val="0007512B"/>
    <w:rsid w:val="00075551"/>
    <w:rsid w:val="000767F5"/>
    <w:rsid w:val="00076D90"/>
    <w:rsid w:val="00077FF0"/>
    <w:rsid w:val="0008115C"/>
    <w:rsid w:val="00081A55"/>
    <w:rsid w:val="0008263E"/>
    <w:rsid w:val="00082BA0"/>
    <w:rsid w:val="00082C19"/>
    <w:rsid w:val="00082F89"/>
    <w:rsid w:val="000837CD"/>
    <w:rsid w:val="000838A0"/>
    <w:rsid w:val="000842E9"/>
    <w:rsid w:val="00084BFF"/>
    <w:rsid w:val="00085185"/>
    <w:rsid w:val="00085395"/>
    <w:rsid w:val="00086896"/>
    <w:rsid w:val="0008695E"/>
    <w:rsid w:val="00086AC1"/>
    <w:rsid w:val="00086D19"/>
    <w:rsid w:val="00087634"/>
    <w:rsid w:val="00087F2B"/>
    <w:rsid w:val="00090694"/>
    <w:rsid w:val="00090EE2"/>
    <w:rsid w:val="00090FC6"/>
    <w:rsid w:val="000913B1"/>
    <w:rsid w:val="0009290F"/>
    <w:rsid w:val="00093241"/>
    <w:rsid w:val="00093532"/>
    <w:rsid w:val="00093868"/>
    <w:rsid w:val="00094A84"/>
    <w:rsid w:val="00095025"/>
    <w:rsid w:val="00095135"/>
    <w:rsid w:val="00095B8B"/>
    <w:rsid w:val="0009626E"/>
    <w:rsid w:val="0009644D"/>
    <w:rsid w:val="00097191"/>
    <w:rsid w:val="000974D1"/>
    <w:rsid w:val="00097784"/>
    <w:rsid w:val="0009799E"/>
    <w:rsid w:val="000A07CB"/>
    <w:rsid w:val="000A0BC0"/>
    <w:rsid w:val="000A1077"/>
    <w:rsid w:val="000A1183"/>
    <w:rsid w:val="000A12ED"/>
    <w:rsid w:val="000A1973"/>
    <w:rsid w:val="000A1D49"/>
    <w:rsid w:val="000A1F6A"/>
    <w:rsid w:val="000A2065"/>
    <w:rsid w:val="000A212B"/>
    <w:rsid w:val="000A242D"/>
    <w:rsid w:val="000A256D"/>
    <w:rsid w:val="000A2643"/>
    <w:rsid w:val="000A2E5F"/>
    <w:rsid w:val="000A337A"/>
    <w:rsid w:val="000A3A2C"/>
    <w:rsid w:val="000A3D9E"/>
    <w:rsid w:val="000A4A54"/>
    <w:rsid w:val="000A4ED9"/>
    <w:rsid w:val="000A5DB7"/>
    <w:rsid w:val="000A6753"/>
    <w:rsid w:val="000A6D94"/>
    <w:rsid w:val="000A7377"/>
    <w:rsid w:val="000A74A4"/>
    <w:rsid w:val="000A775A"/>
    <w:rsid w:val="000A7FF4"/>
    <w:rsid w:val="000B03CC"/>
    <w:rsid w:val="000B2BA8"/>
    <w:rsid w:val="000B4212"/>
    <w:rsid w:val="000B5C9C"/>
    <w:rsid w:val="000B67B7"/>
    <w:rsid w:val="000B7141"/>
    <w:rsid w:val="000C0CA6"/>
    <w:rsid w:val="000C0EA8"/>
    <w:rsid w:val="000C13A2"/>
    <w:rsid w:val="000C1C5A"/>
    <w:rsid w:val="000C21E7"/>
    <w:rsid w:val="000C23EC"/>
    <w:rsid w:val="000C26A2"/>
    <w:rsid w:val="000C290E"/>
    <w:rsid w:val="000C30C3"/>
    <w:rsid w:val="000C3408"/>
    <w:rsid w:val="000C35AB"/>
    <w:rsid w:val="000C3F7B"/>
    <w:rsid w:val="000C3FD8"/>
    <w:rsid w:val="000C4093"/>
    <w:rsid w:val="000C4769"/>
    <w:rsid w:val="000C4D56"/>
    <w:rsid w:val="000C5DFA"/>
    <w:rsid w:val="000C6AFD"/>
    <w:rsid w:val="000C6C90"/>
    <w:rsid w:val="000C72B7"/>
    <w:rsid w:val="000D009F"/>
    <w:rsid w:val="000D0236"/>
    <w:rsid w:val="000D0237"/>
    <w:rsid w:val="000D0A26"/>
    <w:rsid w:val="000D0B8E"/>
    <w:rsid w:val="000D13CB"/>
    <w:rsid w:val="000D2196"/>
    <w:rsid w:val="000D2312"/>
    <w:rsid w:val="000D296A"/>
    <w:rsid w:val="000D3058"/>
    <w:rsid w:val="000D310A"/>
    <w:rsid w:val="000D3EF4"/>
    <w:rsid w:val="000D4761"/>
    <w:rsid w:val="000D4DC0"/>
    <w:rsid w:val="000D55BA"/>
    <w:rsid w:val="000D5637"/>
    <w:rsid w:val="000D5A03"/>
    <w:rsid w:val="000D5ED3"/>
    <w:rsid w:val="000D6AAF"/>
    <w:rsid w:val="000D6D7C"/>
    <w:rsid w:val="000D6F4E"/>
    <w:rsid w:val="000D6FDA"/>
    <w:rsid w:val="000D7082"/>
    <w:rsid w:val="000D73BB"/>
    <w:rsid w:val="000D79D1"/>
    <w:rsid w:val="000E0E96"/>
    <w:rsid w:val="000E298B"/>
    <w:rsid w:val="000E2C7D"/>
    <w:rsid w:val="000E3E56"/>
    <w:rsid w:val="000E440D"/>
    <w:rsid w:val="000E4AC5"/>
    <w:rsid w:val="000E6253"/>
    <w:rsid w:val="000E6AC4"/>
    <w:rsid w:val="000E6E4D"/>
    <w:rsid w:val="000E6FBD"/>
    <w:rsid w:val="000E6FCB"/>
    <w:rsid w:val="000F090B"/>
    <w:rsid w:val="000F0C1C"/>
    <w:rsid w:val="000F3669"/>
    <w:rsid w:val="000F3F3B"/>
    <w:rsid w:val="000F4721"/>
    <w:rsid w:val="000F47E8"/>
    <w:rsid w:val="000F70E4"/>
    <w:rsid w:val="000F76EA"/>
    <w:rsid w:val="00100A8B"/>
    <w:rsid w:val="00100F5C"/>
    <w:rsid w:val="00100FB5"/>
    <w:rsid w:val="00101CDA"/>
    <w:rsid w:val="00102037"/>
    <w:rsid w:val="00102D7B"/>
    <w:rsid w:val="00103378"/>
    <w:rsid w:val="00103DCB"/>
    <w:rsid w:val="00104C4C"/>
    <w:rsid w:val="00105015"/>
    <w:rsid w:val="001055D2"/>
    <w:rsid w:val="001057C2"/>
    <w:rsid w:val="0010591C"/>
    <w:rsid w:val="00105B6B"/>
    <w:rsid w:val="00105C5C"/>
    <w:rsid w:val="00107124"/>
    <w:rsid w:val="00107243"/>
    <w:rsid w:val="0011038E"/>
    <w:rsid w:val="00110978"/>
    <w:rsid w:val="0011127D"/>
    <w:rsid w:val="00111573"/>
    <w:rsid w:val="00111B33"/>
    <w:rsid w:val="001125EF"/>
    <w:rsid w:val="00112CAB"/>
    <w:rsid w:val="0011440C"/>
    <w:rsid w:val="001145F6"/>
    <w:rsid w:val="00114C33"/>
    <w:rsid w:val="00116D3F"/>
    <w:rsid w:val="00117474"/>
    <w:rsid w:val="00117623"/>
    <w:rsid w:val="00117FEA"/>
    <w:rsid w:val="001200CF"/>
    <w:rsid w:val="001208E3"/>
    <w:rsid w:val="00120D71"/>
    <w:rsid w:val="00121609"/>
    <w:rsid w:val="0012192F"/>
    <w:rsid w:val="00122994"/>
    <w:rsid w:val="00123204"/>
    <w:rsid w:val="001239D6"/>
    <w:rsid w:val="00124B46"/>
    <w:rsid w:val="001257BE"/>
    <w:rsid w:val="001257E0"/>
    <w:rsid w:val="00125D20"/>
    <w:rsid w:val="00125D69"/>
    <w:rsid w:val="00125FB3"/>
    <w:rsid w:val="0012799C"/>
    <w:rsid w:val="00127BC2"/>
    <w:rsid w:val="00127E15"/>
    <w:rsid w:val="00130ADC"/>
    <w:rsid w:val="00130D9F"/>
    <w:rsid w:val="00132C4D"/>
    <w:rsid w:val="00133FC1"/>
    <w:rsid w:val="00134659"/>
    <w:rsid w:val="00135111"/>
    <w:rsid w:val="00135F31"/>
    <w:rsid w:val="001368DC"/>
    <w:rsid w:val="00136A6F"/>
    <w:rsid w:val="00136C1A"/>
    <w:rsid w:val="001405FA"/>
    <w:rsid w:val="00140D1A"/>
    <w:rsid w:val="00141184"/>
    <w:rsid w:val="001411A4"/>
    <w:rsid w:val="00141315"/>
    <w:rsid w:val="00141AA0"/>
    <w:rsid w:val="001425C3"/>
    <w:rsid w:val="0014262D"/>
    <w:rsid w:val="00142B29"/>
    <w:rsid w:val="00144108"/>
    <w:rsid w:val="00144588"/>
    <w:rsid w:val="001447DD"/>
    <w:rsid w:val="00145358"/>
    <w:rsid w:val="001459BC"/>
    <w:rsid w:val="00150333"/>
    <w:rsid w:val="00150ECA"/>
    <w:rsid w:val="00151707"/>
    <w:rsid w:val="00152C86"/>
    <w:rsid w:val="00152F4F"/>
    <w:rsid w:val="0015329F"/>
    <w:rsid w:val="001544A1"/>
    <w:rsid w:val="0015462F"/>
    <w:rsid w:val="00154DAC"/>
    <w:rsid w:val="001553B8"/>
    <w:rsid w:val="001554C2"/>
    <w:rsid w:val="00156CA1"/>
    <w:rsid w:val="00156D21"/>
    <w:rsid w:val="001571C0"/>
    <w:rsid w:val="0015753D"/>
    <w:rsid w:val="00157984"/>
    <w:rsid w:val="00157CC9"/>
    <w:rsid w:val="001603C1"/>
    <w:rsid w:val="001604A9"/>
    <w:rsid w:val="00160C21"/>
    <w:rsid w:val="001612F4"/>
    <w:rsid w:val="00161553"/>
    <w:rsid w:val="0016216F"/>
    <w:rsid w:val="0016256B"/>
    <w:rsid w:val="00162F81"/>
    <w:rsid w:val="00163793"/>
    <w:rsid w:val="00164CA1"/>
    <w:rsid w:val="00165313"/>
    <w:rsid w:val="00165DF4"/>
    <w:rsid w:val="0016623D"/>
    <w:rsid w:val="00167485"/>
    <w:rsid w:val="001679F5"/>
    <w:rsid w:val="00167AD0"/>
    <w:rsid w:val="00167B92"/>
    <w:rsid w:val="00167CB9"/>
    <w:rsid w:val="00167DD8"/>
    <w:rsid w:val="001705AD"/>
    <w:rsid w:val="001706D6"/>
    <w:rsid w:val="001714F2"/>
    <w:rsid w:val="001719C1"/>
    <w:rsid w:val="00171FEA"/>
    <w:rsid w:val="00173622"/>
    <w:rsid w:val="001751DC"/>
    <w:rsid w:val="0017580C"/>
    <w:rsid w:val="00175B9F"/>
    <w:rsid w:val="001762F4"/>
    <w:rsid w:val="00176664"/>
    <w:rsid w:val="00176D0A"/>
    <w:rsid w:val="001777BA"/>
    <w:rsid w:val="00181029"/>
    <w:rsid w:val="00181BBC"/>
    <w:rsid w:val="0018385F"/>
    <w:rsid w:val="00183BCF"/>
    <w:rsid w:val="00184017"/>
    <w:rsid w:val="001843D0"/>
    <w:rsid w:val="001847BB"/>
    <w:rsid w:val="00184B08"/>
    <w:rsid w:val="00184C25"/>
    <w:rsid w:val="00185010"/>
    <w:rsid w:val="00185C22"/>
    <w:rsid w:val="00185CB1"/>
    <w:rsid w:val="0018690D"/>
    <w:rsid w:val="00186BA9"/>
    <w:rsid w:val="00186D4B"/>
    <w:rsid w:val="00187D50"/>
    <w:rsid w:val="0019196C"/>
    <w:rsid w:val="001926A9"/>
    <w:rsid w:val="00192D81"/>
    <w:rsid w:val="00192E0C"/>
    <w:rsid w:val="00192F05"/>
    <w:rsid w:val="00193706"/>
    <w:rsid w:val="0019448A"/>
    <w:rsid w:val="00194729"/>
    <w:rsid w:val="00194850"/>
    <w:rsid w:val="00195234"/>
    <w:rsid w:val="00196016"/>
    <w:rsid w:val="001960FD"/>
    <w:rsid w:val="00196117"/>
    <w:rsid w:val="001977EB"/>
    <w:rsid w:val="00197A70"/>
    <w:rsid w:val="00197C0F"/>
    <w:rsid w:val="00197D0E"/>
    <w:rsid w:val="001A0487"/>
    <w:rsid w:val="001A0675"/>
    <w:rsid w:val="001A0A37"/>
    <w:rsid w:val="001A1529"/>
    <w:rsid w:val="001A1EED"/>
    <w:rsid w:val="001A1F68"/>
    <w:rsid w:val="001A21FA"/>
    <w:rsid w:val="001A4D7C"/>
    <w:rsid w:val="001A4EF0"/>
    <w:rsid w:val="001A552F"/>
    <w:rsid w:val="001A70B1"/>
    <w:rsid w:val="001A7388"/>
    <w:rsid w:val="001B0738"/>
    <w:rsid w:val="001B07F9"/>
    <w:rsid w:val="001B1235"/>
    <w:rsid w:val="001B158D"/>
    <w:rsid w:val="001B2CA9"/>
    <w:rsid w:val="001B3110"/>
    <w:rsid w:val="001B3E38"/>
    <w:rsid w:val="001B40F5"/>
    <w:rsid w:val="001B4729"/>
    <w:rsid w:val="001B494B"/>
    <w:rsid w:val="001B4F0E"/>
    <w:rsid w:val="001B5922"/>
    <w:rsid w:val="001B5F40"/>
    <w:rsid w:val="001B61EC"/>
    <w:rsid w:val="001B6310"/>
    <w:rsid w:val="001B63A8"/>
    <w:rsid w:val="001B6C09"/>
    <w:rsid w:val="001B6E12"/>
    <w:rsid w:val="001B7320"/>
    <w:rsid w:val="001B752A"/>
    <w:rsid w:val="001C05CD"/>
    <w:rsid w:val="001C064B"/>
    <w:rsid w:val="001C082B"/>
    <w:rsid w:val="001C0F17"/>
    <w:rsid w:val="001C1B24"/>
    <w:rsid w:val="001C1B66"/>
    <w:rsid w:val="001C1BB5"/>
    <w:rsid w:val="001C2732"/>
    <w:rsid w:val="001C2EB2"/>
    <w:rsid w:val="001C31A2"/>
    <w:rsid w:val="001C351D"/>
    <w:rsid w:val="001C3794"/>
    <w:rsid w:val="001C4A56"/>
    <w:rsid w:val="001C4B8F"/>
    <w:rsid w:val="001C4BB8"/>
    <w:rsid w:val="001C4FD0"/>
    <w:rsid w:val="001C544D"/>
    <w:rsid w:val="001C547D"/>
    <w:rsid w:val="001C5E46"/>
    <w:rsid w:val="001C6594"/>
    <w:rsid w:val="001C673E"/>
    <w:rsid w:val="001C6B3B"/>
    <w:rsid w:val="001C7A26"/>
    <w:rsid w:val="001C7E3F"/>
    <w:rsid w:val="001D02D7"/>
    <w:rsid w:val="001D0EF1"/>
    <w:rsid w:val="001D129C"/>
    <w:rsid w:val="001D22C2"/>
    <w:rsid w:val="001D2C99"/>
    <w:rsid w:val="001D386E"/>
    <w:rsid w:val="001D3B75"/>
    <w:rsid w:val="001D3D68"/>
    <w:rsid w:val="001D452E"/>
    <w:rsid w:val="001D54C1"/>
    <w:rsid w:val="001D556E"/>
    <w:rsid w:val="001D5DF2"/>
    <w:rsid w:val="001D6175"/>
    <w:rsid w:val="001D68B2"/>
    <w:rsid w:val="001D7A6E"/>
    <w:rsid w:val="001D7EFD"/>
    <w:rsid w:val="001D7F60"/>
    <w:rsid w:val="001E085B"/>
    <w:rsid w:val="001E149B"/>
    <w:rsid w:val="001E15CB"/>
    <w:rsid w:val="001E3306"/>
    <w:rsid w:val="001E3A13"/>
    <w:rsid w:val="001E504C"/>
    <w:rsid w:val="001E509E"/>
    <w:rsid w:val="001E56AC"/>
    <w:rsid w:val="001E5A17"/>
    <w:rsid w:val="001E6525"/>
    <w:rsid w:val="001E74C5"/>
    <w:rsid w:val="001F1236"/>
    <w:rsid w:val="001F1536"/>
    <w:rsid w:val="001F2F90"/>
    <w:rsid w:val="001F3BF9"/>
    <w:rsid w:val="001F3E54"/>
    <w:rsid w:val="001F4597"/>
    <w:rsid w:val="001F4826"/>
    <w:rsid w:val="001F4933"/>
    <w:rsid w:val="001F4C16"/>
    <w:rsid w:val="001F59C8"/>
    <w:rsid w:val="001F5A16"/>
    <w:rsid w:val="001F6CD3"/>
    <w:rsid w:val="001F75DA"/>
    <w:rsid w:val="001F7CE0"/>
    <w:rsid w:val="00200085"/>
    <w:rsid w:val="00203332"/>
    <w:rsid w:val="00203418"/>
    <w:rsid w:val="00203CD5"/>
    <w:rsid w:val="00203D8F"/>
    <w:rsid w:val="00203DA4"/>
    <w:rsid w:val="00203F9B"/>
    <w:rsid w:val="0020446B"/>
    <w:rsid w:val="00204563"/>
    <w:rsid w:val="00204D3D"/>
    <w:rsid w:val="00204EA6"/>
    <w:rsid w:val="00205186"/>
    <w:rsid w:val="00206516"/>
    <w:rsid w:val="00206E75"/>
    <w:rsid w:val="002070CF"/>
    <w:rsid w:val="002071D5"/>
    <w:rsid w:val="00207F4E"/>
    <w:rsid w:val="002111E5"/>
    <w:rsid w:val="0021149E"/>
    <w:rsid w:val="002118B9"/>
    <w:rsid w:val="002125EB"/>
    <w:rsid w:val="00213691"/>
    <w:rsid w:val="002142C0"/>
    <w:rsid w:val="00214CFF"/>
    <w:rsid w:val="00215602"/>
    <w:rsid w:val="00216E10"/>
    <w:rsid w:val="00217C5B"/>
    <w:rsid w:val="00220A43"/>
    <w:rsid w:val="0022139E"/>
    <w:rsid w:val="00222729"/>
    <w:rsid w:val="0022287B"/>
    <w:rsid w:val="002228DB"/>
    <w:rsid w:val="00223185"/>
    <w:rsid w:val="00223264"/>
    <w:rsid w:val="002233D6"/>
    <w:rsid w:val="0022441D"/>
    <w:rsid w:val="00224574"/>
    <w:rsid w:val="00224E3F"/>
    <w:rsid w:val="00225000"/>
    <w:rsid w:val="00225255"/>
    <w:rsid w:val="002252E0"/>
    <w:rsid w:val="0022556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0D"/>
    <w:rsid w:val="00236443"/>
    <w:rsid w:val="00236700"/>
    <w:rsid w:val="00236B3A"/>
    <w:rsid w:val="00237C8B"/>
    <w:rsid w:val="002401A3"/>
    <w:rsid w:val="00240391"/>
    <w:rsid w:val="00240AF3"/>
    <w:rsid w:val="002418D5"/>
    <w:rsid w:val="00241A9F"/>
    <w:rsid w:val="00241B06"/>
    <w:rsid w:val="0024224D"/>
    <w:rsid w:val="002426C9"/>
    <w:rsid w:val="0024343A"/>
    <w:rsid w:val="002434D1"/>
    <w:rsid w:val="002436BA"/>
    <w:rsid w:val="002438DC"/>
    <w:rsid w:val="00244652"/>
    <w:rsid w:val="00244A15"/>
    <w:rsid w:val="002452D9"/>
    <w:rsid w:val="00245800"/>
    <w:rsid w:val="002468FB"/>
    <w:rsid w:val="00247319"/>
    <w:rsid w:val="0024799E"/>
    <w:rsid w:val="00247E60"/>
    <w:rsid w:val="002511CC"/>
    <w:rsid w:val="00251496"/>
    <w:rsid w:val="002515B3"/>
    <w:rsid w:val="00251B08"/>
    <w:rsid w:val="00251C53"/>
    <w:rsid w:val="00252465"/>
    <w:rsid w:val="00252AB9"/>
    <w:rsid w:val="002532B1"/>
    <w:rsid w:val="00253C0F"/>
    <w:rsid w:val="00254C1C"/>
    <w:rsid w:val="002558C1"/>
    <w:rsid w:val="00256207"/>
    <w:rsid w:val="002575F3"/>
    <w:rsid w:val="002577BB"/>
    <w:rsid w:val="002603E1"/>
    <w:rsid w:val="002605FE"/>
    <w:rsid w:val="0026120E"/>
    <w:rsid w:val="002613D4"/>
    <w:rsid w:val="002617EE"/>
    <w:rsid w:val="00262582"/>
    <w:rsid w:val="0026291D"/>
    <w:rsid w:val="00262CF3"/>
    <w:rsid w:val="00263F44"/>
    <w:rsid w:val="00264309"/>
    <w:rsid w:val="00264992"/>
    <w:rsid w:val="00264B4F"/>
    <w:rsid w:val="0026564B"/>
    <w:rsid w:val="00265C83"/>
    <w:rsid w:val="00265E85"/>
    <w:rsid w:val="0026718D"/>
    <w:rsid w:val="00267B49"/>
    <w:rsid w:val="00267C51"/>
    <w:rsid w:val="002700D9"/>
    <w:rsid w:val="0027025F"/>
    <w:rsid w:val="002709CC"/>
    <w:rsid w:val="00270D25"/>
    <w:rsid w:val="00271022"/>
    <w:rsid w:val="00271465"/>
    <w:rsid w:val="00271A07"/>
    <w:rsid w:val="00271E47"/>
    <w:rsid w:val="0027217A"/>
    <w:rsid w:val="002721F5"/>
    <w:rsid w:val="00272DF4"/>
    <w:rsid w:val="00273A9F"/>
    <w:rsid w:val="002744B9"/>
    <w:rsid w:val="00275062"/>
    <w:rsid w:val="0027563A"/>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7A"/>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BD3"/>
    <w:rsid w:val="002C1F09"/>
    <w:rsid w:val="002C22A4"/>
    <w:rsid w:val="002C2583"/>
    <w:rsid w:val="002C260B"/>
    <w:rsid w:val="002C27A6"/>
    <w:rsid w:val="002C31E4"/>
    <w:rsid w:val="002C398D"/>
    <w:rsid w:val="002C3D02"/>
    <w:rsid w:val="002C40D2"/>
    <w:rsid w:val="002C43BD"/>
    <w:rsid w:val="002C5245"/>
    <w:rsid w:val="002C564A"/>
    <w:rsid w:val="002C59D8"/>
    <w:rsid w:val="002C5B25"/>
    <w:rsid w:val="002C5FEB"/>
    <w:rsid w:val="002C6494"/>
    <w:rsid w:val="002D05CB"/>
    <w:rsid w:val="002D0E59"/>
    <w:rsid w:val="002D1F41"/>
    <w:rsid w:val="002D2C4F"/>
    <w:rsid w:val="002D39E0"/>
    <w:rsid w:val="002D3EBB"/>
    <w:rsid w:val="002D455C"/>
    <w:rsid w:val="002D6066"/>
    <w:rsid w:val="002D6A4C"/>
    <w:rsid w:val="002E02A1"/>
    <w:rsid w:val="002E06F7"/>
    <w:rsid w:val="002E196A"/>
    <w:rsid w:val="002E1B00"/>
    <w:rsid w:val="002E1F8A"/>
    <w:rsid w:val="002E20C7"/>
    <w:rsid w:val="002E20CD"/>
    <w:rsid w:val="002E222E"/>
    <w:rsid w:val="002E25FF"/>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1F85"/>
    <w:rsid w:val="002F311F"/>
    <w:rsid w:val="002F333D"/>
    <w:rsid w:val="002F351A"/>
    <w:rsid w:val="002F46D6"/>
    <w:rsid w:val="002F498A"/>
    <w:rsid w:val="002F4AD8"/>
    <w:rsid w:val="002F5285"/>
    <w:rsid w:val="002F5820"/>
    <w:rsid w:val="002F64BB"/>
    <w:rsid w:val="002F7611"/>
    <w:rsid w:val="002F7756"/>
    <w:rsid w:val="002F7D9B"/>
    <w:rsid w:val="00300900"/>
    <w:rsid w:val="00300C31"/>
    <w:rsid w:val="00300E74"/>
    <w:rsid w:val="003017EC"/>
    <w:rsid w:val="00301FB5"/>
    <w:rsid w:val="00301FD5"/>
    <w:rsid w:val="00302165"/>
    <w:rsid w:val="00302D5A"/>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45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2F7"/>
    <w:rsid w:val="003247E1"/>
    <w:rsid w:val="00324B59"/>
    <w:rsid w:val="00325E46"/>
    <w:rsid w:val="0032656E"/>
    <w:rsid w:val="0032788F"/>
    <w:rsid w:val="0033117D"/>
    <w:rsid w:val="003313AD"/>
    <w:rsid w:val="00332190"/>
    <w:rsid w:val="00332A98"/>
    <w:rsid w:val="003334BD"/>
    <w:rsid w:val="00333973"/>
    <w:rsid w:val="00333CD0"/>
    <w:rsid w:val="0033448D"/>
    <w:rsid w:val="00334AD2"/>
    <w:rsid w:val="00334CB6"/>
    <w:rsid w:val="00335FA6"/>
    <w:rsid w:val="0033709C"/>
    <w:rsid w:val="003370C5"/>
    <w:rsid w:val="003373C6"/>
    <w:rsid w:val="0033753A"/>
    <w:rsid w:val="003378EB"/>
    <w:rsid w:val="00340BF3"/>
    <w:rsid w:val="00341D26"/>
    <w:rsid w:val="00341D2E"/>
    <w:rsid w:val="00341F05"/>
    <w:rsid w:val="00341FFE"/>
    <w:rsid w:val="00342521"/>
    <w:rsid w:val="0034335E"/>
    <w:rsid w:val="00344668"/>
    <w:rsid w:val="00344940"/>
    <w:rsid w:val="00346234"/>
    <w:rsid w:val="003462D9"/>
    <w:rsid w:val="0034723F"/>
    <w:rsid w:val="00347247"/>
    <w:rsid w:val="003474B6"/>
    <w:rsid w:val="00347A07"/>
    <w:rsid w:val="00347DD4"/>
    <w:rsid w:val="00350728"/>
    <w:rsid w:val="00352B43"/>
    <w:rsid w:val="00352C28"/>
    <w:rsid w:val="00353A0B"/>
    <w:rsid w:val="00354D85"/>
    <w:rsid w:val="00354F89"/>
    <w:rsid w:val="0035506D"/>
    <w:rsid w:val="00360663"/>
    <w:rsid w:val="0036077F"/>
    <w:rsid w:val="00360C86"/>
    <w:rsid w:val="00360F7A"/>
    <w:rsid w:val="00360FBC"/>
    <w:rsid w:val="00361537"/>
    <w:rsid w:val="00361FB7"/>
    <w:rsid w:val="0036242A"/>
    <w:rsid w:val="00362581"/>
    <w:rsid w:val="00362C23"/>
    <w:rsid w:val="00362DCA"/>
    <w:rsid w:val="00362E90"/>
    <w:rsid w:val="00363AD0"/>
    <w:rsid w:val="00364B62"/>
    <w:rsid w:val="00364FA0"/>
    <w:rsid w:val="003657F3"/>
    <w:rsid w:val="00365844"/>
    <w:rsid w:val="0036624C"/>
    <w:rsid w:val="00367F84"/>
    <w:rsid w:val="0037076B"/>
    <w:rsid w:val="003712BC"/>
    <w:rsid w:val="00372164"/>
    <w:rsid w:val="003734C8"/>
    <w:rsid w:val="003738BD"/>
    <w:rsid w:val="00374263"/>
    <w:rsid w:val="003744AA"/>
    <w:rsid w:val="003746F0"/>
    <w:rsid w:val="00374A20"/>
    <w:rsid w:val="00374E21"/>
    <w:rsid w:val="0037537A"/>
    <w:rsid w:val="00377784"/>
    <w:rsid w:val="00377B2E"/>
    <w:rsid w:val="0038079A"/>
    <w:rsid w:val="003808C1"/>
    <w:rsid w:val="003810F0"/>
    <w:rsid w:val="00381548"/>
    <w:rsid w:val="003815D4"/>
    <w:rsid w:val="003818DC"/>
    <w:rsid w:val="003823C4"/>
    <w:rsid w:val="00382513"/>
    <w:rsid w:val="00383388"/>
    <w:rsid w:val="003834F8"/>
    <w:rsid w:val="003838D0"/>
    <w:rsid w:val="003840C2"/>
    <w:rsid w:val="00384327"/>
    <w:rsid w:val="00384A89"/>
    <w:rsid w:val="00384E6A"/>
    <w:rsid w:val="00385086"/>
    <w:rsid w:val="00385D98"/>
    <w:rsid w:val="003863EB"/>
    <w:rsid w:val="00390306"/>
    <w:rsid w:val="003908A6"/>
    <w:rsid w:val="0039109D"/>
    <w:rsid w:val="00391527"/>
    <w:rsid w:val="00391989"/>
    <w:rsid w:val="00391A6C"/>
    <w:rsid w:val="003927F6"/>
    <w:rsid w:val="0039398D"/>
    <w:rsid w:val="003939DA"/>
    <w:rsid w:val="00393B3F"/>
    <w:rsid w:val="003962AB"/>
    <w:rsid w:val="00396739"/>
    <w:rsid w:val="003978B1"/>
    <w:rsid w:val="003A04F6"/>
    <w:rsid w:val="003A0837"/>
    <w:rsid w:val="003A2B4D"/>
    <w:rsid w:val="003A2D12"/>
    <w:rsid w:val="003A2EBA"/>
    <w:rsid w:val="003A45E3"/>
    <w:rsid w:val="003A46A0"/>
    <w:rsid w:val="003A46B8"/>
    <w:rsid w:val="003A478C"/>
    <w:rsid w:val="003A4A32"/>
    <w:rsid w:val="003A4A38"/>
    <w:rsid w:val="003A4EF2"/>
    <w:rsid w:val="003A5525"/>
    <w:rsid w:val="003A5889"/>
    <w:rsid w:val="003A5C8C"/>
    <w:rsid w:val="003A6B38"/>
    <w:rsid w:val="003A6B83"/>
    <w:rsid w:val="003A6C97"/>
    <w:rsid w:val="003A722F"/>
    <w:rsid w:val="003A7373"/>
    <w:rsid w:val="003A76A7"/>
    <w:rsid w:val="003A7D09"/>
    <w:rsid w:val="003B039F"/>
    <w:rsid w:val="003B0DF4"/>
    <w:rsid w:val="003B1AC5"/>
    <w:rsid w:val="003B1F9D"/>
    <w:rsid w:val="003B2249"/>
    <w:rsid w:val="003B2A8D"/>
    <w:rsid w:val="003B2AD1"/>
    <w:rsid w:val="003B2D2E"/>
    <w:rsid w:val="003B376A"/>
    <w:rsid w:val="003B461F"/>
    <w:rsid w:val="003B483F"/>
    <w:rsid w:val="003B4998"/>
    <w:rsid w:val="003B5A32"/>
    <w:rsid w:val="003B5B59"/>
    <w:rsid w:val="003B6D10"/>
    <w:rsid w:val="003B709D"/>
    <w:rsid w:val="003B7313"/>
    <w:rsid w:val="003B7B50"/>
    <w:rsid w:val="003C0B07"/>
    <w:rsid w:val="003C2CE7"/>
    <w:rsid w:val="003C2DB8"/>
    <w:rsid w:val="003C3490"/>
    <w:rsid w:val="003C3608"/>
    <w:rsid w:val="003C3AE8"/>
    <w:rsid w:val="003C3D2C"/>
    <w:rsid w:val="003C4014"/>
    <w:rsid w:val="003C4E13"/>
    <w:rsid w:val="003C58A5"/>
    <w:rsid w:val="003C6221"/>
    <w:rsid w:val="003C63D7"/>
    <w:rsid w:val="003C68CC"/>
    <w:rsid w:val="003C7E62"/>
    <w:rsid w:val="003D12B9"/>
    <w:rsid w:val="003D1E7A"/>
    <w:rsid w:val="003D242B"/>
    <w:rsid w:val="003D2492"/>
    <w:rsid w:val="003D29AA"/>
    <w:rsid w:val="003D2A99"/>
    <w:rsid w:val="003D34DA"/>
    <w:rsid w:val="003D472E"/>
    <w:rsid w:val="003D5D1F"/>
    <w:rsid w:val="003D6920"/>
    <w:rsid w:val="003D7E94"/>
    <w:rsid w:val="003E0249"/>
    <w:rsid w:val="003E0487"/>
    <w:rsid w:val="003E08A4"/>
    <w:rsid w:val="003E1EF8"/>
    <w:rsid w:val="003E2DFB"/>
    <w:rsid w:val="003E4466"/>
    <w:rsid w:val="003E4C91"/>
    <w:rsid w:val="003E52D8"/>
    <w:rsid w:val="003E55D6"/>
    <w:rsid w:val="003E62F1"/>
    <w:rsid w:val="003E6DEE"/>
    <w:rsid w:val="003E6F84"/>
    <w:rsid w:val="003F313C"/>
    <w:rsid w:val="003F33B1"/>
    <w:rsid w:val="003F33B9"/>
    <w:rsid w:val="003F37FC"/>
    <w:rsid w:val="003F3E76"/>
    <w:rsid w:val="003F4318"/>
    <w:rsid w:val="003F4B2C"/>
    <w:rsid w:val="003F551C"/>
    <w:rsid w:val="003F626D"/>
    <w:rsid w:val="003F69BC"/>
    <w:rsid w:val="003F6B37"/>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9BA"/>
    <w:rsid w:val="00407C13"/>
    <w:rsid w:val="004103F6"/>
    <w:rsid w:val="00410638"/>
    <w:rsid w:val="00410D65"/>
    <w:rsid w:val="00412511"/>
    <w:rsid w:val="004125C2"/>
    <w:rsid w:val="00412DFA"/>
    <w:rsid w:val="00413465"/>
    <w:rsid w:val="004135F4"/>
    <w:rsid w:val="00413DBE"/>
    <w:rsid w:val="004149AC"/>
    <w:rsid w:val="0041501E"/>
    <w:rsid w:val="00415452"/>
    <w:rsid w:val="004159C3"/>
    <w:rsid w:val="00415A57"/>
    <w:rsid w:val="0041664E"/>
    <w:rsid w:val="00416DAC"/>
    <w:rsid w:val="00417849"/>
    <w:rsid w:val="00420880"/>
    <w:rsid w:val="00421179"/>
    <w:rsid w:val="00423623"/>
    <w:rsid w:val="0042470E"/>
    <w:rsid w:val="00424877"/>
    <w:rsid w:val="00425352"/>
    <w:rsid w:val="00425EC2"/>
    <w:rsid w:val="00426C99"/>
    <w:rsid w:val="00430C96"/>
    <w:rsid w:val="0043174F"/>
    <w:rsid w:val="00431BFF"/>
    <w:rsid w:val="00432199"/>
    <w:rsid w:val="0043271A"/>
    <w:rsid w:val="00432A58"/>
    <w:rsid w:val="004331C3"/>
    <w:rsid w:val="00433BC4"/>
    <w:rsid w:val="00433C17"/>
    <w:rsid w:val="00434617"/>
    <w:rsid w:val="00434DE9"/>
    <w:rsid w:val="00435051"/>
    <w:rsid w:val="00435C69"/>
    <w:rsid w:val="004360F5"/>
    <w:rsid w:val="004360FB"/>
    <w:rsid w:val="00436A40"/>
    <w:rsid w:val="00437CED"/>
    <w:rsid w:val="004407BF"/>
    <w:rsid w:val="00440900"/>
    <w:rsid w:val="0044121D"/>
    <w:rsid w:val="00441BF6"/>
    <w:rsid w:val="00441D2B"/>
    <w:rsid w:val="00441F8B"/>
    <w:rsid w:val="00442085"/>
    <w:rsid w:val="0044279E"/>
    <w:rsid w:val="00442990"/>
    <w:rsid w:val="004429BC"/>
    <w:rsid w:val="004441A0"/>
    <w:rsid w:val="0044546A"/>
    <w:rsid w:val="00445861"/>
    <w:rsid w:val="00445A8E"/>
    <w:rsid w:val="00446D44"/>
    <w:rsid w:val="00447735"/>
    <w:rsid w:val="0045078A"/>
    <w:rsid w:val="0045086D"/>
    <w:rsid w:val="00450DAB"/>
    <w:rsid w:val="00450F53"/>
    <w:rsid w:val="0045125B"/>
    <w:rsid w:val="00451E25"/>
    <w:rsid w:val="00451EF1"/>
    <w:rsid w:val="00452E60"/>
    <w:rsid w:val="0045321B"/>
    <w:rsid w:val="0045412A"/>
    <w:rsid w:val="00455F84"/>
    <w:rsid w:val="00456FE5"/>
    <w:rsid w:val="00457490"/>
    <w:rsid w:val="0045786C"/>
    <w:rsid w:val="00457953"/>
    <w:rsid w:val="004604D8"/>
    <w:rsid w:val="00460656"/>
    <w:rsid w:val="00460FB3"/>
    <w:rsid w:val="00463D3C"/>
    <w:rsid w:val="00464851"/>
    <w:rsid w:val="004649C1"/>
    <w:rsid w:val="00464AF9"/>
    <w:rsid w:val="00466359"/>
    <w:rsid w:val="00466595"/>
    <w:rsid w:val="00466B3E"/>
    <w:rsid w:val="0046746A"/>
    <w:rsid w:val="00467B14"/>
    <w:rsid w:val="004701E1"/>
    <w:rsid w:val="004707FE"/>
    <w:rsid w:val="0047080E"/>
    <w:rsid w:val="00470EDC"/>
    <w:rsid w:val="00472418"/>
    <w:rsid w:val="0047276D"/>
    <w:rsid w:val="00472AF6"/>
    <w:rsid w:val="00473482"/>
    <w:rsid w:val="00474310"/>
    <w:rsid w:val="00474646"/>
    <w:rsid w:val="00474A04"/>
    <w:rsid w:val="00474B3D"/>
    <w:rsid w:val="00476240"/>
    <w:rsid w:val="00476439"/>
    <w:rsid w:val="00476450"/>
    <w:rsid w:val="004769BF"/>
    <w:rsid w:val="004769E1"/>
    <w:rsid w:val="0047735C"/>
    <w:rsid w:val="004776BC"/>
    <w:rsid w:val="00477820"/>
    <w:rsid w:val="00477B96"/>
    <w:rsid w:val="00477DB5"/>
    <w:rsid w:val="00480802"/>
    <w:rsid w:val="00480BAE"/>
    <w:rsid w:val="00480D7F"/>
    <w:rsid w:val="0048139F"/>
    <w:rsid w:val="00481C74"/>
    <w:rsid w:val="00481E40"/>
    <w:rsid w:val="00482405"/>
    <w:rsid w:val="004826A7"/>
    <w:rsid w:val="0048368C"/>
    <w:rsid w:val="0048372F"/>
    <w:rsid w:val="00483A0C"/>
    <w:rsid w:val="004841CC"/>
    <w:rsid w:val="00484ECE"/>
    <w:rsid w:val="00485E82"/>
    <w:rsid w:val="00486132"/>
    <w:rsid w:val="004867CC"/>
    <w:rsid w:val="0048686D"/>
    <w:rsid w:val="00486A4D"/>
    <w:rsid w:val="004915CB"/>
    <w:rsid w:val="004924DC"/>
    <w:rsid w:val="00492879"/>
    <w:rsid w:val="004933FF"/>
    <w:rsid w:val="00493E85"/>
    <w:rsid w:val="00495145"/>
    <w:rsid w:val="0049531F"/>
    <w:rsid w:val="00496EC3"/>
    <w:rsid w:val="004979A5"/>
    <w:rsid w:val="00497FD4"/>
    <w:rsid w:val="004A0144"/>
    <w:rsid w:val="004A036E"/>
    <w:rsid w:val="004A0498"/>
    <w:rsid w:val="004A0597"/>
    <w:rsid w:val="004A06B0"/>
    <w:rsid w:val="004A0D0E"/>
    <w:rsid w:val="004A127D"/>
    <w:rsid w:val="004A14E4"/>
    <w:rsid w:val="004A204E"/>
    <w:rsid w:val="004A26A5"/>
    <w:rsid w:val="004A27F0"/>
    <w:rsid w:val="004A3212"/>
    <w:rsid w:val="004A37CD"/>
    <w:rsid w:val="004A40D9"/>
    <w:rsid w:val="004A49A5"/>
    <w:rsid w:val="004A4BE6"/>
    <w:rsid w:val="004A4F8A"/>
    <w:rsid w:val="004A52AB"/>
    <w:rsid w:val="004A5494"/>
    <w:rsid w:val="004A5A24"/>
    <w:rsid w:val="004A5AC1"/>
    <w:rsid w:val="004A5D4E"/>
    <w:rsid w:val="004A61C5"/>
    <w:rsid w:val="004A62A0"/>
    <w:rsid w:val="004A77DF"/>
    <w:rsid w:val="004B1417"/>
    <w:rsid w:val="004B305C"/>
    <w:rsid w:val="004B31B8"/>
    <w:rsid w:val="004B339A"/>
    <w:rsid w:val="004B4C83"/>
    <w:rsid w:val="004B55B7"/>
    <w:rsid w:val="004B5BFA"/>
    <w:rsid w:val="004B619E"/>
    <w:rsid w:val="004B6468"/>
    <w:rsid w:val="004B67FC"/>
    <w:rsid w:val="004B6EF8"/>
    <w:rsid w:val="004B7125"/>
    <w:rsid w:val="004B756A"/>
    <w:rsid w:val="004B7FB1"/>
    <w:rsid w:val="004C0B3F"/>
    <w:rsid w:val="004C0F87"/>
    <w:rsid w:val="004C258C"/>
    <w:rsid w:val="004C25F9"/>
    <w:rsid w:val="004C2794"/>
    <w:rsid w:val="004C2BB6"/>
    <w:rsid w:val="004C2C2D"/>
    <w:rsid w:val="004C3027"/>
    <w:rsid w:val="004C32A9"/>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0DE"/>
    <w:rsid w:val="004D2D31"/>
    <w:rsid w:val="004D2DBD"/>
    <w:rsid w:val="004D2E03"/>
    <w:rsid w:val="004D3296"/>
    <w:rsid w:val="004D4056"/>
    <w:rsid w:val="004D42F8"/>
    <w:rsid w:val="004D45B7"/>
    <w:rsid w:val="004D4CB0"/>
    <w:rsid w:val="004D57FF"/>
    <w:rsid w:val="004D5ACB"/>
    <w:rsid w:val="004D5B0F"/>
    <w:rsid w:val="004D7626"/>
    <w:rsid w:val="004E10D9"/>
    <w:rsid w:val="004E186A"/>
    <w:rsid w:val="004E1A40"/>
    <w:rsid w:val="004E200A"/>
    <w:rsid w:val="004E23FC"/>
    <w:rsid w:val="004E2409"/>
    <w:rsid w:val="004E261D"/>
    <w:rsid w:val="004E36CA"/>
    <w:rsid w:val="004E3927"/>
    <w:rsid w:val="004E3B7F"/>
    <w:rsid w:val="004E3C34"/>
    <w:rsid w:val="004E57BF"/>
    <w:rsid w:val="004E5F41"/>
    <w:rsid w:val="004E6011"/>
    <w:rsid w:val="004E6DE6"/>
    <w:rsid w:val="004E765E"/>
    <w:rsid w:val="004E7815"/>
    <w:rsid w:val="004F06F5"/>
    <w:rsid w:val="004F12A4"/>
    <w:rsid w:val="004F253F"/>
    <w:rsid w:val="004F33A0"/>
    <w:rsid w:val="004F3873"/>
    <w:rsid w:val="004F3BD2"/>
    <w:rsid w:val="004F3D93"/>
    <w:rsid w:val="004F3ECA"/>
    <w:rsid w:val="004F46ED"/>
    <w:rsid w:val="004F49A3"/>
    <w:rsid w:val="004F4C99"/>
    <w:rsid w:val="004F5226"/>
    <w:rsid w:val="004F5358"/>
    <w:rsid w:val="004F6484"/>
    <w:rsid w:val="004F6539"/>
    <w:rsid w:val="004F665D"/>
    <w:rsid w:val="004F7395"/>
    <w:rsid w:val="00503D54"/>
    <w:rsid w:val="00504720"/>
    <w:rsid w:val="005048E2"/>
    <w:rsid w:val="00504A69"/>
    <w:rsid w:val="00505FAA"/>
    <w:rsid w:val="00505FC8"/>
    <w:rsid w:val="00506603"/>
    <w:rsid w:val="0050689D"/>
    <w:rsid w:val="00506F4A"/>
    <w:rsid w:val="00507032"/>
    <w:rsid w:val="00507216"/>
    <w:rsid w:val="005077F5"/>
    <w:rsid w:val="005108C0"/>
    <w:rsid w:val="0051094F"/>
    <w:rsid w:val="00511217"/>
    <w:rsid w:val="00511873"/>
    <w:rsid w:val="00511BAF"/>
    <w:rsid w:val="00512461"/>
    <w:rsid w:val="00512585"/>
    <w:rsid w:val="00512A2F"/>
    <w:rsid w:val="005136FA"/>
    <w:rsid w:val="00513B7E"/>
    <w:rsid w:val="00513E9D"/>
    <w:rsid w:val="0051475D"/>
    <w:rsid w:val="00514B11"/>
    <w:rsid w:val="00515485"/>
    <w:rsid w:val="00515BE9"/>
    <w:rsid w:val="00515C74"/>
    <w:rsid w:val="0051630F"/>
    <w:rsid w:val="005169D3"/>
    <w:rsid w:val="005170C3"/>
    <w:rsid w:val="00517113"/>
    <w:rsid w:val="0052007E"/>
    <w:rsid w:val="00521CAD"/>
    <w:rsid w:val="0052200D"/>
    <w:rsid w:val="00522425"/>
    <w:rsid w:val="005224F8"/>
    <w:rsid w:val="00522A1B"/>
    <w:rsid w:val="00522E01"/>
    <w:rsid w:val="0052337A"/>
    <w:rsid w:val="00523908"/>
    <w:rsid w:val="00524385"/>
    <w:rsid w:val="005246BE"/>
    <w:rsid w:val="00525137"/>
    <w:rsid w:val="005251DD"/>
    <w:rsid w:val="0052762C"/>
    <w:rsid w:val="0053012B"/>
    <w:rsid w:val="005301A6"/>
    <w:rsid w:val="00530A68"/>
    <w:rsid w:val="00530AD4"/>
    <w:rsid w:val="0053129F"/>
    <w:rsid w:val="005318C3"/>
    <w:rsid w:val="00531C5A"/>
    <w:rsid w:val="00532CE7"/>
    <w:rsid w:val="00532D8B"/>
    <w:rsid w:val="0053324C"/>
    <w:rsid w:val="005337A1"/>
    <w:rsid w:val="00533A8D"/>
    <w:rsid w:val="00533D9E"/>
    <w:rsid w:val="00534A28"/>
    <w:rsid w:val="00535018"/>
    <w:rsid w:val="0053595E"/>
    <w:rsid w:val="00537571"/>
    <w:rsid w:val="00540056"/>
    <w:rsid w:val="005410E2"/>
    <w:rsid w:val="00541508"/>
    <w:rsid w:val="00541AE3"/>
    <w:rsid w:val="005431E6"/>
    <w:rsid w:val="00543498"/>
    <w:rsid w:val="00544011"/>
    <w:rsid w:val="00544BE5"/>
    <w:rsid w:val="005453A3"/>
    <w:rsid w:val="005455F6"/>
    <w:rsid w:val="00545631"/>
    <w:rsid w:val="0054582F"/>
    <w:rsid w:val="00546FC7"/>
    <w:rsid w:val="005500F9"/>
    <w:rsid w:val="00550160"/>
    <w:rsid w:val="005508EB"/>
    <w:rsid w:val="005519E2"/>
    <w:rsid w:val="00552152"/>
    <w:rsid w:val="0055230D"/>
    <w:rsid w:val="005523A8"/>
    <w:rsid w:val="00552796"/>
    <w:rsid w:val="00552F2C"/>
    <w:rsid w:val="00553A25"/>
    <w:rsid w:val="005547EB"/>
    <w:rsid w:val="00554863"/>
    <w:rsid w:val="005555E0"/>
    <w:rsid w:val="00555713"/>
    <w:rsid w:val="0055599F"/>
    <w:rsid w:val="00556621"/>
    <w:rsid w:val="00556D68"/>
    <w:rsid w:val="0055707B"/>
    <w:rsid w:val="005570D6"/>
    <w:rsid w:val="00557B02"/>
    <w:rsid w:val="00557E0E"/>
    <w:rsid w:val="00557E45"/>
    <w:rsid w:val="00560C41"/>
    <w:rsid w:val="00560CAC"/>
    <w:rsid w:val="00561F44"/>
    <w:rsid w:val="00562B4D"/>
    <w:rsid w:val="00562DB1"/>
    <w:rsid w:val="00563EB8"/>
    <w:rsid w:val="005647BF"/>
    <w:rsid w:val="00564AF1"/>
    <w:rsid w:val="00564EEE"/>
    <w:rsid w:val="005655DB"/>
    <w:rsid w:val="00565E88"/>
    <w:rsid w:val="00567339"/>
    <w:rsid w:val="005678EE"/>
    <w:rsid w:val="00567910"/>
    <w:rsid w:val="00570270"/>
    <w:rsid w:val="00570464"/>
    <w:rsid w:val="00570BC3"/>
    <w:rsid w:val="0057182A"/>
    <w:rsid w:val="00571E59"/>
    <w:rsid w:val="00572079"/>
    <w:rsid w:val="00572900"/>
    <w:rsid w:val="005731CA"/>
    <w:rsid w:val="00573343"/>
    <w:rsid w:val="00573602"/>
    <w:rsid w:val="0057364B"/>
    <w:rsid w:val="00574773"/>
    <w:rsid w:val="005761EC"/>
    <w:rsid w:val="00577C07"/>
    <w:rsid w:val="00577DB1"/>
    <w:rsid w:val="0058075B"/>
    <w:rsid w:val="00580AD3"/>
    <w:rsid w:val="00580DE7"/>
    <w:rsid w:val="00580E89"/>
    <w:rsid w:val="005810E1"/>
    <w:rsid w:val="005820CD"/>
    <w:rsid w:val="005823F4"/>
    <w:rsid w:val="00582530"/>
    <w:rsid w:val="00583BDD"/>
    <w:rsid w:val="00583E52"/>
    <w:rsid w:val="00583FFD"/>
    <w:rsid w:val="00584252"/>
    <w:rsid w:val="005848DD"/>
    <w:rsid w:val="0058519A"/>
    <w:rsid w:val="005856BD"/>
    <w:rsid w:val="00585983"/>
    <w:rsid w:val="00586BCA"/>
    <w:rsid w:val="00587038"/>
    <w:rsid w:val="005877E0"/>
    <w:rsid w:val="00590608"/>
    <w:rsid w:val="00590B28"/>
    <w:rsid w:val="005911BE"/>
    <w:rsid w:val="00591273"/>
    <w:rsid w:val="00591E9E"/>
    <w:rsid w:val="005927A4"/>
    <w:rsid w:val="00593152"/>
    <w:rsid w:val="00593319"/>
    <w:rsid w:val="00593389"/>
    <w:rsid w:val="00593407"/>
    <w:rsid w:val="00593FE6"/>
    <w:rsid w:val="005956A3"/>
    <w:rsid w:val="00595958"/>
    <w:rsid w:val="00595CAB"/>
    <w:rsid w:val="0059622E"/>
    <w:rsid w:val="00597671"/>
    <w:rsid w:val="00597BBF"/>
    <w:rsid w:val="00597E79"/>
    <w:rsid w:val="005A0463"/>
    <w:rsid w:val="005A0948"/>
    <w:rsid w:val="005A0A03"/>
    <w:rsid w:val="005A0F21"/>
    <w:rsid w:val="005A10F2"/>
    <w:rsid w:val="005A16C0"/>
    <w:rsid w:val="005A2156"/>
    <w:rsid w:val="005A21E0"/>
    <w:rsid w:val="005A28FF"/>
    <w:rsid w:val="005A2C09"/>
    <w:rsid w:val="005A3778"/>
    <w:rsid w:val="005A37B0"/>
    <w:rsid w:val="005A3DF8"/>
    <w:rsid w:val="005A5549"/>
    <w:rsid w:val="005A566A"/>
    <w:rsid w:val="005A7756"/>
    <w:rsid w:val="005A7ABD"/>
    <w:rsid w:val="005A7CF8"/>
    <w:rsid w:val="005B0EDA"/>
    <w:rsid w:val="005B121D"/>
    <w:rsid w:val="005B26B0"/>
    <w:rsid w:val="005B418A"/>
    <w:rsid w:val="005B41C9"/>
    <w:rsid w:val="005B44E6"/>
    <w:rsid w:val="005B4853"/>
    <w:rsid w:val="005B4FC7"/>
    <w:rsid w:val="005B6CA1"/>
    <w:rsid w:val="005B770C"/>
    <w:rsid w:val="005C016A"/>
    <w:rsid w:val="005C06ED"/>
    <w:rsid w:val="005C0CE1"/>
    <w:rsid w:val="005C11B8"/>
    <w:rsid w:val="005C216C"/>
    <w:rsid w:val="005C2609"/>
    <w:rsid w:val="005C2B30"/>
    <w:rsid w:val="005C32E1"/>
    <w:rsid w:val="005C412B"/>
    <w:rsid w:val="005C431E"/>
    <w:rsid w:val="005C43EC"/>
    <w:rsid w:val="005C45DD"/>
    <w:rsid w:val="005C4704"/>
    <w:rsid w:val="005C4CB1"/>
    <w:rsid w:val="005C6558"/>
    <w:rsid w:val="005D2FD8"/>
    <w:rsid w:val="005D3F06"/>
    <w:rsid w:val="005D4B73"/>
    <w:rsid w:val="005D5645"/>
    <w:rsid w:val="005D5802"/>
    <w:rsid w:val="005D5AA9"/>
    <w:rsid w:val="005D66E6"/>
    <w:rsid w:val="005D703F"/>
    <w:rsid w:val="005D7119"/>
    <w:rsid w:val="005D76C8"/>
    <w:rsid w:val="005D7890"/>
    <w:rsid w:val="005E021D"/>
    <w:rsid w:val="005E19C1"/>
    <w:rsid w:val="005E2194"/>
    <w:rsid w:val="005E24F0"/>
    <w:rsid w:val="005E30A8"/>
    <w:rsid w:val="005E3113"/>
    <w:rsid w:val="005E3515"/>
    <w:rsid w:val="005E36FE"/>
    <w:rsid w:val="005E3F66"/>
    <w:rsid w:val="005E490F"/>
    <w:rsid w:val="005E4BC9"/>
    <w:rsid w:val="005E5314"/>
    <w:rsid w:val="005E6D0F"/>
    <w:rsid w:val="005E7C78"/>
    <w:rsid w:val="005F04A7"/>
    <w:rsid w:val="005F114F"/>
    <w:rsid w:val="005F1255"/>
    <w:rsid w:val="005F18C5"/>
    <w:rsid w:val="005F2463"/>
    <w:rsid w:val="005F2A08"/>
    <w:rsid w:val="005F353D"/>
    <w:rsid w:val="005F36CC"/>
    <w:rsid w:val="005F3EB1"/>
    <w:rsid w:val="005F40CA"/>
    <w:rsid w:val="005F413E"/>
    <w:rsid w:val="005F466B"/>
    <w:rsid w:val="005F46D8"/>
    <w:rsid w:val="005F480F"/>
    <w:rsid w:val="005F5469"/>
    <w:rsid w:val="005F5B50"/>
    <w:rsid w:val="005F63F3"/>
    <w:rsid w:val="005F66F0"/>
    <w:rsid w:val="005F6D7F"/>
    <w:rsid w:val="005F7174"/>
    <w:rsid w:val="00600FFC"/>
    <w:rsid w:val="0060120D"/>
    <w:rsid w:val="006017C1"/>
    <w:rsid w:val="00601ADE"/>
    <w:rsid w:val="00601EEF"/>
    <w:rsid w:val="0060255A"/>
    <w:rsid w:val="0060279D"/>
    <w:rsid w:val="00602998"/>
    <w:rsid w:val="00602EB3"/>
    <w:rsid w:val="0060384A"/>
    <w:rsid w:val="00603DC9"/>
    <w:rsid w:val="00604307"/>
    <w:rsid w:val="006044A3"/>
    <w:rsid w:val="0060487F"/>
    <w:rsid w:val="00604EAD"/>
    <w:rsid w:val="0060513F"/>
    <w:rsid w:val="00605A97"/>
    <w:rsid w:val="006065E2"/>
    <w:rsid w:val="0060694B"/>
    <w:rsid w:val="006104FB"/>
    <w:rsid w:val="0061176D"/>
    <w:rsid w:val="0061200F"/>
    <w:rsid w:val="00612756"/>
    <w:rsid w:val="00612A2F"/>
    <w:rsid w:val="00612AAE"/>
    <w:rsid w:val="00612B07"/>
    <w:rsid w:val="00612FD9"/>
    <w:rsid w:val="0061333D"/>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4B45"/>
    <w:rsid w:val="00625A84"/>
    <w:rsid w:val="0062604A"/>
    <w:rsid w:val="00626079"/>
    <w:rsid w:val="00627A5F"/>
    <w:rsid w:val="006301D2"/>
    <w:rsid w:val="00631698"/>
    <w:rsid w:val="006319BC"/>
    <w:rsid w:val="00631E44"/>
    <w:rsid w:val="006344C3"/>
    <w:rsid w:val="006347C6"/>
    <w:rsid w:val="00634C57"/>
    <w:rsid w:val="00634CE7"/>
    <w:rsid w:val="00634DCA"/>
    <w:rsid w:val="006350D5"/>
    <w:rsid w:val="0063642C"/>
    <w:rsid w:val="006365C6"/>
    <w:rsid w:val="006369CC"/>
    <w:rsid w:val="006376B3"/>
    <w:rsid w:val="00637858"/>
    <w:rsid w:val="006404A7"/>
    <w:rsid w:val="00640A38"/>
    <w:rsid w:val="00640E6B"/>
    <w:rsid w:val="00641787"/>
    <w:rsid w:val="0064179B"/>
    <w:rsid w:val="0064200D"/>
    <w:rsid w:val="00642489"/>
    <w:rsid w:val="006425DA"/>
    <w:rsid w:val="00644055"/>
    <w:rsid w:val="00644137"/>
    <w:rsid w:val="0064478C"/>
    <w:rsid w:val="00645160"/>
    <w:rsid w:val="006451E4"/>
    <w:rsid w:val="0064527F"/>
    <w:rsid w:val="0064574B"/>
    <w:rsid w:val="0064587C"/>
    <w:rsid w:val="00645B33"/>
    <w:rsid w:val="006516CB"/>
    <w:rsid w:val="00652165"/>
    <w:rsid w:val="00652E30"/>
    <w:rsid w:val="00653BD0"/>
    <w:rsid w:val="00654110"/>
    <w:rsid w:val="00655BD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455"/>
    <w:rsid w:val="006657AF"/>
    <w:rsid w:val="00665982"/>
    <w:rsid w:val="00665BA4"/>
    <w:rsid w:val="00666479"/>
    <w:rsid w:val="00666B00"/>
    <w:rsid w:val="00666BF3"/>
    <w:rsid w:val="00667203"/>
    <w:rsid w:val="00667856"/>
    <w:rsid w:val="00667AF2"/>
    <w:rsid w:val="00667F1B"/>
    <w:rsid w:val="00670489"/>
    <w:rsid w:val="006710C9"/>
    <w:rsid w:val="00671D85"/>
    <w:rsid w:val="006723AD"/>
    <w:rsid w:val="00672586"/>
    <w:rsid w:val="006741CD"/>
    <w:rsid w:val="00674B62"/>
    <w:rsid w:val="00674D89"/>
    <w:rsid w:val="0067514E"/>
    <w:rsid w:val="00675E37"/>
    <w:rsid w:val="006762B5"/>
    <w:rsid w:val="0067635D"/>
    <w:rsid w:val="0067657E"/>
    <w:rsid w:val="00676736"/>
    <w:rsid w:val="006769A4"/>
    <w:rsid w:val="006769C6"/>
    <w:rsid w:val="00676D76"/>
    <w:rsid w:val="00676F9F"/>
    <w:rsid w:val="00677519"/>
    <w:rsid w:val="00677591"/>
    <w:rsid w:val="00677594"/>
    <w:rsid w:val="00677FA3"/>
    <w:rsid w:val="0068032F"/>
    <w:rsid w:val="00680443"/>
    <w:rsid w:val="00680D37"/>
    <w:rsid w:val="0068174E"/>
    <w:rsid w:val="00681DCE"/>
    <w:rsid w:val="00682110"/>
    <w:rsid w:val="0068260E"/>
    <w:rsid w:val="00683EB8"/>
    <w:rsid w:val="006846B3"/>
    <w:rsid w:val="00684851"/>
    <w:rsid w:val="00684B9B"/>
    <w:rsid w:val="00684D59"/>
    <w:rsid w:val="00684E25"/>
    <w:rsid w:val="006858A4"/>
    <w:rsid w:val="00685C08"/>
    <w:rsid w:val="00686718"/>
    <w:rsid w:val="00686BFA"/>
    <w:rsid w:val="00686DED"/>
    <w:rsid w:val="00686F03"/>
    <w:rsid w:val="006875A0"/>
    <w:rsid w:val="006878C6"/>
    <w:rsid w:val="00687D27"/>
    <w:rsid w:val="00687D2B"/>
    <w:rsid w:val="006904BB"/>
    <w:rsid w:val="00691943"/>
    <w:rsid w:val="0069225B"/>
    <w:rsid w:val="00693550"/>
    <w:rsid w:val="00694622"/>
    <w:rsid w:val="00695065"/>
    <w:rsid w:val="00695BEF"/>
    <w:rsid w:val="00696225"/>
    <w:rsid w:val="00696251"/>
    <w:rsid w:val="006963A7"/>
    <w:rsid w:val="006966C7"/>
    <w:rsid w:val="006968C1"/>
    <w:rsid w:val="006977F6"/>
    <w:rsid w:val="00697A13"/>
    <w:rsid w:val="00697FFC"/>
    <w:rsid w:val="006A01C3"/>
    <w:rsid w:val="006A08CE"/>
    <w:rsid w:val="006A0DD4"/>
    <w:rsid w:val="006A109C"/>
    <w:rsid w:val="006A209C"/>
    <w:rsid w:val="006A4E91"/>
    <w:rsid w:val="006A5F4B"/>
    <w:rsid w:val="006A6114"/>
    <w:rsid w:val="006A6565"/>
    <w:rsid w:val="006A6A4C"/>
    <w:rsid w:val="006A7665"/>
    <w:rsid w:val="006A7691"/>
    <w:rsid w:val="006A7EE2"/>
    <w:rsid w:val="006B0514"/>
    <w:rsid w:val="006B0F92"/>
    <w:rsid w:val="006B2785"/>
    <w:rsid w:val="006B27C7"/>
    <w:rsid w:val="006B344A"/>
    <w:rsid w:val="006B4CBF"/>
    <w:rsid w:val="006B502E"/>
    <w:rsid w:val="006B58C9"/>
    <w:rsid w:val="006B60ED"/>
    <w:rsid w:val="006B6CC5"/>
    <w:rsid w:val="006B6D3E"/>
    <w:rsid w:val="006B74AC"/>
    <w:rsid w:val="006B78D8"/>
    <w:rsid w:val="006B79EA"/>
    <w:rsid w:val="006B79EE"/>
    <w:rsid w:val="006C0C5D"/>
    <w:rsid w:val="006C113F"/>
    <w:rsid w:val="006C123E"/>
    <w:rsid w:val="006C15A1"/>
    <w:rsid w:val="006C1752"/>
    <w:rsid w:val="006C1BF0"/>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D6CE9"/>
    <w:rsid w:val="006E0095"/>
    <w:rsid w:val="006E1081"/>
    <w:rsid w:val="006E1332"/>
    <w:rsid w:val="006E19CB"/>
    <w:rsid w:val="006E1DF6"/>
    <w:rsid w:val="006E279A"/>
    <w:rsid w:val="006E313B"/>
    <w:rsid w:val="006E34B2"/>
    <w:rsid w:val="006E3A45"/>
    <w:rsid w:val="006E3AB8"/>
    <w:rsid w:val="006E4078"/>
    <w:rsid w:val="006E51C4"/>
    <w:rsid w:val="006E53AD"/>
    <w:rsid w:val="006E58CB"/>
    <w:rsid w:val="006E6A93"/>
    <w:rsid w:val="006E7227"/>
    <w:rsid w:val="006E761A"/>
    <w:rsid w:val="006F0646"/>
    <w:rsid w:val="006F0741"/>
    <w:rsid w:val="006F1C27"/>
    <w:rsid w:val="006F1F09"/>
    <w:rsid w:val="006F2992"/>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373"/>
    <w:rsid w:val="00701C0D"/>
    <w:rsid w:val="00701C1E"/>
    <w:rsid w:val="0070398A"/>
    <w:rsid w:val="00705242"/>
    <w:rsid w:val="007055E0"/>
    <w:rsid w:val="007056ED"/>
    <w:rsid w:val="00705F4E"/>
    <w:rsid w:val="0070658E"/>
    <w:rsid w:val="007065C5"/>
    <w:rsid w:val="007068E1"/>
    <w:rsid w:val="00706AA0"/>
    <w:rsid w:val="00706AD4"/>
    <w:rsid w:val="00707150"/>
    <w:rsid w:val="007118D5"/>
    <w:rsid w:val="007124D7"/>
    <w:rsid w:val="007129DE"/>
    <w:rsid w:val="00712C20"/>
    <w:rsid w:val="00713549"/>
    <w:rsid w:val="007140BE"/>
    <w:rsid w:val="007147AB"/>
    <w:rsid w:val="00714D3E"/>
    <w:rsid w:val="00715502"/>
    <w:rsid w:val="00715D01"/>
    <w:rsid w:val="00715E4D"/>
    <w:rsid w:val="00715F12"/>
    <w:rsid w:val="0071677A"/>
    <w:rsid w:val="007168F1"/>
    <w:rsid w:val="00716F48"/>
    <w:rsid w:val="007170FB"/>
    <w:rsid w:val="00717114"/>
    <w:rsid w:val="0071779F"/>
    <w:rsid w:val="007202BD"/>
    <w:rsid w:val="00720310"/>
    <w:rsid w:val="00720D7A"/>
    <w:rsid w:val="007210D0"/>
    <w:rsid w:val="007211F5"/>
    <w:rsid w:val="007213C3"/>
    <w:rsid w:val="00721601"/>
    <w:rsid w:val="00722777"/>
    <w:rsid w:val="00723435"/>
    <w:rsid w:val="00723436"/>
    <w:rsid w:val="00723EFB"/>
    <w:rsid w:val="007240E2"/>
    <w:rsid w:val="007243A2"/>
    <w:rsid w:val="0072454C"/>
    <w:rsid w:val="00725647"/>
    <w:rsid w:val="0072583E"/>
    <w:rsid w:val="00725BB5"/>
    <w:rsid w:val="00727240"/>
    <w:rsid w:val="00727C02"/>
    <w:rsid w:val="0073008E"/>
    <w:rsid w:val="00730A8B"/>
    <w:rsid w:val="00730AE8"/>
    <w:rsid w:val="00730DA9"/>
    <w:rsid w:val="00730F1B"/>
    <w:rsid w:val="0073186D"/>
    <w:rsid w:val="00731D3A"/>
    <w:rsid w:val="00732258"/>
    <w:rsid w:val="0073261D"/>
    <w:rsid w:val="0073333D"/>
    <w:rsid w:val="007343D9"/>
    <w:rsid w:val="00734F71"/>
    <w:rsid w:val="00735301"/>
    <w:rsid w:val="00735448"/>
    <w:rsid w:val="00736BB4"/>
    <w:rsid w:val="00736F07"/>
    <w:rsid w:val="007377BD"/>
    <w:rsid w:val="00737DEC"/>
    <w:rsid w:val="0074004D"/>
    <w:rsid w:val="00740DDF"/>
    <w:rsid w:val="00741493"/>
    <w:rsid w:val="007434E5"/>
    <w:rsid w:val="0074499B"/>
    <w:rsid w:val="007450BF"/>
    <w:rsid w:val="00746F45"/>
    <w:rsid w:val="007471A1"/>
    <w:rsid w:val="007477BD"/>
    <w:rsid w:val="007477DA"/>
    <w:rsid w:val="00747EE9"/>
    <w:rsid w:val="00750275"/>
    <w:rsid w:val="007520B6"/>
    <w:rsid w:val="00752180"/>
    <w:rsid w:val="00752323"/>
    <w:rsid w:val="00752330"/>
    <w:rsid w:val="007532B7"/>
    <w:rsid w:val="00753630"/>
    <w:rsid w:val="0075399B"/>
    <w:rsid w:val="00753CAB"/>
    <w:rsid w:val="00754A70"/>
    <w:rsid w:val="00754BC9"/>
    <w:rsid w:val="00755202"/>
    <w:rsid w:val="00755D3A"/>
    <w:rsid w:val="007562AA"/>
    <w:rsid w:val="007563D7"/>
    <w:rsid w:val="00757241"/>
    <w:rsid w:val="0075751D"/>
    <w:rsid w:val="0075763E"/>
    <w:rsid w:val="007578D3"/>
    <w:rsid w:val="00757A01"/>
    <w:rsid w:val="007602CF"/>
    <w:rsid w:val="00760391"/>
    <w:rsid w:val="007607E0"/>
    <w:rsid w:val="007609C6"/>
    <w:rsid w:val="00760B2F"/>
    <w:rsid w:val="007615F3"/>
    <w:rsid w:val="0076175D"/>
    <w:rsid w:val="00761CB5"/>
    <w:rsid w:val="007629D5"/>
    <w:rsid w:val="007635F8"/>
    <w:rsid w:val="00763B85"/>
    <w:rsid w:val="00764231"/>
    <w:rsid w:val="00764974"/>
    <w:rsid w:val="00764D17"/>
    <w:rsid w:val="00764D18"/>
    <w:rsid w:val="0076521E"/>
    <w:rsid w:val="00765BCC"/>
    <w:rsid w:val="0076600D"/>
    <w:rsid w:val="007661E9"/>
    <w:rsid w:val="0076636A"/>
    <w:rsid w:val="00766460"/>
    <w:rsid w:val="00767062"/>
    <w:rsid w:val="00767601"/>
    <w:rsid w:val="00767777"/>
    <w:rsid w:val="00770CFC"/>
    <w:rsid w:val="0077130E"/>
    <w:rsid w:val="007715EE"/>
    <w:rsid w:val="00771972"/>
    <w:rsid w:val="00772279"/>
    <w:rsid w:val="00772DAB"/>
    <w:rsid w:val="00772FF9"/>
    <w:rsid w:val="0077348B"/>
    <w:rsid w:val="007743DB"/>
    <w:rsid w:val="0077463E"/>
    <w:rsid w:val="00774D2C"/>
    <w:rsid w:val="0077605B"/>
    <w:rsid w:val="00776169"/>
    <w:rsid w:val="00776527"/>
    <w:rsid w:val="00777040"/>
    <w:rsid w:val="00777CE6"/>
    <w:rsid w:val="00777D57"/>
    <w:rsid w:val="007800BC"/>
    <w:rsid w:val="00780EF1"/>
    <w:rsid w:val="00781A91"/>
    <w:rsid w:val="00781AD3"/>
    <w:rsid w:val="00781F36"/>
    <w:rsid w:val="00783576"/>
    <w:rsid w:val="00785778"/>
    <w:rsid w:val="00785EC7"/>
    <w:rsid w:val="00786C87"/>
    <w:rsid w:val="0078755E"/>
    <w:rsid w:val="007877C9"/>
    <w:rsid w:val="00790764"/>
    <w:rsid w:val="0079085F"/>
    <w:rsid w:val="00790943"/>
    <w:rsid w:val="00790E96"/>
    <w:rsid w:val="00791005"/>
    <w:rsid w:val="007910A8"/>
    <w:rsid w:val="007918DF"/>
    <w:rsid w:val="00793D78"/>
    <w:rsid w:val="0079420B"/>
    <w:rsid w:val="0079453C"/>
    <w:rsid w:val="00794677"/>
    <w:rsid w:val="00794827"/>
    <w:rsid w:val="00795759"/>
    <w:rsid w:val="00795C29"/>
    <w:rsid w:val="007A011D"/>
    <w:rsid w:val="007A170B"/>
    <w:rsid w:val="007A1D4F"/>
    <w:rsid w:val="007A20EB"/>
    <w:rsid w:val="007A26FD"/>
    <w:rsid w:val="007A282C"/>
    <w:rsid w:val="007A293C"/>
    <w:rsid w:val="007A2A3A"/>
    <w:rsid w:val="007A33E2"/>
    <w:rsid w:val="007A3CAF"/>
    <w:rsid w:val="007A4664"/>
    <w:rsid w:val="007A4782"/>
    <w:rsid w:val="007A4E9B"/>
    <w:rsid w:val="007A50A1"/>
    <w:rsid w:val="007A516D"/>
    <w:rsid w:val="007A5E65"/>
    <w:rsid w:val="007A65E1"/>
    <w:rsid w:val="007A6AAA"/>
    <w:rsid w:val="007A7033"/>
    <w:rsid w:val="007A714A"/>
    <w:rsid w:val="007A775D"/>
    <w:rsid w:val="007B04B0"/>
    <w:rsid w:val="007B04C6"/>
    <w:rsid w:val="007B0834"/>
    <w:rsid w:val="007B0E83"/>
    <w:rsid w:val="007B11FA"/>
    <w:rsid w:val="007B1396"/>
    <w:rsid w:val="007B16D6"/>
    <w:rsid w:val="007B2011"/>
    <w:rsid w:val="007B2BC5"/>
    <w:rsid w:val="007B2CFE"/>
    <w:rsid w:val="007B309B"/>
    <w:rsid w:val="007B309E"/>
    <w:rsid w:val="007B3D5E"/>
    <w:rsid w:val="007B3DCB"/>
    <w:rsid w:val="007B5725"/>
    <w:rsid w:val="007B5C1F"/>
    <w:rsid w:val="007B6689"/>
    <w:rsid w:val="007B6747"/>
    <w:rsid w:val="007B6F72"/>
    <w:rsid w:val="007B74AA"/>
    <w:rsid w:val="007C10BD"/>
    <w:rsid w:val="007C162D"/>
    <w:rsid w:val="007C1F0C"/>
    <w:rsid w:val="007C1FFB"/>
    <w:rsid w:val="007C2B93"/>
    <w:rsid w:val="007C2D94"/>
    <w:rsid w:val="007C3418"/>
    <w:rsid w:val="007C4A6B"/>
    <w:rsid w:val="007C4CDC"/>
    <w:rsid w:val="007C57FA"/>
    <w:rsid w:val="007C581C"/>
    <w:rsid w:val="007C5A80"/>
    <w:rsid w:val="007C5F92"/>
    <w:rsid w:val="007C6227"/>
    <w:rsid w:val="007C6BBD"/>
    <w:rsid w:val="007C6D89"/>
    <w:rsid w:val="007C6F5E"/>
    <w:rsid w:val="007C7C2B"/>
    <w:rsid w:val="007C7C8E"/>
    <w:rsid w:val="007D0382"/>
    <w:rsid w:val="007D0F6B"/>
    <w:rsid w:val="007D14FE"/>
    <w:rsid w:val="007D1A1F"/>
    <w:rsid w:val="007D1AA7"/>
    <w:rsid w:val="007D1D38"/>
    <w:rsid w:val="007D213B"/>
    <w:rsid w:val="007D2E18"/>
    <w:rsid w:val="007D40DF"/>
    <w:rsid w:val="007D42E5"/>
    <w:rsid w:val="007D4458"/>
    <w:rsid w:val="007D5F38"/>
    <w:rsid w:val="007D6AF9"/>
    <w:rsid w:val="007E051D"/>
    <w:rsid w:val="007E0535"/>
    <w:rsid w:val="007E07F2"/>
    <w:rsid w:val="007E0D4A"/>
    <w:rsid w:val="007E1041"/>
    <w:rsid w:val="007E1788"/>
    <w:rsid w:val="007E1EE3"/>
    <w:rsid w:val="007E239D"/>
    <w:rsid w:val="007E29B4"/>
    <w:rsid w:val="007E2F12"/>
    <w:rsid w:val="007E3F0E"/>
    <w:rsid w:val="007E435A"/>
    <w:rsid w:val="007E445C"/>
    <w:rsid w:val="007E49F7"/>
    <w:rsid w:val="007E4AC8"/>
    <w:rsid w:val="007E4C70"/>
    <w:rsid w:val="007E5B5F"/>
    <w:rsid w:val="007E5CF0"/>
    <w:rsid w:val="007E5ECB"/>
    <w:rsid w:val="007E69C6"/>
    <w:rsid w:val="007E78B6"/>
    <w:rsid w:val="007E7E61"/>
    <w:rsid w:val="007F0845"/>
    <w:rsid w:val="007F0873"/>
    <w:rsid w:val="007F20F3"/>
    <w:rsid w:val="007F22F1"/>
    <w:rsid w:val="007F2353"/>
    <w:rsid w:val="007F2390"/>
    <w:rsid w:val="007F2CAC"/>
    <w:rsid w:val="007F2F8E"/>
    <w:rsid w:val="007F4740"/>
    <w:rsid w:val="007F595A"/>
    <w:rsid w:val="007F5C38"/>
    <w:rsid w:val="007F708D"/>
    <w:rsid w:val="007F7E3F"/>
    <w:rsid w:val="0080001B"/>
    <w:rsid w:val="008006B3"/>
    <w:rsid w:val="00800B63"/>
    <w:rsid w:val="0080127B"/>
    <w:rsid w:val="0080158A"/>
    <w:rsid w:val="00801CCF"/>
    <w:rsid w:val="00801E13"/>
    <w:rsid w:val="00803008"/>
    <w:rsid w:val="00803069"/>
    <w:rsid w:val="00803230"/>
    <w:rsid w:val="008032D9"/>
    <w:rsid w:val="0080346B"/>
    <w:rsid w:val="00804155"/>
    <w:rsid w:val="00804C9F"/>
    <w:rsid w:val="0080559E"/>
    <w:rsid w:val="00805AF3"/>
    <w:rsid w:val="00806C9C"/>
    <w:rsid w:val="0080734C"/>
    <w:rsid w:val="00807C82"/>
    <w:rsid w:val="00807D2B"/>
    <w:rsid w:val="008117CC"/>
    <w:rsid w:val="00811FF8"/>
    <w:rsid w:val="008130D2"/>
    <w:rsid w:val="0081335A"/>
    <w:rsid w:val="00813D58"/>
    <w:rsid w:val="00813DCA"/>
    <w:rsid w:val="008161A6"/>
    <w:rsid w:val="008165B8"/>
    <w:rsid w:val="00816905"/>
    <w:rsid w:val="00816D98"/>
    <w:rsid w:val="00816E42"/>
    <w:rsid w:val="00817040"/>
    <w:rsid w:val="00817A17"/>
    <w:rsid w:val="00817EC1"/>
    <w:rsid w:val="0082112D"/>
    <w:rsid w:val="00821624"/>
    <w:rsid w:val="00821FF6"/>
    <w:rsid w:val="008223DB"/>
    <w:rsid w:val="00822574"/>
    <w:rsid w:val="00822910"/>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37D4"/>
    <w:rsid w:val="00834304"/>
    <w:rsid w:val="00834FAA"/>
    <w:rsid w:val="00835026"/>
    <w:rsid w:val="008354FB"/>
    <w:rsid w:val="00835FF1"/>
    <w:rsid w:val="00836086"/>
    <w:rsid w:val="00836096"/>
    <w:rsid w:val="0083630F"/>
    <w:rsid w:val="00836A06"/>
    <w:rsid w:val="00836C91"/>
    <w:rsid w:val="008374BC"/>
    <w:rsid w:val="008379D6"/>
    <w:rsid w:val="00837E48"/>
    <w:rsid w:val="00840293"/>
    <w:rsid w:val="008402AD"/>
    <w:rsid w:val="00840714"/>
    <w:rsid w:val="008407EA"/>
    <w:rsid w:val="008408D4"/>
    <w:rsid w:val="00840A91"/>
    <w:rsid w:val="008417B5"/>
    <w:rsid w:val="00841901"/>
    <w:rsid w:val="008458BD"/>
    <w:rsid w:val="00845CE4"/>
    <w:rsid w:val="00846121"/>
    <w:rsid w:val="008461C2"/>
    <w:rsid w:val="008462F1"/>
    <w:rsid w:val="008466C6"/>
    <w:rsid w:val="0084708F"/>
    <w:rsid w:val="008477C8"/>
    <w:rsid w:val="008478A6"/>
    <w:rsid w:val="008502F6"/>
    <w:rsid w:val="0085036C"/>
    <w:rsid w:val="00850E83"/>
    <w:rsid w:val="0085114D"/>
    <w:rsid w:val="008514DE"/>
    <w:rsid w:val="00851F47"/>
    <w:rsid w:val="008520A8"/>
    <w:rsid w:val="0085220A"/>
    <w:rsid w:val="00852217"/>
    <w:rsid w:val="00852421"/>
    <w:rsid w:val="008525EE"/>
    <w:rsid w:val="00853282"/>
    <w:rsid w:val="0085334C"/>
    <w:rsid w:val="00854291"/>
    <w:rsid w:val="00855408"/>
    <w:rsid w:val="00855D03"/>
    <w:rsid w:val="00856D65"/>
    <w:rsid w:val="00856FA4"/>
    <w:rsid w:val="00860D79"/>
    <w:rsid w:val="008616E4"/>
    <w:rsid w:val="00861816"/>
    <w:rsid w:val="00861B41"/>
    <w:rsid w:val="00861B9F"/>
    <w:rsid w:val="00861BE3"/>
    <w:rsid w:val="008625D3"/>
    <w:rsid w:val="00862C0A"/>
    <w:rsid w:val="00863434"/>
    <w:rsid w:val="0086344F"/>
    <w:rsid w:val="008641AC"/>
    <w:rsid w:val="00864FA4"/>
    <w:rsid w:val="00865E4C"/>
    <w:rsid w:val="00866074"/>
    <w:rsid w:val="00867546"/>
    <w:rsid w:val="0086796D"/>
    <w:rsid w:val="00867DAB"/>
    <w:rsid w:val="0087000B"/>
    <w:rsid w:val="008701E4"/>
    <w:rsid w:val="008704E9"/>
    <w:rsid w:val="008708AD"/>
    <w:rsid w:val="00870ECD"/>
    <w:rsid w:val="0087187B"/>
    <w:rsid w:val="00872F5D"/>
    <w:rsid w:val="0087347C"/>
    <w:rsid w:val="008734E7"/>
    <w:rsid w:val="0087368D"/>
    <w:rsid w:val="008740CC"/>
    <w:rsid w:val="0087442A"/>
    <w:rsid w:val="00874FE8"/>
    <w:rsid w:val="00875A32"/>
    <w:rsid w:val="00876086"/>
    <w:rsid w:val="00876651"/>
    <w:rsid w:val="00876E83"/>
    <w:rsid w:val="008772BC"/>
    <w:rsid w:val="00880299"/>
    <w:rsid w:val="00880A0E"/>
    <w:rsid w:val="008817FE"/>
    <w:rsid w:val="00881CD7"/>
    <w:rsid w:val="0088220D"/>
    <w:rsid w:val="00882911"/>
    <w:rsid w:val="00882F6E"/>
    <w:rsid w:val="00883202"/>
    <w:rsid w:val="00884E02"/>
    <w:rsid w:val="0088502B"/>
    <w:rsid w:val="00885BC2"/>
    <w:rsid w:val="00885D40"/>
    <w:rsid w:val="008873D4"/>
    <w:rsid w:val="00890CB1"/>
    <w:rsid w:val="00891EDF"/>
    <w:rsid w:val="00892872"/>
    <w:rsid w:val="0089296D"/>
    <w:rsid w:val="00893E85"/>
    <w:rsid w:val="00893EBE"/>
    <w:rsid w:val="00894031"/>
    <w:rsid w:val="00894C5D"/>
    <w:rsid w:val="008952FE"/>
    <w:rsid w:val="00895508"/>
    <w:rsid w:val="008967E9"/>
    <w:rsid w:val="00896A5C"/>
    <w:rsid w:val="008972D2"/>
    <w:rsid w:val="0089754C"/>
    <w:rsid w:val="008A0659"/>
    <w:rsid w:val="008A0ADD"/>
    <w:rsid w:val="008A0D27"/>
    <w:rsid w:val="008A0E38"/>
    <w:rsid w:val="008A1A3B"/>
    <w:rsid w:val="008A1C59"/>
    <w:rsid w:val="008A1F51"/>
    <w:rsid w:val="008A37E2"/>
    <w:rsid w:val="008A388E"/>
    <w:rsid w:val="008A394E"/>
    <w:rsid w:val="008A3CBA"/>
    <w:rsid w:val="008A4B59"/>
    <w:rsid w:val="008A569C"/>
    <w:rsid w:val="008A5BFA"/>
    <w:rsid w:val="008A63E1"/>
    <w:rsid w:val="008A66B7"/>
    <w:rsid w:val="008A68BB"/>
    <w:rsid w:val="008A6AA5"/>
    <w:rsid w:val="008A7127"/>
    <w:rsid w:val="008B0CBA"/>
    <w:rsid w:val="008B0FD5"/>
    <w:rsid w:val="008B2639"/>
    <w:rsid w:val="008B3537"/>
    <w:rsid w:val="008B3690"/>
    <w:rsid w:val="008B391B"/>
    <w:rsid w:val="008B3A80"/>
    <w:rsid w:val="008B3AEC"/>
    <w:rsid w:val="008B3C07"/>
    <w:rsid w:val="008B3F7B"/>
    <w:rsid w:val="008B43CA"/>
    <w:rsid w:val="008B5324"/>
    <w:rsid w:val="008B5C99"/>
    <w:rsid w:val="008B6106"/>
    <w:rsid w:val="008B7C02"/>
    <w:rsid w:val="008B7D2B"/>
    <w:rsid w:val="008B7EF9"/>
    <w:rsid w:val="008C0049"/>
    <w:rsid w:val="008C0314"/>
    <w:rsid w:val="008C0A2C"/>
    <w:rsid w:val="008C0E88"/>
    <w:rsid w:val="008C1537"/>
    <w:rsid w:val="008C1717"/>
    <w:rsid w:val="008C17B6"/>
    <w:rsid w:val="008C17F0"/>
    <w:rsid w:val="008C1D39"/>
    <w:rsid w:val="008C209F"/>
    <w:rsid w:val="008C3B05"/>
    <w:rsid w:val="008C4B50"/>
    <w:rsid w:val="008C5A37"/>
    <w:rsid w:val="008C7569"/>
    <w:rsid w:val="008C786A"/>
    <w:rsid w:val="008C79C3"/>
    <w:rsid w:val="008D006F"/>
    <w:rsid w:val="008D033D"/>
    <w:rsid w:val="008D04A7"/>
    <w:rsid w:val="008D0DBD"/>
    <w:rsid w:val="008D117E"/>
    <w:rsid w:val="008D127E"/>
    <w:rsid w:val="008D1CA8"/>
    <w:rsid w:val="008D1E0A"/>
    <w:rsid w:val="008D1E6A"/>
    <w:rsid w:val="008D2407"/>
    <w:rsid w:val="008D29A4"/>
    <w:rsid w:val="008D2A16"/>
    <w:rsid w:val="008D2AEC"/>
    <w:rsid w:val="008D3295"/>
    <w:rsid w:val="008D33F5"/>
    <w:rsid w:val="008D35E4"/>
    <w:rsid w:val="008D3ACD"/>
    <w:rsid w:val="008D5CFF"/>
    <w:rsid w:val="008D62D6"/>
    <w:rsid w:val="008D6B82"/>
    <w:rsid w:val="008D6C3A"/>
    <w:rsid w:val="008D70E2"/>
    <w:rsid w:val="008D7710"/>
    <w:rsid w:val="008D77D6"/>
    <w:rsid w:val="008E0001"/>
    <w:rsid w:val="008E039E"/>
    <w:rsid w:val="008E0AE5"/>
    <w:rsid w:val="008E0D78"/>
    <w:rsid w:val="008E1491"/>
    <w:rsid w:val="008E19AF"/>
    <w:rsid w:val="008E1FD8"/>
    <w:rsid w:val="008E292B"/>
    <w:rsid w:val="008E2C57"/>
    <w:rsid w:val="008E3174"/>
    <w:rsid w:val="008E31FF"/>
    <w:rsid w:val="008E3287"/>
    <w:rsid w:val="008E38E4"/>
    <w:rsid w:val="008E3DFA"/>
    <w:rsid w:val="008E51EB"/>
    <w:rsid w:val="008E5746"/>
    <w:rsid w:val="008E5F94"/>
    <w:rsid w:val="008E6DCB"/>
    <w:rsid w:val="008E6F06"/>
    <w:rsid w:val="008E7000"/>
    <w:rsid w:val="008E723E"/>
    <w:rsid w:val="008E7B8E"/>
    <w:rsid w:val="008E7FC9"/>
    <w:rsid w:val="008F0107"/>
    <w:rsid w:val="008F029B"/>
    <w:rsid w:val="008F0589"/>
    <w:rsid w:val="008F1DA0"/>
    <w:rsid w:val="008F2A5D"/>
    <w:rsid w:val="008F2BC7"/>
    <w:rsid w:val="008F3636"/>
    <w:rsid w:val="008F3FC9"/>
    <w:rsid w:val="008F509F"/>
    <w:rsid w:val="008F5383"/>
    <w:rsid w:val="008F585B"/>
    <w:rsid w:val="008F69C3"/>
    <w:rsid w:val="008F7FB0"/>
    <w:rsid w:val="009003A8"/>
    <w:rsid w:val="009005E4"/>
    <w:rsid w:val="00900977"/>
    <w:rsid w:val="009021DA"/>
    <w:rsid w:val="00902442"/>
    <w:rsid w:val="00902500"/>
    <w:rsid w:val="0090250E"/>
    <w:rsid w:val="00902EFF"/>
    <w:rsid w:val="00903A0D"/>
    <w:rsid w:val="00903A8E"/>
    <w:rsid w:val="0090432C"/>
    <w:rsid w:val="00904AFB"/>
    <w:rsid w:val="00904F96"/>
    <w:rsid w:val="00904FA3"/>
    <w:rsid w:val="009052A3"/>
    <w:rsid w:val="00905314"/>
    <w:rsid w:val="009056D7"/>
    <w:rsid w:val="00905B8D"/>
    <w:rsid w:val="00906401"/>
    <w:rsid w:val="009065CB"/>
    <w:rsid w:val="009067EA"/>
    <w:rsid w:val="00906B79"/>
    <w:rsid w:val="00906E5F"/>
    <w:rsid w:val="0090786F"/>
    <w:rsid w:val="00907F11"/>
    <w:rsid w:val="0091001E"/>
    <w:rsid w:val="00910C18"/>
    <w:rsid w:val="009110F7"/>
    <w:rsid w:val="009112E3"/>
    <w:rsid w:val="0091155E"/>
    <w:rsid w:val="00911619"/>
    <w:rsid w:val="00911A66"/>
    <w:rsid w:val="00912437"/>
    <w:rsid w:val="00912A92"/>
    <w:rsid w:val="00912FCB"/>
    <w:rsid w:val="00913237"/>
    <w:rsid w:val="0091476D"/>
    <w:rsid w:val="00915D07"/>
    <w:rsid w:val="009162AE"/>
    <w:rsid w:val="00917251"/>
    <w:rsid w:val="0091728D"/>
    <w:rsid w:val="0092036B"/>
    <w:rsid w:val="009203CC"/>
    <w:rsid w:val="00920B7E"/>
    <w:rsid w:val="00920D6A"/>
    <w:rsid w:val="00920EC4"/>
    <w:rsid w:val="0092180B"/>
    <w:rsid w:val="00921F14"/>
    <w:rsid w:val="0092292F"/>
    <w:rsid w:val="00922D28"/>
    <w:rsid w:val="0092303E"/>
    <w:rsid w:val="009234E1"/>
    <w:rsid w:val="00923CB0"/>
    <w:rsid w:val="00923D8C"/>
    <w:rsid w:val="00924871"/>
    <w:rsid w:val="00924AC8"/>
    <w:rsid w:val="00925429"/>
    <w:rsid w:val="00925615"/>
    <w:rsid w:val="0092597A"/>
    <w:rsid w:val="00926520"/>
    <w:rsid w:val="00926CF0"/>
    <w:rsid w:val="00926FBD"/>
    <w:rsid w:val="009273A9"/>
    <w:rsid w:val="00927FD6"/>
    <w:rsid w:val="00930251"/>
    <w:rsid w:val="0093033E"/>
    <w:rsid w:val="009305FC"/>
    <w:rsid w:val="00930FB1"/>
    <w:rsid w:val="0093139F"/>
    <w:rsid w:val="00931903"/>
    <w:rsid w:val="00931D3C"/>
    <w:rsid w:val="00932097"/>
    <w:rsid w:val="00932443"/>
    <w:rsid w:val="00932782"/>
    <w:rsid w:val="009328EE"/>
    <w:rsid w:val="00932B32"/>
    <w:rsid w:val="00932DB3"/>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590F"/>
    <w:rsid w:val="00947B6E"/>
    <w:rsid w:val="00950921"/>
    <w:rsid w:val="00951A1F"/>
    <w:rsid w:val="00951D68"/>
    <w:rsid w:val="00951E5B"/>
    <w:rsid w:val="00952050"/>
    <w:rsid w:val="00952315"/>
    <w:rsid w:val="009523D9"/>
    <w:rsid w:val="00952B7B"/>
    <w:rsid w:val="0095357B"/>
    <w:rsid w:val="009538B3"/>
    <w:rsid w:val="00954F39"/>
    <w:rsid w:val="009555FD"/>
    <w:rsid w:val="0095639D"/>
    <w:rsid w:val="0095664B"/>
    <w:rsid w:val="009568DC"/>
    <w:rsid w:val="00956912"/>
    <w:rsid w:val="00957140"/>
    <w:rsid w:val="00957445"/>
    <w:rsid w:val="0095759C"/>
    <w:rsid w:val="009579E0"/>
    <w:rsid w:val="009611FD"/>
    <w:rsid w:val="009618EE"/>
    <w:rsid w:val="00961DDD"/>
    <w:rsid w:val="009624D2"/>
    <w:rsid w:val="009628D9"/>
    <w:rsid w:val="00962D60"/>
    <w:rsid w:val="009636BE"/>
    <w:rsid w:val="009637AE"/>
    <w:rsid w:val="00963A06"/>
    <w:rsid w:val="00963D65"/>
    <w:rsid w:val="00964068"/>
    <w:rsid w:val="009640F6"/>
    <w:rsid w:val="0096469D"/>
    <w:rsid w:val="00964776"/>
    <w:rsid w:val="00964A4E"/>
    <w:rsid w:val="00964B35"/>
    <w:rsid w:val="009651C7"/>
    <w:rsid w:val="0096547B"/>
    <w:rsid w:val="00965797"/>
    <w:rsid w:val="00965A10"/>
    <w:rsid w:val="00965AD0"/>
    <w:rsid w:val="00966781"/>
    <w:rsid w:val="009670A3"/>
    <w:rsid w:val="009674BE"/>
    <w:rsid w:val="00967DBA"/>
    <w:rsid w:val="00970FB5"/>
    <w:rsid w:val="00971710"/>
    <w:rsid w:val="00971B87"/>
    <w:rsid w:val="00971C77"/>
    <w:rsid w:val="0097203A"/>
    <w:rsid w:val="00972835"/>
    <w:rsid w:val="00972FCD"/>
    <w:rsid w:val="00973324"/>
    <w:rsid w:val="009736DF"/>
    <w:rsid w:val="0097386E"/>
    <w:rsid w:val="009741AE"/>
    <w:rsid w:val="009741FC"/>
    <w:rsid w:val="00974782"/>
    <w:rsid w:val="00974923"/>
    <w:rsid w:val="0097527D"/>
    <w:rsid w:val="00975909"/>
    <w:rsid w:val="00975BAF"/>
    <w:rsid w:val="00977C3D"/>
    <w:rsid w:val="009805C9"/>
    <w:rsid w:val="00980D3D"/>
    <w:rsid w:val="0098103E"/>
    <w:rsid w:val="0098157D"/>
    <w:rsid w:val="00983101"/>
    <w:rsid w:val="00983E41"/>
    <w:rsid w:val="009845E1"/>
    <w:rsid w:val="009848AF"/>
    <w:rsid w:val="00984D1B"/>
    <w:rsid w:val="009854B3"/>
    <w:rsid w:val="00986246"/>
    <w:rsid w:val="00986841"/>
    <w:rsid w:val="00987A30"/>
    <w:rsid w:val="00990257"/>
    <w:rsid w:val="00990312"/>
    <w:rsid w:val="0099045F"/>
    <w:rsid w:val="0099182E"/>
    <w:rsid w:val="00991A2D"/>
    <w:rsid w:val="00991D45"/>
    <w:rsid w:val="00992AC0"/>
    <w:rsid w:val="00992BB3"/>
    <w:rsid w:val="00992CF3"/>
    <w:rsid w:val="00993194"/>
    <w:rsid w:val="0099321E"/>
    <w:rsid w:val="009937B7"/>
    <w:rsid w:val="00994171"/>
    <w:rsid w:val="00994868"/>
    <w:rsid w:val="00994976"/>
    <w:rsid w:val="00994D28"/>
    <w:rsid w:val="00994F2C"/>
    <w:rsid w:val="00995720"/>
    <w:rsid w:val="009957CC"/>
    <w:rsid w:val="0099596C"/>
    <w:rsid w:val="00995D25"/>
    <w:rsid w:val="009968D6"/>
    <w:rsid w:val="00997953"/>
    <w:rsid w:val="00997D55"/>
    <w:rsid w:val="009A096C"/>
    <w:rsid w:val="009A0BFF"/>
    <w:rsid w:val="009A10A0"/>
    <w:rsid w:val="009A1CAB"/>
    <w:rsid w:val="009A2359"/>
    <w:rsid w:val="009A24F1"/>
    <w:rsid w:val="009A27E0"/>
    <w:rsid w:val="009A2A2E"/>
    <w:rsid w:val="009A4D57"/>
    <w:rsid w:val="009A51A5"/>
    <w:rsid w:val="009A5309"/>
    <w:rsid w:val="009A60C7"/>
    <w:rsid w:val="009A60D1"/>
    <w:rsid w:val="009A6225"/>
    <w:rsid w:val="009A64F5"/>
    <w:rsid w:val="009B00D2"/>
    <w:rsid w:val="009B039B"/>
    <w:rsid w:val="009B05B3"/>
    <w:rsid w:val="009B0A5E"/>
    <w:rsid w:val="009B0CAF"/>
    <w:rsid w:val="009B0ED1"/>
    <w:rsid w:val="009B1324"/>
    <w:rsid w:val="009B1601"/>
    <w:rsid w:val="009B2558"/>
    <w:rsid w:val="009B284F"/>
    <w:rsid w:val="009B3764"/>
    <w:rsid w:val="009B3840"/>
    <w:rsid w:val="009B52AC"/>
    <w:rsid w:val="009B553D"/>
    <w:rsid w:val="009B59EA"/>
    <w:rsid w:val="009B66CE"/>
    <w:rsid w:val="009B6FD3"/>
    <w:rsid w:val="009B72BE"/>
    <w:rsid w:val="009B78A4"/>
    <w:rsid w:val="009B7A4F"/>
    <w:rsid w:val="009B7CFC"/>
    <w:rsid w:val="009B7DB2"/>
    <w:rsid w:val="009C03DB"/>
    <w:rsid w:val="009C15AF"/>
    <w:rsid w:val="009C1750"/>
    <w:rsid w:val="009C2E29"/>
    <w:rsid w:val="009C3E8F"/>
    <w:rsid w:val="009C554B"/>
    <w:rsid w:val="009C5E83"/>
    <w:rsid w:val="009C667A"/>
    <w:rsid w:val="009C7126"/>
    <w:rsid w:val="009C719E"/>
    <w:rsid w:val="009C7799"/>
    <w:rsid w:val="009D07A9"/>
    <w:rsid w:val="009D0AE2"/>
    <w:rsid w:val="009D0D9F"/>
    <w:rsid w:val="009D0EBB"/>
    <w:rsid w:val="009D2C46"/>
    <w:rsid w:val="009D3081"/>
    <w:rsid w:val="009D3ACD"/>
    <w:rsid w:val="009D3FA4"/>
    <w:rsid w:val="009D4254"/>
    <w:rsid w:val="009D4F21"/>
    <w:rsid w:val="009D587D"/>
    <w:rsid w:val="009D6D47"/>
    <w:rsid w:val="009D7731"/>
    <w:rsid w:val="009D7BFB"/>
    <w:rsid w:val="009E1120"/>
    <w:rsid w:val="009E1393"/>
    <w:rsid w:val="009E1922"/>
    <w:rsid w:val="009E1A3D"/>
    <w:rsid w:val="009E35E6"/>
    <w:rsid w:val="009E3A31"/>
    <w:rsid w:val="009E4080"/>
    <w:rsid w:val="009E4715"/>
    <w:rsid w:val="009E484D"/>
    <w:rsid w:val="009E4A58"/>
    <w:rsid w:val="009E4F3B"/>
    <w:rsid w:val="009E5273"/>
    <w:rsid w:val="009E57A8"/>
    <w:rsid w:val="009E5B85"/>
    <w:rsid w:val="009E5DDB"/>
    <w:rsid w:val="009E7BC6"/>
    <w:rsid w:val="009F150E"/>
    <w:rsid w:val="009F1CA6"/>
    <w:rsid w:val="009F1F7E"/>
    <w:rsid w:val="009F2921"/>
    <w:rsid w:val="009F2A54"/>
    <w:rsid w:val="009F42CF"/>
    <w:rsid w:val="009F4982"/>
    <w:rsid w:val="009F4CA7"/>
    <w:rsid w:val="009F4F6A"/>
    <w:rsid w:val="009F4F95"/>
    <w:rsid w:val="009F55BA"/>
    <w:rsid w:val="009F7D36"/>
    <w:rsid w:val="009F7D61"/>
    <w:rsid w:val="00A00E71"/>
    <w:rsid w:val="00A0187B"/>
    <w:rsid w:val="00A01A7C"/>
    <w:rsid w:val="00A02E8B"/>
    <w:rsid w:val="00A0306F"/>
    <w:rsid w:val="00A03511"/>
    <w:rsid w:val="00A03B10"/>
    <w:rsid w:val="00A03E2E"/>
    <w:rsid w:val="00A04616"/>
    <w:rsid w:val="00A04717"/>
    <w:rsid w:val="00A05D8F"/>
    <w:rsid w:val="00A05EE4"/>
    <w:rsid w:val="00A06545"/>
    <w:rsid w:val="00A06F99"/>
    <w:rsid w:val="00A07CD3"/>
    <w:rsid w:val="00A1040E"/>
    <w:rsid w:val="00A1053B"/>
    <w:rsid w:val="00A10D66"/>
    <w:rsid w:val="00A113A4"/>
    <w:rsid w:val="00A14114"/>
    <w:rsid w:val="00A1580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647"/>
    <w:rsid w:val="00A21B4D"/>
    <w:rsid w:val="00A22073"/>
    <w:rsid w:val="00A2214A"/>
    <w:rsid w:val="00A221E5"/>
    <w:rsid w:val="00A223E0"/>
    <w:rsid w:val="00A22959"/>
    <w:rsid w:val="00A23158"/>
    <w:rsid w:val="00A232D7"/>
    <w:rsid w:val="00A23847"/>
    <w:rsid w:val="00A23E43"/>
    <w:rsid w:val="00A24726"/>
    <w:rsid w:val="00A24DEB"/>
    <w:rsid w:val="00A24ED9"/>
    <w:rsid w:val="00A251DB"/>
    <w:rsid w:val="00A25216"/>
    <w:rsid w:val="00A2597D"/>
    <w:rsid w:val="00A25FAC"/>
    <w:rsid w:val="00A2628E"/>
    <w:rsid w:val="00A266BF"/>
    <w:rsid w:val="00A26777"/>
    <w:rsid w:val="00A2731E"/>
    <w:rsid w:val="00A309AC"/>
    <w:rsid w:val="00A30F65"/>
    <w:rsid w:val="00A3279E"/>
    <w:rsid w:val="00A33DB1"/>
    <w:rsid w:val="00A33EEB"/>
    <w:rsid w:val="00A340F5"/>
    <w:rsid w:val="00A35900"/>
    <w:rsid w:val="00A36581"/>
    <w:rsid w:val="00A36F76"/>
    <w:rsid w:val="00A4027D"/>
    <w:rsid w:val="00A40EAC"/>
    <w:rsid w:val="00A418BC"/>
    <w:rsid w:val="00A419FF"/>
    <w:rsid w:val="00A41C73"/>
    <w:rsid w:val="00A41FCF"/>
    <w:rsid w:val="00A42936"/>
    <w:rsid w:val="00A43B21"/>
    <w:rsid w:val="00A43CF8"/>
    <w:rsid w:val="00A43DF2"/>
    <w:rsid w:val="00A445A8"/>
    <w:rsid w:val="00A44B0D"/>
    <w:rsid w:val="00A44D21"/>
    <w:rsid w:val="00A45087"/>
    <w:rsid w:val="00A452F3"/>
    <w:rsid w:val="00A45489"/>
    <w:rsid w:val="00A45858"/>
    <w:rsid w:val="00A45CED"/>
    <w:rsid w:val="00A465E9"/>
    <w:rsid w:val="00A46650"/>
    <w:rsid w:val="00A46670"/>
    <w:rsid w:val="00A46702"/>
    <w:rsid w:val="00A468E7"/>
    <w:rsid w:val="00A46DE0"/>
    <w:rsid w:val="00A478BA"/>
    <w:rsid w:val="00A50D73"/>
    <w:rsid w:val="00A50F40"/>
    <w:rsid w:val="00A518BB"/>
    <w:rsid w:val="00A51C60"/>
    <w:rsid w:val="00A52A88"/>
    <w:rsid w:val="00A52CAD"/>
    <w:rsid w:val="00A52F34"/>
    <w:rsid w:val="00A53FC7"/>
    <w:rsid w:val="00A55569"/>
    <w:rsid w:val="00A566A0"/>
    <w:rsid w:val="00A601E7"/>
    <w:rsid w:val="00A60AC1"/>
    <w:rsid w:val="00A61210"/>
    <w:rsid w:val="00A61990"/>
    <w:rsid w:val="00A626FF"/>
    <w:rsid w:val="00A62CE1"/>
    <w:rsid w:val="00A6335D"/>
    <w:rsid w:val="00A65469"/>
    <w:rsid w:val="00A65528"/>
    <w:rsid w:val="00A655D3"/>
    <w:rsid w:val="00A662D9"/>
    <w:rsid w:val="00A6630C"/>
    <w:rsid w:val="00A6741E"/>
    <w:rsid w:val="00A67E29"/>
    <w:rsid w:val="00A7016A"/>
    <w:rsid w:val="00A7018D"/>
    <w:rsid w:val="00A7074A"/>
    <w:rsid w:val="00A70794"/>
    <w:rsid w:val="00A7191D"/>
    <w:rsid w:val="00A722F9"/>
    <w:rsid w:val="00A72D42"/>
    <w:rsid w:val="00A73998"/>
    <w:rsid w:val="00A746C9"/>
    <w:rsid w:val="00A74C2A"/>
    <w:rsid w:val="00A74C60"/>
    <w:rsid w:val="00A75E40"/>
    <w:rsid w:val="00A76818"/>
    <w:rsid w:val="00A77A5D"/>
    <w:rsid w:val="00A77D1D"/>
    <w:rsid w:val="00A77E6B"/>
    <w:rsid w:val="00A81652"/>
    <w:rsid w:val="00A82BF0"/>
    <w:rsid w:val="00A82C91"/>
    <w:rsid w:val="00A83150"/>
    <w:rsid w:val="00A8331C"/>
    <w:rsid w:val="00A83398"/>
    <w:rsid w:val="00A83D6E"/>
    <w:rsid w:val="00A83FD5"/>
    <w:rsid w:val="00A84763"/>
    <w:rsid w:val="00A8521A"/>
    <w:rsid w:val="00A857C0"/>
    <w:rsid w:val="00A85ACB"/>
    <w:rsid w:val="00A90335"/>
    <w:rsid w:val="00A9092B"/>
    <w:rsid w:val="00A90F2C"/>
    <w:rsid w:val="00A90FED"/>
    <w:rsid w:val="00A91482"/>
    <w:rsid w:val="00A9189D"/>
    <w:rsid w:val="00A91E71"/>
    <w:rsid w:val="00A91F03"/>
    <w:rsid w:val="00A925B1"/>
    <w:rsid w:val="00A92A3E"/>
    <w:rsid w:val="00A934F9"/>
    <w:rsid w:val="00A934FB"/>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3F1D"/>
    <w:rsid w:val="00AA4282"/>
    <w:rsid w:val="00AA43F2"/>
    <w:rsid w:val="00AA4790"/>
    <w:rsid w:val="00AA52BF"/>
    <w:rsid w:val="00AA559A"/>
    <w:rsid w:val="00AA570E"/>
    <w:rsid w:val="00AA6C31"/>
    <w:rsid w:val="00AA7752"/>
    <w:rsid w:val="00AA7CAD"/>
    <w:rsid w:val="00AA7CE8"/>
    <w:rsid w:val="00AA7FEB"/>
    <w:rsid w:val="00AB1457"/>
    <w:rsid w:val="00AB2AF1"/>
    <w:rsid w:val="00AB32CB"/>
    <w:rsid w:val="00AB3AD7"/>
    <w:rsid w:val="00AB3BA7"/>
    <w:rsid w:val="00AB3EC7"/>
    <w:rsid w:val="00AB5A64"/>
    <w:rsid w:val="00AB5CA1"/>
    <w:rsid w:val="00AB6456"/>
    <w:rsid w:val="00AB75C5"/>
    <w:rsid w:val="00AC044E"/>
    <w:rsid w:val="00AC0580"/>
    <w:rsid w:val="00AC2118"/>
    <w:rsid w:val="00AC2395"/>
    <w:rsid w:val="00AC2960"/>
    <w:rsid w:val="00AC2AC4"/>
    <w:rsid w:val="00AC3B41"/>
    <w:rsid w:val="00AC4284"/>
    <w:rsid w:val="00AC45BD"/>
    <w:rsid w:val="00AC50BB"/>
    <w:rsid w:val="00AC5256"/>
    <w:rsid w:val="00AC5726"/>
    <w:rsid w:val="00AC673A"/>
    <w:rsid w:val="00AC7578"/>
    <w:rsid w:val="00AC78F1"/>
    <w:rsid w:val="00AC7ACA"/>
    <w:rsid w:val="00AD0996"/>
    <w:rsid w:val="00AD0B22"/>
    <w:rsid w:val="00AD0EE7"/>
    <w:rsid w:val="00AD168E"/>
    <w:rsid w:val="00AD306C"/>
    <w:rsid w:val="00AD44CD"/>
    <w:rsid w:val="00AD5AD2"/>
    <w:rsid w:val="00AD6462"/>
    <w:rsid w:val="00AD66C5"/>
    <w:rsid w:val="00AD68C4"/>
    <w:rsid w:val="00AD71F9"/>
    <w:rsid w:val="00AE009C"/>
    <w:rsid w:val="00AE06C5"/>
    <w:rsid w:val="00AE09B3"/>
    <w:rsid w:val="00AE1A83"/>
    <w:rsid w:val="00AE30BE"/>
    <w:rsid w:val="00AE3E6A"/>
    <w:rsid w:val="00AE417E"/>
    <w:rsid w:val="00AE552C"/>
    <w:rsid w:val="00AE56EE"/>
    <w:rsid w:val="00AE6414"/>
    <w:rsid w:val="00AE68C1"/>
    <w:rsid w:val="00AE7269"/>
    <w:rsid w:val="00AE74E0"/>
    <w:rsid w:val="00AE797C"/>
    <w:rsid w:val="00AE7CE7"/>
    <w:rsid w:val="00AE7FAB"/>
    <w:rsid w:val="00AF0DE4"/>
    <w:rsid w:val="00AF12A0"/>
    <w:rsid w:val="00AF1866"/>
    <w:rsid w:val="00AF1E87"/>
    <w:rsid w:val="00AF2BB0"/>
    <w:rsid w:val="00AF436B"/>
    <w:rsid w:val="00AF5131"/>
    <w:rsid w:val="00AF5179"/>
    <w:rsid w:val="00AF5CC2"/>
    <w:rsid w:val="00AF6776"/>
    <w:rsid w:val="00AF6F98"/>
    <w:rsid w:val="00AF7277"/>
    <w:rsid w:val="00B00550"/>
    <w:rsid w:val="00B00875"/>
    <w:rsid w:val="00B00913"/>
    <w:rsid w:val="00B01310"/>
    <w:rsid w:val="00B01593"/>
    <w:rsid w:val="00B01D0F"/>
    <w:rsid w:val="00B01FF9"/>
    <w:rsid w:val="00B023F2"/>
    <w:rsid w:val="00B026FE"/>
    <w:rsid w:val="00B0271F"/>
    <w:rsid w:val="00B03591"/>
    <w:rsid w:val="00B038CA"/>
    <w:rsid w:val="00B041B3"/>
    <w:rsid w:val="00B0467A"/>
    <w:rsid w:val="00B05F00"/>
    <w:rsid w:val="00B06602"/>
    <w:rsid w:val="00B06DB4"/>
    <w:rsid w:val="00B0750D"/>
    <w:rsid w:val="00B07850"/>
    <w:rsid w:val="00B0799C"/>
    <w:rsid w:val="00B102CE"/>
    <w:rsid w:val="00B10A4D"/>
    <w:rsid w:val="00B10C90"/>
    <w:rsid w:val="00B10DFD"/>
    <w:rsid w:val="00B11002"/>
    <w:rsid w:val="00B1114F"/>
    <w:rsid w:val="00B11712"/>
    <w:rsid w:val="00B121B2"/>
    <w:rsid w:val="00B131B1"/>
    <w:rsid w:val="00B133AE"/>
    <w:rsid w:val="00B141B6"/>
    <w:rsid w:val="00B14BC1"/>
    <w:rsid w:val="00B154DE"/>
    <w:rsid w:val="00B162C3"/>
    <w:rsid w:val="00B16DD1"/>
    <w:rsid w:val="00B16EB8"/>
    <w:rsid w:val="00B1700A"/>
    <w:rsid w:val="00B177DF"/>
    <w:rsid w:val="00B17E6E"/>
    <w:rsid w:val="00B17E71"/>
    <w:rsid w:val="00B17FDE"/>
    <w:rsid w:val="00B20632"/>
    <w:rsid w:val="00B2379C"/>
    <w:rsid w:val="00B23D5D"/>
    <w:rsid w:val="00B23E6E"/>
    <w:rsid w:val="00B2450C"/>
    <w:rsid w:val="00B2598C"/>
    <w:rsid w:val="00B26608"/>
    <w:rsid w:val="00B2687D"/>
    <w:rsid w:val="00B271AB"/>
    <w:rsid w:val="00B27BDF"/>
    <w:rsid w:val="00B30ACB"/>
    <w:rsid w:val="00B3108D"/>
    <w:rsid w:val="00B32DDB"/>
    <w:rsid w:val="00B32F57"/>
    <w:rsid w:val="00B3345C"/>
    <w:rsid w:val="00B3385E"/>
    <w:rsid w:val="00B34255"/>
    <w:rsid w:val="00B342DE"/>
    <w:rsid w:val="00B343C4"/>
    <w:rsid w:val="00B34528"/>
    <w:rsid w:val="00B34750"/>
    <w:rsid w:val="00B34CC9"/>
    <w:rsid w:val="00B34CDA"/>
    <w:rsid w:val="00B3563B"/>
    <w:rsid w:val="00B36327"/>
    <w:rsid w:val="00B36BDC"/>
    <w:rsid w:val="00B37387"/>
    <w:rsid w:val="00B37D3A"/>
    <w:rsid w:val="00B37D96"/>
    <w:rsid w:val="00B402FC"/>
    <w:rsid w:val="00B410B8"/>
    <w:rsid w:val="00B422E2"/>
    <w:rsid w:val="00B42517"/>
    <w:rsid w:val="00B42D5F"/>
    <w:rsid w:val="00B43216"/>
    <w:rsid w:val="00B439DA"/>
    <w:rsid w:val="00B4411A"/>
    <w:rsid w:val="00B44A29"/>
    <w:rsid w:val="00B44BD5"/>
    <w:rsid w:val="00B45304"/>
    <w:rsid w:val="00B45DA6"/>
    <w:rsid w:val="00B45FE8"/>
    <w:rsid w:val="00B46604"/>
    <w:rsid w:val="00B47089"/>
    <w:rsid w:val="00B47587"/>
    <w:rsid w:val="00B4776F"/>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57F25"/>
    <w:rsid w:val="00B57FF9"/>
    <w:rsid w:val="00B60AC1"/>
    <w:rsid w:val="00B61FF6"/>
    <w:rsid w:val="00B62316"/>
    <w:rsid w:val="00B62E55"/>
    <w:rsid w:val="00B63A11"/>
    <w:rsid w:val="00B64425"/>
    <w:rsid w:val="00B64C24"/>
    <w:rsid w:val="00B65CEF"/>
    <w:rsid w:val="00B6608F"/>
    <w:rsid w:val="00B67749"/>
    <w:rsid w:val="00B679FB"/>
    <w:rsid w:val="00B70E48"/>
    <w:rsid w:val="00B7188C"/>
    <w:rsid w:val="00B71FBF"/>
    <w:rsid w:val="00B734A0"/>
    <w:rsid w:val="00B73A14"/>
    <w:rsid w:val="00B748BD"/>
    <w:rsid w:val="00B76100"/>
    <w:rsid w:val="00B761FC"/>
    <w:rsid w:val="00B7620F"/>
    <w:rsid w:val="00B7680F"/>
    <w:rsid w:val="00B76B48"/>
    <w:rsid w:val="00B76D1E"/>
    <w:rsid w:val="00B77117"/>
    <w:rsid w:val="00B77543"/>
    <w:rsid w:val="00B77584"/>
    <w:rsid w:val="00B77E34"/>
    <w:rsid w:val="00B80BC9"/>
    <w:rsid w:val="00B80D89"/>
    <w:rsid w:val="00B80EC6"/>
    <w:rsid w:val="00B81288"/>
    <w:rsid w:val="00B816E5"/>
    <w:rsid w:val="00B81D70"/>
    <w:rsid w:val="00B833B9"/>
    <w:rsid w:val="00B838BC"/>
    <w:rsid w:val="00B83AAF"/>
    <w:rsid w:val="00B83E07"/>
    <w:rsid w:val="00B84CF6"/>
    <w:rsid w:val="00B85016"/>
    <w:rsid w:val="00B8561A"/>
    <w:rsid w:val="00B865FC"/>
    <w:rsid w:val="00B86628"/>
    <w:rsid w:val="00B86643"/>
    <w:rsid w:val="00B868F7"/>
    <w:rsid w:val="00B869B1"/>
    <w:rsid w:val="00B86EB1"/>
    <w:rsid w:val="00B871A7"/>
    <w:rsid w:val="00B90131"/>
    <w:rsid w:val="00B92951"/>
    <w:rsid w:val="00B92D1D"/>
    <w:rsid w:val="00B92D7E"/>
    <w:rsid w:val="00B930CE"/>
    <w:rsid w:val="00B935CC"/>
    <w:rsid w:val="00B938C5"/>
    <w:rsid w:val="00B940A8"/>
    <w:rsid w:val="00B9554A"/>
    <w:rsid w:val="00B95940"/>
    <w:rsid w:val="00B95ACA"/>
    <w:rsid w:val="00B95CD4"/>
    <w:rsid w:val="00B9619C"/>
    <w:rsid w:val="00B96AC3"/>
    <w:rsid w:val="00B96D74"/>
    <w:rsid w:val="00B9720E"/>
    <w:rsid w:val="00B97ACC"/>
    <w:rsid w:val="00B97FE2"/>
    <w:rsid w:val="00BA0E0B"/>
    <w:rsid w:val="00BA201A"/>
    <w:rsid w:val="00BA21DF"/>
    <w:rsid w:val="00BA246A"/>
    <w:rsid w:val="00BA361D"/>
    <w:rsid w:val="00BA3787"/>
    <w:rsid w:val="00BA3ECA"/>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57B"/>
    <w:rsid w:val="00BB6EA2"/>
    <w:rsid w:val="00BB76F3"/>
    <w:rsid w:val="00BB7B5B"/>
    <w:rsid w:val="00BB7EB1"/>
    <w:rsid w:val="00BC003F"/>
    <w:rsid w:val="00BC0930"/>
    <w:rsid w:val="00BC327F"/>
    <w:rsid w:val="00BC3512"/>
    <w:rsid w:val="00BC4B35"/>
    <w:rsid w:val="00BC50BE"/>
    <w:rsid w:val="00BC5332"/>
    <w:rsid w:val="00BC5715"/>
    <w:rsid w:val="00BC59FE"/>
    <w:rsid w:val="00BC5C12"/>
    <w:rsid w:val="00BC641B"/>
    <w:rsid w:val="00BC7154"/>
    <w:rsid w:val="00BC731E"/>
    <w:rsid w:val="00BC7614"/>
    <w:rsid w:val="00BD041B"/>
    <w:rsid w:val="00BD111B"/>
    <w:rsid w:val="00BD25BB"/>
    <w:rsid w:val="00BD2AF8"/>
    <w:rsid w:val="00BD366B"/>
    <w:rsid w:val="00BD3C09"/>
    <w:rsid w:val="00BD410B"/>
    <w:rsid w:val="00BD4A73"/>
    <w:rsid w:val="00BD4EDD"/>
    <w:rsid w:val="00BD4EF4"/>
    <w:rsid w:val="00BD6659"/>
    <w:rsid w:val="00BD6C75"/>
    <w:rsid w:val="00BD6D50"/>
    <w:rsid w:val="00BD7105"/>
    <w:rsid w:val="00BD73D2"/>
    <w:rsid w:val="00BD74E3"/>
    <w:rsid w:val="00BD7821"/>
    <w:rsid w:val="00BE0AD1"/>
    <w:rsid w:val="00BE0EF9"/>
    <w:rsid w:val="00BE10A1"/>
    <w:rsid w:val="00BE115B"/>
    <w:rsid w:val="00BE18B9"/>
    <w:rsid w:val="00BE190A"/>
    <w:rsid w:val="00BE2495"/>
    <w:rsid w:val="00BE24DD"/>
    <w:rsid w:val="00BE386D"/>
    <w:rsid w:val="00BE4DA9"/>
    <w:rsid w:val="00BE511E"/>
    <w:rsid w:val="00BE54BF"/>
    <w:rsid w:val="00BE557B"/>
    <w:rsid w:val="00BE5F23"/>
    <w:rsid w:val="00BE67AA"/>
    <w:rsid w:val="00BE6BAC"/>
    <w:rsid w:val="00BE7F5F"/>
    <w:rsid w:val="00BF02C8"/>
    <w:rsid w:val="00BF1578"/>
    <w:rsid w:val="00BF15CA"/>
    <w:rsid w:val="00BF1D12"/>
    <w:rsid w:val="00BF1D3A"/>
    <w:rsid w:val="00BF2B5B"/>
    <w:rsid w:val="00BF2D41"/>
    <w:rsid w:val="00BF3274"/>
    <w:rsid w:val="00BF32DC"/>
    <w:rsid w:val="00BF35C9"/>
    <w:rsid w:val="00BF4308"/>
    <w:rsid w:val="00BF4329"/>
    <w:rsid w:val="00BF4E43"/>
    <w:rsid w:val="00BF5C4C"/>
    <w:rsid w:val="00BF77FC"/>
    <w:rsid w:val="00C006D6"/>
    <w:rsid w:val="00C00BD7"/>
    <w:rsid w:val="00C00D3A"/>
    <w:rsid w:val="00C01410"/>
    <w:rsid w:val="00C024F0"/>
    <w:rsid w:val="00C02704"/>
    <w:rsid w:val="00C02B16"/>
    <w:rsid w:val="00C02D23"/>
    <w:rsid w:val="00C03D4D"/>
    <w:rsid w:val="00C044F4"/>
    <w:rsid w:val="00C04B78"/>
    <w:rsid w:val="00C052AA"/>
    <w:rsid w:val="00C06EE3"/>
    <w:rsid w:val="00C06F2F"/>
    <w:rsid w:val="00C07279"/>
    <w:rsid w:val="00C07749"/>
    <w:rsid w:val="00C07AD5"/>
    <w:rsid w:val="00C07C67"/>
    <w:rsid w:val="00C108C5"/>
    <w:rsid w:val="00C10950"/>
    <w:rsid w:val="00C110EA"/>
    <w:rsid w:val="00C11244"/>
    <w:rsid w:val="00C11D48"/>
    <w:rsid w:val="00C121E8"/>
    <w:rsid w:val="00C12304"/>
    <w:rsid w:val="00C12316"/>
    <w:rsid w:val="00C1246C"/>
    <w:rsid w:val="00C12FCC"/>
    <w:rsid w:val="00C139A8"/>
    <w:rsid w:val="00C1493E"/>
    <w:rsid w:val="00C15DBD"/>
    <w:rsid w:val="00C161C5"/>
    <w:rsid w:val="00C16556"/>
    <w:rsid w:val="00C167E9"/>
    <w:rsid w:val="00C172F7"/>
    <w:rsid w:val="00C2010D"/>
    <w:rsid w:val="00C20A61"/>
    <w:rsid w:val="00C20CB5"/>
    <w:rsid w:val="00C21382"/>
    <w:rsid w:val="00C21430"/>
    <w:rsid w:val="00C216DF"/>
    <w:rsid w:val="00C21E61"/>
    <w:rsid w:val="00C21F94"/>
    <w:rsid w:val="00C221B9"/>
    <w:rsid w:val="00C224BD"/>
    <w:rsid w:val="00C234DB"/>
    <w:rsid w:val="00C23909"/>
    <w:rsid w:val="00C23C5C"/>
    <w:rsid w:val="00C23F90"/>
    <w:rsid w:val="00C2479A"/>
    <w:rsid w:val="00C24903"/>
    <w:rsid w:val="00C2590D"/>
    <w:rsid w:val="00C25D9C"/>
    <w:rsid w:val="00C27913"/>
    <w:rsid w:val="00C27FA7"/>
    <w:rsid w:val="00C300E2"/>
    <w:rsid w:val="00C31F21"/>
    <w:rsid w:val="00C323C4"/>
    <w:rsid w:val="00C32631"/>
    <w:rsid w:val="00C33301"/>
    <w:rsid w:val="00C33311"/>
    <w:rsid w:val="00C33B68"/>
    <w:rsid w:val="00C33F7D"/>
    <w:rsid w:val="00C34AD4"/>
    <w:rsid w:val="00C35570"/>
    <w:rsid w:val="00C35A2A"/>
    <w:rsid w:val="00C36A79"/>
    <w:rsid w:val="00C37491"/>
    <w:rsid w:val="00C401A9"/>
    <w:rsid w:val="00C401D2"/>
    <w:rsid w:val="00C4031A"/>
    <w:rsid w:val="00C405D4"/>
    <w:rsid w:val="00C419D5"/>
    <w:rsid w:val="00C41D54"/>
    <w:rsid w:val="00C42EBB"/>
    <w:rsid w:val="00C43766"/>
    <w:rsid w:val="00C4513B"/>
    <w:rsid w:val="00C459E9"/>
    <w:rsid w:val="00C475E8"/>
    <w:rsid w:val="00C50E79"/>
    <w:rsid w:val="00C5197D"/>
    <w:rsid w:val="00C525FB"/>
    <w:rsid w:val="00C5390B"/>
    <w:rsid w:val="00C54257"/>
    <w:rsid w:val="00C54697"/>
    <w:rsid w:val="00C550CE"/>
    <w:rsid w:val="00C553A5"/>
    <w:rsid w:val="00C55402"/>
    <w:rsid w:val="00C55AC4"/>
    <w:rsid w:val="00C5603B"/>
    <w:rsid w:val="00C601AA"/>
    <w:rsid w:val="00C60AE3"/>
    <w:rsid w:val="00C61F47"/>
    <w:rsid w:val="00C62828"/>
    <w:rsid w:val="00C63B51"/>
    <w:rsid w:val="00C659B4"/>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976DD"/>
    <w:rsid w:val="00CA0346"/>
    <w:rsid w:val="00CA0DA1"/>
    <w:rsid w:val="00CA1454"/>
    <w:rsid w:val="00CA1BD6"/>
    <w:rsid w:val="00CA2201"/>
    <w:rsid w:val="00CA37FF"/>
    <w:rsid w:val="00CA423A"/>
    <w:rsid w:val="00CA47BC"/>
    <w:rsid w:val="00CA4D42"/>
    <w:rsid w:val="00CA5EAD"/>
    <w:rsid w:val="00CA669C"/>
    <w:rsid w:val="00CA6AB4"/>
    <w:rsid w:val="00CA6BE6"/>
    <w:rsid w:val="00CA7255"/>
    <w:rsid w:val="00CA749B"/>
    <w:rsid w:val="00CB111E"/>
    <w:rsid w:val="00CB1857"/>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1B66"/>
    <w:rsid w:val="00CC20FE"/>
    <w:rsid w:val="00CC225C"/>
    <w:rsid w:val="00CC2E7D"/>
    <w:rsid w:val="00CC4408"/>
    <w:rsid w:val="00CC5875"/>
    <w:rsid w:val="00CC5BE8"/>
    <w:rsid w:val="00CC612B"/>
    <w:rsid w:val="00CC655F"/>
    <w:rsid w:val="00CC66F9"/>
    <w:rsid w:val="00CC6BB7"/>
    <w:rsid w:val="00CC6C2A"/>
    <w:rsid w:val="00CC6C3D"/>
    <w:rsid w:val="00CC6FE5"/>
    <w:rsid w:val="00CC7458"/>
    <w:rsid w:val="00CC76BD"/>
    <w:rsid w:val="00CC7A87"/>
    <w:rsid w:val="00CD08BF"/>
    <w:rsid w:val="00CD0D6B"/>
    <w:rsid w:val="00CD1024"/>
    <w:rsid w:val="00CD1060"/>
    <w:rsid w:val="00CD10A5"/>
    <w:rsid w:val="00CD1129"/>
    <w:rsid w:val="00CD1A80"/>
    <w:rsid w:val="00CD1CB5"/>
    <w:rsid w:val="00CD2076"/>
    <w:rsid w:val="00CD24CE"/>
    <w:rsid w:val="00CD29B5"/>
    <w:rsid w:val="00CD2B78"/>
    <w:rsid w:val="00CD3866"/>
    <w:rsid w:val="00CD3FAB"/>
    <w:rsid w:val="00CD52EB"/>
    <w:rsid w:val="00CD5456"/>
    <w:rsid w:val="00CD5C3E"/>
    <w:rsid w:val="00CD5C57"/>
    <w:rsid w:val="00CD6331"/>
    <w:rsid w:val="00CD6C09"/>
    <w:rsid w:val="00CD7E9E"/>
    <w:rsid w:val="00CE14BE"/>
    <w:rsid w:val="00CE17A4"/>
    <w:rsid w:val="00CE1BA9"/>
    <w:rsid w:val="00CE2D8F"/>
    <w:rsid w:val="00CE3532"/>
    <w:rsid w:val="00CE3695"/>
    <w:rsid w:val="00CE3E48"/>
    <w:rsid w:val="00CE46C0"/>
    <w:rsid w:val="00CE47B8"/>
    <w:rsid w:val="00CE54FD"/>
    <w:rsid w:val="00CE5C92"/>
    <w:rsid w:val="00CE62FA"/>
    <w:rsid w:val="00CE670B"/>
    <w:rsid w:val="00CE6833"/>
    <w:rsid w:val="00CE7FE1"/>
    <w:rsid w:val="00CF020B"/>
    <w:rsid w:val="00CF060D"/>
    <w:rsid w:val="00CF112D"/>
    <w:rsid w:val="00CF1183"/>
    <w:rsid w:val="00CF15BF"/>
    <w:rsid w:val="00CF284E"/>
    <w:rsid w:val="00CF2E4D"/>
    <w:rsid w:val="00CF4205"/>
    <w:rsid w:val="00CF4908"/>
    <w:rsid w:val="00CF51EC"/>
    <w:rsid w:val="00CF545D"/>
    <w:rsid w:val="00CF5873"/>
    <w:rsid w:val="00CF60B8"/>
    <w:rsid w:val="00CF6AB7"/>
    <w:rsid w:val="00CF73AE"/>
    <w:rsid w:val="00CF7514"/>
    <w:rsid w:val="00CF7777"/>
    <w:rsid w:val="00CF7897"/>
    <w:rsid w:val="00D00007"/>
    <w:rsid w:val="00D0085A"/>
    <w:rsid w:val="00D0197F"/>
    <w:rsid w:val="00D01B31"/>
    <w:rsid w:val="00D0242D"/>
    <w:rsid w:val="00D02716"/>
    <w:rsid w:val="00D02AA9"/>
    <w:rsid w:val="00D03A72"/>
    <w:rsid w:val="00D040DD"/>
    <w:rsid w:val="00D04134"/>
    <w:rsid w:val="00D04E27"/>
    <w:rsid w:val="00D05C65"/>
    <w:rsid w:val="00D06B56"/>
    <w:rsid w:val="00D06D68"/>
    <w:rsid w:val="00D075BE"/>
    <w:rsid w:val="00D07AFF"/>
    <w:rsid w:val="00D10C15"/>
    <w:rsid w:val="00D11011"/>
    <w:rsid w:val="00D11476"/>
    <w:rsid w:val="00D11E98"/>
    <w:rsid w:val="00D12C25"/>
    <w:rsid w:val="00D133B4"/>
    <w:rsid w:val="00D13986"/>
    <w:rsid w:val="00D13F3E"/>
    <w:rsid w:val="00D14262"/>
    <w:rsid w:val="00D14930"/>
    <w:rsid w:val="00D14C5B"/>
    <w:rsid w:val="00D15FED"/>
    <w:rsid w:val="00D16712"/>
    <w:rsid w:val="00D17137"/>
    <w:rsid w:val="00D17884"/>
    <w:rsid w:val="00D214EF"/>
    <w:rsid w:val="00D215B0"/>
    <w:rsid w:val="00D21D6D"/>
    <w:rsid w:val="00D21D83"/>
    <w:rsid w:val="00D2240D"/>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857"/>
    <w:rsid w:val="00D43ED2"/>
    <w:rsid w:val="00D447AE"/>
    <w:rsid w:val="00D50F46"/>
    <w:rsid w:val="00D51ABF"/>
    <w:rsid w:val="00D533C4"/>
    <w:rsid w:val="00D5384E"/>
    <w:rsid w:val="00D544E7"/>
    <w:rsid w:val="00D5499F"/>
    <w:rsid w:val="00D5560A"/>
    <w:rsid w:val="00D56916"/>
    <w:rsid w:val="00D56FBF"/>
    <w:rsid w:val="00D57677"/>
    <w:rsid w:val="00D576E0"/>
    <w:rsid w:val="00D5781F"/>
    <w:rsid w:val="00D6014A"/>
    <w:rsid w:val="00D60415"/>
    <w:rsid w:val="00D60674"/>
    <w:rsid w:val="00D60BE8"/>
    <w:rsid w:val="00D60E3C"/>
    <w:rsid w:val="00D60FA7"/>
    <w:rsid w:val="00D61FAB"/>
    <w:rsid w:val="00D63BE5"/>
    <w:rsid w:val="00D6475F"/>
    <w:rsid w:val="00D65528"/>
    <w:rsid w:val="00D655D4"/>
    <w:rsid w:val="00D66223"/>
    <w:rsid w:val="00D667B8"/>
    <w:rsid w:val="00D67D55"/>
    <w:rsid w:val="00D70289"/>
    <w:rsid w:val="00D7041F"/>
    <w:rsid w:val="00D70822"/>
    <w:rsid w:val="00D72076"/>
    <w:rsid w:val="00D721B4"/>
    <w:rsid w:val="00D726A9"/>
    <w:rsid w:val="00D72DBA"/>
    <w:rsid w:val="00D73223"/>
    <w:rsid w:val="00D743E0"/>
    <w:rsid w:val="00D7469D"/>
    <w:rsid w:val="00D7490C"/>
    <w:rsid w:val="00D75AC1"/>
    <w:rsid w:val="00D77252"/>
    <w:rsid w:val="00D8084C"/>
    <w:rsid w:val="00D81809"/>
    <w:rsid w:val="00D81E79"/>
    <w:rsid w:val="00D82EF1"/>
    <w:rsid w:val="00D83937"/>
    <w:rsid w:val="00D84CC9"/>
    <w:rsid w:val="00D84F43"/>
    <w:rsid w:val="00D85114"/>
    <w:rsid w:val="00D85821"/>
    <w:rsid w:val="00D8598C"/>
    <w:rsid w:val="00D87C06"/>
    <w:rsid w:val="00D915EA"/>
    <w:rsid w:val="00D919ED"/>
    <w:rsid w:val="00D922A1"/>
    <w:rsid w:val="00D922F4"/>
    <w:rsid w:val="00D928BE"/>
    <w:rsid w:val="00D931D5"/>
    <w:rsid w:val="00D932B8"/>
    <w:rsid w:val="00D95302"/>
    <w:rsid w:val="00D95889"/>
    <w:rsid w:val="00D95B60"/>
    <w:rsid w:val="00D95C5D"/>
    <w:rsid w:val="00D96515"/>
    <w:rsid w:val="00D97D00"/>
    <w:rsid w:val="00DA096C"/>
    <w:rsid w:val="00DA1AB6"/>
    <w:rsid w:val="00DA21B0"/>
    <w:rsid w:val="00DA2E65"/>
    <w:rsid w:val="00DA37DE"/>
    <w:rsid w:val="00DA3ADF"/>
    <w:rsid w:val="00DA4174"/>
    <w:rsid w:val="00DA47DC"/>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67EA"/>
    <w:rsid w:val="00DB7342"/>
    <w:rsid w:val="00DB7489"/>
    <w:rsid w:val="00DB7E0D"/>
    <w:rsid w:val="00DC0CBB"/>
    <w:rsid w:val="00DC17D0"/>
    <w:rsid w:val="00DC1E5D"/>
    <w:rsid w:val="00DC21F3"/>
    <w:rsid w:val="00DC25AB"/>
    <w:rsid w:val="00DC2B41"/>
    <w:rsid w:val="00DC2EA7"/>
    <w:rsid w:val="00DC3128"/>
    <w:rsid w:val="00DC435B"/>
    <w:rsid w:val="00DC4AC4"/>
    <w:rsid w:val="00DC4FD0"/>
    <w:rsid w:val="00DC53D8"/>
    <w:rsid w:val="00DC56FE"/>
    <w:rsid w:val="00DC5B3B"/>
    <w:rsid w:val="00DC6C2D"/>
    <w:rsid w:val="00DC7B1A"/>
    <w:rsid w:val="00DC7F51"/>
    <w:rsid w:val="00DD04B0"/>
    <w:rsid w:val="00DD0C95"/>
    <w:rsid w:val="00DD129F"/>
    <w:rsid w:val="00DD13FC"/>
    <w:rsid w:val="00DD1A3F"/>
    <w:rsid w:val="00DD29B5"/>
    <w:rsid w:val="00DD32DD"/>
    <w:rsid w:val="00DD33E8"/>
    <w:rsid w:val="00DD5287"/>
    <w:rsid w:val="00DD5B36"/>
    <w:rsid w:val="00DD6DAD"/>
    <w:rsid w:val="00DD7849"/>
    <w:rsid w:val="00DE03DE"/>
    <w:rsid w:val="00DE0D8B"/>
    <w:rsid w:val="00DE1237"/>
    <w:rsid w:val="00DE140F"/>
    <w:rsid w:val="00DE17E9"/>
    <w:rsid w:val="00DE1CEC"/>
    <w:rsid w:val="00DE2491"/>
    <w:rsid w:val="00DE277A"/>
    <w:rsid w:val="00DE3E5D"/>
    <w:rsid w:val="00DE450F"/>
    <w:rsid w:val="00DE4865"/>
    <w:rsid w:val="00DE5CA6"/>
    <w:rsid w:val="00DE5E55"/>
    <w:rsid w:val="00DE7156"/>
    <w:rsid w:val="00DE7AC8"/>
    <w:rsid w:val="00DF0714"/>
    <w:rsid w:val="00DF0830"/>
    <w:rsid w:val="00DF199C"/>
    <w:rsid w:val="00DF2AD9"/>
    <w:rsid w:val="00DF2C5D"/>
    <w:rsid w:val="00DF3643"/>
    <w:rsid w:val="00DF42FF"/>
    <w:rsid w:val="00DF4369"/>
    <w:rsid w:val="00DF4423"/>
    <w:rsid w:val="00DF4ADF"/>
    <w:rsid w:val="00DF57D6"/>
    <w:rsid w:val="00DF5D1E"/>
    <w:rsid w:val="00DF63E3"/>
    <w:rsid w:val="00DF77E4"/>
    <w:rsid w:val="00DF7F88"/>
    <w:rsid w:val="00E00B88"/>
    <w:rsid w:val="00E01C0E"/>
    <w:rsid w:val="00E0368F"/>
    <w:rsid w:val="00E03D73"/>
    <w:rsid w:val="00E03E1E"/>
    <w:rsid w:val="00E03F9A"/>
    <w:rsid w:val="00E040DA"/>
    <w:rsid w:val="00E04694"/>
    <w:rsid w:val="00E1168B"/>
    <w:rsid w:val="00E11F8B"/>
    <w:rsid w:val="00E12191"/>
    <w:rsid w:val="00E129E7"/>
    <w:rsid w:val="00E12ABE"/>
    <w:rsid w:val="00E12B1E"/>
    <w:rsid w:val="00E135EB"/>
    <w:rsid w:val="00E13995"/>
    <w:rsid w:val="00E1444C"/>
    <w:rsid w:val="00E14544"/>
    <w:rsid w:val="00E17262"/>
    <w:rsid w:val="00E1742F"/>
    <w:rsid w:val="00E17F36"/>
    <w:rsid w:val="00E20016"/>
    <w:rsid w:val="00E2009B"/>
    <w:rsid w:val="00E20BB9"/>
    <w:rsid w:val="00E20BCC"/>
    <w:rsid w:val="00E20D05"/>
    <w:rsid w:val="00E21E9A"/>
    <w:rsid w:val="00E2251C"/>
    <w:rsid w:val="00E2363D"/>
    <w:rsid w:val="00E23C6A"/>
    <w:rsid w:val="00E2484B"/>
    <w:rsid w:val="00E25391"/>
    <w:rsid w:val="00E253A2"/>
    <w:rsid w:val="00E260F6"/>
    <w:rsid w:val="00E267F2"/>
    <w:rsid w:val="00E27127"/>
    <w:rsid w:val="00E27233"/>
    <w:rsid w:val="00E274BB"/>
    <w:rsid w:val="00E30F15"/>
    <w:rsid w:val="00E31771"/>
    <w:rsid w:val="00E3186D"/>
    <w:rsid w:val="00E31A3E"/>
    <w:rsid w:val="00E3205D"/>
    <w:rsid w:val="00E32080"/>
    <w:rsid w:val="00E32778"/>
    <w:rsid w:val="00E3309D"/>
    <w:rsid w:val="00E34E3F"/>
    <w:rsid w:val="00E350B1"/>
    <w:rsid w:val="00E35A53"/>
    <w:rsid w:val="00E35AA3"/>
    <w:rsid w:val="00E3634A"/>
    <w:rsid w:val="00E3656B"/>
    <w:rsid w:val="00E37069"/>
    <w:rsid w:val="00E3712B"/>
    <w:rsid w:val="00E371BE"/>
    <w:rsid w:val="00E3724A"/>
    <w:rsid w:val="00E378B1"/>
    <w:rsid w:val="00E417BE"/>
    <w:rsid w:val="00E41B25"/>
    <w:rsid w:val="00E41CD5"/>
    <w:rsid w:val="00E42054"/>
    <w:rsid w:val="00E4335A"/>
    <w:rsid w:val="00E4372D"/>
    <w:rsid w:val="00E43A9E"/>
    <w:rsid w:val="00E44243"/>
    <w:rsid w:val="00E453F9"/>
    <w:rsid w:val="00E45D7D"/>
    <w:rsid w:val="00E4623F"/>
    <w:rsid w:val="00E4665D"/>
    <w:rsid w:val="00E469FC"/>
    <w:rsid w:val="00E47854"/>
    <w:rsid w:val="00E478E2"/>
    <w:rsid w:val="00E47EBA"/>
    <w:rsid w:val="00E50156"/>
    <w:rsid w:val="00E504EB"/>
    <w:rsid w:val="00E5076C"/>
    <w:rsid w:val="00E50D2E"/>
    <w:rsid w:val="00E50D7D"/>
    <w:rsid w:val="00E51229"/>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7A3"/>
    <w:rsid w:val="00E61EB5"/>
    <w:rsid w:val="00E6324D"/>
    <w:rsid w:val="00E65084"/>
    <w:rsid w:val="00E6519D"/>
    <w:rsid w:val="00E65683"/>
    <w:rsid w:val="00E66062"/>
    <w:rsid w:val="00E6660E"/>
    <w:rsid w:val="00E66768"/>
    <w:rsid w:val="00E67305"/>
    <w:rsid w:val="00E67696"/>
    <w:rsid w:val="00E709AF"/>
    <w:rsid w:val="00E70C5F"/>
    <w:rsid w:val="00E71009"/>
    <w:rsid w:val="00E713E6"/>
    <w:rsid w:val="00E71A58"/>
    <w:rsid w:val="00E728D7"/>
    <w:rsid w:val="00E72A26"/>
    <w:rsid w:val="00E72A7A"/>
    <w:rsid w:val="00E7335A"/>
    <w:rsid w:val="00E736CE"/>
    <w:rsid w:val="00E73986"/>
    <w:rsid w:val="00E73B5E"/>
    <w:rsid w:val="00E7467D"/>
    <w:rsid w:val="00E747DC"/>
    <w:rsid w:val="00E74A2D"/>
    <w:rsid w:val="00E75597"/>
    <w:rsid w:val="00E75C94"/>
    <w:rsid w:val="00E76A08"/>
    <w:rsid w:val="00E76B9B"/>
    <w:rsid w:val="00E76E61"/>
    <w:rsid w:val="00E76EE4"/>
    <w:rsid w:val="00E77B7A"/>
    <w:rsid w:val="00E77CC0"/>
    <w:rsid w:val="00E80B3D"/>
    <w:rsid w:val="00E80CA3"/>
    <w:rsid w:val="00E81D18"/>
    <w:rsid w:val="00E81D99"/>
    <w:rsid w:val="00E82618"/>
    <w:rsid w:val="00E82A42"/>
    <w:rsid w:val="00E84E09"/>
    <w:rsid w:val="00E852EE"/>
    <w:rsid w:val="00E86E5D"/>
    <w:rsid w:val="00E87CE2"/>
    <w:rsid w:val="00E90CA8"/>
    <w:rsid w:val="00E911C6"/>
    <w:rsid w:val="00E91794"/>
    <w:rsid w:val="00E918E3"/>
    <w:rsid w:val="00E930A1"/>
    <w:rsid w:val="00E93820"/>
    <w:rsid w:val="00E94A86"/>
    <w:rsid w:val="00E94DD2"/>
    <w:rsid w:val="00E951AB"/>
    <w:rsid w:val="00E953F6"/>
    <w:rsid w:val="00E96143"/>
    <w:rsid w:val="00E96833"/>
    <w:rsid w:val="00E96F8D"/>
    <w:rsid w:val="00E97506"/>
    <w:rsid w:val="00E97BB5"/>
    <w:rsid w:val="00E97D5B"/>
    <w:rsid w:val="00E97F14"/>
    <w:rsid w:val="00EA0467"/>
    <w:rsid w:val="00EA0C68"/>
    <w:rsid w:val="00EA0E39"/>
    <w:rsid w:val="00EA1D0E"/>
    <w:rsid w:val="00EA1EC5"/>
    <w:rsid w:val="00EA2072"/>
    <w:rsid w:val="00EA2691"/>
    <w:rsid w:val="00EA2841"/>
    <w:rsid w:val="00EA32BC"/>
    <w:rsid w:val="00EA35A7"/>
    <w:rsid w:val="00EA3B32"/>
    <w:rsid w:val="00EA3CEB"/>
    <w:rsid w:val="00EA3D05"/>
    <w:rsid w:val="00EA4222"/>
    <w:rsid w:val="00EA4402"/>
    <w:rsid w:val="00EA46EA"/>
    <w:rsid w:val="00EA4B8D"/>
    <w:rsid w:val="00EA513E"/>
    <w:rsid w:val="00EA601A"/>
    <w:rsid w:val="00EA70BC"/>
    <w:rsid w:val="00EA7419"/>
    <w:rsid w:val="00EB0AD5"/>
    <w:rsid w:val="00EB0E32"/>
    <w:rsid w:val="00EB1520"/>
    <w:rsid w:val="00EB3882"/>
    <w:rsid w:val="00EB3E60"/>
    <w:rsid w:val="00EB4511"/>
    <w:rsid w:val="00EB48D7"/>
    <w:rsid w:val="00EB49F1"/>
    <w:rsid w:val="00EB4A8E"/>
    <w:rsid w:val="00EB4BC5"/>
    <w:rsid w:val="00EB5BF7"/>
    <w:rsid w:val="00EB5E79"/>
    <w:rsid w:val="00EB61F4"/>
    <w:rsid w:val="00EB6FAC"/>
    <w:rsid w:val="00EB7BAC"/>
    <w:rsid w:val="00EB7CC9"/>
    <w:rsid w:val="00EC03D7"/>
    <w:rsid w:val="00EC12F5"/>
    <w:rsid w:val="00EC13A7"/>
    <w:rsid w:val="00EC2EB6"/>
    <w:rsid w:val="00EC4CA3"/>
    <w:rsid w:val="00EC4FFF"/>
    <w:rsid w:val="00EC5517"/>
    <w:rsid w:val="00EC6E8C"/>
    <w:rsid w:val="00ED0EF0"/>
    <w:rsid w:val="00ED0F1A"/>
    <w:rsid w:val="00ED12B9"/>
    <w:rsid w:val="00ED16B8"/>
    <w:rsid w:val="00ED1959"/>
    <w:rsid w:val="00ED1A00"/>
    <w:rsid w:val="00ED1DF0"/>
    <w:rsid w:val="00ED1ED0"/>
    <w:rsid w:val="00ED2386"/>
    <w:rsid w:val="00ED2EA1"/>
    <w:rsid w:val="00ED3851"/>
    <w:rsid w:val="00ED3E51"/>
    <w:rsid w:val="00ED3F10"/>
    <w:rsid w:val="00ED3F9B"/>
    <w:rsid w:val="00ED4D04"/>
    <w:rsid w:val="00ED566D"/>
    <w:rsid w:val="00ED5907"/>
    <w:rsid w:val="00ED5F5B"/>
    <w:rsid w:val="00ED62C6"/>
    <w:rsid w:val="00ED6491"/>
    <w:rsid w:val="00ED64C1"/>
    <w:rsid w:val="00ED781F"/>
    <w:rsid w:val="00EE0A20"/>
    <w:rsid w:val="00EE0E7E"/>
    <w:rsid w:val="00EE249F"/>
    <w:rsid w:val="00EE2EB4"/>
    <w:rsid w:val="00EE3446"/>
    <w:rsid w:val="00EE3E78"/>
    <w:rsid w:val="00EE41FD"/>
    <w:rsid w:val="00EE460E"/>
    <w:rsid w:val="00EE4B1B"/>
    <w:rsid w:val="00EE5FBA"/>
    <w:rsid w:val="00EE64BA"/>
    <w:rsid w:val="00EE6680"/>
    <w:rsid w:val="00EE6E06"/>
    <w:rsid w:val="00EE7179"/>
    <w:rsid w:val="00EF072A"/>
    <w:rsid w:val="00EF0D90"/>
    <w:rsid w:val="00EF150D"/>
    <w:rsid w:val="00EF1F5A"/>
    <w:rsid w:val="00EF23B5"/>
    <w:rsid w:val="00EF326A"/>
    <w:rsid w:val="00EF3898"/>
    <w:rsid w:val="00EF39FD"/>
    <w:rsid w:val="00EF47BF"/>
    <w:rsid w:val="00EF48DC"/>
    <w:rsid w:val="00EF52F7"/>
    <w:rsid w:val="00EF55AD"/>
    <w:rsid w:val="00EF59B1"/>
    <w:rsid w:val="00EF5A13"/>
    <w:rsid w:val="00EF5FF9"/>
    <w:rsid w:val="00EF77D4"/>
    <w:rsid w:val="00EF7CC7"/>
    <w:rsid w:val="00F00535"/>
    <w:rsid w:val="00F00853"/>
    <w:rsid w:val="00F00866"/>
    <w:rsid w:val="00F00EC8"/>
    <w:rsid w:val="00F0160B"/>
    <w:rsid w:val="00F0193E"/>
    <w:rsid w:val="00F01C0D"/>
    <w:rsid w:val="00F03E2F"/>
    <w:rsid w:val="00F03F8D"/>
    <w:rsid w:val="00F04811"/>
    <w:rsid w:val="00F0488C"/>
    <w:rsid w:val="00F04BDB"/>
    <w:rsid w:val="00F07174"/>
    <w:rsid w:val="00F073ED"/>
    <w:rsid w:val="00F07C4C"/>
    <w:rsid w:val="00F10BA4"/>
    <w:rsid w:val="00F10F11"/>
    <w:rsid w:val="00F11159"/>
    <w:rsid w:val="00F11379"/>
    <w:rsid w:val="00F115E4"/>
    <w:rsid w:val="00F11AC4"/>
    <w:rsid w:val="00F120A5"/>
    <w:rsid w:val="00F12CFB"/>
    <w:rsid w:val="00F13897"/>
    <w:rsid w:val="00F13E60"/>
    <w:rsid w:val="00F13FDB"/>
    <w:rsid w:val="00F14C88"/>
    <w:rsid w:val="00F1533F"/>
    <w:rsid w:val="00F15AAA"/>
    <w:rsid w:val="00F15BEF"/>
    <w:rsid w:val="00F15C73"/>
    <w:rsid w:val="00F17898"/>
    <w:rsid w:val="00F20134"/>
    <w:rsid w:val="00F204BF"/>
    <w:rsid w:val="00F207C2"/>
    <w:rsid w:val="00F21337"/>
    <w:rsid w:val="00F219A1"/>
    <w:rsid w:val="00F21E3B"/>
    <w:rsid w:val="00F23C06"/>
    <w:rsid w:val="00F23E20"/>
    <w:rsid w:val="00F24407"/>
    <w:rsid w:val="00F24756"/>
    <w:rsid w:val="00F24FAA"/>
    <w:rsid w:val="00F25040"/>
    <w:rsid w:val="00F27071"/>
    <w:rsid w:val="00F27331"/>
    <w:rsid w:val="00F276D3"/>
    <w:rsid w:val="00F27EE5"/>
    <w:rsid w:val="00F27FB1"/>
    <w:rsid w:val="00F27FD6"/>
    <w:rsid w:val="00F307CB"/>
    <w:rsid w:val="00F30C0C"/>
    <w:rsid w:val="00F30C65"/>
    <w:rsid w:val="00F31A67"/>
    <w:rsid w:val="00F31B27"/>
    <w:rsid w:val="00F321D2"/>
    <w:rsid w:val="00F32649"/>
    <w:rsid w:val="00F33523"/>
    <w:rsid w:val="00F3364D"/>
    <w:rsid w:val="00F33914"/>
    <w:rsid w:val="00F349BF"/>
    <w:rsid w:val="00F34AF4"/>
    <w:rsid w:val="00F34DDC"/>
    <w:rsid w:val="00F352C5"/>
    <w:rsid w:val="00F36191"/>
    <w:rsid w:val="00F3629F"/>
    <w:rsid w:val="00F36DF3"/>
    <w:rsid w:val="00F37362"/>
    <w:rsid w:val="00F37EDC"/>
    <w:rsid w:val="00F437CC"/>
    <w:rsid w:val="00F44537"/>
    <w:rsid w:val="00F45EEF"/>
    <w:rsid w:val="00F46185"/>
    <w:rsid w:val="00F46423"/>
    <w:rsid w:val="00F4696A"/>
    <w:rsid w:val="00F47067"/>
    <w:rsid w:val="00F47234"/>
    <w:rsid w:val="00F47C48"/>
    <w:rsid w:val="00F51ADD"/>
    <w:rsid w:val="00F525AB"/>
    <w:rsid w:val="00F525EB"/>
    <w:rsid w:val="00F529FB"/>
    <w:rsid w:val="00F52CB5"/>
    <w:rsid w:val="00F53378"/>
    <w:rsid w:val="00F53A68"/>
    <w:rsid w:val="00F53E9C"/>
    <w:rsid w:val="00F54934"/>
    <w:rsid w:val="00F54F86"/>
    <w:rsid w:val="00F55A92"/>
    <w:rsid w:val="00F5615B"/>
    <w:rsid w:val="00F56700"/>
    <w:rsid w:val="00F575D3"/>
    <w:rsid w:val="00F57A76"/>
    <w:rsid w:val="00F57D57"/>
    <w:rsid w:val="00F6178B"/>
    <w:rsid w:val="00F62701"/>
    <w:rsid w:val="00F62BFF"/>
    <w:rsid w:val="00F62CCE"/>
    <w:rsid w:val="00F63092"/>
    <w:rsid w:val="00F63AAE"/>
    <w:rsid w:val="00F63DDE"/>
    <w:rsid w:val="00F63FB7"/>
    <w:rsid w:val="00F6421B"/>
    <w:rsid w:val="00F647F1"/>
    <w:rsid w:val="00F649D2"/>
    <w:rsid w:val="00F64C00"/>
    <w:rsid w:val="00F64D5A"/>
    <w:rsid w:val="00F6602B"/>
    <w:rsid w:val="00F6741E"/>
    <w:rsid w:val="00F6799D"/>
    <w:rsid w:val="00F7150B"/>
    <w:rsid w:val="00F717E4"/>
    <w:rsid w:val="00F71DE6"/>
    <w:rsid w:val="00F72C90"/>
    <w:rsid w:val="00F72D71"/>
    <w:rsid w:val="00F7381C"/>
    <w:rsid w:val="00F73A0C"/>
    <w:rsid w:val="00F752DC"/>
    <w:rsid w:val="00F7549F"/>
    <w:rsid w:val="00F756DB"/>
    <w:rsid w:val="00F766BE"/>
    <w:rsid w:val="00F767A8"/>
    <w:rsid w:val="00F77590"/>
    <w:rsid w:val="00F77A50"/>
    <w:rsid w:val="00F8046A"/>
    <w:rsid w:val="00F82670"/>
    <w:rsid w:val="00F82D14"/>
    <w:rsid w:val="00F84123"/>
    <w:rsid w:val="00F84593"/>
    <w:rsid w:val="00F84E7D"/>
    <w:rsid w:val="00F85066"/>
    <w:rsid w:val="00F8663C"/>
    <w:rsid w:val="00F87A4D"/>
    <w:rsid w:val="00F91B66"/>
    <w:rsid w:val="00F93688"/>
    <w:rsid w:val="00F939F3"/>
    <w:rsid w:val="00F93C6E"/>
    <w:rsid w:val="00F93F2C"/>
    <w:rsid w:val="00F94882"/>
    <w:rsid w:val="00F962AD"/>
    <w:rsid w:val="00F9644E"/>
    <w:rsid w:val="00F96E43"/>
    <w:rsid w:val="00FA0105"/>
    <w:rsid w:val="00FA05A0"/>
    <w:rsid w:val="00FA0AEF"/>
    <w:rsid w:val="00FA0EB0"/>
    <w:rsid w:val="00FA17CC"/>
    <w:rsid w:val="00FA1A7F"/>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0F9"/>
    <w:rsid w:val="00FA7AD7"/>
    <w:rsid w:val="00FA7AEC"/>
    <w:rsid w:val="00FB00D6"/>
    <w:rsid w:val="00FB0AEA"/>
    <w:rsid w:val="00FB0EE2"/>
    <w:rsid w:val="00FB1A79"/>
    <w:rsid w:val="00FB208B"/>
    <w:rsid w:val="00FB2B2D"/>
    <w:rsid w:val="00FB346E"/>
    <w:rsid w:val="00FB35D1"/>
    <w:rsid w:val="00FB4932"/>
    <w:rsid w:val="00FB542E"/>
    <w:rsid w:val="00FB5580"/>
    <w:rsid w:val="00FB564F"/>
    <w:rsid w:val="00FB79BB"/>
    <w:rsid w:val="00FB7DBB"/>
    <w:rsid w:val="00FC04A1"/>
    <w:rsid w:val="00FC05F8"/>
    <w:rsid w:val="00FC077B"/>
    <w:rsid w:val="00FC0950"/>
    <w:rsid w:val="00FC0E5F"/>
    <w:rsid w:val="00FC1070"/>
    <w:rsid w:val="00FC1266"/>
    <w:rsid w:val="00FC1A95"/>
    <w:rsid w:val="00FC1ED4"/>
    <w:rsid w:val="00FC3BEC"/>
    <w:rsid w:val="00FC440B"/>
    <w:rsid w:val="00FC56DE"/>
    <w:rsid w:val="00FC61B5"/>
    <w:rsid w:val="00FC63D9"/>
    <w:rsid w:val="00FC64DE"/>
    <w:rsid w:val="00FC6785"/>
    <w:rsid w:val="00FC684B"/>
    <w:rsid w:val="00FC79D0"/>
    <w:rsid w:val="00FC7D98"/>
    <w:rsid w:val="00FD1135"/>
    <w:rsid w:val="00FD3265"/>
    <w:rsid w:val="00FD3CF7"/>
    <w:rsid w:val="00FD4124"/>
    <w:rsid w:val="00FD41A0"/>
    <w:rsid w:val="00FD4916"/>
    <w:rsid w:val="00FD4D12"/>
    <w:rsid w:val="00FD4DC7"/>
    <w:rsid w:val="00FD4F73"/>
    <w:rsid w:val="00FD595E"/>
    <w:rsid w:val="00FD66A4"/>
    <w:rsid w:val="00FD75AC"/>
    <w:rsid w:val="00FD75D3"/>
    <w:rsid w:val="00FD7802"/>
    <w:rsid w:val="00FD7D3B"/>
    <w:rsid w:val="00FE263A"/>
    <w:rsid w:val="00FE27C7"/>
    <w:rsid w:val="00FE2C7E"/>
    <w:rsid w:val="00FE2F78"/>
    <w:rsid w:val="00FE3137"/>
    <w:rsid w:val="00FE346B"/>
    <w:rsid w:val="00FE346F"/>
    <w:rsid w:val="00FE3E07"/>
    <w:rsid w:val="00FE431E"/>
    <w:rsid w:val="00FE460E"/>
    <w:rsid w:val="00FE48E4"/>
    <w:rsid w:val="00FE5466"/>
    <w:rsid w:val="00FE634C"/>
    <w:rsid w:val="00FE6E69"/>
    <w:rsid w:val="00FE6F59"/>
    <w:rsid w:val="00FF01B6"/>
    <w:rsid w:val="00FF0989"/>
    <w:rsid w:val="00FF1136"/>
    <w:rsid w:val="00FF38A4"/>
    <w:rsid w:val="00FF3D76"/>
    <w:rsid w:val="00FF4E35"/>
    <w:rsid w:val="00FF5838"/>
    <w:rsid w:val="00FF596B"/>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4332598">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5450447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841476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898828998">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0995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651008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0638267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4652621">
      <w:bodyDiv w:val="1"/>
      <w:marLeft w:val="0"/>
      <w:marRight w:val="0"/>
      <w:marTop w:val="0"/>
      <w:marBottom w:val="0"/>
      <w:divBdr>
        <w:top w:val="none" w:sz="0" w:space="0" w:color="auto"/>
        <w:left w:val="none" w:sz="0" w:space="0" w:color="auto"/>
        <w:bottom w:val="none" w:sz="0" w:space="0" w:color="auto"/>
        <w:right w:val="none" w:sz="0" w:space="0" w:color="auto"/>
      </w:divBdr>
    </w:div>
    <w:div w:id="1658848773">
      <w:bodyDiv w:val="1"/>
      <w:marLeft w:val="0"/>
      <w:marRight w:val="0"/>
      <w:marTop w:val="0"/>
      <w:marBottom w:val="0"/>
      <w:divBdr>
        <w:top w:val="none" w:sz="0" w:space="0" w:color="auto"/>
        <w:left w:val="none" w:sz="0" w:space="0" w:color="auto"/>
        <w:bottom w:val="none" w:sz="0" w:space="0" w:color="auto"/>
        <w:right w:val="none" w:sz="0" w:space="0" w:color="auto"/>
      </w:divBdr>
    </w:div>
    <w:div w:id="182041887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517120">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2021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2021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2021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1'!$C$21:$C$44</c:f>
              <c:numCache>
                <c:formatCode>#\ ##0.0</c:formatCode>
                <c:ptCount val="24"/>
                <c:pt idx="0">
                  <c:v>3.3935679863989208</c:v>
                </c:pt>
                <c:pt idx="1">
                  <c:v>2.2554525211863137</c:v>
                </c:pt>
                <c:pt idx="2">
                  <c:v>1.9595698850867365</c:v>
                </c:pt>
                <c:pt idx="3">
                  <c:v>2.1706116744660449</c:v>
                </c:pt>
                <c:pt idx="4">
                  <c:v>3.5703667972288571</c:v>
                </c:pt>
                <c:pt idx="5">
                  <c:v>6.1313858438531526</c:v>
                </c:pt>
                <c:pt idx="6">
                  <c:v>5.8793571478929323</c:v>
                </c:pt>
                <c:pt idx="7">
                  <c:v>5.8948576142013849</c:v>
                </c:pt>
                <c:pt idx="8">
                  <c:v>4.8045186709861412</c:v>
                </c:pt>
                <c:pt idx="9" formatCode="General">
                  <c:v>2.6817351351516834</c:v>
                </c:pt>
                <c:pt idx="10" formatCode="General">
                  <c:v>2.7294466842677565</c:v>
                </c:pt>
                <c:pt idx="11">
                  <c:v>2.5583350179001485</c:v>
                </c:pt>
                <c:pt idx="12">
                  <c:v>2.9671766091530287</c:v>
                </c:pt>
                <c:pt idx="13" formatCode="General">
                  <c:v>3.0195090485548093</c:v>
                </c:pt>
                <c:pt idx="14" formatCode="General">
                  <c:v>2.9551051697276307</c:v>
                </c:pt>
                <c:pt idx="15" formatCode="General">
                  <c:v>2.8845218371908743</c:v>
                </c:pt>
                <c:pt idx="16" formatCode="General">
                  <c:v>-1.4789298016082597</c:v>
                </c:pt>
                <c:pt idx="17" formatCode="General">
                  <c:v>-10.941056198550214</c:v>
                </c:pt>
                <c:pt idx="18" formatCode="General">
                  <c:v>-5.4805373705362399</c:v>
                </c:pt>
                <c:pt idx="19" formatCode="General">
                  <c:v>-5.3144733686297201</c:v>
                </c:pt>
                <c:pt idx="20" formatCode="General">
                  <c:v>-2.3042313552889766</c:v>
                </c:pt>
                <c:pt idx="21" formatCode="General">
                  <c:v>8.7242439080352341</c:v>
                </c:pt>
                <c:pt idx="22" formatCode="General">
                  <c:v>3.488203641997913</c:v>
                </c:pt>
                <c:pt idx="23" formatCode="General">
                  <c:v>3.6144541768052392</c:v>
                </c:pt>
              </c:numCache>
            </c:numRef>
          </c:val>
          <c:extLst>
            <c:ext xmlns:c16="http://schemas.microsoft.com/office/drawing/2014/chart" uri="{C3380CC4-5D6E-409C-BE32-E72D297353CC}">
              <c16:uniqueId val="{00000000-D90C-49F5-9E25-70357880A7C5}"/>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1'!$D$21:$D$44</c:f>
              <c:numCache>
                <c:formatCode>#\ ##0.0</c:formatCode>
                <c:ptCount val="24"/>
                <c:pt idx="0">
                  <c:v>2.1</c:v>
                </c:pt>
                <c:pt idx="1">
                  <c:v>1.9</c:v>
                </c:pt>
                <c:pt idx="2">
                  <c:v>1.8</c:v>
                </c:pt>
                <c:pt idx="3">
                  <c:v>2.2000000000000002</c:v>
                </c:pt>
                <c:pt idx="4">
                  <c:v>2.4</c:v>
                </c:pt>
                <c:pt idx="5">
                  <c:v>2.9</c:v>
                </c:pt>
                <c:pt idx="6">
                  <c:v>3.2</c:v>
                </c:pt>
                <c:pt idx="7">
                  <c:v>3.2</c:v>
                </c:pt>
                <c:pt idx="8">
                  <c:v>2.6</c:v>
                </c:pt>
                <c:pt idx="9">
                  <c:v>2.2999999999999998</c:v>
                </c:pt>
                <c:pt idx="10">
                  <c:v>1.7</c:v>
                </c:pt>
                <c:pt idx="11">
                  <c:v>1.5</c:v>
                </c:pt>
                <c:pt idx="12">
                  <c:v>2.2000000000000002</c:v>
                </c:pt>
                <c:pt idx="13">
                  <c:v>1.8</c:v>
                </c:pt>
                <c:pt idx="14">
                  <c:v>2</c:v>
                </c:pt>
                <c:pt idx="15">
                  <c:v>1.4</c:v>
                </c:pt>
                <c:pt idx="16">
                  <c:v>-2.5</c:v>
                </c:pt>
                <c:pt idx="17">
                  <c:v>-13.7</c:v>
                </c:pt>
                <c:pt idx="18">
                  <c:v>-3.9</c:v>
                </c:pt>
                <c:pt idx="19">
                  <c:v>-4.0999999999999996</c:v>
                </c:pt>
                <c:pt idx="20">
                  <c:v>-1.1000000000000001</c:v>
                </c:pt>
                <c:pt idx="21">
                  <c:v>13.8</c:v>
                </c:pt>
                <c:pt idx="22">
                  <c:v>4.0999999999999996</c:v>
                </c:pt>
                <c:pt idx="23">
                  <c:v>4.8</c:v>
                </c:pt>
              </c:numCache>
            </c:numRef>
          </c:val>
          <c:extLst>
            <c:ext xmlns:c16="http://schemas.microsoft.com/office/drawing/2014/chart" uri="{C3380CC4-5D6E-409C-BE32-E72D297353CC}">
              <c16:uniqueId val="{00000001-D90C-49F5-9E25-70357880A7C5}"/>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1'!$E$21:$E$44</c:f>
              <c:numCache>
                <c:formatCode>#\ ##0.0</c:formatCode>
                <c:ptCount val="24"/>
                <c:pt idx="0">
                  <c:v>0.16332296495187393</c:v>
                </c:pt>
                <c:pt idx="1">
                  <c:v>0.33620140081080763</c:v>
                </c:pt>
                <c:pt idx="2">
                  <c:v>0.80409486945227115</c:v>
                </c:pt>
                <c:pt idx="3">
                  <c:v>0.85128584892957804</c:v>
                </c:pt>
                <c:pt idx="4">
                  <c:v>1.5355778838110723</c:v>
                </c:pt>
                <c:pt idx="5">
                  <c:v>2.8172481596437962</c:v>
                </c:pt>
                <c:pt idx="6">
                  <c:v>0.56471681577477284</c:v>
                </c:pt>
                <c:pt idx="7">
                  <c:v>0.86605021849675268</c:v>
                </c:pt>
                <c:pt idx="8">
                  <c:v>0.49012395731429592</c:v>
                </c:pt>
                <c:pt idx="9">
                  <c:v>0.73471618143510398</c:v>
                </c:pt>
                <c:pt idx="10">
                  <c:v>0.61144468241420213</c:v>
                </c:pt>
                <c:pt idx="11">
                  <c:v>0.69804232504577612</c:v>
                </c:pt>
                <c:pt idx="12">
                  <c:v>0.89072077059854848</c:v>
                </c:pt>
                <c:pt idx="13" formatCode="General">
                  <c:v>0.78591398644272203</c:v>
                </c:pt>
                <c:pt idx="14" formatCode="General">
                  <c:v>0.54854623384075296</c:v>
                </c:pt>
                <c:pt idx="15" formatCode="General">
                  <c:v>0.62900637587634378</c:v>
                </c:pt>
                <c:pt idx="16" formatCode="General">
                  <c:v>-3.388171457551536</c:v>
                </c:pt>
                <c:pt idx="17" formatCode="General">
                  <c:v>-8.8937317507653688</c:v>
                </c:pt>
                <c:pt idx="18" formatCode="General">
                  <c:v>6.7135332233943217</c:v>
                </c:pt>
                <c:pt idx="19" formatCode="General">
                  <c:v>0.80580441346323539</c:v>
                </c:pt>
                <c:pt idx="20" formatCode="General">
                  <c:v>-0.31668845892609454</c:v>
                </c:pt>
                <c:pt idx="21" formatCode="General">
                  <c:v>1.3908817965672284</c:v>
                </c:pt>
                <c:pt idx="22" formatCode="General">
                  <c:v>1.5743265772535437</c:v>
                </c:pt>
                <c:pt idx="23" formatCode="General">
                  <c:v>0.92878255271963894</c:v>
                </c:pt>
              </c:numCache>
            </c:numRef>
          </c:val>
          <c:smooth val="0"/>
          <c:extLst>
            <c:ext xmlns:c16="http://schemas.microsoft.com/office/drawing/2014/chart" uri="{C3380CC4-5D6E-409C-BE32-E72D297353CC}">
              <c16:uniqueId val="{00000002-D90C-49F5-9E25-70357880A7C5}"/>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1'!$F$21:$F$44</c:f>
              <c:numCache>
                <c:formatCode>#\ ##0.0</c:formatCode>
                <c:ptCount val="24"/>
                <c:pt idx="0">
                  <c:v>0.5</c:v>
                </c:pt>
                <c:pt idx="1">
                  <c:v>0.3</c:v>
                </c:pt>
                <c:pt idx="2">
                  <c:v>0.5</c:v>
                </c:pt>
                <c:pt idx="3">
                  <c:v>0.8</c:v>
                </c:pt>
                <c:pt idx="4">
                  <c:v>0.7</c:v>
                </c:pt>
                <c:pt idx="5">
                  <c:v>0.9</c:v>
                </c:pt>
                <c:pt idx="6">
                  <c:v>0.7</c:v>
                </c:pt>
                <c:pt idx="7">
                  <c:v>0.9</c:v>
                </c:pt>
                <c:pt idx="8">
                  <c:v>0.2</c:v>
                </c:pt>
                <c:pt idx="9">
                  <c:v>0.6</c:v>
                </c:pt>
                <c:pt idx="10">
                  <c:v>0.1</c:v>
                </c:pt>
                <c:pt idx="11">
                  <c:v>0.6</c:v>
                </c:pt>
                <c:pt idx="12">
                  <c:v>0.8</c:v>
                </c:pt>
                <c:pt idx="13">
                  <c:v>0.2</c:v>
                </c:pt>
                <c:pt idx="14">
                  <c:v>0.3</c:v>
                </c:pt>
                <c:pt idx="15">
                  <c:v>0</c:v>
                </c:pt>
                <c:pt idx="16">
                  <c:v>-3.1</c:v>
                </c:pt>
                <c:pt idx="17">
                  <c:v>-11.3</c:v>
                </c:pt>
                <c:pt idx="18">
                  <c:v>11.7</c:v>
                </c:pt>
                <c:pt idx="19">
                  <c:v>-0.2</c:v>
                </c:pt>
                <c:pt idx="20">
                  <c:v>0</c:v>
                </c:pt>
                <c:pt idx="21">
                  <c:v>2.1</c:v>
                </c:pt>
                <c:pt idx="22">
                  <c:v>2.2000000000000002</c:v>
                </c:pt>
                <c:pt idx="23">
                  <c:v>0.4</c:v>
                </c:pt>
              </c:numCache>
            </c:numRef>
          </c:val>
          <c:smooth val="0"/>
          <c:extLst>
            <c:ext xmlns:c16="http://schemas.microsoft.com/office/drawing/2014/chart" uri="{C3380CC4-5D6E-409C-BE32-E72D297353CC}">
              <c16:uniqueId val="{00000003-D90C-49F5-9E25-70357880A7C5}"/>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3'!$D$22:$D$45</c:f>
              <c:numCache>
                <c:formatCode>#\ ##0.0</c:formatCode>
                <c:ptCount val="24"/>
                <c:pt idx="0">
                  <c:v>0.93618616091517504</c:v>
                </c:pt>
                <c:pt idx="1">
                  <c:v>0.87008623065588986</c:v>
                </c:pt>
                <c:pt idx="2">
                  <c:v>1.088831374618116</c:v>
                </c:pt>
                <c:pt idx="3">
                  <c:v>0.98663697427429853</c:v>
                </c:pt>
                <c:pt idx="4">
                  <c:v>1.1317605173808631</c:v>
                </c:pt>
                <c:pt idx="5">
                  <c:v>1.4117084709383003</c:v>
                </c:pt>
                <c:pt idx="6">
                  <c:v>1.3280225164734749</c:v>
                </c:pt>
                <c:pt idx="7">
                  <c:v>1.0794473419672266</c:v>
                </c:pt>
                <c:pt idx="8">
                  <c:v>1.580542821710847</c:v>
                </c:pt>
                <c:pt idx="9">
                  <c:v>1.2036281398321482</c:v>
                </c:pt>
                <c:pt idx="10">
                  <c:v>0.99314647332669792</c:v>
                </c:pt>
                <c:pt idx="11">
                  <c:v>0.88688082354953479</c:v>
                </c:pt>
                <c:pt idx="12">
                  <c:v>0.92742283153358485</c:v>
                </c:pt>
                <c:pt idx="13">
                  <c:v>1.2648435786040815</c:v>
                </c:pt>
                <c:pt idx="14">
                  <c:v>1.0200882664173805</c:v>
                </c:pt>
                <c:pt idx="15">
                  <c:v>1.1768223210480195</c:v>
                </c:pt>
                <c:pt idx="16">
                  <c:v>-0.91830335911448924</c:v>
                </c:pt>
                <c:pt idx="17">
                  <c:v>-3.3026648907213207</c:v>
                </c:pt>
                <c:pt idx="18">
                  <c:v>-2.0346444917072359</c:v>
                </c:pt>
                <c:pt idx="19">
                  <c:v>-4.4970793086911476</c:v>
                </c:pt>
                <c:pt idx="20">
                  <c:v>-3.1666171635486613</c:v>
                </c:pt>
                <c:pt idx="21">
                  <c:v>1.6129832241900284</c:v>
                </c:pt>
                <c:pt idx="22">
                  <c:v>2.3018634017145203</c:v>
                </c:pt>
                <c:pt idx="23">
                  <c:v>3.7760323736067498</c:v>
                </c:pt>
              </c:numCache>
            </c:numRef>
          </c:val>
          <c:extLst>
            <c:ext xmlns:c16="http://schemas.microsoft.com/office/drawing/2014/chart" uri="{C3380CC4-5D6E-409C-BE32-E72D297353CC}">
              <c16:uniqueId val="{00000000-EFE2-44DB-930C-C57607DACCE1}"/>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3'!$E$22:$E$45</c:f>
              <c:numCache>
                <c:formatCode>#\ ##0.0</c:formatCode>
                <c:ptCount val="24"/>
                <c:pt idx="0">
                  <c:v>0.42019916860676243</c:v>
                </c:pt>
                <c:pt idx="1">
                  <c:v>0.46376177295031862</c:v>
                </c:pt>
                <c:pt idx="2">
                  <c:v>0.44114936351097495</c:v>
                </c:pt>
                <c:pt idx="3">
                  <c:v>0.47675559244176158</c:v>
                </c:pt>
                <c:pt idx="4">
                  <c:v>0.44404461559069486</c:v>
                </c:pt>
                <c:pt idx="5">
                  <c:v>0.37751399613724029</c:v>
                </c:pt>
                <c:pt idx="6">
                  <c:v>0.21407569926635237</c:v>
                </c:pt>
                <c:pt idx="7">
                  <c:v>0.2341267263946423</c:v>
                </c:pt>
                <c:pt idx="8">
                  <c:v>0.57862841580255708</c:v>
                </c:pt>
                <c:pt idx="9">
                  <c:v>0.55642773333565732</c:v>
                </c:pt>
                <c:pt idx="10">
                  <c:v>0.89021022766775593</c:v>
                </c:pt>
                <c:pt idx="11">
                  <c:v>0.75191010842186412</c:v>
                </c:pt>
                <c:pt idx="12">
                  <c:v>0.41419150368088392</c:v>
                </c:pt>
                <c:pt idx="13">
                  <c:v>0.52913615091977828</c:v>
                </c:pt>
                <c:pt idx="14">
                  <c:v>0.42716769248184294</c:v>
                </c:pt>
                <c:pt idx="15">
                  <c:v>0.3389878995673522</c:v>
                </c:pt>
                <c:pt idx="16">
                  <c:v>0.69883245212185363</c:v>
                </c:pt>
                <c:pt idx="17">
                  <c:v>0.61496658870765319</c:v>
                </c:pt>
                <c:pt idx="18">
                  <c:v>0.42402640924857915</c:v>
                </c:pt>
                <c:pt idx="19">
                  <c:v>1.1052744191656214</c:v>
                </c:pt>
                <c:pt idx="20">
                  <c:v>0.43060267369243149</c:v>
                </c:pt>
                <c:pt idx="21">
                  <c:v>0.11834552709108449</c:v>
                </c:pt>
                <c:pt idx="22">
                  <c:v>0.60318680439500438</c:v>
                </c:pt>
                <c:pt idx="23">
                  <c:v>-1.1695072118974701E-2</c:v>
                </c:pt>
              </c:numCache>
            </c:numRef>
          </c:val>
          <c:extLst>
            <c:ext xmlns:c16="http://schemas.microsoft.com/office/drawing/2014/chart" uri="{C3380CC4-5D6E-409C-BE32-E72D297353CC}">
              <c16:uniqueId val="{00000001-EFE2-44DB-930C-C57607DACCE1}"/>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3'!$G$22:$G$45</c:f>
              <c:numCache>
                <c:formatCode>#\ ##0.0</c:formatCode>
                <c:ptCount val="24"/>
                <c:pt idx="0">
                  <c:v>0.16571758684643292</c:v>
                </c:pt>
                <c:pt idx="1">
                  <c:v>-1.6231279926014353</c:v>
                </c:pt>
                <c:pt idx="2">
                  <c:v>-0.9230024021929123</c:v>
                </c:pt>
                <c:pt idx="3">
                  <c:v>-0.55002076148293633</c:v>
                </c:pt>
                <c:pt idx="4">
                  <c:v>-1.2630660286446516</c:v>
                </c:pt>
                <c:pt idx="5">
                  <c:v>0.84009326563270514</c:v>
                </c:pt>
                <c:pt idx="6">
                  <c:v>1.6097758497475534</c:v>
                </c:pt>
                <c:pt idx="7">
                  <c:v>2.3721301843681739</c:v>
                </c:pt>
                <c:pt idx="8">
                  <c:v>2.8713468902027719</c:v>
                </c:pt>
                <c:pt idx="9">
                  <c:v>1.5905888817549036</c:v>
                </c:pt>
                <c:pt idx="10">
                  <c:v>1.9208851743389141</c:v>
                </c:pt>
                <c:pt idx="11">
                  <c:v>0.56073143718343366</c:v>
                </c:pt>
                <c:pt idx="12">
                  <c:v>1.5826437930914861</c:v>
                </c:pt>
                <c:pt idx="13">
                  <c:v>-0.15800458401897696</c:v>
                </c:pt>
                <c:pt idx="14">
                  <c:v>5.6924086841567925E-2</c:v>
                </c:pt>
                <c:pt idx="15">
                  <c:v>2.5116661705287227</c:v>
                </c:pt>
                <c:pt idx="16">
                  <c:v>-0.61859997120139953</c:v>
                </c:pt>
                <c:pt idx="17">
                  <c:v>-0.1104431651754639</c:v>
                </c:pt>
                <c:pt idx="18">
                  <c:v>-3.8589775640830584</c:v>
                </c:pt>
                <c:pt idx="19">
                  <c:v>-5.2855728465562315</c:v>
                </c:pt>
                <c:pt idx="20">
                  <c:v>0.57922354924076469</c:v>
                </c:pt>
                <c:pt idx="21">
                  <c:v>2.2207484570789635</c:v>
                </c:pt>
                <c:pt idx="22">
                  <c:v>6.3746425914291196</c:v>
                </c:pt>
                <c:pt idx="23">
                  <c:v>6.2592975939505235</c:v>
                </c:pt>
              </c:numCache>
            </c:numRef>
          </c:val>
          <c:extLst>
            <c:ext xmlns:c16="http://schemas.microsoft.com/office/drawing/2014/chart" uri="{C3380CC4-5D6E-409C-BE32-E72D297353CC}">
              <c16:uniqueId val="{00000002-EFE2-44DB-930C-C57607DACCE1}"/>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3'!$F$22:$F$45</c:f>
              <c:numCache>
                <c:formatCode>#\ ##0.0</c:formatCode>
                <c:ptCount val="24"/>
                <c:pt idx="0">
                  <c:v>1.8167152604552226</c:v>
                </c:pt>
                <c:pt idx="1">
                  <c:v>2.4919364052715784</c:v>
                </c:pt>
                <c:pt idx="2">
                  <c:v>1.2934583130738089</c:v>
                </c:pt>
                <c:pt idx="3">
                  <c:v>1.1926166397447078</c:v>
                </c:pt>
                <c:pt idx="4">
                  <c:v>3.1780322387555695</c:v>
                </c:pt>
                <c:pt idx="5">
                  <c:v>3.4186500578903547</c:v>
                </c:pt>
                <c:pt idx="6">
                  <c:v>2.6451757604214197</c:v>
                </c:pt>
                <c:pt idx="7">
                  <c:v>2.134600536374907</c:v>
                </c:pt>
                <c:pt idx="8">
                  <c:v>-0.34846185861429246</c:v>
                </c:pt>
                <c:pt idx="9">
                  <c:v>-0.77956175506757264</c:v>
                </c:pt>
                <c:pt idx="10">
                  <c:v>-1.1814783274089611</c:v>
                </c:pt>
                <c:pt idx="11">
                  <c:v>0.25173122797348579</c:v>
                </c:pt>
                <c:pt idx="12">
                  <c:v>4.8271345411210476E-4</c:v>
                </c:pt>
                <c:pt idx="13">
                  <c:v>1.3310256349867293</c:v>
                </c:pt>
                <c:pt idx="14">
                  <c:v>1.3927593162025209</c:v>
                </c:pt>
                <c:pt idx="15">
                  <c:v>-1.1986582855082308</c:v>
                </c:pt>
                <c:pt idx="16">
                  <c:v>-0.70704049567154237</c:v>
                </c:pt>
                <c:pt idx="17">
                  <c:v>-8.1880750230478405</c:v>
                </c:pt>
                <c:pt idx="18">
                  <c:v>-4.2914045921098154E-2</c:v>
                </c:pt>
                <c:pt idx="19">
                  <c:v>3.3212284987957057</c:v>
                </c:pt>
                <c:pt idx="20">
                  <c:v>-0.16534204693329047</c:v>
                </c:pt>
                <c:pt idx="21">
                  <c:v>4.7252118989575322</c:v>
                </c:pt>
                <c:pt idx="22">
                  <c:v>-5.84839288431602</c:v>
                </c:pt>
                <c:pt idx="23">
                  <c:v>-6.4580960472915736</c:v>
                </c:pt>
              </c:numCache>
            </c:numRef>
          </c:val>
          <c:extLst>
            <c:ext xmlns:c16="http://schemas.microsoft.com/office/drawing/2014/chart" uri="{C3380CC4-5D6E-409C-BE32-E72D297353CC}">
              <c16:uniqueId val="{00000003-EFE2-44DB-930C-C57607DACCE1}"/>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3'!$C$22:$C$45</c:f>
              <c:numCache>
                <c:formatCode>#\ ##0.0</c:formatCode>
                <c:ptCount val="24"/>
                <c:pt idx="0">
                  <c:v>3.3935594356915999</c:v>
                </c:pt>
                <c:pt idx="1">
                  <c:v>2.2554753959572764</c:v>
                </c:pt>
                <c:pt idx="2">
                  <c:v>1.9595326225544341</c:v>
                </c:pt>
                <c:pt idx="3">
                  <c:v>2.1706344977514362</c:v>
                </c:pt>
                <c:pt idx="4">
                  <c:v>3.5703737623319967</c:v>
                </c:pt>
                <c:pt idx="5">
                  <c:v>6.1313612268321123</c:v>
                </c:pt>
                <c:pt idx="6">
                  <c:v>5.8793927561599588</c:v>
                </c:pt>
                <c:pt idx="7">
                  <c:v>5.8948496206722893</c:v>
                </c:pt>
                <c:pt idx="8">
                  <c:v>4.8044975547299202</c:v>
                </c:pt>
                <c:pt idx="9">
                  <c:v>2.6817571455975582</c:v>
                </c:pt>
                <c:pt idx="10">
                  <c:v>2.7294056681603536</c:v>
                </c:pt>
                <c:pt idx="11">
                  <c:v>2.5583059250702433</c:v>
                </c:pt>
                <c:pt idx="12">
                  <c:v>2.9672187450501895</c:v>
                </c:pt>
                <c:pt idx="13">
                  <c:v>3.0195256065361349</c:v>
                </c:pt>
                <c:pt idx="14">
                  <c:v>2.9551413626175673</c:v>
                </c:pt>
                <c:pt idx="15">
                  <c:v>2.8845629323214155</c:v>
                </c:pt>
                <c:pt idx="16">
                  <c:v>-1.4789706833147562</c:v>
                </c:pt>
                <c:pt idx="17">
                  <c:v>-10.941068998528863</c:v>
                </c:pt>
                <c:pt idx="18">
                  <c:v>-5.4805545556813797</c:v>
                </c:pt>
                <c:pt idx="19">
                  <c:v>-5.3144927200724794</c:v>
                </c:pt>
                <c:pt idx="20">
                  <c:v>-2.3042044581447954</c:v>
                </c:pt>
                <c:pt idx="21">
                  <c:v>8.7242144058262738</c:v>
                </c:pt>
                <c:pt idx="22">
                  <c:v>3.4881761054292042</c:v>
                </c:pt>
                <c:pt idx="23">
                  <c:v>3.6144825372438589</c:v>
                </c:pt>
              </c:numCache>
            </c:numRef>
          </c:val>
          <c:smooth val="0"/>
          <c:extLst>
            <c:ext xmlns:c16="http://schemas.microsoft.com/office/drawing/2014/chart" uri="{C3380CC4-5D6E-409C-BE32-E72D297353CC}">
              <c16:uniqueId val="{00000004-EFE2-44DB-930C-C57607DACCE1}"/>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3"/>
      </c:valAx>
      <c:spPr>
        <a:ln>
          <a:solidFill>
            <a:schemeClr val="tx1"/>
          </a:solidFill>
        </a:ln>
      </c:spPr>
    </c:plotArea>
    <c:legend>
      <c:legendPos val="b"/>
      <c:layout>
        <c:manualLayout>
          <c:xMode val="edge"/>
          <c:yMode val="edge"/>
          <c:x val="5.5599658512421081E-2"/>
          <c:y val="0.79301446583361457"/>
          <c:w val="0.9297882566215917"/>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4'!$C$22:$C$45</c:f>
              <c:numCache>
                <c:formatCode>#\ ##0.0</c:formatCode>
                <c:ptCount val="24"/>
                <c:pt idx="0">
                  <c:v>9.4765725889982E-2</c:v>
                </c:pt>
                <c:pt idx="1">
                  <c:v>0.15637528256042468</c:v>
                </c:pt>
                <c:pt idx="2">
                  <c:v>0.1869741986923065</c:v>
                </c:pt>
                <c:pt idx="3">
                  <c:v>7.7625901535376199E-2</c:v>
                </c:pt>
                <c:pt idx="4">
                  <c:v>-1.3383627512345413E-2</c:v>
                </c:pt>
                <c:pt idx="5">
                  <c:v>-0.10833526835550926</c:v>
                </c:pt>
                <c:pt idx="6">
                  <c:v>-0.17417145567790579</c:v>
                </c:pt>
                <c:pt idx="7">
                  <c:v>-5.6339788104083438E-2</c:v>
                </c:pt>
                <c:pt idx="8">
                  <c:v>3.3108455773835969E-2</c:v>
                </c:pt>
                <c:pt idx="9">
                  <c:v>6.7464623058102177E-2</c:v>
                </c:pt>
                <c:pt idx="10">
                  <c:v>0.13279889414520776</c:v>
                </c:pt>
                <c:pt idx="11">
                  <c:v>0.13730282461152749</c:v>
                </c:pt>
                <c:pt idx="12">
                  <c:v>8.2716288855485917E-2</c:v>
                </c:pt>
                <c:pt idx="13">
                  <c:v>9.2139384026042048E-2</c:v>
                </c:pt>
                <c:pt idx="14">
                  <c:v>0.10854763671027451</c:v>
                </c:pt>
                <c:pt idx="15">
                  <c:v>0.11881072235188453</c:v>
                </c:pt>
                <c:pt idx="16">
                  <c:v>0.14176672431872625</c:v>
                </c:pt>
                <c:pt idx="17">
                  <c:v>0.11249081704706697</c:v>
                </c:pt>
                <c:pt idx="18">
                  <c:v>0.13981604653752278</c:v>
                </c:pt>
                <c:pt idx="19">
                  <c:v>0.14108758003622204</c:v>
                </c:pt>
                <c:pt idx="20">
                  <c:v>0.17907455901827043</c:v>
                </c:pt>
                <c:pt idx="21">
                  <c:v>7.2580994222563006E-2</c:v>
                </c:pt>
                <c:pt idx="22">
                  <c:v>-1.6518947586400917E-2</c:v>
                </c:pt>
                <c:pt idx="23">
                  <c:v>-4.8864342909504272E-3</c:v>
                </c:pt>
              </c:numCache>
            </c:numRef>
          </c:val>
          <c:extLst>
            <c:ext xmlns:c16="http://schemas.microsoft.com/office/drawing/2014/chart" uri="{C3380CC4-5D6E-409C-BE32-E72D297353CC}">
              <c16:uniqueId val="{00000000-8999-4E65-B3A9-7FEB018ACB23}"/>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4'!$D$22:$D$45</c:f>
              <c:numCache>
                <c:formatCode>#\ ##0.0</c:formatCode>
                <c:ptCount val="24"/>
                <c:pt idx="0">
                  <c:v>1.6106591209137211</c:v>
                </c:pt>
                <c:pt idx="1">
                  <c:v>0.76053941356552957</c:v>
                </c:pt>
                <c:pt idx="2">
                  <c:v>0.94570363726203222</c:v>
                </c:pt>
                <c:pt idx="3">
                  <c:v>1.2222885842881583</c:v>
                </c:pt>
                <c:pt idx="4">
                  <c:v>1.3672331304188452</c:v>
                </c:pt>
                <c:pt idx="5">
                  <c:v>3.1345037144202608</c:v>
                </c:pt>
                <c:pt idx="6">
                  <c:v>3.0577731838821371</c:v>
                </c:pt>
                <c:pt idx="7">
                  <c:v>2.3545310158669421</c:v>
                </c:pt>
                <c:pt idx="8">
                  <c:v>1.5576365516094002</c:v>
                </c:pt>
                <c:pt idx="9">
                  <c:v>0.11177812966818869</c:v>
                </c:pt>
                <c:pt idx="10">
                  <c:v>3.2580368933372936E-3</c:v>
                </c:pt>
                <c:pt idx="11">
                  <c:v>0.30391701062646553</c:v>
                </c:pt>
                <c:pt idx="12">
                  <c:v>0.83241284936767035</c:v>
                </c:pt>
                <c:pt idx="13">
                  <c:v>1.3015365945875272</c:v>
                </c:pt>
                <c:pt idx="14">
                  <c:v>1.3300175165245307</c:v>
                </c:pt>
                <c:pt idx="15">
                  <c:v>1.0288201442114486</c:v>
                </c:pt>
                <c:pt idx="16">
                  <c:v>-0.53997016525009367</c:v>
                </c:pt>
                <c:pt idx="17">
                  <c:v>-5.0059253286549321</c:v>
                </c:pt>
                <c:pt idx="18">
                  <c:v>-1.4512995132900004</c:v>
                </c:pt>
                <c:pt idx="19">
                  <c:v>-0.93383709307716245</c:v>
                </c:pt>
                <c:pt idx="20">
                  <c:v>0.24271724395204189</c:v>
                </c:pt>
                <c:pt idx="21">
                  <c:v>5.2181249784767765</c:v>
                </c:pt>
                <c:pt idx="22">
                  <c:v>-5.9668958535163859E-3</c:v>
                </c:pt>
                <c:pt idx="23">
                  <c:v>-0.83218811351061661</c:v>
                </c:pt>
              </c:numCache>
            </c:numRef>
          </c:val>
          <c:extLst>
            <c:ext xmlns:c16="http://schemas.microsoft.com/office/drawing/2014/chart" uri="{C3380CC4-5D6E-409C-BE32-E72D297353CC}">
              <c16:uniqueId val="{00000001-8999-4E65-B3A9-7FEB018ACB23}"/>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4'!$E$22:$E$45</c:f>
              <c:numCache>
                <c:formatCode>#\ ##0.0</c:formatCode>
                <c:ptCount val="24"/>
                <c:pt idx="0">
                  <c:v>-0.60910811421333144</c:v>
                </c:pt>
                <c:pt idx="1">
                  <c:v>-0.22876574071995925</c:v>
                </c:pt>
                <c:pt idx="2">
                  <c:v>-0.20221592700743152</c:v>
                </c:pt>
                <c:pt idx="3">
                  <c:v>1.1159198434038675E-3</c:v>
                </c:pt>
                <c:pt idx="4">
                  <c:v>0.19369937090646161</c:v>
                </c:pt>
                <c:pt idx="5">
                  <c:v>8.7518834667852374E-2</c:v>
                </c:pt>
                <c:pt idx="6">
                  <c:v>0.12818764673017169</c:v>
                </c:pt>
                <c:pt idx="7">
                  <c:v>-3.2004861050359601E-2</c:v>
                </c:pt>
                <c:pt idx="8">
                  <c:v>-0.10299697854726397</c:v>
                </c:pt>
                <c:pt idx="9">
                  <c:v>-3.2072706595271713E-2</c:v>
                </c:pt>
                <c:pt idx="10" formatCode="General">
                  <c:v>8.1524592449955802E-2</c:v>
                </c:pt>
                <c:pt idx="11" formatCode="General">
                  <c:v>-6.1061461784250731E-2</c:v>
                </c:pt>
                <c:pt idx="12" formatCode="General">
                  <c:v>-0.20672058053663489</c:v>
                </c:pt>
                <c:pt idx="13" formatCode="General">
                  <c:v>-0.37407520858030863</c:v>
                </c:pt>
                <c:pt idx="14" formatCode="General">
                  <c:v>-0.71461913133162358</c:v>
                </c:pt>
                <c:pt idx="15" formatCode="General">
                  <c:v>-0.46214248963662286</c:v>
                </c:pt>
                <c:pt idx="16" formatCode="General">
                  <c:v>-0.81690718824149333</c:v>
                </c:pt>
                <c:pt idx="17" formatCode="General">
                  <c:v>-0.98259068427443541</c:v>
                </c:pt>
                <c:pt idx="18" formatCode="General">
                  <c:v>-0.69616872252867079</c:v>
                </c:pt>
                <c:pt idx="19" formatCode="General">
                  <c:v>-0.50667466553829965</c:v>
                </c:pt>
                <c:pt idx="20" formatCode="General">
                  <c:v>-5.7498028336359225E-2</c:v>
                </c:pt>
                <c:pt idx="21" formatCode="General">
                  <c:v>1.7794028640025772E-2</c:v>
                </c:pt>
                <c:pt idx="22" formatCode="General">
                  <c:v>-6.867840102346405E-2</c:v>
                </c:pt>
                <c:pt idx="23" formatCode="General">
                  <c:v>0.13921600992350913</c:v>
                </c:pt>
              </c:numCache>
            </c:numRef>
          </c:val>
          <c:extLst>
            <c:ext xmlns:c16="http://schemas.microsoft.com/office/drawing/2014/chart" uri="{C3380CC4-5D6E-409C-BE32-E72D297353CC}">
              <c16:uniqueId val="{00000002-8999-4E65-B3A9-7FEB018ACB23}"/>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4'!$F$22:$F$45</c:f>
              <c:numCache>
                <c:formatCode>#\ ##0.0</c:formatCode>
                <c:ptCount val="24"/>
                <c:pt idx="0">
                  <c:v>-0.13118840376974297</c:v>
                </c:pt>
                <c:pt idx="1">
                  <c:v>-0.28594902920034482</c:v>
                </c:pt>
                <c:pt idx="2">
                  <c:v>-0.26701712597535621</c:v>
                </c:pt>
                <c:pt idx="3">
                  <c:v>-0.18704467160622129</c:v>
                </c:pt>
                <c:pt idx="4">
                  <c:v>-0.1200139265751739</c:v>
                </c:pt>
                <c:pt idx="5">
                  <c:v>0.12420386515100609</c:v>
                </c:pt>
                <c:pt idx="6">
                  <c:v>7.1592239994959186E-2</c:v>
                </c:pt>
                <c:pt idx="7">
                  <c:v>0.17310415185088521</c:v>
                </c:pt>
                <c:pt idx="8">
                  <c:v>0.12249795664753446</c:v>
                </c:pt>
                <c:pt idx="9">
                  <c:v>-4.2660685745634658E-3</c:v>
                </c:pt>
                <c:pt idx="10">
                  <c:v>-1.804304477728428E-2</c:v>
                </c:pt>
                <c:pt idx="11">
                  <c:v>-0.11218045217553656</c:v>
                </c:pt>
                <c:pt idx="12">
                  <c:v>-0.20636296686894753</c:v>
                </c:pt>
                <c:pt idx="13">
                  <c:v>-6.4792774942168993E-2</c:v>
                </c:pt>
                <c:pt idx="14">
                  <c:v>-7.9269271643787567E-2</c:v>
                </c:pt>
                <c:pt idx="15">
                  <c:v>-5.6020948993661966E-2</c:v>
                </c:pt>
                <c:pt idx="16">
                  <c:v>-0.19166724504190716</c:v>
                </c:pt>
                <c:pt idx="17">
                  <c:v>-0.60285314635125042</c:v>
                </c:pt>
                <c:pt idx="18">
                  <c:v>-0.54705863394275789</c:v>
                </c:pt>
                <c:pt idx="19">
                  <c:v>-0.62000534365189297</c:v>
                </c:pt>
                <c:pt idx="20">
                  <c:v>-0.35123055389716473</c:v>
                </c:pt>
                <c:pt idx="21">
                  <c:v>0.1313633063695519</c:v>
                </c:pt>
                <c:pt idx="22">
                  <c:v>0.19301461453144203</c:v>
                </c:pt>
                <c:pt idx="23">
                  <c:v>0.24724649400132864</c:v>
                </c:pt>
              </c:numCache>
            </c:numRef>
          </c:val>
          <c:extLst>
            <c:ext xmlns:c16="http://schemas.microsoft.com/office/drawing/2014/chart" uri="{C3380CC4-5D6E-409C-BE32-E72D297353CC}">
              <c16:uniqueId val="{00000003-8999-4E65-B3A9-7FEB018ACB23}"/>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4'!$G$22:$G$45</c:f>
              <c:numCache>
                <c:formatCode>#\ ##0.0</c:formatCode>
                <c:ptCount val="24"/>
                <c:pt idx="0">
                  <c:v>2.2780910878465543</c:v>
                </c:pt>
                <c:pt idx="1">
                  <c:v>1.7791133450565915</c:v>
                </c:pt>
                <c:pt idx="2">
                  <c:v>1.1751996503140407</c:v>
                </c:pt>
                <c:pt idx="3">
                  <c:v>1.1971206910823469</c:v>
                </c:pt>
                <c:pt idx="4">
                  <c:v>2.1480829000947486</c:v>
                </c:pt>
                <c:pt idx="5">
                  <c:v>3.0747805417077498</c:v>
                </c:pt>
                <c:pt idx="6">
                  <c:v>2.9994469566684199</c:v>
                </c:pt>
                <c:pt idx="7">
                  <c:v>3.2896815901667287</c:v>
                </c:pt>
                <c:pt idx="8">
                  <c:v>3.1749514751083248</c:v>
                </c:pt>
                <c:pt idx="9">
                  <c:v>2.6275397496035438</c:v>
                </c:pt>
                <c:pt idx="10" formatCode="General">
                  <c:v>2.7719971256974341</c:v>
                </c:pt>
                <c:pt idx="11" formatCode="General">
                  <c:v>2.5972842205241453</c:v>
                </c:pt>
                <c:pt idx="12" formatCode="General">
                  <c:v>2.508296604685702</c:v>
                </c:pt>
                <c:pt idx="13" formatCode="General">
                  <c:v>2.0834684133018309</c:v>
                </c:pt>
                <c:pt idx="14" formatCode="General">
                  <c:v>2.1657395752754183</c:v>
                </c:pt>
                <c:pt idx="15" formatCode="General">
                  <c:v>2.2150289387573601</c:v>
                </c:pt>
                <c:pt idx="16" formatCode="General">
                  <c:v>0.34230053373551261</c:v>
                </c:pt>
                <c:pt idx="17" formatCode="General">
                  <c:v>-4.6560146884593276</c:v>
                </c:pt>
                <c:pt idx="18" formatCode="General">
                  <c:v>-2.6811516290968198</c:v>
                </c:pt>
                <c:pt idx="19" formatCode="General">
                  <c:v>-3.0565525802031988</c:v>
                </c:pt>
                <c:pt idx="20" formatCode="General">
                  <c:v>-2.4438672761711628</c:v>
                </c:pt>
                <c:pt idx="21" formatCode="General">
                  <c:v>3.4300084237309272</c:v>
                </c:pt>
                <c:pt idx="22" formatCode="General">
                  <c:v>3.0384982581294651</c:v>
                </c:pt>
                <c:pt idx="23" formatCode="General">
                  <c:v>3.3466568230798779</c:v>
                </c:pt>
              </c:numCache>
            </c:numRef>
          </c:val>
          <c:extLst>
            <c:ext xmlns:c16="http://schemas.microsoft.com/office/drawing/2014/chart" uri="{C3380CC4-5D6E-409C-BE32-E72D297353CC}">
              <c16:uniqueId val="{00000004-8999-4E65-B3A9-7FEB018ACB23}"/>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4'!$H$22:$H$45</c:f>
              <c:numCache>
                <c:formatCode>#\ ##0.0</c:formatCode>
                <c:ptCount val="24"/>
                <c:pt idx="0">
                  <c:v>3.2432073755742579</c:v>
                </c:pt>
                <c:pt idx="1">
                  <c:v>2.1812977926827415</c:v>
                </c:pt>
                <c:pt idx="2">
                  <c:v>1.8386996228235262</c:v>
                </c:pt>
                <c:pt idx="3">
                  <c:v>2.3109605829682209</c:v>
                </c:pt>
                <c:pt idx="4">
                  <c:v>3.5756277740391482</c:v>
                </c:pt>
                <c:pt idx="5">
                  <c:v>6.3126226044967666</c:v>
                </c:pt>
                <c:pt idx="6">
                  <c:v>6.0829220489310671</c:v>
                </c:pt>
                <c:pt idx="7">
                  <c:v>5.7291078447527326</c:v>
                </c:pt>
                <c:pt idx="8">
                  <c:v>4.8981845225873855</c:v>
                </c:pt>
                <c:pt idx="9">
                  <c:v>2.7705379621629049</c:v>
                </c:pt>
                <c:pt idx="10">
                  <c:v>2.9716135031952859</c:v>
                </c:pt>
                <c:pt idx="11">
                  <c:v>2.8650954448108195</c:v>
                </c:pt>
                <c:pt idx="12">
                  <c:v>3.0103555185936557</c:v>
                </c:pt>
                <c:pt idx="13">
                  <c:v>3.0382784412400667</c:v>
                </c:pt>
                <c:pt idx="14">
                  <c:v>2.810283179001118</c:v>
                </c:pt>
                <c:pt idx="15">
                  <c:v>2.8446208831943522</c:v>
                </c:pt>
                <c:pt idx="16">
                  <c:v>-1.0644038654311032</c:v>
                </c:pt>
                <c:pt idx="17">
                  <c:v>-11.134782014990577</c:v>
                </c:pt>
                <c:pt idx="18">
                  <c:v>-5.2357382347572923</c:v>
                </c:pt>
                <c:pt idx="19">
                  <c:v>-4.9764580569393075</c:v>
                </c:pt>
                <c:pt idx="20">
                  <c:v>-2.4310027971896631</c:v>
                </c:pt>
                <c:pt idx="21">
                  <c:v>8.8697916322969519</c:v>
                </c:pt>
                <c:pt idx="22">
                  <c:v>3.1401516384107282</c:v>
                </c:pt>
                <c:pt idx="23">
                  <c:v>2.8965979758565936</c:v>
                </c:pt>
              </c:numCache>
            </c:numRef>
          </c:val>
          <c:smooth val="0"/>
          <c:extLst>
            <c:ext xmlns:c16="http://schemas.microsoft.com/office/drawing/2014/chart" uri="{C3380CC4-5D6E-409C-BE32-E72D297353CC}">
              <c16:uniqueId val="{00000005-8999-4E65-B3A9-7FEB018ACB23}"/>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3"/>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EE3E-955D-4E2A-9332-BF72970533F8}">
  <ds:schemaRefs>
    <ds:schemaRef ds:uri="http://schemas.openxmlformats.org/officeDocument/2006/bibliography"/>
  </ds:schemaRefs>
</ds:datastoreItem>
</file>

<file path=customXml/itemProps2.xml><?xml version="1.0" encoding="utf-8"?>
<ds:datastoreItem xmlns:ds="http://schemas.openxmlformats.org/officeDocument/2006/customXml" ds:itemID="{252B37A4-399A-47BF-A32F-DC174C9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2228</Words>
  <Characters>13147</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15345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2022-04-21T10:41:00Z</dcterms:created>
  <dcterms:modified xsi:type="dcterms:W3CDTF">2022-04-21T10:46:00Z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2022-03-21T18:27:05Z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4e549edd-b07e-4b32-91fb-7727dcdc0524</vt:lpwstr>
  </property>
  <property fmtid="{D5CDD505-2E9C-101B-9397-08002B2CF9AE}" pid="8" name="MSIP_Label_29db9e61-aac5-4f6e-805d-ceb8cb9983a1_ContentBits">
    <vt:lpwstr>0</vt:lpwstr>
  </property>
</Properties>
</file>