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18CE" w:rsidRDefault="00EE18CE">
      <w:pPr>
        <w:pStyle w:val="text6"/>
        <w:tabs>
          <w:tab w:val="clear" w:pos="283"/>
        </w:tabs>
        <w:overflowPunct/>
        <w:autoSpaceDE/>
        <w:autoSpaceDN/>
        <w:adjustRightInd/>
        <w:spacing w:after="0"/>
        <w:textAlignment w:val="auto"/>
        <w:rPr>
          <w:rFonts w:ascii="Arial" w:hAnsi="Arial" w:cs="Arial"/>
          <w:szCs w:val="24"/>
          <w:lang w:val="en-GB"/>
        </w:rPr>
      </w:pPr>
      <w:r>
        <w:rPr>
          <w:rFonts w:ascii="Arial" w:hAnsi="Arial" w:cs="Arial"/>
          <w:szCs w:val="24"/>
          <w:lang w:val="en-GB"/>
        </w:rPr>
        <w:t>6. JUSTICE, CRIME</w:t>
      </w:r>
    </w:p>
    <w:p w:rsidR="00EE18CE" w:rsidRDefault="00EE18CE">
      <w:pPr>
        <w:pStyle w:val="text2"/>
        <w:tabs>
          <w:tab w:val="left" w:pos="-1440"/>
          <w:tab w:val="left" w:pos="764"/>
        </w:tabs>
        <w:rPr>
          <w:rFonts w:ascii="Arial" w:hAnsi="Arial" w:cs="Arial"/>
          <w:b/>
          <w:bCs/>
          <w:sz w:val="20"/>
          <w:szCs w:val="20"/>
          <w:lang w:val="en-GB"/>
        </w:rPr>
      </w:pPr>
    </w:p>
    <w:p w:rsidR="00EE18CE" w:rsidRDefault="00EE18CE">
      <w:pPr>
        <w:pStyle w:val="text2"/>
        <w:tabs>
          <w:tab w:val="left" w:pos="-1440"/>
          <w:tab w:val="left" w:pos="764"/>
        </w:tabs>
        <w:rPr>
          <w:rFonts w:ascii="Arial" w:hAnsi="Arial" w:cs="Arial"/>
          <w:b/>
          <w:bCs/>
          <w:sz w:val="20"/>
          <w:szCs w:val="20"/>
          <w:lang w:val="en-GB"/>
        </w:rPr>
      </w:pPr>
    </w:p>
    <w:p w:rsidR="00E623A7" w:rsidRDefault="00EE18CE">
      <w:pPr>
        <w:pStyle w:val="Zkladntextodsazen"/>
        <w:ind w:firstLine="720"/>
        <w:rPr>
          <w:i/>
          <w:iCs/>
          <w:color w:val="auto"/>
          <w:lang w:val="en-GB"/>
        </w:rPr>
      </w:pPr>
      <w:r>
        <w:rPr>
          <w:i/>
          <w:iCs/>
          <w:color w:val="auto"/>
          <w:lang w:val="en-GB"/>
        </w:rPr>
        <w:t>This chapter was compiled using figures and texts provided by the Ministry of Justice of the Czech Republic, General Directorate of the Prison Service of the Czech Republic, Ministry of the Interior of the Czech Republic, Police Presidium of the Czech Republic, General Directorate of Fire &amp; Rescue Service of the CR, Ministry of Defence of the CR, and Directorate General of Customs.</w:t>
      </w:r>
    </w:p>
    <w:p w:rsidR="00E623A7" w:rsidRDefault="00E623A7">
      <w:pPr>
        <w:pStyle w:val="Zkladntextodsazen"/>
        <w:ind w:firstLine="720"/>
        <w:rPr>
          <w:i/>
          <w:iCs/>
          <w:color w:val="auto"/>
          <w:lang w:val="en-GB"/>
        </w:rPr>
      </w:pPr>
    </w:p>
    <w:p w:rsidR="00EE18CE" w:rsidRPr="00E623A7" w:rsidRDefault="00E623A7">
      <w:pPr>
        <w:pStyle w:val="Zkladntextodsazen"/>
        <w:ind w:firstLine="720"/>
        <w:rPr>
          <w:i/>
          <w:iCs/>
          <w:color w:val="auto"/>
          <w:lang w:val="en-GB"/>
        </w:rPr>
      </w:pPr>
      <w:proofErr w:type="spellStart"/>
      <w:r w:rsidRPr="00E623A7">
        <w:rPr>
          <w:bCs/>
          <w:i/>
          <w:color w:val="auto"/>
        </w:rPr>
        <w:t>Since</w:t>
      </w:r>
      <w:proofErr w:type="spellEnd"/>
      <w:r w:rsidRPr="00E623A7">
        <w:rPr>
          <w:bCs/>
          <w:i/>
          <w:color w:val="auto"/>
        </w:rPr>
        <w:t xml:space="preserve"> 2010, </w:t>
      </w:r>
      <w:proofErr w:type="spellStart"/>
      <w:r w:rsidRPr="00E623A7">
        <w:rPr>
          <w:bCs/>
          <w:i/>
          <w:color w:val="auto"/>
        </w:rPr>
        <w:t>the</w:t>
      </w:r>
      <w:proofErr w:type="spellEnd"/>
      <w:r w:rsidRPr="00E623A7">
        <w:rPr>
          <w:bCs/>
          <w:i/>
          <w:color w:val="auto"/>
        </w:rPr>
        <w:t xml:space="preserve"> </w:t>
      </w:r>
      <w:proofErr w:type="spellStart"/>
      <w:r w:rsidRPr="00E623A7">
        <w:rPr>
          <w:bCs/>
          <w:i/>
          <w:color w:val="auto"/>
        </w:rPr>
        <w:t>Act</w:t>
      </w:r>
      <w:proofErr w:type="spellEnd"/>
      <w:r w:rsidRPr="00E623A7">
        <w:rPr>
          <w:bCs/>
          <w:i/>
          <w:color w:val="auto"/>
        </w:rPr>
        <w:t xml:space="preserve"> No. 40/2009 Sb., </w:t>
      </w:r>
      <w:proofErr w:type="spellStart"/>
      <w:r w:rsidRPr="00E623A7">
        <w:rPr>
          <w:bCs/>
          <w:i/>
          <w:color w:val="auto"/>
        </w:rPr>
        <w:t>Criminal</w:t>
      </w:r>
      <w:proofErr w:type="spellEnd"/>
      <w:r w:rsidRPr="00E623A7">
        <w:rPr>
          <w:bCs/>
          <w:i/>
          <w:color w:val="auto"/>
        </w:rPr>
        <w:t xml:space="preserve"> </w:t>
      </w:r>
      <w:proofErr w:type="spellStart"/>
      <w:r w:rsidRPr="00E623A7">
        <w:rPr>
          <w:bCs/>
          <w:i/>
          <w:color w:val="auto"/>
        </w:rPr>
        <w:t>Code</w:t>
      </w:r>
      <w:proofErr w:type="spellEnd"/>
      <w:r w:rsidRPr="00E623A7">
        <w:rPr>
          <w:bCs/>
          <w:i/>
          <w:color w:val="auto"/>
        </w:rPr>
        <w:t xml:space="preserve"> </w:t>
      </w:r>
      <w:proofErr w:type="spellStart"/>
      <w:r w:rsidRPr="00E623A7">
        <w:rPr>
          <w:bCs/>
          <w:i/>
          <w:color w:val="auto"/>
        </w:rPr>
        <w:t>is</w:t>
      </w:r>
      <w:proofErr w:type="spellEnd"/>
      <w:r w:rsidRPr="00E623A7">
        <w:rPr>
          <w:bCs/>
          <w:i/>
          <w:color w:val="auto"/>
        </w:rPr>
        <w:t xml:space="preserve"> </w:t>
      </w:r>
      <w:proofErr w:type="spellStart"/>
      <w:r w:rsidRPr="00E623A7">
        <w:rPr>
          <w:bCs/>
          <w:i/>
          <w:color w:val="auto"/>
        </w:rPr>
        <w:t>valid</w:t>
      </w:r>
      <w:proofErr w:type="spellEnd"/>
      <w:r w:rsidRPr="00E623A7">
        <w:rPr>
          <w:bCs/>
          <w:i/>
          <w:color w:val="auto"/>
        </w:rPr>
        <w:t xml:space="preserve"> </w:t>
      </w:r>
      <w:proofErr w:type="spellStart"/>
      <w:r w:rsidRPr="00E623A7">
        <w:rPr>
          <w:bCs/>
          <w:i/>
          <w:color w:val="auto"/>
        </w:rPr>
        <w:t>and</w:t>
      </w:r>
      <w:proofErr w:type="spellEnd"/>
      <w:r w:rsidRPr="00E623A7">
        <w:rPr>
          <w:bCs/>
          <w:i/>
          <w:color w:val="auto"/>
        </w:rPr>
        <w:t xml:space="preserve">, </w:t>
      </w:r>
      <w:proofErr w:type="spellStart"/>
      <w:r w:rsidRPr="00E623A7">
        <w:rPr>
          <w:bCs/>
          <w:i/>
          <w:color w:val="auto"/>
        </w:rPr>
        <w:t>at</w:t>
      </w:r>
      <w:proofErr w:type="spellEnd"/>
      <w:r w:rsidRPr="00E623A7">
        <w:rPr>
          <w:bCs/>
          <w:i/>
          <w:color w:val="auto"/>
        </w:rPr>
        <w:t xml:space="preserve"> </w:t>
      </w:r>
      <w:proofErr w:type="spellStart"/>
      <w:r w:rsidRPr="00E623A7">
        <w:rPr>
          <w:bCs/>
          <w:i/>
          <w:color w:val="auto"/>
        </w:rPr>
        <w:t>the</w:t>
      </w:r>
      <w:proofErr w:type="spellEnd"/>
      <w:r w:rsidRPr="00E623A7">
        <w:rPr>
          <w:bCs/>
          <w:i/>
          <w:color w:val="auto"/>
        </w:rPr>
        <w:t xml:space="preserve"> </w:t>
      </w:r>
      <w:proofErr w:type="spellStart"/>
      <w:r w:rsidRPr="00E623A7">
        <w:rPr>
          <w:bCs/>
          <w:i/>
          <w:color w:val="auto"/>
        </w:rPr>
        <w:t>same</w:t>
      </w:r>
      <w:proofErr w:type="spellEnd"/>
      <w:r w:rsidRPr="00E623A7">
        <w:rPr>
          <w:bCs/>
          <w:i/>
          <w:color w:val="auto"/>
        </w:rPr>
        <w:t xml:space="preserve"> </w:t>
      </w:r>
      <w:proofErr w:type="spellStart"/>
      <w:r w:rsidRPr="00E623A7">
        <w:rPr>
          <w:bCs/>
          <w:i/>
          <w:color w:val="auto"/>
        </w:rPr>
        <w:t>time</w:t>
      </w:r>
      <w:proofErr w:type="spellEnd"/>
      <w:r w:rsidRPr="00E623A7">
        <w:rPr>
          <w:bCs/>
          <w:i/>
          <w:color w:val="auto"/>
        </w:rPr>
        <w:t xml:space="preserve">, </w:t>
      </w:r>
      <w:proofErr w:type="spellStart"/>
      <w:r w:rsidRPr="00E623A7">
        <w:rPr>
          <w:bCs/>
          <w:i/>
          <w:color w:val="auto"/>
        </w:rPr>
        <w:t>the</w:t>
      </w:r>
      <w:proofErr w:type="spellEnd"/>
      <w:r w:rsidRPr="00E623A7">
        <w:rPr>
          <w:bCs/>
          <w:i/>
          <w:color w:val="auto"/>
        </w:rPr>
        <w:t xml:space="preserve"> </w:t>
      </w:r>
      <w:proofErr w:type="spellStart"/>
      <w:r w:rsidRPr="00E623A7">
        <w:rPr>
          <w:bCs/>
          <w:i/>
          <w:color w:val="auto"/>
        </w:rPr>
        <w:t>Act</w:t>
      </w:r>
      <w:proofErr w:type="spellEnd"/>
      <w:r w:rsidRPr="00E623A7">
        <w:rPr>
          <w:bCs/>
          <w:i/>
          <w:color w:val="auto"/>
        </w:rPr>
        <w:t xml:space="preserve"> No. 140/1961 Sb. </w:t>
      </w:r>
      <w:proofErr w:type="spellStart"/>
      <w:r w:rsidRPr="00E623A7">
        <w:rPr>
          <w:bCs/>
          <w:i/>
          <w:color w:val="auto"/>
        </w:rPr>
        <w:t>remains</w:t>
      </w:r>
      <w:proofErr w:type="spellEnd"/>
      <w:r w:rsidRPr="00E623A7">
        <w:rPr>
          <w:bCs/>
          <w:i/>
          <w:color w:val="auto"/>
        </w:rPr>
        <w:t xml:space="preserve"> </w:t>
      </w:r>
      <w:proofErr w:type="spellStart"/>
      <w:r w:rsidRPr="00E623A7">
        <w:rPr>
          <w:bCs/>
          <w:i/>
          <w:color w:val="auto"/>
        </w:rPr>
        <w:t>valid</w:t>
      </w:r>
      <w:proofErr w:type="spellEnd"/>
      <w:r w:rsidRPr="00E623A7">
        <w:rPr>
          <w:bCs/>
          <w:i/>
          <w:color w:val="auto"/>
        </w:rPr>
        <w:t xml:space="preserve">. Data in </w:t>
      </w:r>
      <w:proofErr w:type="spellStart"/>
      <w:r w:rsidRPr="00E623A7">
        <w:rPr>
          <w:bCs/>
          <w:i/>
          <w:color w:val="auto"/>
        </w:rPr>
        <w:t>tables</w:t>
      </w:r>
      <w:proofErr w:type="spellEnd"/>
      <w:r w:rsidRPr="00E623A7">
        <w:rPr>
          <w:bCs/>
          <w:i/>
          <w:color w:val="auto"/>
        </w:rPr>
        <w:t xml:space="preserve"> </w:t>
      </w:r>
      <w:proofErr w:type="spellStart"/>
      <w:r w:rsidRPr="00E623A7">
        <w:rPr>
          <w:bCs/>
          <w:i/>
          <w:color w:val="auto"/>
        </w:rPr>
        <w:t>for</w:t>
      </w:r>
      <w:proofErr w:type="spellEnd"/>
      <w:r w:rsidRPr="00E623A7">
        <w:rPr>
          <w:bCs/>
          <w:i/>
          <w:color w:val="auto"/>
        </w:rPr>
        <w:t xml:space="preserve"> </w:t>
      </w:r>
      <w:proofErr w:type="spellStart"/>
      <w:r w:rsidRPr="00E623A7">
        <w:rPr>
          <w:bCs/>
          <w:i/>
          <w:color w:val="auto"/>
        </w:rPr>
        <w:t>convicted</w:t>
      </w:r>
      <w:proofErr w:type="spellEnd"/>
      <w:r w:rsidRPr="00E623A7">
        <w:rPr>
          <w:bCs/>
          <w:i/>
          <w:color w:val="auto"/>
        </w:rPr>
        <w:t xml:space="preserve"> </w:t>
      </w:r>
      <w:proofErr w:type="spellStart"/>
      <w:r w:rsidRPr="00E623A7">
        <w:rPr>
          <w:bCs/>
          <w:i/>
          <w:color w:val="auto"/>
        </w:rPr>
        <w:t>persons</w:t>
      </w:r>
      <w:proofErr w:type="spellEnd"/>
      <w:r w:rsidRPr="00E623A7">
        <w:rPr>
          <w:bCs/>
          <w:i/>
          <w:color w:val="auto"/>
        </w:rPr>
        <w:t xml:space="preserve"> are </w:t>
      </w:r>
      <w:proofErr w:type="spellStart"/>
      <w:r w:rsidRPr="00E623A7">
        <w:rPr>
          <w:bCs/>
          <w:i/>
          <w:color w:val="auto"/>
        </w:rPr>
        <w:t>summarised</w:t>
      </w:r>
      <w:proofErr w:type="spellEnd"/>
      <w:r w:rsidRPr="00E623A7">
        <w:rPr>
          <w:bCs/>
          <w:i/>
          <w:color w:val="auto"/>
        </w:rPr>
        <w:t xml:space="preserve"> </w:t>
      </w:r>
      <w:proofErr w:type="spellStart"/>
      <w:r w:rsidRPr="00E623A7">
        <w:rPr>
          <w:bCs/>
          <w:i/>
          <w:color w:val="auto"/>
        </w:rPr>
        <w:t>since</w:t>
      </w:r>
      <w:proofErr w:type="spellEnd"/>
      <w:r w:rsidRPr="00E623A7">
        <w:rPr>
          <w:bCs/>
          <w:i/>
          <w:color w:val="auto"/>
        </w:rPr>
        <w:t xml:space="preserve"> 2010 </w:t>
      </w:r>
      <w:proofErr w:type="spellStart"/>
      <w:r w:rsidRPr="00E623A7">
        <w:rPr>
          <w:bCs/>
          <w:i/>
          <w:color w:val="auto"/>
        </w:rPr>
        <w:t>according</w:t>
      </w:r>
      <w:proofErr w:type="spellEnd"/>
      <w:r w:rsidRPr="00E623A7">
        <w:rPr>
          <w:bCs/>
          <w:i/>
          <w:color w:val="auto"/>
        </w:rPr>
        <w:t xml:space="preserve"> to </w:t>
      </w:r>
      <w:proofErr w:type="spellStart"/>
      <w:r w:rsidRPr="00E623A7">
        <w:rPr>
          <w:bCs/>
          <w:i/>
          <w:color w:val="auto"/>
        </w:rPr>
        <w:t>both</w:t>
      </w:r>
      <w:proofErr w:type="spellEnd"/>
      <w:r w:rsidRPr="00E623A7">
        <w:rPr>
          <w:bCs/>
          <w:i/>
          <w:color w:val="auto"/>
        </w:rPr>
        <w:t xml:space="preserve"> </w:t>
      </w:r>
      <w:proofErr w:type="spellStart"/>
      <w:r w:rsidRPr="00E623A7">
        <w:rPr>
          <w:bCs/>
          <w:i/>
          <w:color w:val="auto"/>
        </w:rPr>
        <w:t>the</w:t>
      </w:r>
      <w:proofErr w:type="spellEnd"/>
      <w:r w:rsidRPr="00E623A7">
        <w:rPr>
          <w:bCs/>
          <w:i/>
          <w:color w:val="auto"/>
        </w:rPr>
        <w:t xml:space="preserve"> </w:t>
      </w:r>
      <w:proofErr w:type="spellStart"/>
      <w:r w:rsidRPr="00E623A7">
        <w:rPr>
          <w:bCs/>
          <w:i/>
          <w:color w:val="auto"/>
        </w:rPr>
        <w:t>old</w:t>
      </w:r>
      <w:proofErr w:type="spellEnd"/>
      <w:r w:rsidRPr="00E623A7">
        <w:rPr>
          <w:bCs/>
          <w:i/>
          <w:color w:val="auto"/>
        </w:rPr>
        <w:t xml:space="preserve"> </w:t>
      </w:r>
      <w:proofErr w:type="spellStart"/>
      <w:r w:rsidRPr="00E623A7">
        <w:rPr>
          <w:bCs/>
          <w:i/>
          <w:color w:val="auto"/>
        </w:rPr>
        <w:t>and</w:t>
      </w:r>
      <w:proofErr w:type="spellEnd"/>
      <w:r w:rsidRPr="00E623A7">
        <w:rPr>
          <w:bCs/>
          <w:i/>
          <w:color w:val="auto"/>
        </w:rPr>
        <w:t xml:space="preserve"> </w:t>
      </w:r>
      <w:proofErr w:type="spellStart"/>
      <w:r w:rsidRPr="00E623A7">
        <w:rPr>
          <w:bCs/>
          <w:i/>
          <w:color w:val="auto"/>
        </w:rPr>
        <w:t>new</w:t>
      </w:r>
      <w:proofErr w:type="spellEnd"/>
      <w:r w:rsidRPr="00E623A7">
        <w:rPr>
          <w:bCs/>
          <w:i/>
          <w:color w:val="auto"/>
        </w:rPr>
        <w:t xml:space="preserve"> </w:t>
      </w:r>
      <w:proofErr w:type="spellStart"/>
      <w:r w:rsidRPr="00E623A7">
        <w:rPr>
          <w:bCs/>
          <w:i/>
          <w:color w:val="auto"/>
        </w:rPr>
        <w:t>Criminal</w:t>
      </w:r>
      <w:proofErr w:type="spellEnd"/>
      <w:r w:rsidRPr="00E623A7">
        <w:rPr>
          <w:bCs/>
          <w:i/>
          <w:color w:val="auto"/>
        </w:rPr>
        <w:t xml:space="preserve"> </w:t>
      </w:r>
      <w:proofErr w:type="spellStart"/>
      <w:r w:rsidRPr="00E623A7">
        <w:rPr>
          <w:bCs/>
          <w:i/>
          <w:color w:val="auto"/>
        </w:rPr>
        <w:t>Code</w:t>
      </w:r>
      <w:proofErr w:type="spellEnd"/>
      <w:r w:rsidRPr="00E623A7">
        <w:rPr>
          <w:bCs/>
          <w:i/>
          <w:color w:val="auto"/>
        </w:rPr>
        <w:t>.</w:t>
      </w:r>
      <w:r w:rsidR="00EE18CE" w:rsidRPr="00E623A7">
        <w:rPr>
          <w:i/>
          <w:iCs/>
          <w:color w:val="auto"/>
          <w:lang w:val="en-GB"/>
        </w:rPr>
        <w:t xml:space="preserve">    </w:t>
      </w:r>
    </w:p>
    <w:p w:rsidR="00EE18CE" w:rsidRDefault="00EE18CE">
      <w:pPr>
        <w:pStyle w:val="text2"/>
        <w:rPr>
          <w:rFonts w:ascii="Arial" w:hAnsi="Arial" w:cs="Arial"/>
          <w:sz w:val="20"/>
          <w:szCs w:val="20"/>
          <w:lang w:val="en-GB"/>
        </w:rPr>
      </w:pPr>
    </w:p>
    <w:p w:rsidR="00EE18CE" w:rsidRDefault="00EE18CE">
      <w:pPr>
        <w:pStyle w:val="text2"/>
        <w:tabs>
          <w:tab w:val="left" w:pos="-1440"/>
          <w:tab w:val="left" w:pos="764"/>
        </w:tabs>
        <w:rPr>
          <w:rFonts w:ascii="Arial" w:hAnsi="Arial" w:cs="Arial"/>
          <w:sz w:val="20"/>
          <w:szCs w:val="20"/>
          <w:lang w:val="en-GB"/>
        </w:rPr>
      </w:pPr>
    </w:p>
    <w:p w:rsidR="00EE18CE" w:rsidRDefault="00EE18CE">
      <w:pPr>
        <w:pStyle w:val="tit2"/>
        <w:tabs>
          <w:tab w:val="left" w:pos="-1440"/>
          <w:tab w:val="left" w:pos="-720"/>
          <w:tab w:val="left" w:pos="1"/>
          <w:tab w:val="left" w:pos="7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b/>
          <w:bCs/>
          <w:sz w:val="20"/>
          <w:szCs w:val="20"/>
          <w:lang w:val="en-GB"/>
        </w:rPr>
      </w:pPr>
      <w:r>
        <w:rPr>
          <w:rFonts w:ascii="Arial" w:hAnsi="Arial" w:cs="Arial"/>
          <w:b/>
          <w:bCs/>
          <w:sz w:val="20"/>
          <w:szCs w:val="20"/>
          <w:lang w:val="en-GB"/>
        </w:rPr>
        <w:t>Definitions of selected indicators</w:t>
      </w:r>
    </w:p>
    <w:p w:rsidR="00EE18CE" w:rsidRDefault="00EE18CE">
      <w:pPr>
        <w:tabs>
          <w:tab w:val="left" w:pos="-1440"/>
          <w:tab w:val="left" w:pos="-720"/>
          <w:tab w:val="left" w:pos="1"/>
          <w:tab w:val="left" w:pos="7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i/>
          <w:iCs/>
          <w:sz w:val="20"/>
          <w:szCs w:val="20"/>
        </w:rPr>
      </w:pPr>
    </w:p>
    <w:p w:rsidR="00EE18CE" w:rsidRDefault="00EE18CE">
      <w:pPr>
        <w:ind w:firstLine="708"/>
        <w:jc w:val="both"/>
        <w:rPr>
          <w:rFonts w:ascii="Arial" w:hAnsi="Arial" w:cs="Arial"/>
          <w:i/>
          <w:iCs/>
          <w:sz w:val="20"/>
          <w:szCs w:val="20"/>
          <w:lang w:val="en-GB"/>
        </w:rPr>
      </w:pPr>
      <w:r>
        <w:rPr>
          <w:rFonts w:ascii="Arial" w:hAnsi="Arial" w:cs="Arial"/>
          <w:b/>
          <w:bCs/>
          <w:i/>
          <w:iCs/>
          <w:sz w:val="20"/>
          <w:szCs w:val="20"/>
          <w:lang w:val="en-GB"/>
        </w:rPr>
        <w:t xml:space="preserve">Accused </w:t>
      </w:r>
      <w:r>
        <w:rPr>
          <w:rFonts w:ascii="Arial" w:hAnsi="Arial" w:cs="Arial"/>
          <w:i/>
          <w:iCs/>
          <w:sz w:val="20"/>
          <w:szCs w:val="20"/>
          <w:lang w:val="en-GB"/>
        </w:rPr>
        <w:t xml:space="preserve">– number of persons against whom a legal action was brought to trial (motion for punishment). </w:t>
      </w:r>
    </w:p>
    <w:p w:rsidR="00EE18CE" w:rsidRDefault="00EE18CE">
      <w:pPr>
        <w:jc w:val="both"/>
        <w:rPr>
          <w:rFonts w:ascii="Arial" w:hAnsi="Arial" w:cs="Arial"/>
          <w:i/>
          <w:iCs/>
          <w:sz w:val="20"/>
          <w:szCs w:val="20"/>
        </w:rPr>
      </w:pPr>
    </w:p>
    <w:p w:rsidR="00EE18CE" w:rsidRDefault="00EE18CE">
      <w:pPr>
        <w:ind w:firstLine="708"/>
        <w:jc w:val="both"/>
        <w:rPr>
          <w:rFonts w:ascii="Arial" w:hAnsi="Arial" w:cs="Arial"/>
          <w:i/>
          <w:iCs/>
          <w:sz w:val="20"/>
          <w:szCs w:val="20"/>
          <w:lang w:val="en-GB"/>
        </w:rPr>
      </w:pPr>
      <w:r>
        <w:rPr>
          <w:rFonts w:ascii="Arial" w:hAnsi="Arial" w:cs="Arial"/>
          <w:b/>
          <w:bCs/>
          <w:i/>
          <w:iCs/>
          <w:sz w:val="20"/>
          <w:szCs w:val="20"/>
          <w:lang w:val="en-GB"/>
        </w:rPr>
        <w:t>Sentenced</w:t>
      </w:r>
      <w:r>
        <w:rPr>
          <w:rFonts w:ascii="Arial" w:hAnsi="Arial" w:cs="Arial"/>
          <w:i/>
          <w:iCs/>
          <w:sz w:val="20"/>
          <w:szCs w:val="20"/>
          <w:lang w:val="en-GB"/>
        </w:rPr>
        <w:t xml:space="preserve"> – number of persons ruled guilty and sentenced by the court, when the sentence has come into effect already. </w:t>
      </w:r>
    </w:p>
    <w:p w:rsidR="00EE18CE" w:rsidRDefault="00EE18CE">
      <w:pPr>
        <w:jc w:val="both"/>
        <w:rPr>
          <w:rFonts w:ascii="Arial" w:hAnsi="Arial" w:cs="Arial"/>
          <w:i/>
          <w:iCs/>
          <w:sz w:val="20"/>
          <w:szCs w:val="20"/>
        </w:rPr>
      </w:pPr>
    </w:p>
    <w:p w:rsidR="00EE18CE" w:rsidRDefault="00EE18CE">
      <w:pPr>
        <w:ind w:firstLine="708"/>
        <w:jc w:val="both"/>
        <w:rPr>
          <w:rFonts w:ascii="Arial" w:hAnsi="Arial" w:cs="Arial"/>
          <w:i/>
          <w:iCs/>
          <w:sz w:val="20"/>
          <w:szCs w:val="20"/>
          <w:lang w:val="en-GB"/>
        </w:rPr>
      </w:pPr>
      <w:r>
        <w:rPr>
          <w:rFonts w:ascii="Arial" w:hAnsi="Arial" w:cs="Arial"/>
          <w:b/>
          <w:bCs/>
          <w:i/>
          <w:iCs/>
          <w:sz w:val="20"/>
          <w:szCs w:val="20"/>
          <w:lang w:val="en-GB"/>
        </w:rPr>
        <w:t xml:space="preserve">Prosecuted </w:t>
      </w:r>
      <w:r>
        <w:rPr>
          <w:rFonts w:ascii="Arial" w:hAnsi="Arial" w:cs="Arial"/>
          <w:i/>
          <w:iCs/>
          <w:sz w:val="20"/>
          <w:szCs w:val="20"/>
          <w:lang w:val="en-GB"/>
        </w:rPr>
        <w:t xml:space="preserve">– </w:t>
      </w:r>
      <w:r>
        <w:rPr>
          <w:rFonts w:ascii="Arial" w:hAnsi="Arial" w:cs="Arial"/>
          <w:i/>
          <w:iCs/>
          <w:sz w:val="20"/>
          <w:lang w:val="en-US"/>
        </w:rPr>
        <w:t>the number of persons, who were notified of the accusation pursuant to Article 160 of the Criminal Procedure Code (delivered, announced) in the reference year</w:t>
      </w:r>
      <w:r>
        <w:rPr>
          <w:rFonts w:ascii="Arial" w:hAnsi="Arial" w:cs="Arial"/>
          <w:i/>
          <w:iCs/>
          <w:sz w:val="20"/>
          <w:szCs w:val="20"/>
          <w:lang w:val="en-GB"/>
        </w:rPr>
        <w:t xml:space="preserve">. </w:t>
      </w:r>
    </w:p>
    <w:p w:rsidR="00EE18CE" w:rsidRDefault="00EE18CE">
      <w:pPr>
        <w:ind w:firstLine="708"/>
        <w:jc w:val="both"/>
        <w:rPr>
          <w:rFonts w:ascii="Arial" w:hAnsi="Arial" w:cs="Arial"/>
          <w:i/>
          <w:iCs/>
          <w:sz w:val="20"/>
          <w:szCs w:val="20"/>
          <w:lang w:val="en-GB"/>
        </w:rPr>
      </w:pPr>
    </w:p>
    <w:p w:rsidR="00EE18CE" w:rsidRDefault="00EE18CE">
      <w:pPr>
        <w:ind w:firstLine="708"/>
        <w:jc w:val="both"/>
        <w:rPr>
          <w:rFonts w:ascii="Arial" w:hAnsi="Arial" w:cs="Arial"/>
          <w:i/>
          <w:iCs/>
          <w:sz w:val="20"/>
          <w:szCs w:val="20"/>
          <w:lang w:val="en-GB"/>
        </w:rPr>
      </w:pPr>
      <w:r>
        <w:rPr>
          <w:rFonts w:ascii="Arial" w:hAnsi="Arial" w:cs="Arial"/>
          <w:b/>
          <w:bCs/>
          <w:i/>
          <w:iCs/>
          <w:sz w:val="20"/>
          <w:lang w:val="en-GB"/>
        </w:rPr>
        <w:t>Total prosecuted persons</w:t>
      </w:r>
      <w:r>
        <w:rPr>
          <w:rFonts w:ascii="Arial" w:hAnsi="Arial" w:cs="Arial"/>
          <w:i/>
          <w:iCs/>
          <w:sz w:val="20"/>
          <w:lang w:val="en-GB"/>
        </w:rPr>
        <w:t xml:space="preserve"> = persons prosecuted for murders, offences of violence, total, offences against morality, total, offences against property, total, other criminal acts, total, remaining criminality, total economic crimes, total and military acts and acts against constitutional system, total. </w:t>
      </w:r>
    </w:p>
    <w:p w:rsidR="00EE18CE" w:rsidRDefault="00EE18CE">
      <w:pPr>
        <w:jc w:val="both"/>
        <w:rPr>
          <w:rFonts w:ascii="Arial" w:hAnsi="Arial" w:cs="Arial"/>
          <w:i/>
          <w:iCs/>
          <w:sz w:val="20"/>
          <w:szCs w:val="20"/>
          <w:lang w:val="en-GB"/>
        </w:rPr>
      </w:pPr>
    </w:p>
    <w:p w:rsidR="00EE18CE" w:rsidRDefault="00EE18CE">
      <w:pPr>
        <w:ind w:firstLine="708"/>
        <w:jc w:val="both"/>
        <w:rPr>
          <w:rFonts w:ascii="Arial" w:hAnsi="Arial" w:cs="Arial"/>
          <w:i/>
          <w:iCs/>
          <w:sz w:val="20"/>
          <w:szCs w:val="20"/>
          <w:lang w:val="en-GB"/>
        </w:rPr>
      </w:pPr>
      <w:r>
        <w:rPr>
          <w:rFonts w:ascii="Arial" w:hAnsi="Arial" w:cs="Arial"/>
          <w:b/>
          <w:bCs/>
          <w:i/>
          <w:iCs/>
          <w:sz w:val="20"/>
          <w:szCs w:val="20"/>
          <w:lang w:val="en-GB"/>
        </w:rPr>
        <w:t>Accused</w:t>
      </w:r>
      <w:r>
        <w:rPr>
          <w:rFonts w:ascii="Arial" w:hAnsi="Arial" w:cs="Arial"/>
          <w:i/>
          <w:iCs/>
          <w:sz w:val="20"/>
          <w:szCs w:val="20"/>
          <w:lang w:val="en-GB"/>
        </w:rPr>
        <w:t xml:space="preserve"> – </w:t>
      </w:r>
      <w:r>
        <w:rPr>
          <w:rFonts w:ascii="Arial" w:hAnsi="Arial" w:cs="Arial"/>
          <w:i/>
          <w:iCs/>
          <w:sz w:val="20"/>
          <w:lang w:val="en-US"/>
        </w:rPr>
        <w:t>the number of persons, against whom action was brought pursuant to Article 176 of the Criminal Procedure Code in the reference year</w:t>
      </w:r>
      <w:r>
        <w:rPr>
          <w:rFonts w:ascii="Arial" w:hAnsi="Arial" w:cs="Arial"/>
          <w:i/>
          <w:iCs/>
          <w:sz w:val="20"/>
          <w:szCs w:val="20"/>
          <w:lang w:val="en-GB"/>
        </w:rPr>
        <w:t xml:space="preserve">. </w:t>
      </w:r>
    </w:p>
    <w:p w:rsidR="00EE18CE" w:rsidRDefault="00EE18CE">
      <w:pPr>
        <w:jc w:val="both"/>
        <w:rPr>
          <w:rFonts w:ascii="Arial" w:hAnsi="Arial" w:cs="Arial"/>
          <w:i/>
          <w:iCs/>
          <w:sz w:val="20"/>
          <w:szCs w:val="20"/>
        </w:rPr>
      </w:pPr>
    </w:p>
    <w:p w:rsidR="00EE18CE" w:rsidRDefault="00EE18CE">
      <w:pPr>
        <w:ind w:firstLine="708"/>
        <w:jc w:val="both"/>
        <w:rPr>
          <w:rFonts w:ascii="Arial" w:hAnsi="Arial" w:cs="Arial"/>
          <w:i/>
          <w:iCs/>
          <w:sz w:val="20"/>
          <w:szCs w:val="20"/>
        </w:rPr>
      </w:pPr>
      <w:r>
        <w:rPr>
          <w:rFonts w:ascii="Arial" w:hAnsi="Arial" w:cs="Arial"/>
          <w:b/>
          <w:bCs/>
          <w:i/>
          <w:iCs/>
          <w:sz w:val="20"/>
          <w:szCs w:val="20"/>
          <w:lang w:val="en-GB"/>
        </w:rPr>
        <w:t>Shortened proceedings</w:t>
      </w:r>
      <w:r>
        <w:rPr>
          <w:rFonts w:ascii="Arial" w:hAnsi="Arial" w:cs="Arial"/>
          <w:i/>
          <w:iCs/>
          <w:sz w:val="20"/>
          <w:szCs w:val="20"/>
        </w:rPr>
        <w:t xml:space="preserve"> – </w:t>
      </w:r>
      <w:r>
        <w:rPr>
          <w:rFonts w:ascii="Arial" w:hAnsi="Arial" w:cs="Arial"/>
          <w:i/>
          <w:iCs/>
          <w:sz w:val="20"/>
          <w:szCs w:val="20"/>
          <w:lang w:val="en-GB"/>
        </w:rPr>
        <w:t xml:space="preserve">number of persons against whom shortened preparatory procedure was discontinued according to Section 179a of the Penal Act. </w:t>
      </w:r>
    </w:p>
    <w:p w:rsidR="00EE18CE" w:rsidRDefault="00EE18CE">
      <w:pPr>
        <w:pStyle w:val="podraeny"/>
        <w:tabs>
          <w:tab w:val="clear" w:pos="-720"/>
          <w:tab w:val="clear" w:pos="1"/>
          <w:tab w:val="clear" w:pos="283"/>
          <w:tab w:val="clear" w:pos="566"/>
          <w:tab w:val="clear" w:pos="720"/>
          <w:tab w:val="clear" w:pos="851"/>
          <w:tab w:val="clear" w:pos="1134"/>
          <w:tab w:val="clear" w:pos="1440"/>
          <w:tab w:val="clear" w:pos="1700"/>
          <w:tab w:val="clear" w:pos="1984"/>
          <w:tab w:val="clear" w:pos="2160"/>
          <w:tab w:val="clear" w:pos="2268"/>
          <w:tab w:val="clear" w:pos="2551"/>
          <w:tab w:val="clear" w:pos="2834"/>
          <w:tab w:val="clear" w:pos="2880"/>
          <w:tab w:val="clear" w:pos="3118"/>
          <w:tab w:val="clear" w:pos="3401"/>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spacing w:after="0"/>
        <w:rPr>
          <w:rFonts w:ascii="Arial" w:hAnsi="Arial" w:cs="Arial"/>
          <w:lang w:val="cs-CZ"/>
        </w:rPr>
      </w:pPr>
    </w:p>
    <w:p w:rsidR="00EE18CE" w:rsidRDefault="00EE18CE">
      <w:pPr>
        <w:ind w:firstLine="708"/>
        <w:jc w:val="both"/>
        <w:rPr>
          <w:rFonts w:ascii="Arial" w:hAnsi="Arial" w:cs="Arial"/>
          <w:i/>
          <w:iCs/>
          <w:sz w:val="20"/>
          <w:szCs w:val="20"/>
          <w:lang w:val="en-GB"/>
        </w:rPr>
      </w:pPr>
      <w:r>
        <w:rPr>
          <w:rFonts w:ascii="Arial" w:hAnsi="Arial" w:cs="Arial"/>
          <w:b/>
          <w:bCs/>
          <w:i/>
          <w:iCs/>
          <w:sz w:val="20"/>
          <w:szCs w:val="20"/>
          <w:lang w:val="en-GB"/>
        </w:rPr>
        <w:t>Proposed sentences</w:t>
      </w:r>
      <w:r>
        <w:rPr>
          <w:rFonts w:ascii="Arial" w:hAnsi="Arial" w:cs="Arial"/>
          <w:i/>
          <w:iCs/>
          <w:sz w:val="20"/>
          <w:szCs w:val="20"/>
          <w:lang w:val="en-GB"/>
        </w:rPr>
        <w:t xml:space="preserve"> – number of persons against whom a motion for punishment was filed with a court according to Section 179c of the Penal Act. </w:t>
      </w:r>
    </w:p>
    <w:p w:rsidR="00EE18CE" w:rsidRDefault="00EE18CE">
      <w:pPr>
        <w:ind w:firstLine="708"/>
        <w:jc w:val="both"/>
        <w:rPr>
          <w:rFonts w:ascii="Arial" w:hAnsi="Arial" w:cs="Arial"/>
          <w:i/>
          <w:iCs/>
          <w:sz w:val="20"/>
          <w:szCs w:val="20"/>
          <w:lang w:val="en-GB"/>
        </w:rPr>
      </w:pPr>
    </w:p>
    <w:p w:rsidR="00EE18CE" w:rsidRDefault="00EE18CE">
      <w:pPr>
        <w:ind w:firstLine="708"/>
        <w:jc w:val="both"/>
        <w:rPr>
          <w:rFonts w:ascii="Arial" w:hAnsi="Arial" w:cs="Arial"/>
          <w:i/>
          <w:iCs/>
          <w:sz w:val="20"/>
          <w:szCs w:val="20"/>
          <w:lang w:val="en-GB"/>
        </w:rPr>
      </w:pPr>
      <w:r>
        <w:rPr>
          <w:rFonts w:ascii="Arial" w:hAnsi="Arial" w:cs="Arial"/>
          <w:b/>
          <w:bCs/>
          <w:i/>
          <w:iCs/>
          <w:sz w:val="20"/>
          <w:szCs w:val="20"/>
          <w:lang w:val="en-GB"/>
        </w:rPr>
        <w:t xml:space="preserve">Murders, total, </w:t>
      </w:r>
      <w:r>
        <w:rPr>
          <w:rFonts w:ascii="Arial" w:hAnsi="Arial" w:cs="Arial"/>
          <w:i/>
          <w:iCs/>
          <w:sz w:val="20"/>
          <w:szCs w:val="20"/>
          <w:lang w:val="en-GB"/>
        </w:rPr>
        <w:t>include murders with robbery, sexual, motivated by personal relations, murders by contract, murders of a new-born infant by its mother and other murders.</w:t>
      </w:r>
    </w:p>
    <w:p w:rsidR="00EE18CE" w:rsidRDefault="00EE18CE">
      <w:pPr>
        <w:ind w:firstLine="708"/>
        <w:jc w:val="both"/>
        <w:rPr>
          <w:rFonts w:ascii="Arial" w:hAnsi="Arial" w:cs="Arial"/>
          <w:sz w:val="20"/>
          <w:szCs w:val="20"/>
          <w:lang w:val="en-GB"/>
        </w:rPr>
      </w:pPr>
    </w:p>
    <w:p w:rsidR="00EE18CE" w:rsidRDefault="00EE18CE">
      <w:pPr>
        <w:pStyle w:val="Zkladntextodsazen2"/>
        <w:rPr>
          <w:i/>
          <w:iCs/>
        </w:rPr>
      </w:pPr>
      <w:r>
        <w:rPr>
          <w:i/>
          <w:iCs/>
        </w:rPr>
        <w:t xml:space="preserve">Violent crimes </w:t>
      </w:r>
      <w:r>
        <w:rPr>
          <w:b w:val="0"/>
          <w:bCs w:val="0"/>
          <w:i/>
          <w:iCs/>
        </w:rPr>
        <w:t xml:space="preserve">include killing of foetus, child abandonment, kidnap, robbery, thefts in financial institutions, violence against public officials save for policemen, violence against public man – policeman, violence against public official – general policeman, wilful bodily harm, </w:t>
      </w:r>
      <w:proofErr w:type="spellStart"/>
      <w:r>
        <w:rPr>
          <w:b w:val="0"/>
          <w:bCs w:val="0"/>
          <w:i/>
          <w:iCs/>
        </w:rPr>
        <w:t>brawlings</w:t>
      </w:r>
      <w:proofErr w:type="spellEnd"/>
      <w:r>
        <w:rPr>
          <w:b w:val="0"/>
          <w:bCs w:val="0"/>
          <w:i/>
          <w:iCs/>
        </w:rPr>
        <w:t>, violence against and threatening to group of population, taking as hostage, dangerous threatening, blackmail, restriction and deprivation of personal freedom, violation of domestic freedom, unauthorised interventions into the right of domicile, dwelling, cruelty to a charge, cruelty to a person living in common dwelling, restriction of the freedom of religious worship, oppression, violence of the freedom of association and assembly and other violent crimes.</w:t>
      </w:r>
      <w:r>
        <w:rPr>
          <w:i/>
          <w:iCs/>
        </w:rPr>
        <w:t xml:space="preserve">     </w:t>
      </w:r>
    </w:p>
    <w:p w:rsidR="00EE18CE" w:rsidRDefault="00EE18CE">
      <w:pPr>
        <w:ind w:firstLine="708"/>
        <w:jc w:val="both"/>
        <w:rPr>
          <w:rFonts w:ascii="Arial" w:hAnsi="Arial" w:cs="Arial"/>
          <w:b/>
          <w:bCs/>
          <w:sz w:val="20"/>
          <w:szCs w:val="20"/>
          <w:lang w:val="en-GB"/>
        </w:rPr>
      </w:pPr>
    </w:p>
    <w:p w:rsidR="00EE18CE" w:rsidRDefault="00EE18CE">
      <w:pPr>
        <w:ind w:firstLine="708"/>
        <w:jc w:val="both"/>
        <w:rPr>
          <w:rFonts w:ascii="Arial" w:hAnsi="Arial" w:cs="Arial"/>
          <w:i/>
          <w:iCs/>
          <w:sz w:val="20"/>
          <w:szCs w:val="20"/>
          <w:lang w:val="en-GB"/>
        </w:rPr>
      </w:pPr>
      <w:r>
        <w:rPr>
          <w:rFonts w:ascii="Arial" w:hAnsi="Arial" w:cs="Arial"/>
          <w:b/>
          <w:bCs/>
          <w:i/>
          <w:iCs/>
          <w:sz w:val="20"/>
          <w:szCs w:val="20"/>
          <w:lang w:val="en-GB"/>
        </w:rPr>
        <w:t xml:space="preserve">Vice crimes </w:t>
      </w:r>
      <w:r>
        <w:rPr>
          <w:rFonts w:ascii="Arial" w:hAnsi="Arial" w:cs="Arial"/>
          <w:i/>
          <w:iCs/>
          <w:sz w:val="20"/>
          <w:szCs w:val="20"/>
          <w:lang w:val="en-GB"/>
        </w:rPr>
        <w:t>include violation, sexual abuse of dependant, sexual abuses, other, commercial form of sexual abuse of dependent, commercial forms of sexual abuse, other, other sexual deviations, endangering public morals, threatening by venereal disease, injury to health caused by venereal disease, injury to health by venereal disease by negligence, pandering, intercourse between relatives, trade in human, other vice crimes.</w:t>
      </w:r>
    </w:p>
    <w:p w:rsidR="00EE18CE" w:rsidRDefault="00EE18CE">
      <w:pPr>
        <w:pStyle w:val="Nadpis1"/>
        <w:rPr>
          <w:rFonts w:ascii="Arial" w:hAnsi="Arial" w:cs="Arial"/>
          <w:b/>
          <w:bCs/>
          <w:i/>
          <w:iCs/>
          <w:sz w:val="20"/>
          <w:lang w:val="en-GB"/>
        </w:rPr>
      </w:pPr>
    </w:p>
    <w:p w:rsidR="00EE18CE" w:rsidRDefault="00EE18CE">
      <w:pPr>
        <w:pStyle w:val="Nadpis1"/>
        <w:ind w:firstLine="708"/>
        <w:jc w:val="both"/>
        <w:rPr>
          <w:rFonts w:ascii="Arial" w:hAnsi="Arial" w:cs="Arial"/>
          <w:i/>
          <w:iCs/>
          <w:sz w:val="20"/>
          <w:u w:val="none"/>
          <w:lang w:val="en-GB"/>
        </w:rPr>
      </w:pPr>
      <w:r>
        <w:rPr>
          <w:rFonts w:ascii="Arial" w:hAnsi="Arial" w:cs="Arial"/>
          <w:b/>
          <w:bCs/>
          <w:i/>
          <w:iCs/>
          <w:sz w:val="20"/>
          <w:u w:val="none"/>
          <w:lang w:val="en-GB"/>
        </w:rPr>
        <w:t>Offences against property</w:t>
      </w:r>
      <w:r>
        <w:rPr>
          <w:rFonts w:ascii="Arial" w:hAnsi="Arial" w:cs="Arial"/>
          <w:i/>
          <w:iCs/>
          <w:sz w:val="20"/>
          <w:u w:val="none"/>
          <w:lang w:val="en-GB"/>
        </w:rPr>
        <w:t xml:space="preserve"> – thefts by breaking and entering, ordinary thefts, fraud, embezzlement, unjustified enjoyment of someone else's thing, concealment of a thing, damaging of someone else's thing, and other offences against property. </w:t>
      </w:r>
    </w:p>
    <w:p w:rsidR="00EE18CE" w:rsidRDefault="00EE18CE">
      <w:pPr>
        <w:pStyle w:val="Normln0"/>
        <w:jc w:val="both"/>
        <w:rPr>
          <w:i/>
          <w:iCs/>
        </w:rPr>
      </w:pPr>
    </w:p>
    <w:p w:rsidR="00EE18CE" w:rsidRDefault="00EE18CE">
      <w:pPr>
        <w:ind w:firstLine="708"/>
        <w:jc w:val="both"/>
        <w:rPr>
          <w:rFonts w:ascii="Arial" w:hAnsi="Arial" w:cs="Arial"/>
          <w:i/>
          <w:iCs/>
          <w:sz w:val="20"/>
          <w:szCs w:val="20"/>
          <w:lang w:val="en-GB"/>
        </w:rPr>
      </w:pPr>
      <w:r>
        <w:rPr>
          <w:rFonts w:ascii="Arial" w:hAnsi="Arial" w:cs="Arial"/>
          <w:b/>
          <w:bCs/>
          <w:i/>
          <w:iCs/>
          <w:sz w:val="20"/>
          <w:szCs w:val="20"/>
          <w:lang w:val="en-GB"/>
        </w:rPr>
        <w:lastRenderedPageBreak/>
        <w:t>Sexual abuse of dependant</w:t>
      </w:r>
      <w:r>
        <w:rPr>
          <w:rFonts w:ascii="Arial" w:hAnsi="Arial" w:cs="Arial"/>
          <w:i/>
          <w:iCs/>
          <w:sz w:val="20"/>
          <w:szCs w:val="20"/>
          <w:lang w:val="en-GB"/>
        </w:rPr>
        <w:t xml:space="preserve"> – a crime, when somebody misuses dependence of a person younger than 18 years or a person commended to his/her supervision, forces such person to have intercourse out of marriage, or sexually abuses such a person in another way misusing his/her dependence. </w:t>
      </w:r>
    </w:p>
    <w:p w:rsidR="00EE18CE" w:rsidRDefault="00EE18CE">
      <w:pPr>
        <w:ind w:firstLine="708"/>
        <w:jc w:val="both"/>
        <w:rPr>
          <w:rFonts w:ascii="Arial" w:hAnsi="Arial" w:cs="Arial"/>
          <w:i/>
          <w:iCs/>
          <w:sz w:val="20"/>
          <w:szCs w:val="20"/>
          <w:lang w:val="en-GB"/>
        </w:rPr>
      </w:pPr>
    </w:p>
    <w:p w:rsidR="00EE18CE" w:rsidRDefault="00EE18CE">
      <w:pPr>
        <w:pStyle w:val="Zkladntextodsazen3"/>
        <w:rPr>
          <w:i/>
          <w:iCs/>
        </w:rPr>
      </w:pPr>
      <w:r>
        <w:rPr>
          <w:i/>
          <w:iCs/>
        </w:rPr>
        <w:t>Cruelty to a person sharing common dwelling – crime when someone abuses a close person or other person sharing common dwelling or house (family violence).</w:t>
      </w:r>
    </w:p>
    <w:p w:rsidR="00EE18CE" w:rsidRDefault="00EE18CE" w:rsidP="00B20CB0">
      <w:pPr>
        <w:pStyle w:val="Zkladntextodsazen3"/>
        <w:ind w:firstLine="0"/>
        <w:rPr>
          <w:i/>
          <w:iCs/>
        </w:rPr>
      </w:pPr>
    </w:p>
    <w:p w:rsidR="00EE18CE" w:rsidRDefault="00EE18CE">
      <w:pPr>
        <w:ind w:firstLine="708"/>
        <w:jc w:val="both"/>
        <w:rPr>
          <w:rFonts w:ascii="Arial" w:hAnsi="Arial" w:cs="Arial"/>
          <w:i/>
          <w:iCs/>
          <w:sz w:val="20"/>
          <w:szCs w:val="20"/>
          <w:lang w:val="en-GB"/>
        </w:rPr>
      </w:pPr>
      <w:r>
        <w:rPr>
          <w:rFonts w:ascii="Arial" w:hAnsi="Arial" w:cs="Arial"/>
          <w:i/>
          <w:iCs/>
          <w:sz w:val="20"/>
          <w:szCs w:val="20"/>
          <w:lang w:val="en-GB"/>
        </w:rPr>
        <w:t xml:space="preserve">In the Czech Republic, illegal migration is understood cases of illegal crossing of state border on the territory of given state due to various reasons, cases of unauthorised abandonment of the state and also cases of illegal stay – violence of legal condition for the stay of an alien. Two basic categories are distinguished: A) illegal migration across the state border of the CR and B) illegal migration in the Czech inland – violation of stay regime. </w:t>
      </w:r>
    </w:p>
    <w:p w:rsidR="00EE18CE" w:rsidRDefault="00EE18CE">
      <w:pPr>
        <w:jc w:val="both"/>
        <w:rPr>
          <w:rFonts w:ascii="Arial" w:hAnsi="Arial" w:cs="Arial"/>
          <w:i/>
          <w:iCs/>
          <w:sz w:val="20"/>
          <w:szCs w:val="20"/>
          <w:lang w:val="en-GB"/>
        </w:rPr>
      </w:pPr>
    </w:p>
    <w:p w:rsidR="00EE18CE" w:rsidRDefault="00EE18CE">
      <w:pPr>
        <w:ind w:firstLine="708"/>
        <w:jc w:val="both"/>
        <w:rPr>
          <w:rFonts w:ascii="Arial" w:hAnsi="Arial" w:cs="Arial"/>
          <w:i/>
          <w:iCs/>
          <w:sz w:val="20"/>
          <w:lang w:val="en-GB"/>
        </w:rPr>
      </w:pPr>
      <w:r>
        <w:rPr>
          <w:rFonts w:ascii="Arial" w:hAnsi="Arial" w:cs="Arial"/>
          <w:b/>
          <w:bCs/>
          <w:i/>
          <w:iCs/>
          <w:sz w:val="20"/>
          <w:szCs w:val="20"/>
          <w:lang w:val="en-GB"/>
        </w:rPr>
        <w:t>Prison category</w:t>
      </w:r>
      <w:r>
        <w:rPr>
          <w:rFonts w:ascii="Arial" w:hAnsi="Arial" w:cs="Arial"/>
          <w:i/>
          <w:iCs/>
          <w:sz w:val="20"/>
          <w:szCs w:val="20"/>
          <w:lang w:val="en-GB"/>
        </w:rPr>
        <w:t xml:space="preserve"> – </w:t>
      </w:r>
      <w:r>
        <w:rPr>
          <w:rFonts w:ascii="Arial" w:hAnsi="Arial" w:cs="Arial"/>
          <w:b/>
          <w:bCs/>
          <w:i/>
          <w:iCs/>
          <w:sz w:val="20"/>
          <w:szCs w:val="20"/>
          <w:lang w:val="en-GB"/>
        </w:rPr>
        <w:t>s</w:t>
      </w:r>
      <w:r>
        <w:rPr>
          <w:rFonts w:ascii="Arial" w:hAnsi="Arial" w:cs="Arial"/>
          <w:i/>
          <w:iCs/>
          <w:sz w:val="20"/>
          <w:lang w:val="en-GB"/>
        </w:rPr>
        <w:t>ince 1 January 1994, the convicted have been put into 4 basic categories of prisons, which differ by the degree of external guarding, degree of security, and the way of implementing rehabilitation schemes.</w:t>
      </w:r>
    </w:p>
    <w:p w:rsidR="00EE18CE" w:rsidRDefault="00EE18CE">
      <w:pPr>
        <w:ind w:firstLine="708"/>
        <w:jc w:val="both"/>
        <w:rPr>
          <w:rFonts w:ascii="Arial" w:hAnsi="Arial" w:cs="Arial"/>
          <w:i/>
          <w:iCs/>
          <w:sz w:val="20"/>
          <w:lang w:val="en-GB"/>
        </w:rPr>
      </w:pPr>
    </w:p>
    <w:p w:rsidR="00EE18CE" w:rsidRDefault="00EE18CE">
      <w:pPr>
        <w:ind w:firstLine="708"/>
        <w:jc w:val="both"/>
        <w:rPr>
          <w:rFonts w:ascii="Arial" w:hAnsi="Arial" w:cs="Arial"/>
          <w:i/>
          <w:iCs/>
          <w:sz w:val="20"/>
          <w:lang w:val="en-GB"/>
        </w:rPr>
      </w:pPr>
      <w:r>
        <w:rPr>
          <w:rFonts w:ascii="Arial" w:hAnsi="Arial" w:cs="Arial"/>
          <w:b/>
          <w:bCs/>
          <w:i/>
          <w:iCs/>
          <w:sz w:val="20"/>
          <w:lang w:val="en-GB"/>
        </w:rPr>
        <w:t>Prison category:</w:t>
      </w:r>
      <w:r>
        <w:rPr>
          <w:rFonts w:ascii="Arial" w:hAnsi="Arial" w:cs="Arial"/>
          <w:i/>
          <w:iCs/>
          <w:sz w:val="20"/>
          <w:lang w:val="en-GB"/>
        </w:rPr>
        <w:t xml:space="preserve"> prisons are divided by way of external guarding and degree of security into four basic types as follows: guard and by security into four basic types. These are</w:t>
      </w:r>
    </w:p>
    <w:p w:rsidR="00EE18CE" w:rsidRDefault="00EE18CE">
      <w:pPr>
        <w:ind w:firstLine="708"/>
        <w:jc w:val="both"/>
        <w:rPr>
          <w:rFonts w:ascii="Arial" w:hAnsi="Arial" w:cs="Arial"/>
          <w:i/>
          <w:iCs/>
          <w:sz w:val="20"/>
          <w:lang w:val="en-GB"/>
        </w:rPr>
      </w:pPr>
    </w:p>
    <w:p w:rsidR="00EE18CE" w:rsidRDefault="00EE18CE">
      <w:pPr>
        <w:spacing w:after="120"/>
        <w:jc w:val="both"/>
        <w:rPr>
          <w:rFonts w:ascii="Arial" w:hAnsi="Arial" w:cs="Arial"/>
          <w:i/>
          <w:iCs/>
          <w:sz w:val="20"/>
          <w:lang w:val="en-GB"/>
        </w:rPr>
      </w:pPr>
      <w:r>
        <w:rPr>
          <w:rFonts w:ascii="Arial" w:hAnsi="Arial" w:cs="Arial"/>
          <w:i/>
          <w:iCs/>
          <w:sz w:val="20"/>
          <w:lang w:val="en-GB"/>
        </w:rPr>
        <w:t>a) Open prison,</w:t>
      </w:r>
    </w:p>
    <w:p w:rsidR="00EE18CE" w:rsidRDefault="00EE18CE">
      <w:pPr>
        <w:spacing w:after="120"/>
        <w:jc w:val="both"/>
        <w:rPr>
          <w:rFonts w:ascii="Arial" w:hAnsi="Arial" w:cs="Arial"/>
          <w:i/>
          <w:iCs/>
          <w:sz w:val="20"/>
          <w:lang w:val="en-GB"/>
        </w:rPr>
      </w:pPr>
      <w:r>
        <w:rPr>
          <w:rFonts w:ascii="Arial" w:hAnsi="Arial" w:cs="Arial"/>
          <w:i/>
          <w:iCs/>
          <w:sz w:val="20"/>
          <w:lang w:val="en-GB"/>
        </w:rPr>
        <w:t>b) Prison under supervision,</w:t>
      </w:r>
    </w:p>
    <w:p w:rsidR="00EE18CE" w:rsidRDefault="00EE18CE">
      <w:pPr>
        <w:spacing w:after="120"/>
        <w:jc w:val="both"/>
        <w:rPr>
          <w:rFonts w:ascii="Arial" w:hAnsi="Arial" w:cs="Arial"/>
          <w:i/>
          <w:iCs/>
          <w:sz w:val="20"/>
          <w:lang w:val="en-GB"/>
        </w:rPr>
      </w:pPr>
      <w:r>
        <w:rPr>
          <w:rFonts w:ascii="Arial" w:hAnsi="Arial" w:cs="Arial"/>
          <w:i/>
          <w:iCs/>
          <w:sz w:val="20"/>
        </w:rPr>
        <w:t>c</w:t>
      </w:r>
      <w:r>
        <w:rPr>
          <w:rFonts w:ascii="Arial" w:hAnsi="Arial" w:cs="Arial"/>
          <w:i/>
          <w:iCs/>
          <w:sz w:val="20"/>
          <w:lang w:val="en-GB"/>
        </w:rPr>
        <w:t>) Prison especially guarded,</w:t>
      </w:r>
    </w:p>
    <w:p w:rsidR="00EE18CE" w:rsidRDefault="00EE18CE">
      <w:pPr>
        <w:jc w:val="both"/>
        <w:rPr>
          <w:rFonts w:ascii="Arial" w:hAnsi="Arial" w:cs="Arial"/>
          <w:i/>
          <w:iCs/>
          <w:sz w:val="20"/>
          <w:lang w:val="en-GB"/>
        </w:rPr>
      </w:pPr>
      <w:r>
        <w:rPr>
          <w:rFonts w:ascii="Arial" w:hAnsi="Arial" w:cs="Arial"/>
          <w:i/>
          <w:iCs/>
          <w:sz w:val="20"/>
          <w:lang w:val="en-GB"/>
        </w:rPr>
        <w:t>d) Top security prison.</w:t>
      </w:r>
    </w:p>
    <w:p w:rsidR="00EE18CE" w:rsidRDefault="00EE18CE">
      <w:pPr>
        <w:jc w:val="both"/>
        <w:rPr>
          <w:rFonts w:ascii="Arial" w:hAnsi="Arial" w:cs="Arial"/>
          <w:i/>
          <w:iCs/>
          <w:sz w:val="20"/>
          <w:lang w:val="en-GB"/>
        </w:rPr>
      </w:pPr>
    </w:p>
    <w:p w:rsidR="00EE18CE" w:rsidRDefault="00EE18CE">
      <w:pPr>
        <w:pStyle w:val="Zkladntext"/>
        <w:ind w:firstLine="720"/>
        <w:jc w:val="both"/>
        <w:rPr>
          <w:rFonts w:ascii="Arial" w:hAnsi="Arial" w:cs="Arial"/>
          <w:i/>
          <w:iCs/>
          <w:sz w:val="20"/>
          <w:szCs w:val="20"/>
          <w:lang w:val="en-GB"/>
        </w:rPr>
      </w:pPr>
      <w:r>
        <w:rPr>
          <w:rFonts w:ascii="Arial" w:hAnsi="Arial" w:cs="Arial"/>
          <w:i/>
          <w:iCs/>
          <w:sz w:val="20"/>
          <w:szCs w:val="20"/>
          <w:lang w:val="en-GB"/>
        </w:rPr>
        <w:t>In addition to basic types of prisons, special prisons are established for</w:t>
      </w:r>
      <w:r>
        <w:rPr>
          <w:rFonts w:ascii="Arial" w:hAnsi="Arial" w:cs="Arial"/>
          <w:i/>
          <w:iCs/>
          <w:sz w:val="20"/>
          <w:szCs w:val="20"/>
        </w:rPr>
        <w:t xml:space="preserve"> </w:t>
      </w:r>
      <w:r>
        <w:rPr>
          <w:rFonts w:ascii="Arial" w:hAnsi="Arial" w:cs="Arial"/>
          <w:i/>
          <w:iCs/>
          <w:sz w:val="20"/>
          <w:szCs w:val="20"/>
          <w:lang w:val="en-GB"/>
        </w:rPr>
        <w:t>juveniles</w:t>
      </w:r>
      <w:r>
        <w:rPr>
          <w:rFonts w:ascii="Arial" w:hAnsi="Arial" w:cs="Arial"/>
          <w:i/>
          <w:iCs/>
          <w:sz w:val="20"/>
          <w:szCs w:val="20"/>
        </w:rPr>
        <w:t>,</w:t>
      </w:r>
      <w:r>
        <w:rPr>
          <w:rFonts w:ascii="Arial" w:hAnsi="Arial" w:cs="Arial"/>
          <w:i/>
          <w:iCs/>
          <w:sz w:val="20"/>
          <w:szCs w:val="20"/>
          <w:lang w:val="en-GB"/>
        </w:rPr>
        <w:t xml:space="preserve"> who are younger than 19 and for persons in the age of 19+, in the case of whom the court decided that they would serve their sentence among juveniles also after they reach the age of 19.</w:t>
      </w:r>
    </w:p>
    <w:p w:rsidR="00EE18CE" w:rsidRDefault="00EE18CE">
      <w:pPr>
        <w:pStyle w:val="Zkladntext"/>
        <w:ind w:firstLine="720"/>
        <w:jc w:val="both"/>
        <w:rPr>
          <w:rFonts w:ascii="Arial" w:hAnsi="Arial" w:cs="Arial"/>
          <w:i/>
          <w:iCs/>
          <w:sz w:val="20"/>
          <w:szCs w:val="20"/>
        </w:rPr>
      </w:pPr>
      <w:r>
        <w:rPr>
          <w:rFonts w:ascii="Arial" w:hAnsi="Arial" w:cs="Arial"/>
          <w:i/>
          <w:iCs/>
          <w:sz w:val="20"/>
          <w:szCs w:val="20"/>
          <w:lang w:val="en-GB"/>
        </w:rPr>
        <w:t>Within a prison, departments of various types can be established, provided that it will not endanger the purpose of a service of a sentence.</w:t>
      </w:r>
    </w:p>
    <w:sectPr w:rsidR="00EE18CE" w:rsidSect="002D33C0">
      <w:footerReference w:type="even" r:id="rId7"/>
      <w:pgSz w:w="11906" w:h="16838"/>
      <w:pgMar w:top="1134" w:right="1134" w:bottom="1418" w:left="1134" w:header="737" w:footer="73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33ED8" w:rsidRDefault="00433ED8">
      <w:r>
        <w:separator/>
      </w:r>
    </w:p>
  </w:endnote>
  <w:endnote w:type="continuationSeparator" w:id="0">
    <w:p w:rsidR="00433ED8" w:rsidRDefault="00433ED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Arial CE obyeejné">
    <w:altName w:val="Lucida Console"/>
    <w:panose1 w:val="00000000000000000000"/>
    <w:charset w:val="00"/>
    <w:family w:val="swiss"/>
    <w:notTrueType/>
    <w:pitch w:val="fixed"/>
    <w:sig w:usb0="00000003" w:usb1="00000000" w:usb2="00000000" w:usb3="00000000" w:csb0="00000001" w:csb1="00000000"/>
  </w:font>
  <w:font w:name="Arial CE tuené">
    <w:altName w:val="Lucida Console"/>
    <w:panose1 w:val="00000000000000000000"/>
    <w:charset w:val="00"/>
    <w:family w:val="swiss"/>
    <w:notTrueType/>
    <w:pitch w:val="fixed"/>
    <w:sig w:usb0="00000003" w:usb1="00000000" w:usb2="00000000" w:usb3="00000000" w:csb0="00000001" w:csb1="00000000"/>
  </w:font>
  <w:font w:name="Arial obyeejné">
    <w:altName w:val="Arial"/>
    <w:panose1 w:val="00000000000000000000"/>
    <w:charset w:val="00"/>
    <w:family w:val="swiss"/>
    <w:notTrueType/>
    <w:pitch w:val="variable"/>
    <w:sig w:usb0="00000003" w:usb1="00000000" w:usb2="00000000" w:usb3="00000000" w:csb0="00000001" w:csb1="00000000"/>
  </w:font>
  <w:font w:name="MS Sans Serif">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18CE" w:rsidRDefault="00EE18CE">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rsidR="00EE18CE" w:rsidRDefault="00EE18CE">
    <w:pPr>
      <w:pStyle w:val="Zp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33ED8" w:rsidRDefault="00433ED8">
      <w:r>
        <w:separator/>
      </w:r>
    </w:p>
  </w:footnote>
  <w:footnote w:type="continuationSeparator" w:id="0">
    <w:p w:rsidR="00433ED8" w:rsidRDefault="00433ED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FBD6CA3"/>
    <w:multiLevelType w:val="hybridMultilevel"/>
    <w:tmpl w:val="10445076"/>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08"/>
  <w:hyphenationZone w:val="425"/>
  <w:drawingGridHorizontalSpacing w:val="120"/>
  <w:displayHorizontalDrawingGridEvery w:val="2"/>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A09C8"/>
    <w:rsid w:val="000754A3"/>
    <w:rsid w:val="000C2C4A"/>
    <w:rsid w:val="0011330F"/>
    <w:rsid w:val="002D33C0"/>
    <w:rsid w:val="00332DD0"/>
    <w:rsid w:val="00433ED8"/>
    <w:rsid w:val="00470C77"/>
    <w:rsid w:val="004F054F"/>
    <w:rsid w:val="005B3746"/>
    <w:rsid w:val="00733E8F"/>
    <w:rsid w:val="0079538D"/>
    <w:rsid w:val="007E3945"/>
    <w:rsid w:val="009C3239"/>
    <w:rsid w:val="00A46F66"/>
    <w:rsid w:val="00B20CB0"/>
    <w:rsid w:val="00B976DF"/>
    <w:rsid w:val="00CD2B74"/>
    <w:rsid w:val="00D4080F"/>
    <w:rsid w:val="00DE4E3A"/>
    <w:rsid w:val="00E623A7"/>
    <w:rsid w:val="00EA09C8"/>
    <w:rsid w:val="00EE18CE"/>
  </w:rsids>
  <m:mathPr>
    <m:mathFont m:val="Cambria Math"/>
    <m:brkBin m:val="before"/>
    <m:brkBinSub m:val="--"/>
    <m:smallFrac m:val="off"/>
    <m:dispDef/>
    <m:lMargin m:val="0"/>
    <m:rMargin m:val="0"/>
    <m:defJc m:val="centerGroup"/>
    <m:wrapIndent m:val="1440"/>
    <m:intLim m:val="subSup"/>
    <m:naryLim m:val="undOvr"/>
  </m:mathPr>
  <w:uiCompat97To2003/>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Pr>
      <w:sz w:val="24"/>
      <w:szCs w:val="24"/>
    </w:rPr>
  </w:style>
  <w:style w:type="paragraph" w:styleId="Nadpis1">
    <w:name w:val="heading 1"/>
    <w:basedOn w:val="Normln"/>
    <w:next w:val="Normln"/>
    <w:qFormat/>
    <w:pPr>
      <w:keepNext/>
      <w:outlineLvl w:val="0"/>
    </w:pPr>
    <w:rPr>
      <w:u w:val="single"/>
    </w:rPr>
  </w:style>
  <w:style w:type="character" w:default="1" w:styleId="Standardnpsmoodstavce">
    <w:name w:val="Default Paragraph Font"/>
    <w:semiHidden/>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semiHidden/>
    <w:pPr>
      <w:ind w:firstLine="567"/>
      <w:jc w:val="both"/>
    </w:pPr>
    <w:rPr>
      <w:rFonts w:ascii="Arial" w:hAnsi="Arial" w:cs="Arial"/>
      <w:color w:val="FF0000"/>
      <w:sz w:val="20"/>
      <w:szCs w:val="20"/>
    </w:rPr>
  </w:style>
  <w:style w:type="paragraph" w:customStyle="1" w:styleId="text2">
    <w:name w:val="text2"/>
    <w:basedOn w:val="Normln"/>
    <w:pPr>
      <w:tabs>
        <w:tab w:val="left" w:pos="-720"/>
        <w:tab w:val="left" w:pos="1"/>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both"/>
      <w:textAlignment w:val="baseline"/>
    </w:pPr>
    <w:rPr>
      <w:rFonts w:ascii="Arial CE obyeejné" w:hAnsi="Arial CE obyeejné"/>
      <w:i/>
      <w:iCs/>
      <w:sz w:val="16"/>
      <w:szCs w:val="16"/>
      <w:lang w:val="en-US"/>
    </w:rPr>
  </w:style>
  <w:style w:type="paragraph" w:customStyle="1" w:styleId="tit2">
    <w:name w:val="tit2"/>
    <w:basedOn w:val="Normln"/>
    <w:pPr>
      <w:overflowPunct w:val="0"/>
      <w:autoSpaceDE w:val="0"/>
      <w:autoSpaceDN w:val="0"/>
      <w:adjustRightInd w:val="0"/>
      <w:spacing w:after="126"/>
      <w:textAlignment w:val="baseline"/>
    </w:pPr>
    <w:rPr>
      <w:rFonts w:ascii="Arial CE tuené" w:hAnsi="Arial CE tuené"/>
      <w:i/>
      <w:iCs/>
      <w:sz w:val="18"/>
      <w:szCs w:val="18"/>
      <w:lang w:val="en-US"/>
    </w:rPr>
  </w:style>
  <w:style w:type="paragraph" w:customStyle="1" w:styleId="podraeny">
    <w:name w:val="podraženy"/>
    <w:basedOn w:val="Normln"/>
    <w:pPr>
      <w:tabs>
        <w:tab w:val="left" w:pos="-720"/>
        <w:tab w:val="left" w:pos="1"/>
        <w:tab w:val="left" w:pos="283"/>
        <w:tab w:val="left" w:pos="566"/>
        <w:tab w:val="left" w:pos="720"/>
        <w:tab w:val="left" w:pos="851"/>
        <w:tab w:val="left" w:pos="1134"/>
        <w:tab w:val="left" w:pos="1440"/>
        <w:tab w:val="left" w:pos="1700"/>
        <w:tab w:val="left" w:pos="1984"/>
        <w:tab w:val="left" w:pos="2160"/>
        <w:tab w:val="left" w:pos="2268"/>
        <w:tab w:val="left" w:pos="2551"/>
        <w:tab w:val="left" w:pos="2834"/>
        <w:tab w:val="left" w:pos="2880"/>
        <w:tab w:val="left" w:pos="3118"/>
        <w:tab w:val="left" w:pos="3401"/>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spacing w:after="36"/>
      <w:jc w:val="both"/>
      <w:textAlignment w:val="baseline"/>
    </w:pPr>
    <w:rPr>
      <w:rFonts w:ascii="Arial obyeejné" w:hAnsi="Arial obyeejné"/>
      <w:sz w:val="20"/>
      <w:szCs w:val="20"/>
      <w:lang w:val="en-US"/>
    </w:rPr>
  </w:style>
  <w:style w:type="paragraph" w:customStyle="1" w:styleId="Normln0">
    <w:name w:val="Normln"/>
    <w:pPr>
      <w:autoSpaceDE w:val="0"/>
      <w:autoSpaceDN w:val="0"/>
      <w:adjustRightInd w:val="0"/>
    </w:pPr>
    <w:rPr>
      <w:rFonts w:ascii="MS Sans Serif" w:hAnsi="MS Sans Serif"/>
      <w:sz w:val="24"/>
      <w:szCs w:val="24"/>
    </w:rPr>
  </w:style>
  <w:style w:type="paragraph" w:styleId="Zpat">
    <w:name w:val="footer"/>
    <w:basedOn w:val="Normln"/>
    <w:semiHidden/>
    <w:pPr>
      <w:tabs>
        <w:tab w:val="center" w:pos="4536"/>
        <w:tab w:val="right" w:pos="9072"/>
      </w:tabs>
    </w:pPr>
  </w:style>
  <w:style w:type="character" w:styleId="slostrnky">
    <w:name w:val="page number"/>
    <w:basedOn w:val="Standardnpsmoodstavce"/>
    <w:semiHidden/>
  </w:style>
  <w:style w:type="paragraph" w:customStyle="1" w:styleId="text6">
    <w:name w:val="text6"/>
    <w:basedOn w:val="Normln"/>
    <w:pPr>
      <w:tabs>
        <w:tab w:val="left" w:pos="283"/>
      </w:tabs>
      <w:overflowPunct w:val="0"/>
      <w:autoSpaceDE w:val="0"/>
      <w:autoSpaceDN w:val="0"/>
      <w:adjustRightInd w:val="0"/>
      <w:spacing w:after="24"/>
      <w:jc w:val="both"/>
      <w:textAlignment w:val="baseline"/>
    </w:pPr>
    <w:rPr>
      <w:rFonts w:ascii="Arial obyeejné" w:hAnsi="Arial obyeejné"/>
      <w:b/>
      <w:bCs/>
      <w:i/>
      <w:iCs/>
      <w:sz w:val="20"/>
      <w:szCs w:val="20"/>
      <w:lang w:val="en-US"/>
    </w:rPr>
  </w:style>
  <w:style w:type="paragraph" w:styleId="Zkladntext">
    <w:name w:val="Body Text"/>
    <w:basedOn w:val="Normln"/>
    <w:semiHidden/>
    <w:pPr>
      <w:spacing w:after="120"/>
    </w:pPr>
  </w:style>
  <w:style w:type="paragraph" w:styleId="Zhlav">
    <w:name w:val="header"/>
    <w:basedOn w:val="Normln"/>
    <w:semiHidden/>
    <w:pPr>
      <w:tabs>
        <w:tab w:val="center" w:pos="4536"/>
        <w:tab w:val="right" w:pos="9072"/>
      </w:tabs>
    </w:pPr>
  </w:style>
  <w:style w:type="paragraph" w:styleId="Zkladntextodsazen2">
    <w:name w:val="Body Text Indent 2"/>
    <w:basedOn w:val="Normln"/>
    <w:semiHidden/>
    <w:pPr>
      <w:ind w:firstLine="708"/>
      <w:jc w:val="both"/>
    </w:pPr>
    <w:rPr>
      <w:rFonts w:ascii="Arial" w:hAnsi="Arial" w:cs="Arial"/>
      <w:b/>
      <w:bCs/>
      <w:sz w:val="20"/>
      <w:szCs w:val="20"/>
      <w:lang w:val="en-GB"/>
    </w:rPr>
  </w:style>
  <w:style w:type="paragraph" w:styleId="Zkladntextodsazen3">
    <w:name w:val="Body Text Indent 3"/>
    <w:basedOn w:val="Normln"/>
    <w:semiHidden/>
    <w:pPr>
      <w:ind w:firstLine="708"/>
      <w:jc w:val="both"/>
    </w:pPr>
    <w:rPr>
      <w:rFonts w:ascii="Arial" w:hAnsi="Arial" w:cs="Arial"/>
      <w:sz w:val="20"/>
      <w:szCs w:val="20"/>
      <w:lang w:val="en-G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759</Words>
  <Characters>4484</Characters>
  <Application>Microsoft Office Word</Application>
  <DocSecurity>0</DocSecurity>
  <Lines>37</Lines>
  <Paragraphs>10</Paragraphs>
  <ScaleCrop>false</ScaleCrop>
  <HeadingPairs>
    <vt:vector size="2" baseType="variant">
      <vt:variant>
        <vt:lpstr>Název</vt:lpstr>
      </vt:variant>
      <vt:variant>
        <vt:i4>1</vt:i4>
      </vt:variant>
    </vt:vector>
  </HeadingPairs>
  <TitlesOfParts>
    <vt:vector size="1" baseType="lpstr">
      <vt:lpstr>6</vt:lpstr>
    </vt:vector>
  </TitlesOfParts>
  <Company>CSU</Company>
  <LinksUpToDate>false</LinksUpToDate>
  <CharactersWithSpaces>5233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dc:title>
  <dc:creator>jileckova</dc:creator>
  <cp:lastModifiedBy>Marek Řezanka</cp:lastModifiedBy>
  <cp:revision>2</cp:revision>
  <cp:lastPrinted>2014-12-01T09:53:00Z</cp:lastPrinted>
  <dcterms:created xsi:type="dcterms:W3CDTF">2016-12-21T12:16:00Z</dcterms:created>
  <dcterms:modified xsi:type="dcterms:W3CDTF">2016-12-21T12:16:00Z</dcterms:modified>
</cp:coreProperties>
</file>