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6493" w:rsidRPr="005E1C9A" w:rsidRDefault="003C6493" w:rsidP="00D42B8D">
      <w:pPr>
        <w:spacing w:line="288" w:lineRule="auto"/>
        <w:rPr>
          <w:rFonts w:cs="Arial"/>
          <w:b/>
          <w:sz w:val="18"/>
          <w:szCs w:val="18"/>
        </w:rPr>
      </w:pPr>
      <w:r w:rsidRPr="005E1C9A">
        <w:rPr>
          <w:rFonts w:cs="Arial"/>
          <w:b/>
          <w:sz w:val="18"/>
          <w:szCs w:val="18"/>
        </w:rPr>
        <w:t>31. 3. 2014</w:t>
      </w:r>
    </w:p>
    <w:p w:rsidR="00C23F33" w:rsidRPr="005E5EBB" w:rsidRDefault="00C23F33" w:rsidP="00D123E1">
      <w:pPr>
        <w:spacing w:before="600" w:after="280"/>
        <w:rPr>
          <w:b/>
          <w:color w:val="BD1B21"/>
          <w:sz w:val="32"/>
        </w:rPr>
      </w:pPr>
      <w:r>
        <w:rPr>
          <w:b/>
          <w:color w:val="BD1B21"/>
          <w:sz w:val="32"/>
        </w:rPr>
        <w:t xml:space="preserve">Věková struktura </w:t>
      </w:r>
      <w:r w:rsidR="006F57A1">
        <w:rPr>
          <w:b/>
          <w:color w:val="BD1B21"/>
          <w:sz w:val="32"/>
        </w:rPr>
        <w:t>obyvatel</w:t>
      </w:r>
      <w:r w:rsidR="00BA37F7">
        <w:rPr>
          <w:b/>
          <w:color w:val="BD1B21"/>
          <w:sz w:val="32"/>
        </w:rPr>
        <w:t xml:space="preserve"> podle dat sčítání lidu</w:t>
      </w:r>
      <w:r w:rsidR="006F57A1">
        <w:rPr>
          <w:b/>
          <w:color w:val="BD1B21"/>
          <w:sz w:val="32"/>
        </w:rPr>
        <w:t xml:space="preserve"> </w:t>
      </w:r>
    </w:p>
    <w:p w:rsidR="00B95550" w:rsidRPr="00DF6181" w:rsidRDefault="00B95550" w:rsidP="00A00F8B">
      <w:pPr>
        <w:spacing w:line="288" w:lineRule="auto"/>
        <w:rPr>
          <w:rFonts w:cs="Arial"/>
          <w:b/>
          <w:szCs w:val="20"/>
        </w:rPr>
      </w:pPr>
    </w:p>
    <w:p w:rsidR="0070008D" w:rsidRPr="00B4348E" w:rsidRDefault="00B4348E" w:rsidP="00B25061">
      <w:pPr>
        <w:autoSpaceDE w:val="0"/>
        <w:autoSpaceDN w:val="0"/>
        <w:adjustRightInd w:val="0"/>
        <w:rPr>
          <w:rFonts w:cs="Arial"/>
          <w:b/>
          <w:szCs w:val="20"/>
          <w:lang w:eastAsia="cs-CZ"/>
        </w:rPr>
      </w:pPr>
      <w:r w:rsidRPr="00B4348E">
        <w:rPr>
          <w:rFonts w:cs="Arial"/>
          <w:b/>
          <w:szCs w:val="20"/>
          <w:lang w:eastAsia="cs-CZ"/>
        </w:rPr>
        <w:t xml:space="preserve">K základním výstupům ze sčítání lidu patří </w:t>
      </w:r>
      <w:r w:rsidR="00E23D67">
        <w:rPr>
          <w:rFonts w:cs="Arial"/>
          <w:b/>
          <w:szCs w:val="20"/>
          <w:lang w:eastAsia="cs-CZ"/>
        </w:rPr>
        <w:t>zjištění věkové</w:t>
      </w:r>
      <w:r w:rsidRPr="00B4348E">
        <w:rPr>
          <w:rFonts w:cs="Arial"/>
          <w:b/>
          <w:szCs w:val="20"/>
          <w:lang w:eastAsia="cs-CZ"/>
        </w:rPr>
        <w:t xml:space="preserve"> struktur</w:t>
      </w:r>
      <w:r w:rsidR="00E23D67">
        <w:rPr>
          <w:rFonts w:cs="Arial"/>
          <w:b/>
          <w:szCs w:val="20"/>
          <w:lang w:eastAsia="cs-CZ"/>
        </w:rPr>
        <w:t>y</w:t>
      </w:r>
      <w:r w:rsidRPr="00B4348E">
        <w:rPr>
          <w:rFonts w:cs="Arial"/>
          <w:b/>
          <w:szCs w:val="20"/>
          <w:lang w:eastAsia="cs-CZ"/>
        </w:rPr>
        <w:t xml:space="preserve"> </w:t>
      </w:r>
      <w:r w:rsidR="00501534">
        <w:rPr>
          <w:rFonts w:cs="Arial"/>
          <w:b/>
          <w:szCs w:val="20"/>
          <w:lang w:eastAsia="cs-CZ"/>
        </w:rPr>
        <w:t>obyvatelstva</w:t>
      </w:r>
      <w:r w:rsidRPr="00B4348E">
        <w:rPr>
          <w:rFonts w:cs="Arial"/>
          <w:b/>
          <w:szCs w:val="20"/>
          <w:lang w:eastAsia="cs-CZ"/>
        </w:rPr>
        <w:t>. Ta je výsledkem dlouhodobého demografic</w:t>
      </w:r>
      <w:r w:rsidR="00E23D67">
        <w:rPr>
          <w:rFonts w:cs="Arial"/>
          <w:b/>
          <w:szCs w:val="20"/>
          <w:lang w:eastAsia="cs-CZ"/>
        </w:rPr>
        <w:t xml:space="preserve">kého vývoje, </w:t>
      </w:r>
      <w:r w:rsidRPr="00B4348E">
        <w:rPr>
          <w:rFonts w:cs="Arial"/>
          <w:b/>
          <w:szCs w:val="20"/>
          <w:lang w:eastAsia="cs-CZ"/>
        </w:rPr>
        <w:t xml:space="preserve">změn v úrovni porodnosti, úmrtnosti </w:t>
      </w:r>
      <w:r w:rsidR="00782B55">
        <w:rPr>
          <w:rFonts w:cs="Arial"/>
          <w:b/>
          <w:szCs w:val="20"/>
          <w:lang w:eastAsia="cs-CZ"/>
        </w:rPr>
        <w:t>a </w:t>
      </w:r>
      <w:r w:rsidRPr="00B4348E">
        <w:rPr>
          <w:rFonts w:cs="Arial"/>
          <w:b/>
          <w:szCs w:val="20"/>
          <w:lang w:eastAsia="cs-CZ"/>
        </w:rPr>
        <w:t xml:space="preserve">zahraniční migrace. Hlavním činitelem ovlivňujícím věkovou strukturu populace České republiky byla měnící se intenzita porodnosti v průběhu 20. století, která spolu s trvalým zlepšováním úmrtnostních poměrů vyústila v tzv. stárnutí populace. To potvrdily </w:t>
      </w:r>
      <w:r w:rsidR="00334874">
        <w:rPr>
          <w:rFonts w:cs="Arial"/>
          <w:b/>
          <w:szCs w:val="20"/>
          <w:lang w:eastAsia="cs-CZ"/>
        </w:rPr>
        <w:t>také</w:t>
      </w:r>
      <w:r w:rsidRPr="00B4348E">
        <w:rPr>
          <w:rFonts w:cs="Arial"/>
          <w:b/>
          <w:szCs w:val="20"/>
          <w:lang w:eastAsia="cs-CZ"/>
        </w:rPr>
        <w:t xml:space="preserve"> výsledky </w:t>
      </w:r>
      <w:r w:rsidR="00434CF6" w:rsidRPr="00434CF6">
        <w:rPr>
          <w:rFonts w:cs="Arial"/>
          <w:b/>
          <w:i/>
          <w:szCs w:val="20"/>
          <w:lang w:eastAsia="cs-CZ"/>
        </w:rPr>
        <w:t>S</w:t>
      </w:r>
      <w:r w:rsidRPr="00434CF6">
        <w:rPr>
          <w:rFonts w:cs="Arial"/>
          <w:b/>
          <w:i/>
          <w:szCs w:val="20"/>
          <w:lang w:eastAsia="cs-CZ"/>
        </w:rPr>
        <w:t>čítání lidu, domů a bytů 2011</w:t>
      </w:r>
      <w:r w:rsidRPr="00B4348E">
        <w:rPr>
          <w:rFonts w:cs="Arial"/>
          <w:b/>
          <w:szCs w:val="20"/>
          <w:lang w:eastAsia="cs-CZ"/>
        </w:rPr>
        <w:t>.</w:t>
      </w:r>
    </w:p>
    <w:p w:rsidR="00B4348E" w:rsidRDefault="00B4348E" w:rsidP="0070008D">
      <w:pPr>
        <w:autoSpaceDE w:val="0"/>
        <w:autoSpaceDN w:val="0"/>
        <w:adjustRightInd w:val="0"/>
        <w:rPr>
          <w:rFonts w:ascii="Calibri" w:hAnsi="Calibri" w:cs="Calibri"/>
          <w:sz w:val="22"/>
          <w:lang w:eastAsia="cs-CZ"/>
        </w:rPr>
      </w:pPr>
    </w:p>
    <w:p w:rsidR="00B4348E" w:rsidRDefault="00B4348E" w:rsidP="0070008D">
      <w:pPr>
        <w:autoSpaceDE w:val="0"/>
        <w:autoSpaceDN w:val="0"/>
        <w:adjustRightInd w:val="0"/>
        <w:rPr>
          <w:rFonts w:cs="Arial"/>
          <w:b/>
          <w:sz w:val="12"/>
          <w:szCs w:val="12"/>
        </w:rPr>
      </w:pPr>
    </w:p>
    <w:p w:rsidR="0070008D" w:rsidRPr="0070008D" w:rsidRDefault="0070008D" w:rsidP="003A3A3C">
      <w:pPr>
        <w:autoSpaceDE w:val="0"/>
        <w:autoSpaceDN w:val="0"/>
        <w:adjustRightInd w:val="0"/>
        <w:spacing w:after="120"/>
        <w:rPr>
          <w:rFonts w:cs="Arial"/>
          <w:b/>
          <w:szCs w:val="20"/>
        </w:rPr>
      </w:pPr>
      <w:r w:rsidRPr="0070008D">
        <w:rPr>
          <w:rFonts w:cs="Arial"/>
          <w:b/>
          <w:szCs w:val="20"/>
        </w:rPr>
        <w:t>Metod</w:t>
      </w:r>
      <w:r w:rsidR="00AD1342">
        <w:rPr>
          <w:rFonts w:cs="Arial"/>
          <w:b/>
          <w:szCs w:val="20"/>
        </w:rPr>
        <w:t>ika</w:t>
      </w:r>
      <w:r w:rsidR="00ED4D9F">
        <w:rPr>
          <w:rFonts w:cs="Arial"/>
          <w:b/>
          <w:szCs w:val="20"/>
        </w:rPr>
        <w:t xml:space="preserve"> zjišťování věku </w:t>
      </w:r>
    </w:p>
    <w:p w:rsidR="0087207A" w:rsidRPr="00444B04" w:rsidRDefault="002B5D14" w:rsidP="00C57139">
      <w:pPr>
        <w:autoSpaceDE w:val="0"/>
        <w:autoSpaceDN w:val="0"/>
        <w:adjustRightInd w:val="0"/>
        <w:spacing w:after="240"/>
        <w:rPr>
          <w:rFonts w:ascii="BOPDNI+Arial" w:hAnsi="BOPDNI+Arial" w:cs="BOPDNI+Arial"/>
          <w:color w:val="000000"/>
          <w:szCs w:val="20"/>
        </w:rPr>
      </w:pPr>
      <w:r w:rsidRPr="0070008D">
        <w:rPr>
          <w:rFonts w:cs="Arial"/>
          <w:szCs w:val="20"/>
        </w:rPr>
        <w:t xml:space="preserve">Ve sčítání je věk odvozován z data narození osoby. Jedná se o věk dokončený tj. věk osoby při posledních narozeninách před rozhodným okamžikem sčítání. </w:t>
      </w:r>
      <w:r w:rsidR="00971FA3" w:rsidRPr="0070008D">
        <w:rPr>
          <w:rFonts w:ascii="BOPDNI+Arial" w:hAnsi="BOPDNI+Arial" w:cs="BOPDNI+Arial"/>
          <w:color w:val="000000"/>
          <w:szCs w:val="20"/>
        </w:rPr>
        <w:t>Údaje o v</w:t>
      </w:r>
      <w:r w:rsidR="00971FA3" w:rsidRPr="0070008D">
        <w:rPr>
          <w:rFonts w:cs="Arial"/>
          <w:color w:val="000000"/>
          <w:szCs w:val="20"/>
        </w:rPr>
        <w:t>ě</w:t>
      </w:r>
      <w:r w:rsidR="00971FA3" w:rsidRPr="0070008D">
        <w:rPr>
          <w:rFonts w:ascii="BOPDNI+Arial" w:hAnsi="BOPDNI+Arial" w:cs="BOPDNI+Arial"/>
          <w:color w:val="000000"/>
          <w:szCs w:val="20"/>
        </w:rPr>
        <w:t>kové struktu</w:t>
      </w:r>
      <w:r w:rsidR="00971FA3" w:rsidRPr="0070008D">
        <w:rPr>
          <w:rFonts w:cs="Arial"/>
          <w:color w:val="000000"/>
          <w:szCs w:val="20"/>
        </w:rPr>
        <w:t>ř</w:t>
      </w:r>
      <w:r w:rsidR="00971FA3" w:rsidRPr="0070008D">
        <w:rPr>
          <w:rFonts w:ascii="BOPDNI+Arial" w:hAnsi="BOPDNI+Arial" w:cs="BOPDNI+Arial"/>
          <w:color w:val="000000"/>
          <w:szCs w:val="20"/>
        </w:rPr>
        <w:t>e</w:t>
      </w:r>
      <w:r w:rsidR="007A2D3B">
        <w:rPr>
          <w:rFonts w:ascii="BOPDNI+Arial" w:hAnsi="BOPDNI+Arial" w:cs="BOPDNI+Arial"/>
          <w:color w:val="000000"/>
          <w:szCs w:val="20"/>
        </w:rPr>
        <w:t xml:space="preserve"> </w:t>
      </w:r>
      <w:r w:rsidR="00971FA3" w:rsidRPr="0070008D">
        <w:rPr>
          <w:rFonts w:ascii="BOPDNI+Arial" w:hAnsi="BOPDNI+Arial" w:cs="BOPDNI+Arial"/>
          <w:color w:val="000000"/>
          <w:szCs w:val="20"/>
        </w:rPr>
        <w:t>z</w:t>
      </w:r>
      <w:r w:rsidR="007009F7">
        <w:rPr>
          <w:rFonts w:ascii="BOPDNI+Arial" w:hAnsi="BOPDNI+Arial" w:cs="BOPDNI+Arial"/>
          <w:color w:val="000000"/>
          <w:szCs w:val="20"/>
        </w:rPr>
        <w:t> </w:t>
      </w:r>
      <w:r w:rsidR="00971FA3" w:rsidRPr="0070008D">
        <w:rPr>
          <w:rFonts w:ascii="BOPDNI+Arial" w:hAnsi="BOPDNI+Arial" w:cs="BOPDNI+Arial"/>
          <w:color w:val="000000"/>
          <w:szCs w:val="20"/>
        </w:rPr>
        <w:t>výsledk</w:t>
      </w:r>
      <w:r w:rsidR="00971FA3" w:rsidRPr="0070008D">
        <w:rPr>
          <w:rFonts w:cs="Arial"/>
          <w:color w:val="000000"/>
          <w:szCs w:val="20"/>
        </w:rPr>
        <w:t xml:space="preserve">ů </w:t>
      </w:r>
      <w:r w:rsidR="00971FA3" w:rsidRPr="0070008D">
        <w:rPr>
          <w:rFonts w:ascii="BOPDNI+Arial" w:hAnsi="BOPDNI+Arial" w:cs="BOPDNI+Arial"/>
          <w:color w:val="000000"/>
          <w:szCs w:val="20"/>
        </w:rPr>
        <w:t>s</w:t>
      </w:r>
      <w:r w:rsidR="00971FA3" w:rsidRPr="0070008D">
        <w:rPr>
          <w:rFonts w:cs="Arial"/>
          <w:color w:val="000000"/>
          <w:szCs w:val="20"/>
        </w:rPr>
        <w:t>č</w:t>
      </w:r>
      <w:r w:rsidR="00971FA3" w:rsidRPr="0070008D">
        <w:rPr>
          <w:rFonts w:ascii="BOPDNI+Arial" w:hAnsi="BOPDNI+Arial" w:cs="BOPDNI+Arial"/>
          <w:color w:val="000000"/>
          <w:szCs w:val="20"/>
        </w:rPr>
        <w:t xml:space="preserve">ítání </w:t>
      </w:r>
      <w:r w:rsidR="00977542">
        <w:rPr>
          <w:rFonts w:ascii="BOPDNI+Arial" w:hAnsi="BOPDNI+Arial" w:cs="BOPDNI+Arial"/>
          <w:color w:val="000000"/>
          <w:szCs w:val="20"/>
        </w:rPr>
        <w:t xml:space="preserve">lidu </w:t>
      </w:r>
      <w:r w:rsidR="00971FA3" w:rsidRPr="0070008D">
        <w:rPr>
          <w:rFonts w:ascii="BOPDNI+Arial" w:hAnsi="BOPDNI+Arial" w:cs="BOPDNI+Arial"/>
          <w:color w:val="000000"/>
          <w:szCs w:val="20"/>
        </w:rPr>
        <w:t>jsou p</w:t>
      </w:r>
      <w:r w:rsidR="00971FA3" w:rsidRPr="0070008D">
        <w:rPr>
          <w:rFonts w:cs="Arial"/>
          <w:color w:val="000000"/>
          <w:szCs w:val="20"/>
        </w:rPr>
        <w:t>ř</w:t>
      </w:r>
      <w:r w:rsidR="00971FA3" w:rsidRPr="0070008D">
        <w:rPr>
          <w:rFonts w:ascii="BOPDNI+Arial" w:hAnsi="BOPDNI+Arial" w:cs="BOPDNI+Arial"/>
          <w:color w:val="000000"/>
          <w:szCs w:val="20"/>
        </w:rPr>
        <w:t xml:space="preserve">esné a spolehlivé. </w:t>
      </w:r>
      <w:r w:rsidR="00AD1965" w:rsidRPr="0070008D">
        <w:rPr>
          <w:rFonts w:ascii="BOPDNI+Arial" w:hAnsi="BOPDNI+Arial" w:cs="BOPDNI+Arial"/>
          <w:color w:val="000000"/>
          <w:szCs w:val="20"/>
        </w:rPr>
        <w:t>V roce 2011</w:t>
      </w:r>
      <w:r w:rsidR="00517212" w:rsidRPr="0070008D">
        <w:rPr>
          <w:rFonts w:ascii="BOPDNI+Arial" w:hAnsi="BOPDNI+Arial" w:cs="BOPDNI+Arial"/>
          <w:color w:val="000000"/>
          <w:szCs w:val="20"/>
        </w:rPr>
        <w:t xml:space="preserve"> se </w:t>
      </w:r>
      <w:r w:rsidR="00AD1965" w:rsidRPr="0070008D">
        <w:rPr>
          <w:rFonts w:ascii="BOPDNI+Arial" w:hAnsi="BOPDNI+Arial" w:cs="BOPDNI+Arial"/>
          <w:color w:val="000000"/>
          <w:szCs w:val="20"/>
        </w:rPr>
        <w:t>d</w:t>
      </w:r>
      <w:r w:rsidR="00971FA3" w:rsidRPr="0070008D">
        <w:rPr>
          <w:rFonts w:ascii="BOPDNI+Arial" w:hAnsi="BOPDNI+Arial" w:cs="BOPDNI+Arial"/>
          <w:color w:val="000000"/>
          <w:szCs w:val="20"/>
        </w:rPr>
        <w:t>atum narození nepodařilo zjistit u</w:t>
      </w:r>
      <w:r w:rsidR="007009F7">
        <w:rPr>
          <w:rFonts w:ascii="BOPDNI+Arial" w:hAnsi="BOPDNI+Arial" w:cs="BOPDNI+Arial"/>
          <w:color w:val="000000"/>
          <w:szCs w:val="20"/>
        </w:rPr>
        <w:t> </w:t>
      </w:r>
      <w:r w:rsidR="00971FA3" w:rsidRPr="0070008D">
        <w:rPr>
          <w:rFonts w:ascii="BOPDNI+Arial" w:hAnsi="BOPDNI+Arial" w:cs="BOPDNI+Arial"/>
          <w:color w:val="000000"/>
          <w:szCs w:val="20"/>
        </w:rPr>
        <w:t>35 627 osob, což představuje</w:t>
      </w:r>
      <w:r w:rsidR="00DC52C8" w:rsidRPr="0070008D">
        <w:rPr>
          <w:rFonts w:ascii="BOPDNI+Arial" w:hAnsi="BOPDNI+Arial" w:cs="BOPDNI+Arial"/>
          <w:color w:val="000000"/>
          <w:szCs w:val="20"/>
        </w:rPr>
        <w:t xml:space="preserve"> pouze</w:t>
      </w:r>
      <w:r w:rsidR="00971FA3" w:rsidRPr="0070008D">
        <w:rPr>
          <w:rFonts w:ascii="BOPDNI+Arial" w:hAnsi="BOPDNI+Arial" w:cs="BOPDNI+Arial"/>
          <w:color w:val="000000"/>
          <w:szCs w:val="20"/>
        </w:rPr>
        <w:t xml:space="preserve"> 0,3 % </w:t>
      </w:r>
      <w:r w:rsidR="00E52D36" w:rsidRPr="0070008D">
        <w:rPr>
          <w:rFonts w:ascii="BOPDNI+Arial" w:hAnsi="BOPDNI+Arial" w:cs="BOPDNI+Arial"/>
          <w:color w:val="000000"/>
          <w:szCs w:val="20"/>
        </w:rPr>
        <w:t xml:space="preserve">z </w:t>
      </w:r>
      <w:r w:rsidR="00971FA3" w:rsidRPr="0070008D">
        <w:rPr>
          <w:rFonts w:ascii="BOPDNI+Arial" w:hAnsi="BOPDNI+Arial" w:cs="BOPDNI+Arial"/>
          <w:color w:val="000000"/>
          <w:szCs w:val="20"/>
        </w:rPr>
        <w:t xml:space="preserve">celkového počtu obyvatel. </w:t>
      </w:r>
      <w:r w:rsidR="007F37AB">
        <w:rPr>
          <w:rFonts w:ascii="BOPDNI+Arial" w:hAnsi="BOPDNI+Arial" w:cs="BOPDNI+Arial"/>
          <w:color w:val="000000"/>
          <w:szCs w:val="20"/>
        </w:rPr>
        <w:t xml:space="preserve">Nízké procento nezjištěných údajů </w:t>
      </w:r>
      <w:r w:rsidR="00DA37C9">
        <w:rPr>
          <w:rFonts w:ascii="BOPDNI+Arial" w:hAnsi="BOPDNI+Arial" w:cs="BOPDNI+Arial"/>
          <w:color w:val="000000"/>
          <w:szCs w:val="20"/>
        </w:rPr>
        <w:t>souvisí</w:t>
      </w:r>
      <w:r w:rsidR="006D442A">
        <w:rPr>
          <w:rFonts w:ascii="BOPDNI+Arial" w:hAnsi="BOPDNI+Arial" w:cs="BOPDNI+Arial"/>
          <w:color w:val="000000"/>
          <w:szCs w:val="20"/>
        </w:rPr>
        <w:t xml:space="preserve"> také</w:t>
      </w:r>
      <w:r w:rsidR="00C57139">
        <w:rPr>
          <w:rFonts w:ascii="BOPDNI+Arial" w:hAnsi="BOPDNI+Arial" w:cs="BOPDNI+Arial"/>
          <w:color w:val="000000"/>
          <w:szCs w:val="20"/>
        </w:rPr>
        <w:t xml:space="preserve"> s</w:t>
      </w:r>
      <w:r w:rsidR="006D442A">
        <w:rPr>
          <w:rFonts w:ascii="BOPDNI+Arial" w:hAnsi="BOPDNI+Arial" w:cs="BOPDNI+Arial"/>
          <w:color w:val="000000"/>
          <w:szCs w:val="20"/>
        </w:rPr>
        <w:t xml:space="preserve"> využití</w:t>
      </w:r>
      <w:r w:rsidR="00E414A0">
        <w:rPr>
          <w:rFonts w:ascii="BOPDNI+Arial" w:hAnsi="BOPDNI+Arial" w:cs="BOPDNI+Arial"/>
          <w:color w:val="000000"/>
          <w:szCs w:val="20"/>
        </w:rPr>
        <w:t>m</w:t>
      </w:r>
      <w:r w:rsidR="006D442A">
        <w:rPr>
          <w:rFonts w:ascii="BOPDNI+Arial" w:hAnsi="BOPDNI+Arial" w:cs="BOPDNI+Arial"/>
          <w:color w:val="000000"/>
          <w:szCs w:val="20"/>
        </w:rPr>
        <w:t xml:space="preserve"> administrativního zdroje</w:t>
      </w:r>
      <w:r w:rsidR="00C57139">
        <w:rPr>
          <w:rFonts w:ascii="BOPDNI+Arial" w:hAnsi="BOPDNI+Arial" w:cs="BOPDNI+Arial"/>
          <w:color w:val="000000"/>
          <w:szCs w:val="20"/>
        </w:rPr>
        <w:t xml:space="preserve"> </w:t>
      </w:r>
      <w:r w:rsidR="00DA37C9">
        <w:rPr>
          <w:rFonts w:ascii="BOPDNI+Arial" w:hAnsi="BOPDNI+Arial" w:cs="BOPDNI+Arial"/>
          <w:color w:val="000000"/>
          <w:szCs w:val="20"/>
        </w:rPr>
        <w:t xml:space="preserve">v případě neúplného vyplnění data narození. </w:t>
      </w:r>
      <w:r w:rsidR="006D442A">
        <w:rPr>
          <w:rFonts w:ascii="BOPDNI+Arial" w:hAnsi="BOPDNI+Arial" w:cs="BOPDNI+Arial"/>
          <w:color w:val="000000"/>
          <w:szCs w:val="20"/>
        </w:rPr>
        <w:t xml:space="preserve"> </w:t>
      </w:r>
    </w:p>
    <w:p w:rsidR="00C57139" w:rsidRPr="00C57139" w:rsidRDefault="00C57139" w:rsidP="00D339AA">
      <w:pPr>
        <w:spacing w:after="120"/>
        <w:rPr>
          <w:rFonts w:cs="Arial"/>
          <w:b/>
          <w:sz w:val="12"/>
          <w:szCs w:val="12"/>
        </w:rPr>
      </w:pPr>
    </w:p>
    <w:p w:rsidR="005E1C9A" w:rsidRPr="00531698" w:rsidRDefault="005E1C9A" w:rsidP="00D339AA">
      <w:pPr>
        <w:spacing w:after="120"/>
        <w:rPr>
          <w:rFonts w:cs="Arial"/>
          <w:b/>
          <w:szCs w:val="20"/>
        </w:rPr>
      </w:pPr>
      <w:r w:rsidRPr="00531698">
        <w:rPr>
          <w:rFonts w:cs="Arial"/>
          <w:b/>
          <w:szCs w:val="20"/>
        </w:rPr>
        <w:t>Dlouhodobý vývoj věkové struktury</w:t>
      </w:r>
    </w:p>
    <w:p w:rsidR="00C05F60" w:rsidRDefault="004A56BB" w:rsidP="00293F6F">
      <w:pPr>
        <w:spacing w:after="200"/>
        <w:rPr>
          <w:rFonts w:cs="Arial"/>
          <w:szCs w:val="20"/>
        </w:rPr>
      </w:pPr>
      <w:r w:rsidRPr="004A56BB">
        <w:rPr>
          <w:rFonts w:cs="Arial"/>
          <w:szCs w:val="20"/>
        </w:rPr>
        <w:t xml:space="preserve">Počet obyvatel </w:t>
      </w:r>
      <w:r w:rsidR="005B6F7F">
        <w:rPr>
          <w:rFonts w:cs="Arial"/>
          <w:szCs w:val="20"/>
        </w:rPr>
        <w:t xml:space="preserve">celkem i </w:t>
      </w:r>
      <w:r w:rsidRPr="004A56BB">
        <w:rPr>
          <w:rFonts w:cs="Arial"/>
          <w:szCs w:val="20"/>
        </w:rPr>
        <w:t xml:space="preserve">v jednotlivých věkových skupinách </w:t>
      </w:r>
      <w:r w:rsidR="005B6F7F">
        <w:rPr>
          <w:rFonts w:cs="Arial"/>
          <w:szCs w:val="20"/>
        </w:rPr>
        <w:t>měl</w:t>
      </w:r>
      <w:r w:rsidR="005B6F7F" w:rsidRPr="004A56BB">
        <w:rPr>
          <w:rFonts w:cs="Arial"/>
          <w:szCs w:val="20"/>
        </w:rPr>
        <w:t xml:space="preserve"> </w:t>
      </w:r>
      <w:r w:rsidRPr="004A56BB">
        <w:rPr>
          <w:rFonts w:cs="Arial"/>
          <w:szCs w:val="20"/>
        </w:rPr>
        <w:t xml:space="preserve">v poválečné historii </w:t>
      </w:r>
      <w:r w:rsidR="005B6F7F">
        <w:rPr>
          <w:rFonts w:cs="Arial"/>
          <w:szCs w:val="20"/>
        </w:rPr>
        <w:t>vývoj značně nepravidelný</w:t>
      </w:r>
      <w:r w:rsidR="00B102C7">
        <w:rPr>
          <w:rFonts w:cs="Arial"/>
          <w:szCs w:val="20"/>
        </w:rPr>
        <w:t xml:space="preserve">, přičemž pro kategorie produktivního </w:t>
      </w:r>
      <w:r w:rsidR="00CA61FE">
        <w:rPr>
          <w:rFonts w:cs="Arial"/>
          <w:szCs w:val="20"/>
        </w:rPr>
        <w:t xml:space="preserve">(15 </w:t>
      </w:r>
      <w:r w:rsidR="00545D85">
        <w:rPr>
          <w:rFonts w:cs="Arial"/>
          <w:szCs w:val="20"/>
        </w:rPr>
        <w:t>až</w:t>
      </w:r>
      <w:r w:rsidR="00CA61FE">
        <w:rPr>
          <w:rFonts w:cs="Arial"/>
          <w:szCs w:val="20"/>
        </w:rPr>
        <w:t xml:space="preserve"> 64 let) </w:t>
      </w:r>
      <w:r w:rsidR="00B102C7">
        <w:rPr>
          <w:rFonts w:cs="Arial"/>
          <w:szCs w:val="20"/>
        </w:rPr>
        <w:t xml:space="preserve">a poproduktivního věku </w:t>
      </w:r>
      <w:r w:rsidR="00CA61FE">
        <w:rPr>
          <w:rFonts w:cs="Arial"/>
          <w:szCs w:val="20"/>
        </w:rPr>
        <w:t xml:space="preserve">(nad 65 let) </w:t>
      </w:r>
      <w:r w:rsidR="00B102C7">
        <w:rPr>
          <w:rFonts w:cs="Arial"/>
          <w:szCs w:val="20"/>
        </w:rPr>
        <w:t>platily trendy spíše růstové (s rozdílnou intenzito</w:t>
      </w:r>
      <w:r w:rsidR="00C207AE">
        <w:rPr>
          <w:rFonts w:cs="Arial"/>
          <w:szCs w:val="20"/>
        </w:rPr>
        <w:t>u</w:t>
      </w:r>
      <w:r w:rsidR="00B102C7">
        <w:rPr>
          <w:rFonts w:cs="Arial"/>
          <w:szCs w:val="20"/>
        </w:rPr>
        <w:t>)</w:t>
      </w:r>
      <w:r w:rsidR="00C207AE">
        <w:rPr>
          <w:rFonts w:cs="Arial"/>
          <w:szCs w:val="20"/>
        </w:rPr>
        <w:t>. D</w:t>
      </w:r>
      <w:r w:rsidR="00B102C7">
        <w:rPr>
          <w:rFonts w:cs="Arial"/>
          <w:szCs w:val="20"/>
        </w:rPr>
        <w:t xml:space="preserve">ětská složka 0 </w:t>
      </w:r>
      <w:r w:rsidR="00545D85">
        <w:rPr>
          <w:rFonts w:cs="Arial"/>
          <w:szCs w:val="20"/>
        </w:rPr>
        <w:t>až</w:t>
      </w:r>
      <w:r w:rsidR="00B102C7">
        <w:rPr>
          <w:rFonts w:cs="Arial"/>
          <w:szCs w:val="20"/>
        </w:rPr>
        <w:t xml:space="preserve"> 14 let častěji vykazovala pokles; pří</w:t>
      </w:r>
      <w:r w:rsidR="00C207AE">
        <w:rPr>
          <w:rFonts w:cs="Arial"/>
          <w:szCs w:val="20"/>
        </w:rPr>
        <w:t>rů</w:t>
      </w:r>
      <w:r w:rsidR="00B102C7">
        <w:rPr>
          <w:rFonts w:cs="Arial"/>
          <w:szCs w:val="20"/>
        </w:rPr>
        <w:t>stky byly pouze v poválečném období a v sedmdesátých letech (důsledek přijatých pronatalitních opatření)</w:t>
      </w:r>
      <w:r w:rsidR="00E37CC0">
        <w:rPr>
          <w:rFonts w:cs="Arial"/>
          <w:szCs w:val="20"/>
        </w:rPr>
        <w:t>.</w:t>
      </w:r>
      <w:r w:rsidRPr="004A56BB">
        <w:rPr>
          <w:rFonts w:cs="Arial"/>
          <w:szCs w:val="20"/>
        </w:rPr>
        <w:t xml:space="preserve"> </w:t>
      </w:r>
    </w:p>
    <w:p w:rsidR="00073DD5" w:rsidRPr="00073DD5" w:rsidRDefault="00575E32" w:rsidP="00293F6F">
      <w:pPr>
        <w:spacing w:after="60" w:line="288" w:lineRule="auto"/>
        <w:rPr>
          <w:rFonts w:cs="Arial"/>
          <w:b/>
          <w:szCs w:val="20"/>
        </w:rPr>
      </w:pPr>
      <w:r>
        <w:rPr>
          <w:rFonts w:cs="Arial"/>
          <w:b/>
          <w:szCs w:val="20"/>
        </w:rPr>
        <w:t>Tab.</w:t>
      </w:r>
      <w:r w:rsidR="00073DD5" w:rsidRPr="00073DD5">
        <w:rPr>
          <w:rFonts w:cs="Arial"/>
          <w:b/>
          <w:szCs w:val="20"/>
        </w:rPr>
        <w:t xml:space="preserve"> 1: Vývoj počtu obyvatel podle věku z výsledků sčítání lidu, domů a bytů</w:t>
      </w:r>
    </w:p>
    <w:p w:rsidR="002601B3" w:rsidRDefault="00BE0E9E" w:rsidP="00AA5EFD">
      <w:pPr>
        <w:spacing w:line="288" w:lineRule="auto"/>
        <w:rPr>
          <w:rFonts w:cs="Arial"/>
          <w:szCs w:val="20"/>
        </w:rPr>
      </w:pPr>
      <w:r w:rsidRPr="00781EEF">
        <w:rPr>
          <w:rFonts w:cs="Arial"/>
          <w:szCs w:val="20"/>
        </w:rPr>
        <w:object w:dxaOrig="8748" w:dyaOrig="25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25pt;height:126.75pt" o:ole="">
            <v:imagedata r:id="rId8" o:title=""/>
          </v:shape>
          <o:OLEObject Type="Embed" ProgID="Excel.Sheet.12" ShapeID="_x0000_i1025" DrawAspect="Content" ObjectID="_1456725348" r:id="rId9"/>
        </w:object>
      </w:r>
    </w:p>
    <w:p w:rsidR="001406E5" w:rsidRDefault="00B102C7" w:rsidP="00D9189B">
      <w:pPr>
        <w:spacing w:after="200"/>
        <w:rPr>
          <w:rFonts w:cs="Arial"/>
          <w:b/>
          <w:noProof/>
          <w:szCs w:val="20"/>
          <w:lang w:eastAsia="cs-CZ"/>
        </w:rPr>
      </w:pPr>
      <w:r>
        <w:rPr>
          <w:rFonts w:cs="Arial"/>
          <w:szCs w:val="20"/>
        </w:rPr>
        <w:lastRenderedPageBreak/>
        <w:t xml:space="preserve">Za celé období 1950 </w:t>
      </w:r>
      <w:r w:rsidR="00A42EE3">
        <w:rPr>
          <w:rFonts w:cs="Arial"/>
          <w:szCs w:val="20"/>
        </w:rPr>
        <w:t>až</w:t>
      </w:r>
      <w:r>
        <w:rPr>
          <w:rFonts w:cs="Arial"/>
          <w:szCs w:val="20"/>
        </w:rPr>
        <w:t xml:space="preserve"> 2011 se d</w:t>
      </w:r>
      <w:r w:rsidR="004A56BB">
        <w:rPr>
          <w:rFonts w:cs="Arial"/>
          <w:szCs w:val="20"/>
        </w:rPr>
        <w:t>ětská složka populace zmen</w:t>
      </w:r>
      <w:r w:rsidR="004A2CE7">
        <w:rPr>
          <w:rFonts w:cs="Arial"/>
          <w:szCs w:val="20"/>
        </w:rPr>
        <w:t>š</w:t>
      </w:r>
      <w:r w:rsidR="004A56BB">
        <w:rPr>
          <w:rFonts w:cs="Arial"/>
          <w:szCs w:val="20"/>
        </w:rPr>
        <w:t xml:space="preserve">ila o </w:t>
      </w:r>
      <w:r w:rsidR="004A2CE7">
        <w:rPr>
          <w:rFonts w:cs="Arial"/>
          <w:szCs w:val="20"/>
        </w:rPr>
        <w:t>649 tisíc osob</w:t>
      </w:r>
      <w:r w:rsidR="001A1CC6">
        <w:rPr>
          <w:rFonts w:cs="Arial"/>
          <w:szCs w:val="20"/>
        </w:rPr>
        <w:t xml:space="preserve"> na méně než 1,5 mil osob</w:t>
      </w:r>
      <w:r w:rsidR="004A2CE7">
        <w:rPr>
          <w:rFonts w:cs="Arial"/>
          <w:szCs w:val="20"/>
        </w:rPr>
        <w:t xml:space="preserve">. Na druhé straně velikost nejstarší věkové skupiny osob 65 a víceletých se ve zmiňovaném období </w:t>
      </w:r>
      <w:r w:rsidR="00213B68">
        <w:rPr>
          <w:rFonts w:cs="Arial"/>
          <w:szCs w:val="20"/>
        </w:rPr>
        <w:t>více než</w:t>
      </w:r>
      <w:r w:rsidR="004A2CE7">
        <w:rPr>
          <w:rFonts w:cs="Arial"/>
          <w:szCs w:val="20"/>
        </w:rPr>
        <w:t xml:space="preserve"> zdvojnásobila</w:t>
      </w:r>
      <w:r w:rsidR="00C207AE">
        <w:rPr>
          <w:rFonts w:cs="Arial"/>
          <w:szCs w:val="20"/>
        </w:rPr>
        <w:t xml:space="preserve"> </w:t>
      </w:r>
      <w:r w:rsidR="00496585">
        <w:rPr>
          <w:rFonts w:cs="Arial"/>
          <w:szCs w:val="20"/>
        </w:rPr>
        <w:t xml:space="preserve">na 1,6 mil. osob. Změnila se </w:t>
      </w:r>
      <w:r w:rsidR="00AA5EFD">
        <w:rPr>
          <w:rFonts w:cs="Arial"/>
          <w:szCs w:val="20"/>
        </w:rPr>
        <w:t>tak základní pro</w:t>
      </w:r>
      <w:r w:rsidR="00882CCD">
        <w:rPr>
          <w:rFonts w:cs="Arial"/>
          <w:szCs w:val="20"/>
        </w:rPr>
        <w:t xml:space="preserve">porce věkové struktury obyvatel </w:t>
      </w:r>
      <w:r w:rsidR="00290ECB">
        <w:rPr>
          <w:rFonts w:cs="Arial"/>
          <w:szCs w:val="20"/>
        </w:rPr>
        <w:t>(</w:t>
      </w:r>
      <w:r w:rsidR="001821CB">
        <w:rPr>
          <w:rFonts w:cs="Arial"/>
          <w:szCs w:val="20"/>
        </w:rPr>
        <w:t>graf</w:t>
      </w:r>
      <w:r w:rsidR="00882CCD">
        <w:rPr>
          <w:rFonts w:cs="Arial"/>
          <w:szCs w:val="20"/>
        </w:rPr>
        <w:t xml:space="preserve"> 1).</w:t>
      </w:r>
      <w:r w:rsidR="001406E5" w:rsidRPr="001406E5">
        <w:rPr>
          <w:rFonts w:cs="Arial"/>
          <w:b/>
          <w:noProof/>
          <w:szCs w:val="20"/>
          <w:lang w:eastAsia="cs-CZ"/>
        </w:rPr>
        <w:t xml:space="preserve"> </w:t>
      </w:r>
    </w:p>
    <w:p w:rsidR="001762BC" w:rsidRPr="00073DD5" w:rsidRDefault="001821CB" w:rsidP="001762BC">
      <w:pPr>
        <w:spacing w:line="288" w:lineRule="auto"/>
        <w:rPr>
          <w:rFonts w:cs="Arial"/>
          <w:b/>
          <w:szCs w:val="20"/>
        </w:rPr>
      </w:pPr>
      <w:r>
        <w:rPr>
          <w:rFonts w:cs="Arial"/>
          <w:b/>
          <w:szCs w:val="20"/>
        </w:rPr>
        <w:t>Graf</w:t>
      </w:r>
      <w:r w:rsidR="001406E5">
        <w:rPr>
          <w:rFonts w:cs="Arial"/>
          <w:b/>
          <w:szCs w:val="20"/>
        </w:rPr>
        <w:t xml:space="preserve"> 1:</w:t>
      </w:r>
      <w:r w:rsidR="00DC52C8">
        <w:rPr>
          <w:rFonts w:cs="Arial"/>
          <w:b/>
          <w:szCs w:val="20"/>
        </w:rPr>
        <w:t xml:space="preserve"> </w:t>
      </w:r>
      <w:r w:rsidR="001406E5">
        <w:rPr>
          <w:rFonts w:cs="Arial"/>
          <w:b/>
          <w:szCs w:val="20"/>
        </w:rPr>
        <w:t xml:space="preserve">Vývoj počtu obyvatel ve věkových skupinách </w:t>
      </w:r>
      <w:r w:rsidR="001762BC" w:rsidRPr="00073DD5">
        <w:rPr>
          <w:rFonts w:cs="Arial"/>
          <w:b/>
          <w:szCs w:val="20"/>
        </w:rPr>
        <w:t>z výsledků sčítání lidu, domů a bytů</w:t>
      </w:r>
    </w:p>
    <w:p w:rsidR="00AA5EFD" w:rsidRDefault="001406E5" w:rsidP="00AA5EFD">
      <w:pPr>
        <w:spacing w:line="288" w:lineRule="auto"/>
        <w:rPr>
          <w:rFonts w:cs="Arial"/>
          <w:szCs w:val="20"/>
        </w:rPr>
      </w:pPr>
      <w:r w:rsidRPr="00FE2E52">
        <w:rPr>
          <w:rFonts w:cs="Arial"/>
          <w:b/>
          <w:noProof/>
          <w:szCs w:val="20"/>
          <w:lang w:eastAsia="cs-CZ"/>
        </w:rPr>
        <w:drawing>
          <wp:inline distT="0" distB="0" distL="0" distR="0">
            <wp:extent cx="5400040" cy="2810225"/>
            <wp:effectExtent l="0" t="0" r="0" b="0"/>
            <wp:docPr id="2"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A5EFD" w:rsidRDefault="007742C5" w:rsidP="00D9189B">
      <w:pPr>
        <w:spacing w:before="120" w:after="200"/>
        <w:rPr>
          <w:rFonts w:cs="Arial"/>
          <w:szCs w:val="20"/>
        </w:rPr>
      </w:pPr>
      <w:r>
        <w:rPr>
          <w:rFonts w:cs="Arial"/>
          <w:szCs w:val="20"/>
        </w:rPr>
        <w:t>Nepravidelnosti vývoje dokumentují i hodnoty temp růstu mezi sčítáními</w:t>
      </w:r>
      <w:r w:rsidR="005B1074">
        <w:rPr>
          <w:rFonts w:cs="Arial"/>
          <w:szCs w:val="20"/>
        </w:rPr>
        <w:t xml:space="preserve"> (tab. </w:t>
      </w:r>
      <w:r w:rsidR="009C1E8D">
        <w:rPr>
          <w:rFonts w:cs="Arial"/>
          <w:szCs w:val="20"/>
        </w:rPr>
        <w:t>2</w:t>
      </w:r>
      <w:r w:rsidR="00882CCD">
        <w:rPr>
          <w:rFonts w:cs="Arial"/>
          <w:szCs w:val="20"/>
        </w:rPr>
        <w:t>)</w:t>
      </w:r>
      <w:r>
        <w:rPr>
          <w:rFonts w:cs="Arial"/>
          <w:szCs w:val="20"/>
        </w:rPr>
        <w:t xml:space="preserve">. Zatímco celkový počet obyvatel a počty osob v produktivním věku oscilovaly kolem průměrného indexu růstu 103 %, výkyvy zejména u obyvatel ve věku 0 </w:t>
      </w:r>
      <w:r w:rsidR="00A42EE3">
        <w:rPr>
          <w:rFonts w:cs="Arial"/>
          <w:szCs w:val="20"/>
        </w:rPr>
        <w:t>až</w:t>
      </w:r>
      <w:r>
        <w:rPr>
          <w:rFonts w:cs="Arial"/>
          <w:szCs w:val="20"/>
        </w:rPr>
        <w:t xml:space="preserve"> 14 let by</w:t>
      </w:r>
      <w:r w:rsidR="00DC52C8">
        <w:rPr>
          <w:rFonts w:cs="Arial"/>
          <w:szCs w:val="20"/>
        </w:rPr>
        <w:t>ly v intervalu mezi maximem 116 </w:t>
      </w:r>
      <w:r>
        <w:rPr>
          <w:rFonts w:cs="Arial"/>
          <w:szCs w:val="20"/>
        </w:rPr>
        <w:t xml:space="preserve">% (index 1980/1970) a minimem 76 % (index 2001/1991). Uvedené velké rozdíly jsou ale </w:t>
      </w:r>
      <w:r w:rsidR="00A42EE3">
        <w:rPr>
          <w:rFonts w:cs="Arial"/>
          <w:szCs w:val="20"/>
        </w:rPr>
        <w:t xml:space="preserve">do značné míry </w:t>
      </w:r>
      <w:r>
        <w:rPr>
          <w:rFonts w:cs="Arial"/>
          <w:szCs w:val="20"/>
        </w:rPr>
        <w:t xml:space="preserve">ovlivněny </w:t>
      </w:r>
      <w:r w:rsidR="00897E3F">
        <w:rPr>
          <w:rFonts w:cs="Arial"/>
          <w:szCs w:val="20"/>
        </w:rPr>
        <w:t>početností</w:t>
      </w:r>
      <w:r>
        <w:rPr>
          <w:rFonts w:cs="Arial"/>
          <w:szCs w:val="20"/>
        </w:rPr>
        <w:t xml:space="preserve"> souborů v absolutním vyjádření, což dramatické změny vývoje u počtu osob ve věku 0 </w:t>
      </w:r>
      <w:r w:rsidR="00DE68E1">
        <w:rPr>
          <w:rFonts w:cs="Arial"/>
          <w:szCs w:val="20"/>
        </w:rPr>
        <w:t xml:space="preserve">až </w:t>
      </w:r>
      <w:r>
        <w:rPr>
          <w:rFonts w:cs="Arial"/>
          <w:szCs w:val="20"/>
        </w:rPr>
        <w:t xml:space="preserve">14 let poněkud relativizuje. Přesto vývojové trendy (bez ohledu na míru změny) potvrzují rozdíly ve vývoji. </w:t>
      </w:r>
      <w:r w:rsidR="00EA0C15">
        <w:rPr>
          <w:rFonts w:cs="Arial"/>
          <w:szCs w:val="20"/>
        </w:rPr>
        <w:t>Trend vývoje nejpočetnější složky populace tj.</w:t>
      </w:r>
      <w:r w:rsidR="00485F72">
        <w:rPr>
          <w:rFonts w:cs="Arial"/>
          <w:szCs w:val="20"/>
        </w:rPr>
        <w:t> </w:t>
      </w:r>
      <w:r w:rsidR="00EA0C15">
        <w:rPr>
          <w:rFonts w:cs="Arial"/>
          <w:szCs w:val="20"/>
        </w:rPr>
        <w:t>obyvatel ve věku 15 až 64 let je obdobný jako vývoj celkového počtu obyvatel.</w:t>
      </w:r>
    </w:p>
    <w:p w:rsidR="001406E5" w:rsidRPr="00411170" w:rsidRDefault="001406E5" w:rsidP="00D9189B">
      <w:pPr>
        <w:spacing w:after="60" w:line="288" w:lineRule="auto"/>
        <w:rPr>
          <w:rFonts w:cs="Arial"/>
          <w:b/>
          <w:szCs w:val="20"/>
        </w:rPr>
      </w:pPr>
      <w:r w:rsidRPr="00411170">
        <w:rPr>
          <w:rFonts w:cs="Arial"/>
          <w:b/>
          <w:szCs w:val="20"/>
        </w:rPr>
        <w:t>Ta</w:t>
      </w:r>
      <w:r w:rsidR="005B1074">
        <w:rPr>
          <w:rFonts w:cs="Arial"/>
          <w:b/>
          <w:szCs w:val="20"/>
        </w:rPr>
        <w:t>b.</w:t>
      </w:r>
      <w:r w:rsidRPr="00411170">
        <w:rPr>
          <w:rFonts w:cs="Arial"/>
          <w:b/>
          <w:szCs w:val="20"/>
        </w:rPr>
        <w:t xml:space="preserve"> 2: Indexy růstu počtu obyvatel mezi sčítáními </w:t>
      </w:r>
    </w:p>
    <w:p w:rsidR="000337CB" w:rsidRDefault="005205FF" w:rsidP="000337CB">
      <w:pPr>
        <w:spacing w:line="288" w:lineRule="auto"/>
        <w:rPr>
          <w:rFonts w:cs="Arial"/>
          <w:szCs w:val="20"/>
        </w:rPr>
      </w:pPr>
      <w:r w:rsidRPr="00141C12">
        <w:rPr>
          <w:rFonts w:cs="Arial"/>
          <w:szCs w:val="20"/>
        </w:rPr>
        <w:object w:dxaOrig="8590" w:dyaOrig="2286">
          <v:shape id="_x0000_i1026" type="#_x0000_t75" style="width:429.75pt;height:114pt" o:ole="">
            <v:imagedata r:id="rId11" o:title=""/>
          </v:shape>
          <o:OLEObject Type="Embed" ProgID="Excel.Sheet.12" ShapeID="_x0000_i1026" DrawAspect="Content" ObjectID="_1456725349" r:id="rId12"/>
        </w:object>
      </w:r>
    </w:p>
    <w:p w:rsidR="00E424E8" w:rsidRPr="003615BA" w:rsidRDefault="00AF7A10" w:rsidP="001B5192">
      <w:pPr>
        <w:spacing w:after="200"/>
        <w:rPr>
          <w:rFonts w:cs="Arial"/>
          <w:szCs w:val="20"/>
        </w:rPr>
      </w:pPr>
      <w:r>
        <w:rPr>
          <w:rFonts w:cs="Arial"/>
          <w:szCs w:val="20"/>
        </w:rPr>
        <w:t>Změny v početnosti jednotlivých složek populace mají vliv na</w:t>
      </w:r>
      <w:r w:rsidR="00F45512">
        <w:rPr>
          <w:rFonts w:cs="Arial"/>
          <w:szCs w:val="20"/>
        </w:rPr>
        <w:t xml:space="preserve"> jejich vzájemný</w:t>
      </w:r>
      <w:r>
        <w:rPr>
          <w:rFonts w:cs="Arial"/>
          <w:szCs w:val="20"/>
        </w:rPr>
        <w:t xml:space="preserve"> poměr</w:t>
      </w:r>
      <w:r w:rsidR="00E424E8">
        <w:rPr>
          <w:rFonts w:cs="Arial"/>
          <w:szCs w:val="20"/>
        </w:rPr>
        <w:t xml:space="preserve">. </w:t>
      </w:r>
      <w:r w:rsidR="00E424E8" w:rsidRPr="003615BA">
        <w:rPr>
          <w:rFonts w:cs="Arial"/>
          <w:szCs w:val="20"/>
        </w:rPr>
        <w:t xml:space="preserve">Od roku 1950 </w:t>
      </w:r>
      <w:r w:rsidR="00E424E8">
        <w:rPr>
          <w:rFonts w:cs="Arial"/>
          <w:szCs w:val="20"/>
        </w:rPr>
        <w:t>došlo</w:t>
      </w:r>
      <w:r w:rsidR="00E424E8" w:rsidRPr="003615BA">
        <w:rPr>
          <w:rFonts w:cs="Arial"/>
          <w:szCs w:val="20"/>
        </w:rPr>
        <w:t xml:space="preserve"> k poklesu podílu dětské složky v</w:t>
      </w:r>
      <w:r w:rsidR="00E424E8">
        <w:rPr>
          <w:rFonts w:cs="Arial"/>
          <w:szCs w:val="20"/>
        </w:rPr>
        <w:t> </w:t>
      </w:r>
      <w:r w:rsidR="00E424E8" w:rsidRPr="003615BA">
        <w:rPr>
          <w:rFonts w:cs="Arial"/>
          <w:szCs w:val="20"/>
        </w:rPr>
        <w:t>populaci</w:t>
      </w:r>
      <w:r w:rsidR="00E424E8">
        <w:rPr>
          <w:rFonts w:cs="Arial"/>
          <w:szCs w:val="20"/>
        </w:rPr>
        <w:t xml:space="preserve"> téměř </w:t>
      </w:r>
      <w:r w:rsidR="005C6FBB">
        <w:rPr>
          <w:rFonts w:cs="Arial"/>
          <w:szCs w:val="20"/>
        </w:rPr>
        <w:t xml:space="preserve">o </w:t>
      </w:r>
      <w:r w:rsidR="00E424E8">
        <w:rPr>
          <w:rFonts w:cs="Arial"/>
          <w:szCs w:val="20"/>
        </w:rPr>
        <w:t>10 procentních bodů</w:t>
      </w:r>
      <w:r w:rsidR="00E424E8" w:rsidRPr="003615BA">
        <w:rPr>
          <w:rFonts w:cs="Arial"/>
          <w:szCs w:val="20"/>
        </w:rPr>
        <w:t xml:space="preserve">. </w:t>
      </w:r>
      <w:r w:rsidR="00E424E8">
        <w:rPr>
          <w:rFonts w:cs="Arial"/>
          <w:szCs w:val="20"/>
        </w:rPr>
        <w:t xml:space="preserve">Souběžně </w:t>
      </w:r>
      <w:r w:rsidR="00E424E8">
        <w:rPr>
          <w:rFonts w:cs="Arial"/>
          <w:szCs w:val="20"/>
        </w:rPr>
        <w:lastRenderedPageBreak/>
        <w:t>s poklesem podílu dětské složky rostl víceméně plynule podíl osob v poproduktivním věku - v letech 1950 - 2011 o 7,5 procentního bodu (tab</w:t>
      </w:r>
      <w:r w:rsidR="002953CC">
        <w:rPr>
          <w:rFonts w:cs="Arial"/>
          <w:szCs w:val="20"/>
        </w:rPr>
        <w:t>.</w:t>
      </w:r>
      <w:r w:rsidR="00936869">
        <w:rPr>
          <w:rFonts w:cs="Arial"/>
          <w:szCs w:val="20"/>
        </w:rPr>
        <w:t xml:space="preserve"> 3</w:t>
      </w:r>
      <w:r w:rsidR="00E424E8">
        <w:rPr>
          <w:rFonts w:cs="Arial"/>
          <w:szCs w:val="20"/>
        </w:rPr>
        <w:t>).</w:t>
      </w:r>
    </w:p>
    <w:p w:rsidR="001762BC" w:rsidRPr="00073DD5" w:rsidRDefault="002953CC" w:rsidP="001B5192">
      <w:pPr>
        <w:spacing w:after="60" w:line="288" w:lineRule="auto"/>
        <w:rPr>
          <w:rFonts w:cs="Arial"/>
          <w:b/>
          <w:szCs w:val="20"/>
        </w:rPr>
      </w:pPr>
      <w:r>
        <w:rPr>
          <w:rFonts w:cs="Arial"/>
          <w:b/>
          <w:szCs w:val="20"/>
        </w:rPr>
        <w:t xml:space="preserve">Tab. </w:t>
      </w:r>
      <w:r w:rsidR="008F1A5C">
        <w:rPr>
          <w:rFonts w:cs="Arial"/>
          <w:b/>
          <w:szCs w:val="20"/>
        </w:rPr>
        <w:t xml:space="preserve">3: </w:t>
      </w:r>
      <w:r w:rsidR="008F1A5C" w:rsidRPr="008F1A5C">
        <w:rPr>
          <w:rFonts w:cs="Arial"/>
          <w:b/>
          <w:szCs w:val="20"/>
        </w:rPr>
        <w:t>Struktura počtu obyvatel podle věku z výsledků sčítání lidu, domů a bytů</w:t>
      </w:r>
    </w:p>
    <w:p w:rsidR="002A437D" w:rsidRDefault="00D64E2D" w:rsidP="00845BD2">
      <w:pPr>
        <w:spacing w:line="288" w:lineRule="auto"/>
        <w:rPr>
          <w:rFonts w:cs="Arial"/>
          <w:szCs w:val="20"/>
        </w:rPr>
      </w:pPr>
      <w:r w:rsidRPr="00141C12">
        <w:rPr>
          <w:rFonts w:cs="Arial"/>
          <w:b/>
          <w:szCs w:val="20"/>
        </w:rPr>
        <w:object w:dxaOrig="8590" w:dyaOrig="1997">
          <v:shape id="_x0000_i1027" type="#_x0000_t75" style="width:429.75pt;height:99.75pt" o:ole="">
            <v:imagedata r:id="rId13" o:title=""/>
          </v:shape>
          <o:OLEObject Type="Embed" ProgID="Excel.Sheet.12" ShapeID="_x0000_i1027" DrawAspect="Content" ObjectID="_1456725350" r:id="rId14"/>
        </w:object>
      </w:r>
    </w:p>
    <w:p w:rsidR="00845BD2" w:rsidRDefault="00BF6AF7" w:rsidP="00CC4B28">
      <w:pPr>
        <w:spacing w:after="200"/>
        <w:rPr>
          <w:rFonts w:cs="Arial"/>
          <w:b/>
          <w:szCs w:val="20"/>
        </w:rPr>
      </w:pPr>
      <w:r w:rsidRPr="00BF6AF7">
        <w:rPr>
          <w:rFonts w:cs="Arial"/>
          <w:szCs w:val="20"/>
        </w:rPr>
        <w:t>Trend vývoje věkové struktury obyvatelstva potvrzují také h</w:t>
      </w:r>
      <w:r w:rsidR="0072591E">
        <w:rPr>
          <w:rFonts w:cs="Arial"/>
          <w:szCs w:val="20"/>
        </w:rPr>
        <w:t>odnoty syntetických ukazatelů (t</w:t>
      </w:r>
      <w:r w:rsidRPr="00BF6AF7">
        <w:rPr>
          <w:rFonts w:cs="Arial"/>
          <w:szCs w:val="20"/>
        </w:rPr>
        <w:t>ab.</w:t>
      </w:r>
      <w:r w:rsidR="00AA10FF">
        <w:rPr>
          <w:rFonts w:cs="Arial"/>
          <w:szCs w:val="20"/>
        </w:rPr>
        <w:t> </w:t>
      </w:r>
      <w:r w:rsidR="0072591E">
        <w:rPr>
          <w:rFonts w:cs="Arial"/>
          <w:szCs w:val="20"/>
        </w:rPr>
        <w:t>4</w:t>
      </w:r>
      <w:r w:rsidRPr="00BF6AF7">
        <w:rPr>
          <w:rFonts w:cs="Arial"/>
          <w:szCs w:val="20"/>
        </w:rPr>
        <w:t xml:space="preserve">). </w:t>
      </w:r>
      <w:r w:rsidR="00845BD2">
        <w:t xml:space="preserve">Během šedesáti let mezi sčítáními 1950 a 2011 </w:t>
      </w:r>
      <w:r w:rsidR="00DF1CF2">
        <w:t>vzrostl průměrný věk obyvatel i </w:t>
      </w:r>
      <w:r w:rsidR="00845BD2">
        <w:t>věkový medián o více než 7 let. S výjimkou sedmdesátých let rostl průměrný věk do de</w:t>
      </w:r>
      <w:r w:rsidR="00FF7307">
        <w:t>vadesátých let v intercenz</w:t>
      </w:r>
      <w:r w:rsidR="0072591E">
        <w:t xml:space="preserve">álním </w:t>
      </w:r>
      <w:r w:rsidR="00845BD2">
        <w:t>období vždy přibližně o 1 rok. Po sčítání 1991 se tempo růstu začíná zrychlovat a do roku 2001 se průměrný věk zvýšil už o 2,5 roku. V roce 2011 pak dosáhl průměrný věk, medián i index stáří historického maxima.</w:t>
      </w:r>
    </w:p>
    <w:p w:rsidR="001762BC" w:rsidRDefault="004F74BE" w:rsidP="001B5192">
      <w:pPr>
        <w:spacing w:after="60" w:line="288" w:lineRule="auto"/>
        <w:rPr>
          <w:rFonts w:cs="Arial"/>
          <w:b/>
          <w:szCs w:val="20"/>
        </w:rPr>
      </w:pPr>
      <w:r>
        <w:rPr>
          <w:rFonts w:cs="Arial"/>
          <w:b/>
          <w:szCs w:val="20"/>
        </w:rPr>
        <w:t xml:space="preserve">Tab. </w:t>
      </w:r>
      <w:r w:rsidR="008F1A5C">
        <w:rPr>
          <w:rFonts w:cs="Arial"/>
          <w:b/>
          <w:szCs w:val="20"/>
        </w:rPr>
        <w:t>4</w:t>
      </w:r>
      <w:r w:rsidR="004D5C28">
        <w:rPr>
          <w:rFonts w:cs="Arial"/>
          <w:b/>
          <w:szCs w:val="20"/>
        </w:rPr>
        <w:t>: Vývoj ukazatelů věkové struktury</w:t>
      </w:r>
      <w:r w:rsidR="001762BC">
        <w:rPr>
          <w:rFonts w:cs="Arial"/>
          <w:b/>
          <w:szCs w:val="20"/>
        </w:rPr>
        <w:t xml:space="preserve"> </w:t>
      </w:r>
      <w:r w:rsidR="001762BC" w:rsidRPr="00073DD5">
        <w:rPr>
          <w:rFonts w:cs="Arial"/>
          <w:b/>
          <w:szCs w:val="20"/>
        </w:rPr>
        <w:t>z výsledků sčítání lidu, domů a bytů</w:t>
      </w:r>
    </w:p>
    <w:p w:rsidR="00304905" w:rsidRPr="00073DD5" w:rsidRDefault="00D4414D" w:rsidP="001762BC">
      <w:pPr>
        <w:spacing w:line="288" w:lineRule="auto"/>
        <w:rPr>
          <w:rFonts w:cs="Arial"/>
          <w:b/>
          <w:szCs w:val="20"/>
        </w:rPr>
      </w:pPr>
      <w:r w:rsidRPr="00650F96">
        <w:rPr>
          <w:rFonts w:cs="Arial"/>
          <w:b/>
          <w:szCs w:val="20"/>
        </w:rPr>
        <w:object w:dxaOrig="8679" w:dyaOrig="2950">
          <v:shape id="_x0000_i1028" type="#_x0000_t75" style="width:434.25pt;height:147pt" o:ole="">
            <v:imagedata r:id="rId15" o:title=""/>
          </v:shape>
          <o:OLEObject Type="Embed" ProgID="Excel.Sheet.8" ShapeID="_x0000_i1028" DrawAspect="Content" ObjectID="_1456725351" r:id="rId16"/>
        </w:object>
      </w:r>
    </w:p>
    <w:p w:rsidR="00C36DFE" w:rsidRDefault="00C36DFE" w:rsidP="00CC4B28">
      <w:pPr>
        <w:rPr>
          <w:rFonts w:cs="Arial"/>
          <w:szCs w:val="20"/>
        </w:rPr>
      </w:pPr>
      <w:r>
        <w:rPr>
          <w:rFonts w:cs="Arial"/>
          <w:szCs w:val="20"/>
        </w:rPr>
        <w:t xml:space="preserve">Z výše popsaných trendů je patrné, že populace České republiky prochází dlouhodobě proměnou, která se označuje jako populační stárnutí. </w:t>
      </w:r>
      <w:r w:rsidR="00776BE8">
        <w:t>Z</w:t>
      </w:r>
      <w:r w:rsidR="00776BE8">
        <w:rPr>
          <w:rFonts w:cs="Arial"/>
          <w:szCs w:val="20"/>
        </w:rPr>
        <w:t xml:space="preserve"> ekonomického a sociálního </w:t>
      </w:r>
      <w:r w:rsidR="00776BE8" w:rsidRPr="00AE3C21">
        <w:rPr>
          <w:rFonts w:cs="Arial"/>
          <w:szCs w:val="20"/>
        </w:rPr>
        <w:t xml:space="preserve">hlediska jde o změnu, </w:t>
      </w:r>
      <w:r w:rsidR="00506608">
        <w:rPr>
          <w:rFonts w:cs="Arial"/>
          <w:szCs w:val="20"/>
        </w:rPr>
        <w:t xml:space="preserve">která má dopad na ekonomickou zátěž obyvatelstva v produktivním věku. </w:t>
      </w:r>
      <w:r w:rsidR="00504D59">
        <w:rPr>
          <w:rFonts w:cs="Arial"/>
          <w:szCs w:val="20"/>
        </w:rPr>
        <w:t xml:space="preserve">Nepříznivě se vyvíjí zejména relace mezi složkou poproduktivní a produktivní, kde se počet osob ve věku 65 a více </w:t>
      </w:r>
      <w:r w:rsidR="007670BD">
        <w:rPr>
          <w:rFonts w:cs="Arial"/>
          <w:szCs w:val="20"/>
        </w:rPr>
        <w:t xml:space="preserve">let </w:t>
      </w:r>
      <w:r w:rsidR="00504D59">
        <w:rPr>
          <w:rFonts w:cs="Arial"/>
          <w:szCs w:val="20"/>
        </w:rPr>
        <w:t>připadajících na 100 osob v produktivním věku</w:t>
      </w:r>
      <w:r w:rsidR="007670BD">
        <w:rPr>
          <w:rFonts w:cs="Arial"/>
          <w:szCs w:val="20"/>
        </w:rPr>
        <w:t>,</w:t>
      </w:r>
      <w:r w:rsidR="00504D59">
        <w:rPr>
          <w:rFonts w:cs="Arial"/>
          <w:szCs w:val="20"/>
        </w:rPr>
        <w:t xml:space="preserve"> od roku 1950 téměř zdvojnásobil - v roce 2011 dosáhl hodnoty 23 osob.  </w:t>
      </w:r>
      <w:r w:rsidR="00776BE8" w:rsidRPr="00AE3C21">
        <w:rPr>
          <w:rFonts w:cs="Arial"/>
          <w:szCs w:val="20"/>
        </w:rPr>
        <w:t xml:space="preserve"> </w:t>
      </w:r>
    </w:p>
    <w:p w:rsidR="003D1A04" w:rsidRDefault="003D1A04" w:rsidP="00B36E2C">
      <w:pPr>
        <w:spacing w:line="288" w:lineRule="auto"/>
        <w:rPr>
          <w:rFonts w:cs="Arial"/>
          <w:szCs w:val="20"/>
        </w:rPr>
      </w:pPr>
    </w:p>
    <w:p w:rsidR="003D1A04" w:rsidRDefault="003D1A04" w:rsidP="00B36E2C">
      <w:pPr>
        <w:spacing w:line="288" w:lineRule="auto"/>
        <w:rPr>
          <w:rFonts w:cs="Arial"/>
          <w:szCs w:val="20"/>
        </w:rPr>
      </w:pPr>
    </w:p>
    <w:p w:rsidR="002428E4" w:rsidRDefault="002428E4" w:rsidP="00B36E2C">
      <w:pPr>
        <w:spacing w:line="288" w:lineRule="auto"/>
        <w:rPr>
          <w:rFonts w:cs="Arial"/>
          <w:szCs w:val="20"/>
        </w:rPr>
      </w:pPr>
    </w:p>
    <w:p w:rsidR="00CC4B28" w:rsidRDefault="00CC4B28" w:rsidP="00B36E2C">
      <w:pPr>
        <w:spacing w:line="288" w:lineRule="auto"/>
        <w:rPr>
          <w:rFonts w:cs="Arial"/>
          <w:szCs w:val="20"/>
        </w:rPr>
      </w:pPr>
    </w:p>
    <w:p w:rsidR="0088167E" w:rsidRDefault="0088167E" w:rsidP="00B36E2C">
      <w:pPr>
        <w:spacing w:line="288" w:lineRule="auto"/>
        <w:rPr>
          <w:rFonts w:cs="Arial"/>
          <w:szCs w:val="20"/>
        </w:rPr>
      </w:pPr>
    </w:p>
    <w:p w:rsidR="00531BEE" w:rsidRDefault="00531BEE" w:rsidP="00D339AA">
      <w:pPr>
        <w:spacing w:after="120" w:line="288" w:lineRule="auto"/>
        <w:rPr>
          <w:rFonts w:cs="Arial"/>
          <w:b/>
          <w:szCs w:val="20"/>
        </w:rPr>
      </w:pPr>
    </w:p>
    <w:p w:rsidR="000366F1" w:rsidRDefault="00B36E2C" w:rsidP="00D339AA">
      <w:pPr>
        <w:spacing w:after="120" w:line="288" w:lineRule="auto"/>
        <w:rPr>
          <w:rFonts w:cs="Arial"/>
          <w:b/>
          <w:szCs w:val="20"/>
        </w:rPr>
      </w:pPr>
      <w:r>
        <w:rPr>
          <w:rFonts w:cs="Arial"/>
          <w:b/>
          <w:szCs w:val="20"/>
        </w:rPr>
        <w:lastRenderedPageBreak/>
        <w:t xml:space="preserve">Věková struktura </w:t>
      </w:r>
      <w:r w:rsidR="00371A5B">
        <w:rPr>
          <w:rFonts w:cs="Arial"/>
          <w:b/>
          <w:szCs w:val="20"/>
        </w:rPr>
        <w:t xml:space="preserve">ze sčítání lidu, domů a bytů </w:t>
      </w:r>
      <w:r>
        <w:rPr>
          <w:rFonts w:cs="Arial"/>
          <w:b/>
          <w:szCs w:val="20"/>
        </w:rPr>
        <w:t>2011</w:t>
      </w:r>
      <w:r w:rsidR="00CB76B5">
        <w:rPr>
          <w:rFonts w:cs="Arial"/>
          <w:b/>
          <w:szCs w:val="20"/>
        </w:rPr>
        <w:t xml:space="preserve"> </w:t>
      </w:r>
    </w:p>
    <w:p w:rsidR="00444D27" w:rsidRDefault="00504D59" w:rsidP="00606331">
      <w:pPr>
        <w:spacing w:line="288" w:lineRule="auto"/>
        <w:rPr>
          <w:rFonts w:cs="Arial"/>
          <w:szCs w:val="20"/>
        </w:rPr>
      </w:pPr>
      <w:r>
        <w:rPr>
          <w:rFonts w:cs="Arial"/>
          <w:szCs w:val="20"/>
        </w:rPr>
        <w:t>Uvedený dlouhodobý vývoj se promítá do v</w:t>
      </w:r>
      <w:r w:rsidR="00D12B38">
        <w:rPr>
          <w:rFonts w:cs="Arial"/>
          <w:szCs w:val="20"/>
        </w:rPr>
        <w:t>ěkov</w:t>
      </w:r>
      <w:r>
        <w:rPr>
          <w:rFonts w:cs="Arial"/>
          <w:szCs w:val="20"/>
        </w:rPr>
        <w:t>é</w:t>
      </w:r>
      <w:r w:rsidR="00D12B38">
        <w:rPr>
          <w:rFonts w:cs="Arial"/>
          <w:szCs w:val="20"/>
        </w:rPr>
        <w:t xml:space="preserve"> struktur</w:t>
      </w:r>
      <w:r>
        <w:rPr>
          <w:rFonts w:cs="Arial"/>
          <w:szCs w:val="20"/>
        </w:rPr>
        <w:t>y</w:t>
      </w:r>
      <w:r w:rsidR="00D12B38">
        <w:rPr>
          <w:rFonts w:cs="Arial"/>
          <w:szCs w:val="20"/>
        </w:rPr>
        <w:t xml:space="preserve"> České republiky</w:t>
      </w:r>
      <w:r>
        <w:rPr>
          <w:rFonts w:cs="Arial"/>
          <w:szCs w:val="20"/>
        </w:rPr>
        <w:t xml:space="preserve">, která </w:t>
      </w:r>
      <w:r w:rsidR="00D12B38">
        <w:rPr>
          <w:rFonts w:cs="Arial"/>
          <w:szCs w:val="20"/>
        </w:rPr>
        <w:t xml:space="preserve">je </w:t>
      </w:r>
      <w:r w:rsidR="008C6888">
        <w:rPr>
          <w:rFonts w:cs="Arial"/>
          <w:szCs w:val="20"/>
        </w:rPr>
        <w:t>výrazně</w:t>
      </w:r>
      <w:r w:rsidR="00D12B38">
        <w:rPr>
          <w:rFonts w:cs="Arial"/>
          <w:szCs w:val="20"/>
        </w:rPr>
        <w:t xml:space="preserve"> nepravidelná</w:t>
      </w:r>
      <w:r w:rsidR="00531BEE">
        <w:rPr>
          <w:rFonts w:cs="Arial"/>
          <w:szCs w:val="20"/>
        </w:rPr>
        <w:t xml:space="preserve"> (graf</w:t>
      </w:r>
      <w:r w:rsidR="00F040DB" w:rsidRPr="00F040DB">
        <w:rPr>
          <w:rFonts w:cs="Arial"/>
          <w:szCs w:val="20"/>
        </w:rPr>
        <w:t xml:space="preserve"> </w:t>
      </w:r>
      <w:r w:rsidR="0036615A">
        <w:rPr>
          <w:rFonts w:cs="Arial"/>
          <w:szCs w:val="20"/>
        </w:rPr>
        <w:t>2</w:t>
      </w:r>
      <w:r w:rsidR="00F040DB" w:rsidRPr="00F040DB">
        <w:rPr>
          <w:rFonts w:cs="Arial"/>
          <w:szCs w:val="20"/>
        </w:rPr>
        <w:t>)</w:t>
      </w:r>
      <w:r w:rsidR="00D12B38" w:rsidRPr="00F040DB">
        <w:rPr>
          <w:rFonts w:cs="Arial"/>
          <w:szCs w:val="20"/>
        </w:rPr>
        <w:t>.</w:t>
      </w:r>
    </w:p>
    <w:p w:rsidR="00444D27" w:rsidRPr="006F7985" w:rsidRDefault="00531BEE" w:rsidP="00606331">
      <w:pPr>
        <w:spacing w:before="200"/>
        <w:jc w:val="left"/>
        <w:rPr>
          <w:b/>
        </w:rPr>
      </w:pPr>
      <w:r>
        <w:rPr>
          <w:b/>
        </w:rPr>
        <w:t xml:space="preserve">Graf </w:t>
      </w:r>
      <w:r w:rsidR="0036615A">
        <w:rPr>
          <w:b/>
        </w:rPr>
        <w:t>2</w:t>
      </w:r>
      <w:r w:rsidR="00444D27">
        <w:rPr>
          <w:b/>
        </w:rPr>
        <w:t xml:space="preserve">: </w:t>
      </w:r>
      <w:r w:rsidR="00444D27" w:rsidRPr="006F7985">
        <w:rPr>
          <w:b/>
        </w:rPr>
        <w:t>Věková struktur</w:t>
      </w:r>
      <w:r w:rsidR="00751631">
        <w:rPr>
          <w:b/>
        </w:rPr>
        <w:t>a obyvatelstva České republiky ze s</w:t>
      </w:r>
      <w:r w:rsidR="00444D27" w:rsidRPr="006F7985">
        <w:rPr>
          <w:b/>
        </w:rPr>
        <w:t>čítání lidu</w:t>
      </w:r>
      <w:r w:rsidR="00431780">
        <w:rPr>
          <w:b/>
        </w:rPr>
        <w:t xml:space="preserve"> v letech</w:t>
      </w:r>
      <w:r w:rsidR="00444D27" w:rsidRPr="006F7985">
        <w:rPr>
          <w:b/>
        </w:rPr>
        <w:t xml:space="preserve"> 2001</w:t>
      </w:r>
      <w:r w:rsidR="000A54A8">
        <w:rPr>
          <w:b/>
        </w:rPr>
        <w:t>,</w:t>
      </w:r>
      <w:r w:rsidR="00444D27" w:rsidRPr="006F7985">
        <w:rPr>
          <w:b/>
        </w:rPr>
        <w:t xml:space="preserve"> 2011</w:t>
      </w:r>
    </w:p>
    <w:p w:rsidR="000A39EA" w:rsidRDefault="000A39EA" w:rsidP="00304905">
      <w:pPr>
        <w:spacing w:line="288" w:lineRule="auto"/>
        <w:jc w:val="center"/>
      </w:pPr>
    </w:p>
    <w:p w:rsidR="00504D59" w:rsidRDefault="00D816E2" w:rsidP="00304905">
      <w:pPr>
        <w:spacing w:line="288" w:lineRule="auto"/>
        <w:jc w:val="center"/>
        <w:rPr>
          <w:rFonts w:cs="Arial"/>
          <w:szCs w:val="20"/>
        </w:rPr>
      </w:pPr>
      <w:r>
        <w:object w:dxaOrig="13534" w:dyaOrig="15097">
          <v:shape id="_x0000_i1029" type="#_x0000_t75" style="width:417.75pt;height:495pt" o:ole="">
            <v:imagedata r:id="rId17" o:title=""/>
          </v:shape>
          <o:OLEObject Type="Embed" ProgID="Excel.Sheet.8" ShapeID="_x0000_i1029" DrawAspect="Content" ObjectID="_1456725352" r:id="rId18"/>
        </w:object>
      </w:r>
    </w:p>
    <w:p w:rsidR="00D816E2" w:rsidRDefault="00D816E2" w:rsidP="00606331">
      <w:pPr>
        <w:spacing w:after="120" w:line="288" w:lineRule="auto"/>
        <w:rPr>
          <w:rFonts w:cs="Arial"/>
          <w:szCs w:val="20"/>
        </w:rPr>
      </w:pPr>
    </w:p>
    <w:p w:rsidR="00DD38A0" w:rsidRDefault="00504D59" w:rsidP="00606331">
      <w:pPr>
        <w:spacing w:after="120" w:line="288" w:lineRule="auto"/>
        <w:rPr>
          <w:rFonts w:cs="Arial"/>
          <w:szCs w:val="20"/>
        </w:rPr>
      </w:pPr>
      <w:r>
        <w:rPr>
          <w:rFonts w:cs="Arial"/>
          <w:szCs w:val="20"/>
        </w:rPr>
        <w:lastRenderedPageBreak/>
        <w:t>V</w:t>
      </w:r>
      <w:r w:rsidR="003C0FAD">
        <w:rPr>
          <w:rFonts w:cs="Arial"/>
          <w:szCs w:val="20"/>
        </w:rPr>
        <w:t>ěkovou strukturu významně deformují</w:t>
      </w:r>
      <w:r>
        <w:rPr>
          <w:rFonts w:cs="Arial"/>
          <w:szCs w:val="20"/>
        </w:rPr>
        <w:t xml:space="preserve"> především změny úrovně porodnosti</w:t>
      </w:r>
      <w:r w:rsidR="00D21545">
        <w:rPr>
          <w:rFonts w:cs="Arial"/>
          <w:szCs w:val="20"/>
        </w:rPr>
        <w:t>, které probíhaly ve vlnách v průběhu 20. století</w:t>
      </w:r>
      <w:r w:rsidR="003C0FAD">
        <w:rPr>
          <w:rFonts w:cs="Arial"/>
          <w:szCs w:val="20"/>
        </w:rPr>
        <w:t xml:space="preserve">. </w:t>
      </w:r>
      <w:r w:rsidR="003464C9">
        <w:rPr>
          <w:rFonts w:cs="Arial"/>
          <w:szCs w:val="20"/>
        </w:rPr>
        <w:t xml:space="preserve">Úroveň úmrtnosti </w:t>
      </w:r>
      <w:r w:rsidR="00617918">
        <w:rPr>
          <w:rFonts w:cs="Arial"/>
          <w:szCs w:val="20"/>
        </w:rPr>
        <w:t xml:space="preserve">se zlepšovala </w:t>
      </w:r>
      <w:r w:rsidR="003464C9">
        <w:rPr>
          <w:rFonts w:cs="Arial"/>
          <w:szCs w:val="20"/>
        </w:rPr>
        <w:t xml:space="preserve">plynule </w:t>
      </w:r>
      <w:r w:rsidR="00D12B38">
        <w:rPr>
          <w:rFonts w:cs="Arial"/>
          <w:szCs w:val="20"/>
        </w:rPr>
        <w:t>v průběhu celého století</w:t>
      </w:r>
      <w:r w:rsidR="00B52D5C">
        <w:rPr>
          <w:rFonts w:cs="Arial"/>
          <w:szCs w:val="20"/>
        </w:rPr>
        <w:t>,</w:t>
      </w:r>
      <w:r w:rsidR="00871C5D">
        <w:rPr>
          <w:rFonts w:cs="Arial"/>
          <w:szCs w:val="20"/>
        </w:rPr>
        <w:t xml:space="preserve"> </w:t>
      </w:r>
      <w:r w:rsidR="00617918">
        <w:rPr>
          <w:rFonts w:cs="Arial"/>
          <w:szCs w:val="20"/>
        </w:rPr>
        <w:t>což</w:t>
      </w:r>
      <w:r w:rsidR="00871C5D">
        <w:rPr>
          <w:rFonts w:cs="Arial"/>
          <w:szCs w:val="20"/>
        </w:rPr>
        <w:t xml:space="preserve"> se projevilo jako </w:t>
      </w:r>
      <w:r w:rsidR="00AA0FB2">
        <w:rPr>
          <w:rFonts w:cs="Arial"/>
          <w:szCs w:val="20"/>
        </w:rPr>
        <w:t>konstantní</w:t>
      </w:r>
      <w:r w:rsidR="00D12B38">
        <w:rPr>
          <w:rFonts w:cs="Arial"/>
          <w:szCs w:val="20"/>
        </w:rPr>
        <w:t xml:space="preserve"> nárůst</w:t>
      </w:r>
      <w:r w:rsidR="00CE7020">
        <w:rPr>
          <w:rFonts w:cs="Arial"/>
          <w:szCs w:val="20"/>
        </w:rPr>
        <w:t xml:space="preserve"> počtu starších osob v populaci tj. rozšiřování vrcholu </w:t>
      </w:r>
      <w:r w:rsidR="0046500B">
        <w:rPr>
          <w:rFonts w:cs="Arial"/>
          <w:szCs w:val="20"/>
        </w:rPr>
        <w:t xml:space="preserve">věkové </w:t>
      </w:r>
      <w:r w:rsidR="00CE7020">
        <w:rPr>
          <w:rFonts w:cs="Arial"/>
          <w:szCs w:val="20"/>
        </w:rPr>
        <w:t>pyramidy.</w:t>
      </w:r>
      <w:r w:rsidR="00D12B38">
        <w:rPr>
          <w:rFonts w:cs="Arial"/>
          <w:szCs w:val="20"/>
        </w:rPr>
        <w:t xml:space="preserve"> </w:t>
      </w:r>
    </w:p>
    <w:p w:rsidR="008E6397" w:rsidRDefault="00F91586" w:rsidP="00606331">
      <w:pPr>
        <w:spacing w:after="120" w:line="288" w:lineRule="auto"/>
        <w:rPr>
          <w:rFonts w:cs="Arial"/>
          <w:szCs w:val="20"/>
        </w:rPr>
      </w:pPr>
      <w:r>
        <w:rPr>
          <w:rFonts w:cs="Arial"/>
          <w:szCs w:val="20"/>
        </w:rPr>
        <w:t>P</w:t>
      </w:r>
      <w:r w:rsidR="0045702A">
        <w:rPr>
          <w:rFonts w:cs="Arial"/>
          <w:szCs w:val="20"/>
        </w:rPr>
        <w:t xml:space="preserve">oslední </w:t>
      </w:r>
      <w:r>
        <w:rPr>
          <w:rFonts w:cs="Arial"/>
          <w:szCs w:val="20"/>
        </w:rPr>
        <w:t>pozitivní</w:t>
      </w:r>
      <w:r w:rsidR="00A8026A">
        <w:rPr>
          <w:rFonts w:cs="Arial"/>
          <w:szCs w:val="20"/>
        </w:rPr>
        <w:t xml:space="preserve"> </w:t>
      </w:r>
      <w:r w:rsidR="00DF04AF">
        <w:rPr>
          <w:rFonts w:cs="Arial"/>
          <w:szCs w:val="20"/>
        </w:rPr>
        <w:t>výkyv</w:t>
      </w:r>
      <w:r w:rsidR="00D12B38">
        <w:rPr>
          <w:rFonts w:cs="Arial"/>
          <w:szCs w:val="20"/>
        </w:rPr>
        <w:t xml:space="preserve"> </w:t>
      </w:r>
      <w:r>
        <w:rPr>
          <w:rFonts w:cs="Arial"/>
          <w:szCs w:val="20"/>
        </w:rPr>
        <w:t xml:space="preserve">na věkové struktuře </w:t>
      </w:r>
      <w:r w:rsidR="00907C29">
        <w:rPr>
          <w:rFonts w:cs="Arial"/>
          <w:szCs w:val="20"/>
        </w:rPr>
        <w:t xml:space="preserve">představují generace narozené </w:t>
      </w:r>
      <w:r w:rsidR="00323BD4">
        <w:rPr>
          <w:rFonts w:cs="Arial"/>
          <w:szCs w:val="20"/>
        </w:rPr>
        <w:t>mezi lety 2006 až 2009</w:t>
      </w:r>
      <w:r>
        <w:rPr>
          <w:rFonts w:cs="Arial"/>
          <w:szCs w:val="20"/>
        </w:rPr>
        <w:t>.</w:t>
      </w:r>
      <w:r w:rsidR="00D12B38">
        <w:rPr>
          <w:rFonts w:cs="Arial"/>
          <w:szCs w:val="20"/>
        </w:rPr>
        <w:t xml:space="preserve"> </w:t>
      </w:r>
      <w:r w:rsidR="000805D2">
        <w:rPr>
          <w:rFonts w:cs="Arial"/>
          <w:szCs w:val="20"/>
        </w:rPr>
        <w:t>Jde o</w:t>
      </w:r>
      <w:r w:rsidR="00590148">
        <w:rPr>
          <w:rFonts w:cs="Arial"/>
          <w:szCs w:val="20"/>
        </w:rPr>
        <w:t xml:space="preserve"> sekundární důsledek</w:t>
      </w:r>
      <w:r w:rsidR="00D12B38">
        <w:rPr>
          <w:rFonts w:cs="Arial"/>
          <w:szCs w:val="20"/>
        </w:rPr>
        <w:t xml:space="preserve"> </w:t>
      </w:r>
      <w:r w:rsidR="000805D2">
        <w:rPr>
          <w:rFonts w:cs="Arial"/>
          <w:szCs w:val="20"/>
        </w:rPr>
        <w:t>natalitní</w:t>
      </w:r>
      <w:r w:rsidR="00D12B38">
        <w:rPr>
          <w:rFonts w:cs="Arial"/>
          <w:szCs w:val="20"/>
        </w:rPr>
        <w:t xml:space="preserve"> vlny </w:t>
      </w:r>
      <w:r w:rsidR="00913F44">
        <w:rPr>
          <w:rFonts w:cs="Arial"/>
          <w:szCs w:val="20"/>
        </w:rPr>
        <w:t>ze</w:t>
      </w:r>
      <w:r w:rsidR="000805D2">
        <w:rPr>
          <w:rFonts w:cs="Arial"/>
          <w:szCs w:val="20"/>
        </w:rPr>
        <w:t xml:space="preserve"> </w:t>
      </w:r>
      <w:r w:rsidR="00D12B38">
        <w:rPr>
          <w:rFonts w:cs="Arial"/>
          <w:szCs w:val="20"/>
        </w:rPr>
        <w:t>sedmdesátých let. Rodit začaly ženy silných ročníků, které porody v průběhu devadesátých let odkládaly. Počty narozených dosáhly v roce 2008 téměř k</w:t>
      </w:r>
      <w:r w:rsidR="00531C5C">
        <w:rPr>
          <w:rFonts w:cs="Arial"/>
          <w:szCs w:val="20"/>
        </w:rPr>
        <w:t>e</w:t>
      </w:r>
      <w:r w:rsidR="00D12B38">
        <w:rPr>
          <w:rFonts w:cs="Arial"/>
          <w:szCs w:val="20"/>
        </w:rPr>
        <w:t xml:space="preserve"> 120 tisícům. Tomuto </w:t>
      </w:r>
      <w:r w:rsidR="007E1457">
        <w:rPr>
          <w:rFonts w:cs="Arial"/>
          <w:szCs w:val="20"/>
        </w:rPr>
        <w:t>kladnému</w:t>
      </w:r>
      <w:r w:rsidR="00395CAA">
        <w:rPr>
          <w:rFonts w:cs="Arial"/>
          <w:szCs w:val="20"/>
        </w:rPr>
        <w:t xml:space="preserve"> </w:t>
      </w:r>
      <w:r w:rsidR="00D12B38">
        <w:rPr>
          <w:rFonts w:cs="Arial"/>
          <w:szCs w:val="20"/>
        </w:rPr>
        <w:t xml:space="preserve">výkyvu předcházelo desetiletí </w:t>
      </w:r>
      <w:r w:rsidR="00FE2344">
        <w:rPr>
          <w:rFonts w:cs="Arial"/>
          <w:szCs w:val="20"/>
        </w:rPr>
        <w:t>velmi</w:t>
      </w:r>
      <w:r w:rsidR="00D12B38">
        <w:rPr>
          <w:rFonts w:cs="Arial"/>
          <w:szCs w:val="20"/>
        </w:rPr>
        <w:t xml:space="preserve"> nízké porodnosti, kdy počty narozených nepřesáhly 100 tis</w:t>
      </w:r>
      <w:r w:rsidR="000D7663">
        <w:rPr>
          <w:rFonts w:cs="Arial"/>
          <w:szCs w:val="20"/>
        </w:rPr>
        <w:t>íc</w:t>
      </w:r>
      <w:r w:rsidR="00D12B38">
        <w:rPr>
          <w:rFonts w:cs="Arial"/>
          <w:szCs w:val="20"/>
        </w:rPr>
        <w:t>. Absolutního minima dosáhl počet narozených v roce 1999 a to necelých 90 tisíc.</w:t>
      </w:r>
      <w:r w:rsidR="000805D2">
        <w:rPr>
          <w:rFonts w:cs="Arial"/>
          <w:szCs w:val="20"/>
        </w:rPr>
        <w:t xml:space="preserve"> </w:t>
      </w:r>
      <w:r w:rsidR="00BF1CAC">
        <w:rPr>
          <w:rFonts w:cs="Arial"/>
          <w:szCs w:val="20"/>
        </w:rPr>
        <w:t>Vývoj porodnosti mezi posledními dvěma sčítáními způsobil na první pohled viditelnou změnu věkové struktury. Početně slabá věková skupina do 5 let věku v roce 2001 byla nahrazena silnějšími ročníky. Stala se tak početnější o</w:t>
      </w:r>
      <w:r w:rsidR="00F8358F">
        <w:rPr>
          <w:rFonts w:cs="Arial"/>
          <w:szCs w:val="20"/>
        </w:rPr>
        <w:t> </w:t>
      </w:r>
      <w:r w:rsidR="00BF1CAC">
        <w:rPr>
          <w:rFonts w:cs="Arial"/>
          <w:szCs w:val="20"/>
        </w:rPr>
        <w:t>130 186 osob. Oproti tomu ve věkové skupině 10 až 14 let ubylo ve srovnání s rokem 2001 více než 205 tisíc osob.</w:t>
      </w:r>
      <w:r w:rsidR="00087073">
        <w:rPr>
          <w:rFonts w:cs="Arial"/>
          <w:szCs w:val="20"/>
        </w:rPr>
        <w:t xml:space="preserve"> </w:t>
      </w:r>
      <w:r w:rsidR="007E1457">
        <w:rPr>
          <w:rFonts w:cs="Arial"/>
          <w:szCs w:val="20"/>
        </w:rPr>
        <w:t xml:space="preserve">Nejvýraznějším kontrastem slabým ročníkům z devadesátých let jsou generace dnešních 35 až 39letých. Jde o osoby narozené v době propulačních opatření na začátku sedmdesátých let. Tyto ročníky tvoří nejpočetnější skupinu obyvatel. </w:t>
      </w:r>
      <w:r w:rsidR="00933551">
        <w:rPr>
          <w:rFonts w:cs="Arial"/>
          <w:szCs w:val="20"/>
        </w:rPr>
        <w:t xml:space="preserve">Stále ještě patrný je také </w:t>
      </w:r>
      <w:r w:rsidR="00BA0A61">
        <w:rPr>
          <w:rFonts w:cs="Arial"/>
          <w:szCs w:val="20"/>
        </w:rPr>
        <w:t>výstupek</w:t>
      </w:r>
      <w:r w:rsidR="00933551">
        <w:rPr>
          <w:rFonts w:cs="Arial"/>
          <w:szCs w:val="20"/>
        </w:rPr>
        <w:t xml:space="preserve">, způsobený zvýšenou úrovní plodnosti na konci druhé světové války a po ní. </w:t>
      </w:r>
      <w:r w:rsidR="00323983">
        <w:rPr>
          <w:rFonts w:cs="Arial"/>
          <w:szCs w:val="20"/>
        </w:rPr>
        <w:t>Naopak n</w:t>
      </w:r>
      <w:r w:rsidR="008E6397">
        <w:rPr>
          <w:rFonts w:cs="Arial"/>
          <w:szCs w:val="20"/>
        </w:rPr>
        <w:t xml:space="preserve">egativní zářezy do věkové pyramidy </w:t>
      </w:r>
      <w:r w:rsidR="00323983">
        <w:rPr>
          <w:rFonts w:cs="Arial"/>
          <w:szCs w:val="20"/>
        </w:rPr>
        <w:t>představují vě</w:t>
      </w:r>
      <w:r w:rsidR="00933551">
        <w:rPr>
          <w:rFonts w:cs="Arial"/>
          <w:szCs w:val="20"/>
        </w:rPr>
        <w:t xml:space="preserve">kové skupiny osob narozených na konci padesátých let, </w:t>
      </w:r>
      <w:r w:rsidR="00323983">
        <w:rPr>
          <w:rFonts w:cs="Arial"/>
          <w:szCs w:val="20"/>
        </w:rPr>
        <w:t xml:space="preserve">kdy byl přijat zákon o umělém přerušení těhotenství </w:t>
      </w:r>
      <w:r w:rsidR="008E6397">
        <w:rPr>
          <w:rFonts w:cs="Arial"/>
          <w:szCs w:val="20"/>
        </w:rPr>
        <w:t xml:space="preserve">a </w:t>
      </w:r>
      <w:r w:rsidR="002F59B4">
        <w:rPr>
          <w:rFonts w:cs="Arial"/>
          <w:szCs w:val="20"/>
        </w:rPr>
        <w:t xml:space="preserve">v druhé </w:t>
      </w:r>
      <w:r w:rsidR="008E6397">
        <w:rPr>
          <w:rFonts w:cs="Arial"/>
          <w:szCs w:val="20"/>
        </w:rPr>
        <w:t xml:space="preserve">polovině šedesátých </w:t>
      </w:r>
      <w:r w:rsidR="00323983">
        <w:rPr>
          <w:rFonts w:cs="Arial"/>
          <w:szCs w:val="20"/>
        </w:rPr>
        <w:t>let</w:t>
      </w:r>
      <w:r w:rsidR="00933551">
        <w:rPr>
          <w:rFonts w:cs="Arial"/>
          <w:szCs w:val="20"/>
        </w:rPr>
        <w:t xml:space="preserve">, kdy </w:t>
      </w:r>
      <w:r w:rsidR="008E6397">
        <w:rPr>
          <w:rFonts w:cs="Arial"/>
          <w:szCs w:val="20"/>
        </w:rPr>
        <w:t xml:space="preserve">již neúčinkovala státní propopulační </w:t>
      </w:r>
      <w:r w:rsidR="00933551">
        <w:rPr>
          <w:rFonts w:cs="Arial"/>
          <w:szCs w:val="20"/>
        </w:rPr>
        <w:t xml:space="preserve">opatření z počátku desetiletí. </w:t>
      </w:r>
    </w:p>
    <w:p w:rsidR="001B7F8B" w:rsidRDefault="001B7F8B" w:rsidP="00606331">
      <w:pPr>
        <w:spacing w:after="120" w:line="288" w:lineRule="auto"/>
        <w:rPr>
          <w:rFonts w:cs="Arial"/>
          <w:szCs w:val="20"/>
        </w:rPr>
      </w:pPr>
      <w:r>
        <w:rPr>
          <w:rFonts w:cs="Arial"/>
          <w:szCs w:val="20"/>
        </w:rPr>
        <w:t>Na rozdíl od roku 2001,</w:t>
      </w:r>
      <w:r w:rsidR="00844CDF" w:rsidRPr="00844CDF">
        <w:rPr>
          <w:rFonts w:cs="Arial"/>
          <w:szCs w:val="20"/>
        </w:rPr>
        <w:t xml:space="preserve"> </w:t>
      </w:r>
      <w:r w:rsidR="000634C3">
        <w:rPr>
          <w:rFonts w:cs="Arial"/>
          <w:szCs w:val="20"/>
        </w:rPr>
        <w:t xml:space="preserve">kdy </w:t>
      </w:r>
      <w:r>
        <w:rPr>
          <w:rFonts w:cs="Arial"/>
          <w:szCs w:val="20"/>
        </w:rPr>
        <w:t>věková struktura ještě zachycovala nepravidelnost v podobě slabých ročníků narozených v době první světové války a jejich následnou kompenzaci</w:t>
      </w:r>
      <w:r w:rsidR="00844CDF">
        <w:rPr>
          <w:rFonts w:cs="Arial"/>
          <w:szCs w:val="20"/>
        </w:rPr>
        <w:t xml:space="preserve">, byl vrchol pyramidy v roce 2011 už poměrně pravidelný. </w:t>
      </w:r>
    </w:p>
    <w:p w:rsidR="00244AF7" w:rsidRDefault="002302AD" w:rsidP="00606331">
      <w:pPr>
        <w:spacing w:after="120" w:line="288" w:lineRule="auto"/>
        <w:rPr>
          <w:rStyle w:val="Siln"/>
          <w:b w:val="0"/>
        </w:rPr>
      </w:pPr>
      <w:r>
        <w:rPr>
          <w:rStyle w:val="Siln"/>
          <w:b w:val="0"/>
        </w:rPr>
        <w:t>Obecně lze v</w:t>
      </w:r>
      <w:r w:rsidR="00244AF7" w:rsidRPr="00FE03EE">
        <w:rPr>
          <w:rStyle w:val="Siln"/>
          <w:b w:val="0"/>
        </w:rPr>
        <w:t xml:space="preserve">ěkovou strukturu </w:t>
      </w:r>
      <w:r w:rsidR="0023698B">
        <w:rPr>
          <w:rStyle w:val="Siln"/>
          <w:b w:val="0"/>
        </w:rPr>
        <w:t xml:space="preserve">z roku </w:t>
      </w:r>
      <w:r w:rsidR="000D7663">
        <w:rPr>
          <w:rStyle w:val="Siln"/>
          <w:b w:val="0"/>
        </w:rPr>
        <w:t xml:space="preserve">2011 </w:t>
      </w:r>
      <w:r w:rsidR="00244AF7" w:rsidRPr="00FE03EE">
        <w:rPr>
          <w:rStyle w:val="Siln"/>
          <w:b w:val="0"/>
        </w:rPr>
        <w:t xml:space="preserve">označit za </w:t>
      </w:r>
      <w:r w:rsidR="00244AF7" w:rsidRPr="00FE03EE">
        <w:rPr>
          <w:rStyle w:val="Siln"/>
          <w:b w:val="0"/>
          <w:i/>
        </w:rPr>
        <w:t>r</w:t>
      </w:r>
      <w:r w:rsidR="00C2020B" w:rsidRPr="00FE03EE">
        <w:rPr>
          <w:rStyle w:val="Siln"/>
          <w:b w:val="0"/>
          <w:i/>
        </w:rPr>
        <w:t>egresivní</w:t>
      </w:r>
      <w:r w:rsidR="00244AF7" w:rsidRPr="00FE03EE">
        <w:rPr>
          <w:rStyle w:val="Siln"/>
          <w:b w:val="0"/>
        </w:rPr>
        <w:t xml:space="preserve">. </w:t>
      </w:r>
      <w:r w:rsidR="00BF1CAC">
        <w:rPr>
          <w:rStyle w:val="Siln"/>
          <w:b w:val="0"/>
        </w:rPr>
        <w:t>D</w:t>
      </w:r>
      <w:r w:rsidR="00244AF7" w:rsidRPr="00FE03EE">
        <w:rPr>
          <w:rStyle w:val="Siln"/>
          <w:b w:val="0"/>
        </w:rPr>
        <w:t>ětská složka nepřevyšuje poproduktivní a v dlouhodobém pohledu by při nezměněné úrovni porodnosti, úmrtnosti a</w:t>
      </w:r>
      <w:r w:rsidR="00F8358F">
        <w:rPr>
          <w:rStyle w:val="Siln"/>
          <w:b w:val="0"/>
        </w:rPr>
        <w:t> </w:t>
      </w:r>
      <w:r w:rsidR="00244AF7" w:rsidRPr="00FE03EE">
        <w:rPr>
          <w:rStyle w:val="Siln"/>
          <w:b w:val="0"/>
        </w:rPr>
        <w:t>migrace docházelo ke snižování početního stavu populace</w:t>
      </w:r>
      <w:r w:rsidR="002C0B18">
        <w:rPr>
          <w:rStyle w:val="Siln"/>
          <w:b w:val="0"/>
        </w:rPr>
        <w:t xml:space="preserve">. </w:t>
      </w:r>
    </w:p>
    <w:p w:rsidR="005C4E32" w:rsidRDefault="00AF0A7D" w:rsidP="00D12B38">
      <w:pPr>
        <w:autoSpaceDE w:val="0"/>
        <w:autoSpaceDN w:val="0"/>
        <w:adjustRightInd w:val="0"/>
        <w:rPr>
          <w:rFonts w:ascii="BOPDNI+Arial" w:hAnsi="BOPDNI+Arial" w:cs="BOPDNI+Arial"/>
          <w:color w:val="000000"/>
          <w:szCs w:val="20"/>
        </w:rPr>
      </w:pPr>
      <w:r w:rsidRPr="00AF0A7D">
        <w:rPr>
          <w:rFonts w:ascii="BOPDNI+Arial" w:hAnsi="BOPDNI+Arial" w:cs="BOPDNI+Arial"/>
          <w:color w:val="000000"/>
          <w:szCs w:val="20"/>
        </w:rPr>
        <w:t>Věková struktura ze</w:t>
      </w:r>
      <w:r>
        <w:rPr>
          <w:rFonts w:ascii="BOPDNI+Arial" w:hAnsi="BOPDNI+Arial" w:cs="BOPDNI+Arial"/>
          <w:color w:val="000000"/>
          <w:szCs w:val="20"/>
        </w:rPr>
        <w:t xml:space="preserve"> sčítání lidu domů a bytů 2011 </w:t>
      </w:r>
      <w:r w:rsidR="00AC0DE1">
        <w:rPr>
          <w:rFonts w:ascii="BOPDNI+Arial" w:hAnsi="BOPDNI+Arial" w:cs="BOPDNI+Arial"/>
          <w:color w:val="000000"/>
          <w:szCs w:val="20"/>
        </w:rPr>
        <w:t xml:space="preserve">je podkladem pro </w:t>
      </w:r>
      <w:r w:rsidR="00680DD5">
        <w:rPr>
          <w:rFonts w:ascii="BOPDNI+Arial" w:hAnsi="BOPDNI+Arial" w:cs="BOPDNI+Arial"/>
          <w:color w:val="000000"/>
          <w:szCs w:val="20"/>
        </w:rPr>
        <w:t xml:space="preserve">bilance podle věku pro příštích deset let. </w:t>
      </w:r>
    </w:p>
    <w:p w:rsidR="00BF1CAC" w:rsidRDefault="00BF1CAC" w:rsidP="00580665">
      <w:pPr>
        <w:jc w:val="left"/>
      </w:pPr>
    </w:p>
    <w:p w:rsidR="00BF1CAC" w:rsidRDefault="00BF1CAC" w:rsidP="00580665">
      <w:pPr>
        <w:jc w:val="left"/>
      </w:pPr>
    </w:p>
    <w:p w:rsidR="0088167E" w:rsidRDefault="0088167E" w:rsidP="00580665">
      <w:pPr>
        <w:jc w:val="left"/>
      </w:pPr>
    </w:p>
    <w:p w:rsidR="0088167E" w:rsidRDefault="0088167E" w:rsidP="00580665">
      <w:pPr>
        <w:jc w:val="left"/>
      </w:pPr>
    </w:p>
    <w:p w:rsidR="0088167E" w:rsidRDefault="0088167E" w:rsidP="00580665">
      <w:pPr>
        <w:jc w:val="left"/>
      </w:pPr>
    </w:p>
    <w:p w:rsidR="0088167E" w:rsidRDefault="0088167E" w:rsidP="00580665">
      <w:pPr>
        <w:jc w:val="left"/>
      </w:pPr>
    </w:p>
    <w:p w:rsidR="00BF1CAC" w:rsidRDefault="00BF1CAC" w:rsidP="00580665">
      <w:pPr>
        <w:jc w:val="left"/>
      </w:pPr>
    </w:p>
    <w:p w:rsidR="00BF1CAC" w:rsidRDefault="00BF1CAC" w:rsidP="00580665">
      <w:pPr>
        <w:jc w:val="left"/>
      </w:pPr>
    </w:p>
    <w:p w:rsidR="00BF1CAC" w:rsidRDefault="00BF1CAC" w:rsidP="00580665">
      <w:pPr>
        <w:jc w:val="left"/>
      </w:pPr>
    </w:p>
    <w:p w:rsidR="00BF1CAC" w:rsidRDefault="00BF1CAC" w:rsidP="00580665">
      <w:pPr>
        <w:jc w:val="left"/>
      </w:pPr>
    </w:p>
    <w:p w:rsidR="00087073" w:rsidRDefault="00087073" w:rsidP="00580665">
      <w:pPr>
        <w:jc w:val="left"/>
      </w:pPr>
    </w:p>
    <w:p w:rsidR="00087073" w:rsidRDefault="00087073" w:rsidP="00580665">
      <w:pPr>
        <w:jc w:val="left"/>
      </w:pPr>
    </w:p>
    <w:p w:rsidR="000271B2" w:rsidRDefault="000271B2" w:rsidP="00580665">
      <w:pPr>
        <w:jc w:val="left"/>
      </w:pPr>
    </w:p>
    <w:p w:rsidR="00D339AA" w:rsidRDefault="00D339AA" w:rsidP="00580665">
      <w:pPr>
        <w:jc w:val="left"/>
      </w:pPr>
    </w:p>
    <w:p w:rsidR="00580665" w:rsidRDefault="001A243C" w:rsidP="00D339AA">
      <w:pPr>
        <w:spacing w:after="120"/>
        <w:rPr>
          <w:b/>
        </w:rPr>
      </w:pPr>
      <w:r>
        <w:rPr>
          <w:b/>
        </w:rPr>
        <w:lastRenderedPageBreak/>
        <w:t xml:space="preserve">Srovnání věkové struktury </w:t>
      </w:r>
      <w:r w:rsidR="00133183">
        <w:rPr>
          <w:b/>
        </w:rPr>
        <w:t xml:space="preserve">ze sčítání lidu v letech </w:t>
      </w:r>
      <w:r>
        <w:rPr>
          <w:b/>
        </w:rPr>
        <w:t>2001</w:t>
      </w:r>
      <w:r w:rsidR="00133183">
        <w:rPr>
          <w:b/>
        </w:rPr>
        <w:t xml:space="preserve"> a </w:t>
      </w:r>
      <w:r>
        <w:rPr>
          <w:b/>
        </w:rPr>
        <w:t>2011</w:t>
      </w:r>
    </w:p>
    <w:p w:rsidR="00FF07BE" w:rsidRPr="00B028BB" w:rsidRDefault="00FF07BE" w:rsidP="00227DC1">
      <w:pPr>
        <w:spacing w:after="200"/>
        <w:rPr>
          <w:rFonts w:cs="Arial"/>
          <w:szCs w:val="20"/>
        </w:rPr>
      </w:pPr>
      <w:r>
        <w:rPr>
          <w:rFonts w:cs="Arial"/>
          <w:szCs w:val="20"/>
        </w:rPr>
        <w:t xml:space="preserve">Mezi lety 2001 a 2011 </w:t>
      </w:r>
      <w:r w:rsidR="00674D8E">
        <w:rPr>
          <w:rFonts w:cs="Arial"/>
          <w:szCs w:val="20"/>
        </w:rPr>
        <w:t>se zvýšila</w:t>
      </w:r>
      <w:r w:rsidR="00BB4179">
        <w:rPr>
          <w:rFonts w:cs="Arial"/>
          <w:szCs w:val="20"/>
        </w:rPr>
        <w:t xml:space="preserve"> hodnota průměrného věku o 2,2 roku. Znamená to, že tempo růstu </w:t>
      </w:r>
      <w:r>
        <w:rPr>
          <w:rFonts w:cs="Arial"/>
          <w:szCs w:val="20"/>
        </w:rPr>
        <w:t xml:space="preserve">setrvalo zhruba na úrovni předchozího </w:t>
      </w:r>
      <w:r w:rsidR="00FA3501">
        <w:rPr>
          <w:rFonts w:cs="Arial"/>
          <w:szCs w:val="20"/>
        </w:rPr>
        <w:t>intercenz</w:t>
      </w:r>
      <w:r>
        <w:rPr>
          <w:rFonts w:cs="Arial"/>
          <w:szCs w:val="20"/>
        </w:rPr>
        <w:t xml:space="preserve">álního období. </w:t>
      </w:r>
      <w:r w:rsidR="00BB4179">
        <w:rPr>
          <w:rFonts w:cs="Arial"/>
          <w:szCs w:val="20"/>
        </w:rPr>
        <w:t>Z hlediska pohlaví byl o</w:t>
      </w:r>
      <w:r w:rsidR="009C57BD">
        <w:rPr>
          <w:rFonts w:cs="Arial"/>
          <w:szCs w:val="20"/>
        </w:rPr>
        <w:t> </w:t>
      </w:r>
      <w:r>
        <w:rPr>
          <w:rFonts w:cs="Arial"/>
          <w:szCs w:val="20"/>
        </w:rPr>
        <w:t xml:space="preserve">něco výraznější nárůst zaznamenán u mužů. </w:t>
      </w:r>
      <w:r w:rsidR="00F73805">
        <w:rPr>
          <w:rFonts w:cs="Arial"/>
          <w:szCs w:val="20"/>
        </w:rPr>
        <w:t>Vzrostla také</w:t>
      </w:r>
      <w:r>
        <w:rPr>
          <w:rFonts w:cs="Arial"/>
          <w:szCs w:val="20"/>
        </w:rPr>
        <w:t xml:space="preserve"> hodnota </w:t>
      </w:r>
      <w:r w:rsidR="00C83BB6">
        <w:rPr>
          <w:rFonts w:cs="Arial"/>
          <w:szCs w:val="20"/>
        </w:rPr>
        <w:t xml:space="preserve">věkového mediánu čili </w:t>
      </w:r>
      <w:r>
        <w:rPr>
          <w:rFonts w:cs="Arial"/>
          <w:szCs w:val="20"/>
        </w:rPr>
        <w:t xml:space="preserve">věku, který dělí populaci na dvě stejně velké části. Polovina mužů byla starší 38,5 let a polovina žen 41,6 let. </w:t>
      </w:r>
      <w:r w:rsidR="00C83BB6">
        <w:rPr>
          <w:rFonts w:cs="Arial"/>
          <w:szCs w:val="20"/>
        </w:rPr>
        <w:t>Vzrůstající tendenci měly i i</w:t>
      </w:r>
      <w:r>
        <w:rPr>
          <w:rFonts w:cs="Arial"/>
          <w:szCs w:val="20"/>
        </w:rPr>
        <w:t>ndexy vyjadřující poměr tří základních věkových složek populace s výjimkou indexu závislosti I</w:t>
      </w:r>
      <w:r w:rsidR="00C83BB6">
        <w:rPr>
          <w:rFonts w:cs="Arial"/>
          <w:szCs w:val="20"/>
        </w:rPr>
        <w:t>.</w:t>
      </w:r>
      <w:r w:rsidRPr="00F82AB0">
        <w:t xml:space="preserve"> </w:t>
      </w:r>
      <w:r>
        <w:rPr>
          <w:rFonts w:cs="Arial"/>
          <w:szCs w:val="20"/>
        </w:rPr>
        <w:t>Díky poklesu počtu osob ve věku 0</w:t>
      </w:r>
      <w:r w:rsidR="004C1515">
        <w:rPr>
          <w:rFonts w:cs="Arial"/>
          <w:szCs w:val="20"/>
        </w:rPr>
        <w:t xml:space="preserve"> až </w:t>
      </w:r>
      <w:r>
        <w:rPr>
          <w:rFonts w:cs="Arial"/>
          <w:szCs w:val="20"/>
        </w:rPr>
        <w:t>14 let připadl na 100 osob ve věku 15</w:t>
      </w:r>
      <w:r w:rsidR="004C1515">
        <w:rPr>
          <w:rFonts w:cs="Arial"/>
          <w:szCs w:val="20"/>
        </w:rPr>
        <w:t xml:space="preserve"> až </w:t>
      </w:r>
      <w:r>
        <w:rPr>
          <w:rFonts w:cs="Arial"/>
          <w:szCs w:val="20"/>
        </w:rPr>
        <w:t>64 menší počet dětí, než v roce 2001.</w:t>
      </w:r>
      <w:r w:rsidR="00942FC3">
        <w:rPr>
          <w:rFonts w:cs="Arial"/>
          <w:szCs w:val="20"/>
        </w:rPr>
        <w:t xml:space="preserve"> </w:t>
      </w:r>
      <w:r w:rsidR="003A632F">
        <w:rPr>
          <w:rFonts w:cs="Arial"/>
          <w:szCs w:val="20"/>
        </w:rPr>
        <w:t>Index stáří překročil p</w:t>
      </w:r>
      <w:r>
        <w:rPr>
          <w:rFonts w:cs="Arial"/>
          <w:szCs w:val="20"/>
        </w:rPr>
        <w:t xml:space="preserve">oprvé v historii sčítání lidu </w:t>
      </w:r>
      <w:r w:rsidR="003A632F">
        <w:rPr>
          <w:rFonts w:cs="Arial"/>
          <w:szCs w:val="20"/>
        </w:rPr>
        <w:t>hodnotu 100</w:t>
      </w:r>
      <w:r w:rsidR="00531C5C">
        <w:rPr>
          <w:rFonts w:cs="Arial"/>
          <w:szCs w:val="20"/>
        </w:rPr>
        <w:t>, tzn., že</w:t>
      </w:r>
      <w:r w:rsidR="003A632F">
        <w:rPr>
          <w:rFonts w:cs="Arial"/>
          <w:szCs w:val="20"/>
        </w:rPr>
        <w:t xml:space="preserve"> </w:t>
      </w:r>
      <w:r w:rsidR="00531C5C">
        <w:rPr>
          <w:rFonts w:cs="Arial"/>
          <w:szCs w:val="20"/>
        </w:rPr>
        <w:t>p</w:t>
      </w:r>
      <w:r w:rsidR="003A632F">
        <w:rPr>
          <w:rFonts w:cs="Arial"/>
          <w:szCs w:val="20"/>
        </w:rPr>
        <w:t xml:space="preserve">oproduktivní složka </w:t>
      </w:r>
      <w:r>
        <w:rPr>
          <w:rFonts w:cs="Arial"/>
          <w:szCs w:val="20"/>
        </w:rPr>
        <w:t xml:space="preserve">převážila nad dětskou. </w:t>
      </w:r>
    </w:p>
    <w:p w:rsidR="00E773CB" w:rsidRDefault="005B16C2" w:rsidP="00227DC1">
      <w:pPr>
        <w:spacing w:after="60"/>
        <w:rPr>
          <w:b/>
        </w:rPr>
      </w:pPr>
      <w:r w:rsidRPr="006F7985">
        <w:rPr>
          <w:rFonts w:cs="Arial"/>
          <w:b/>
          <w:szCs w:val="20"/>
        </w:rPr>
        <w:t>Tab.</w:t>
      </w:r>
      <w:r w:rsidR="00CA418E">
        <w:rPr>
          <w:rFonts w:cs="Arial"/>
          <w:b/>
          <w:szCs w:val="20"/>
        </w:rPr>
        <w:t xml:space="preserve"> 5</w:t>
      </w:r>
      <w:r w:rsidR="00E02F12">
        <w:rPr>
          <w:rFonts w:cs="Arial"/>
          <w:b/>
          <w:szCs w:val="20"/>
        </w:rPr>
        <w:t xml:space="preserve">: </w:t>
      </w:r>
      <w:r w:rsidR="004D5C28" w:rsidRPr="006F7985">
        <w:rPr>
          <w:rFonts w:cs="Arial"/>
          <w:b/>
          <w:szCs w:val="20"/>
        </w:rPr>
        <w:t xml:space="preserve">Ukazatele věkové </w:t>
      </w:r>
      <w:r w:rsidR="00166971">
        <w:rPr>
          <w:rFonts w:cs="Arial"/>
          <w:b/>
          <w:szCs w:val="20"/>
        </w:rPr>
        <w:t xml:space="preserve">struktury </w:t>
      </w:r>
      <w:r w:rsidR="00E773CB">
        <w:rPr>
          <w:b/>
        </w:rPr>
        <w:t>ze sčítání lidu v letech 2001 a 2011</w:t>
      </w:r>
    </w:p>
    <w:p w:rsidR="00693327" w:rsidRDefault="006A0A8E" w:rsidP="00FF07BE">
      <w:pPr>
        <w:jc w:val="left"/>
      </w:pPr>
      <w:r>
        <w:object w:dxaOrig="8568" w:dyaOrig="3420">
          <v:shape id="_x0000_i1030" type="#_x0000_t75" style="width:428.25pt;height:171pt" o:ole="">
            <v:imagedata r:id="rId19" o:title=""/>
          </v:shape>
          <o:OLEObject Type="Embed" ProgID="Excel.Sheet.8" ShapeID="_x0000_i1030" DrawAspect="Content" ObjectID="_1456725353" r:id="rId20"/>
        </w:object>
      </w:r>
    </w:p>
    <w:p w:rsidR="004614C5" w:rsidRDefault="001056D6" w:rsidP="00E054AB">
      <w:pPr>
        <w:spacing w:after="200"/>
      </w:pPr>
      <w:r>
        <w:t>Porovnáním poměrů</w:t>
      </w:r>
      <w:r w:rsidR="00D1252A">
        <w:t xml:space="preserve"> tří základních věkových skupin </w:t>
      </w:r>
      <w:r w:rsidR="008A4599">
        <w:t xml:space="preserve">(graf 3) </w:t>
      </w:r>
      <w:r w:rsidR="00D1252A">
        <w:t>bylo zjištěno, že v</w:t>
      </w:r>
      <w:r w:rsidR="001151A1">
        <w:t> uplynulém intercen</w:t>
      </w:r>
      <w:r w:rsidR="00753CF6">
        <w:t>z</w:t>
      </w:r>
      <w:r w:rsidR="00FF07BE">
        <w:t>álním období se změny projevily především v obou krajních věkových skupinách, na které bezprostředně působí změny v úrovni porodnosti a úmrtnosti. Podíl věkové skupiny 15</w:t>
      </w:r>
      <w:r w:rsidR="004C1515">
        <w:t xml:space="preserve"> až </w:t>
      </w:r>
      <w:r w:rsidR="00FF07BE">
        <w:t>64 let se stabilně drží na necelých 70 %. Podíl osob starších 65 let vzrostl mezi sčítáními 2001 a 2011 o 2 procentní body.</w:t>
      </w:r>
      <w:r w:rsidR="000354C7">
        <w:t xml:space="preserve"> Podíl dětské složky klesl z 16,2 % na 14,3 %</w:t>
      </w:r>
      <w:r w:rsidR="00272AA7">
        <w:t>.</w:t>
      </w:r>
      <w:r w:rsidR="000354C7">
        <w:t xml:space="preserve"> </w:t>
      </w:r>
      <w:r w:rsidR="00965641">
        <w:t>R</w:t>
      </w:r>
      <w:r w:rsidR="00FF07BE">
        <w:t>elativní převaha poproduktivní složky nad dětskou je dalším potvrzením pokra</w:t>
      </w:r>
      <w:r w:rsidR="001417D4">
        <w:t>čujícího trendu stárnutí č</w:t>
      </w:r>
      <w:r w:rsidR="00FF07BE">
        <w:t xml:space="preserve">eské populace. </w:t>
      </w:r>
    </w:p>
    <w:p w:rsidR="004614C5" w:rsidRPr="008E6D93" w:rsidRDefault="00272AA7" w:rsidP="00FF07BE">
      <w:pPr>
        <w:rPr>
          <w:b/>
        </w:rPr>
      </w:pPr>
      <w:r w:rsidRPr="008E6D93">
        <w:rPr>
          <w:b/>
        </w:rPr>
        <w:t>G</w:t>
      </w:r>
      <w:r w:rsidR="002D6654">
        <w:rPr>
          <w:b/>
        </w:rPr>
        <w:t xml:space="preserve">raf </w:t>
      </w:r>
      <w:r w:rsidR="00574A38">
        <w:rPr>
          <w:b/>
        </w:rPr>
        <w:t>3</w:t>
      </w:r>
      <w:r w:rsidR="00BB7FA1" w:rsidRPr="008E6D93">
        <w:rPr>
          <w:b/>
        </w:rPr>
        <w:t xml:space="preserve">: </w:t>
      </w:r>
      <w:r w:rsidR="00166971" w:rsidRPr="008F1A5C">
        <w:rPr>
          <w:rFonts w:cs="Arial"/>
          <w:b/>
          <w:szCs w:val="20"/>
        </w:rPr>
        <w:t>Struktura počtu obyvatel podle věku</w:t>
      </w:r>
      <w:r w:rsidR="00166971">
        <w:rPr>
          <w:rFonts w:cs="Arial"/>
          <w:b/>
          <w:szCs w:val="20"/>
        </w:rPr>
        <w:t xml:space="preserve"> ze </w:t>
      </w:r>
      <w:r w:rsidR="00166971">
        <w:rPr>
          <w:b/>
        </w:rPr>
        <w:t>sčítání lidu v letech 2001 a 2011</w:t>
      </w:r>
    </w:p>
    <w:p w:rsidR="00272AA7" w:rsidRDefault="00ED499E" w:rsidP="00BB7FA1">
      <w:pPr>
        <w:jc w:val="center"/>
      </w:pPr>
      <w:r>
        <w:pict>
          <v:shape id="_x0000_i1031" type="#_x0000_t75" style="width:434.25pt;height:114.75pt">
            <v:imagedata r:id="rId21" o:title=""/>
          </v:shape>
        </w:pict>
      </w:r>
    </w:p>
    <w:p w:rsidR="00FF07BE" w:rsidRDefault="00FF07BE" w:rsidP="00FF07BE"/>
    <w:p w:rsidR="004848A6" w:rsidRDefault="00FF07BE" w:rsidP="0097142E">
      <w:pPr>
        <w:spacing w:after="200"/>
      </w:pPr>
      <w:r>
        <w:lastRenderedPageBreak/>
        <w:t>Z hlediska praktických společenských rozhodnutí a plánovaní nejsou důležitá jen relativní zastoupení jednotlivých věkových skupin, ale také absolut</w:t>
      </w:r>
      <w:r w:rsidR="00B25CEC">
        <w:t>ní počty</w:t>
      </w:r>
      <w:r w:rsidR="00174DB9">
        <w:t xml:space="preserve"> obyvatel v jednotlivých věkových skupinách</w:t>
      </w:r>
      <w:r w:rsidR="009A6406">
        <w:t xml:space="preserve"> (graf 4)</w:t>
      </w:r>
      <w:r w:rsidR="00B25CEC">
        <w:t xml:space="preserve">. </w:t>
      </w:r>
    </w:p>
    <w:p w:rsidR="00571C1B" w:rsidRPr="000C56B1" w:rsidRDefault="00571C1B" w:rsidP="00571C1B">
      <w:pPr>
        <w:ind w:firstLine="720"/>
        <w:rPr>
          <w:b/>
          <w:szCs w:val="20"/>
        </w:rPr>
      </w:pPr>
      <w:r w:rsidRPr="000C56B1">
        <w:rPr>
          <w:b/>
          <w:szCs w:val="20"/>
        </w:rPr>
        <w:t xml:space="preserve">Graf </w:t>
      </w:r>
      <w:r w:rsidR="00574A38" w:rsidRPr="000C56B1">
        <w:rPr>
          <w:b/>
          <w:szCs w:val="20"/>
        </w:rPr>
        <w:t>4</w:t>
      </w:r>
      <w:r w:rsidR="004848A6" w:rsidRPr="000C56B1">
        <w:rPr>
          <w:b/>
          <w:szCs w:val="20"/>
        </w:rPr>
        <w:t xml:space="preserve">: </w:t>
      </w:r>
      <w:r w:rsidR="003B7053" w:rsidRPr="000C56B1">
        <w:rPr>
          <w:b/>
          <w:szCs w:val="20"/>
        </w:rPr>
        <w:t xml:space="preserve">Absolutní </w:t>
      </w:r>
      <w:r w:rsidR="008E2133" w:rsidRPr="000C56B1">
        <w:rPr>
          <w:b/>
          <w:szCs w:val="20"/>
        </w:rPr>
        <w:t>počet</w:t>
      </w:r>
      <w:r w:rsidR="003B7053" w:rsidRPr="000C56B1">
        <w:rPr>
          <w:b/>
          <w:szCs w:val="20"/>
        </w:rPr>
        <w:t xml:space="preserve"> obyvatel podle hlavních věkových skupin</w:t>
      </w:r>
      <w:r w:rsidRPr="000C56B1">
        <w:rPr>
          <w:b/>
          <w:szCs w:val="20"/>
        </w:rPr>
        <w:t xml:space="preserve"> </w:t>
      </w:r>
    </w:p>
    <w:p w:rsidR="00F443DC" w:rsidRPr="000C56B1" w:rsidRDefault="00F443DC" w:rsidP="00571C1B">
      <w:pPr>
        <w:ind w:firstLine="720"/>
        <w:rPr>
          <w:b/>
          <w:szCs w:val="20"/>
        </w:rPr>
      </w:pPr>
      <w:r w:rsidRPr="000C56B1">
        <w:rPr>
          <w:rFonts w:cs="Arial"/>
          <w:b/>
          <w:szCs w:val="20"/>
        </w:rPr>
        <w:t xml:space="preserve">ze </w:t>
      </w:r>
      <w:r w:rsidRPr="000C56B1">
        <w:rPr>
          <w:b/>
          <w:szCs w:val="20"/>
        </w:rPr>
        <w:t>sčítání lidu v letech 2001 a 2011</w:t>
      </w:r>
    </w:p>
    <w:p w:rsidR="00B33D90" w:rsidRDefault="00ED499E" w:rsidP="00F443DC">
      <w:pPr>
        <w:jc w:val="center"/>
      </w:pPr>
      <w:r>
        <w:pict>
          <v:shape id="_x0000_i1032" type="#_x0000_t75" style="width:369.75pt;height:217.5pt">
            <v:imagedata r:id="rId22" o:title=""/>
          </v:shape>
        </w:pict>
      </w:r>
    </w:p>
    <w:p w:rsidR="00C526BB" w:rsidRDefault="00FF07BE" w:rsidP="00016529">
      <w:pPr>
        <w:spacing w:after="200"/>
      </w:pPr>
      <w:r>
        <w:t xml:space="preserve">Od roku 2001 klesl počet osob ve věku </w:t>
      </w:r>
      <w:r w:rsidRPr="00F71EE9">
        <w:rPr>
          <w:i/>
        </w:rPr>
        <w:t>do 15 let</w:t>
      </w:r>
      <w:r>
        <w:t xml:space="preserve"> o 165</w:t>
      </w:r>
      <w:r w:rsidR="00B25CEC">
        <w:t xml:space="preserve"> </w:t>
      </w:r>
      <w:r>
        <w:t>934 osob. V intercen</w:t>
      </w:r>
      <w:r w:rsidR="000C56B1">
        <w:t>z</w:t>
      </w:r>
      <w:r>
        <w:t>álním období opustily tuto kategorii poměrně silné ročníky z druhé poloviny osmdesátých let, kdy počet živě narozených každoročně překonáva</w:t>
      </w:r>
      <w:r w:rsidR="00531C5C">
        <w:t>l</w:t>
      </w:r>
      <w:r>
        <w:t xml:space="preserve"> 130 tis</w:t>
      </w:r>
      <w:r w:rsidR="007F1B5F">
        <w:t>íc</w:t>
      </w:r>
      <w:r>
        <w:t>. Naopak propad porodnosti v devadesátých letech byl natolik hluboký, že ani dočasné zvýšení počtu narozených k</w:t>
      </w:r>
      <w:r w:rsidR="00531C5C">
        <w:t>e</w:t>
      </w:r>
      <w:r>
        <w:t> 120 tis</w:t>
      </w:r>
      <w:r w:rsidR="00B25CEC">
        <w:t xml:space="preserve">ícům ročně v letech 2006 až </w:t>
      </w:r>
      <w:r>
        <w:t>2010 nemohl</w:t>
      </w:r>
      <w:r w:rsidR="00531C5C">
        <w:t>o</w:t>
      </w:r>
      <w:r>
        <w:t xml:space="preserve"> tento úbytek zastavit.  </w:t>
      </w:r>
    </w:p>
    <w:p w:rsidR="00F443DC" w:rsidRPr="008E6D93" w:rsidRDefault="00BB3C94" w:rsidP="00016529">
      <w:pPr>
        <w:spacing w:after="60"/>
        <w:ind w:firstLine="284"/>
        <w:rPr>
          <w:b/>
        </w:rPr>
      </w:pPr>
      <w:r>
        <w:rPr>
          <w:b/>
        </w:rPr>
        <w:t>T</w:t>
      </w:r>
      <w:r w:rsidR="000C56B1">
        <w:rPr>
          <w:b/>
        </w:rPr>
        <w:t>ab.</w:t>
      </w:r>
      <w:r w:rsidR="00130413">
        <w:rPr>
          <w:b/>
        </w:rPr>
        <w:t xml:space="preserve"> </w:t>
      </w:r>
      <w:r w:rsidR="00CA418E">
        <w:rPr>
          <w:b/>
        </w:rPr>
        <w:t>6</w:t>
      </w:r>
      <w:r w:rsidR="00E02F12">
        <w:rPr>
          <w:b/>
        </w:rPr>
        <w:t xml:space="preserve">: </w:t>
      </w:r>
      <w:r w:rsidR="008E2133">
        <w:rPr>
          <w:b/>
        </w:rPr>
        <w:t xml:space="preserve">Počet obyvatel ve </w:t>
      </w:r>
      <w:r w:rsidR="00745FD9">
        <w:rPr>
          <w:b/>
        </w:rPr>
        <w:t>věku do 15 let</w:t>
      </w:r>
      <w:r w:rsidR="008E2133">
        <w:rPr>
          <w:b/>
        </w:rPr>
        <w:t xml:space="preserve"> </w:t>
      </w:r>
      <w:r w:rsidR="00F443DC">
        <w:rPr>
          <w:rFonts w:cs="Arial"/>
          <w:b/>
          <w:szCs w:val="20"/>
        </w:rPr>
        <w:t xml:space="preserve">ze </w:t>
      </w:r>
      <w:r w:rsidR="00F443DC">
        <w:rPr>
          <w:b/>
        </w:rPr>
        <w:t>sčítání lidu v letech 2001 a 2011</w:t>
      </w:r>
    </w:p>
    <w:p w:rsidR="00C526BB" w:rsidRDefault="00ED499E" w:rsidP="00C36E38">
      <w:pPr>
        <w:jc w:val="center"/>
      </w:pPr>
      <w:r>
        <w:pict>
          <v:shape id="_x0000_i1033" type="#_x0000_t75" style="width:396.75pt;height:122.25pt">
            <v:imagedata r:id="rId23" o:title=""/>
          </v:shape>
        </w:pict>
      </w:r>
    </w:p>
    <w:p w:rsidR="00D02FCB" w:rsidRDefault="00D02FCB" w:rsidP="00FF07BE"/>
    <w:p w:rsidR="00FF07BE" w:rsidRDefault="000560D6" w:rsidP="00FF07BE">
      <w:r>
        <w:t xml:space="preserve">Naopak </w:t>
      </w:r>
      <w:r w:rsidR="00FF07BE">
        <w:t xml:space="preserve">v kategorii </w:t>
      </w:r>
      <w:r w:rsidR="00FF07BE" w:rsidRPr="000514DB">
        <w:rPr>
          <w:i/>
        </w:rPr>
        <w:t>65 a více let</w:t>
      </w:r>
      <w:r>
        <w:rPr>
          <w:i/>
        </w:rPr>
        <w:t xml:space="preserve"> </w:t>
      </w:r>
      <w:r w:rsidR="001056D6">
        <w:t>byl ve stejném období zaznamenán</w:t>
      </w:r>
      <w:r>
        <w:t xml:space="preserve"> přírůstek 234 265 osob</w:t>
      </w:r>
      <w:r w:rsidR="00FF07BE" w:rsidRPr="000514DB">
        <w:rPr>
          <w:i/>
        </w:rPr>
        <w:t>.</w:t>
      </w:r>
      <w:r w:rsidR="00FF07BE">
        <w:t xml:space="preserve"> Spolu s prodlužováním střední délk</w:t>
      </w:r>
      <w:r w:rsidR="003D205C">
        <w:t>y života se měn</w:t>
      </w:r>
      <w:r>
        <w:t>ila</w:t>
      </w:r>
      <w:r w:rsidR="003D205C">
        <w:t xml:space="preserve"> také struktura </w:t>
      </w:r>
      <w:r w:rsidR="00FF07BE">
        <w:t>nejstarší věkové složky populace. Zatímco v </w:t>
      </w:r>
      <w:r w:rsidR="003355EA">
        <w:t>šedesátých</w:t>
      </w:r>
      <w:r w:rsidR="00FF07BE">
        <w:t xml:space="preserve"> </w:t>
      </w:r>
      <w:r w:rsidR="003355EA">
        <w:t>l</w:t>
      </w:r>
      <w:r w:rsidR="00FF07BE">
        <w:t>etech byla spodní hranice poproduktivní složky určena věkem 50 let, dnes jsou do této kateg</w:t>
      </w:r>
      <w:r w:rsidR="003D205C">
        <w:t>orie zahrnovány osoby starší 65</w:t>
      </w:r>
      <w:r w:rsidR="00FF07BE">
        <w:t xml:space="preserve"> let. To již samo o sobě vypovídá</w:t>
      </w:r>
      <w:r w:rsidR="001B670B">
        <w:t xml:space="preserve"> </w:t>
      </w:r>
      <w:r w:rsidR="00FF07BE">
        <w:t>o posunu, kterým česk</w:t>
      </w:r>
      <w:r w:rsidR="00ED2234">
        <w:t>á populace prošla.</w:t>
      </w:r>
    </w:p>
    <w:p w:rsidR="00105FC3" w:rsidRDefault="002F2A08" w:rsidP="00105FC3">
      <w:pPr>
        <w:ind w:left="426"/>
        <w:rPr>
          <w:b/>
        </w:rPr>
      </w:pPr>
      <w:r>
        <w:rPr>
          <w:b/>
        </w:rPr>
        <w:lastRenderedPageBreak/>
        <w:t>Tab.</w:t>
      </w:r>
      <w:r w:rsidR="00DE6B76">
        <w:rPr>
          <w:b/>
        </w:rPr>
        <w:t xml:space="preserve"> 7</w:t>
      </w:r>
      <w:r w:rsidR="00581B2F">
        <w:rPr>
          <w:b/>
        </w:rPr>
        <w:t xml:space="preserve">: </w:t>
      </w:r>
      <w:r w:rsidR="00FF07BE" w:rsidRPr="00E02F12">
        <w:rPr>
          <w:b/>
        </w:rPr>
        <w:t xml:space="preserve">Počet osob ve </w:t>
      </w:r>
      <w:r w:rsidR="00794E21">
        <w:rPr>
          <w:b/>
        </w:rPr>
        <w:t xml:space="preserve">věku </w:t>
      </w:r>
      <w:r w:rsidR="00E02F12" w:rsidRPr="00E02F12">
        <w:rPr>
          <w:b/>
        </w:rPr>
        <w:t>65</w:t>
      </w:r>
      <w:r w:rsidR="00BB3C94">
        <w:rPr>
          <w:b/>
        </w:rPr>
        <w:t xml:space="preserve"> a více </w:t>
      </w:r>
      <w:r w:rsidR="00E02F12" w:rsidRPr="00E02F12">
        <w:rPr>
          <w:b/>
        </w:rPr>
        <w:t xml:space="preserve">let podle pohlaví </w:t>
      </w:r>
      <w:r w:rsidR="00C36E38">
        <w:rPr>
          <w:rFonts w:cs="Arial"/>
          <w:b/>
          <w:szCs w:val="20"/>
        </w:rPr>
        <w:t xml:space="preserve">ze </w:t>
      </w:r>
      <w:r w:rsidR="00C36E38">
        <w:rPr>
          <w:b/>
        </w:rPr>
        <w:t xml:space="preserve">sčítání lidu </w:t>
      </w:r>
    </w:p>
    <w:p w:rsidR="00C36E38" w:rsidRPr="008E6D93" w:rsidRDefault="00C36E38" w:rsidP="00105FC3">
      <w:pPr>
        <w:ind w:left="426"/>
        <w:rPr>
          <w:b/>
        </w:rPr>
      </w:pPr>
      <w:r>
        <w:rPr>
          <w:b/>
        </w:rPr>
        <w:t>v letech 2001 a 2011</w:t>
      </w:r>
    </w:p>
    <w:p w:rsidR="00FF07BE" w:rsidRDefault="00ED499E" w:rsidP="00067A50">
      <w:pPr>
        <w:jc w:val="center"/>
      </w:pPr>
      <w:r>
        <w:pict>
          <v:shape id="_x0000_i1034" type="#_x0000_t75" style="width:387pt;height:189pt">
            <v:imagedata r:id="rId24" o:title=""/>
          </v:shape>
        </w:pict>
      </w:r>
    </w:p>
    <w:p w:rsidR="00067A50" w:rsidRDefault="00067A50" w:rsidP="004112A2"/>
    <w:p w:rsidR="004112A2" w:rsidRPr="00075225" w:rsidRDefault="00FF07BE" w:rsidP="004112A2">
      <w:r>
        <w:t>Vývoj jednotlivých věkových skupin v kategorii 65</w:t>
      </w:r>
      <w:r w:rsidR="00EB54E8">
        <w:t xml:space="preserve"> a více</w:t>
      </w:r>
      <w:r w:rsidR="007A4FBE">
        <w:t xml:space="preserve"> let</w:t>
      </w:r>
      <w:r>
        <w:t xml:space="preserve"> </w:t>
      </w:r>
      <w:r w:rsidR="000560D6">
        <w:t xml:space="preserve">byl ovlivněn </w:t>
      </w:r>
      <w:r>
        <w:t>jednak úrovn</w:t>
      </w:r>
      <w:r w:rsidR="000560D6">
        <w:t xml:space="preserve">í </w:t>
      </w:r>
      <w:r>
        <w:t>úmrtnosti ve středním věku a jednak početnost</w:t>
      </w:r>
      <w:r w:rsidR="000560D6">
        <w:t>í</w:t>
      </w:r>
      <w:r>
        <w:t xml:space="preserve"> generací do daného věku vstupující</w:t>
      </w:r>
      <w:r w:rsidR="00EB54E8">
        <w:t>ch</w:t>
      </w:r>
      <w:r>
        <w:t xml:space="preserve">. Tabulka </w:t>
      </w:r>
      <w:r w:rsidR="00DC52C8">
        <w:t>7 ilustruje</w:t>
      </w:r>
      <w:r>
        <w:t xml:space="preserve"> posun v </w:t>
      </w:r>
      <w:r w:rsidR="000560D6">
        <w:t xml:space="preserve">četnostech </w:t>
      </w:r>
      <w:r>
        <w:t xml:space="preserve">jednotlivých věkových skupin starší populace. Až na dvě výjimky se </w:t>
      </w:r>
      <w:r w:rsidR="00A31706">
        <w:t>všechny věkové skupiny rozrůstají</w:t>
      </w:r>
      <w:r>
        <w:t>.</w:t>
      </w:r>
      <w:r w:rsidR="004112A2">
        <w:t xml:space="preserve"> Mezi lety 2001 a 2011 přešly do poproduktivní složky populačně silné generace osob narozených za druhé světové války. </w:t>
      </w:r>
    </w:p>
    <w:p w:rsidR="00FF07BE" w:rsidRDefault="00FF07BE" w:rsidP="002F2A08">
      <w:pPr>
        <w:spacing w:after="120"/>
      </w:pPr>
      <w:r>
        <w:t>Nejvýraznější procentuální nárůst je v ne</w:t>
      </w:r>
      <w:r w:rsidR="00EB54E8">
        <w:t xml:space="preserve">jvyšších věkových skupinách tj. </w:t>
      </w:r>
      <w:r>
        <w:t xml:space="preserve">95 </w:t>
      </w:r>
      <w:r w:rsidR="00EB54E8">
        <w:t>a více let</w:t>
      </w:r>
      <w:r>
        <w:t>, je</w:t>
      </w:r>
      <w:r w:rsidR="004A470E">
        <w:t xml:space="preserve"> </w:t>
      </w:r>
      <w:r>
        <w:t>potřeba</w:t>
      </w:r>
      <w:r w:rsidR="004A470E">
        <w:t xml:space="preserve"> ale přihlédnout k</w:t>
      </w:r>
      <w:r>
        <w:t xml:space="preserve"> velmi malé početnosti této věkové skupiny v roce </w:t>
      </w:r>
      <w:r w:rsidR="00581B2F">
        <w:t>2001</w:t>
      </w:r>
      <w:r w:rsidR="003519EA">
        <w:t xml:space="preserve">. </w:t>
      </w:r>
      <w:r w:rsidR="00987C6C">
        <w:t xml:space="preserve"> </w:t>
      </w:r>
      <w:r w:rsidR="00541FDB">
        <w:t>Souhrnně se populace 65 a vícel</w:t>
      </w:r>
      <w:r w:rsidR="001D50EF">
        <w:t xml:space="preserve">etých od roku </w:t>
      </w:r>
      <w:r w:rsidR="00541FDB">
        <w:t>2001</w:t>
      </w:r>
      <w:r w:rsidR="001D50EF">
        <w:t xml:space="preserve"> rozrostla o </w:t>
      </w:r>
      <w:r w:rsidR="001D50EF" w:rsidRPr="00B11478">
        <w:t>17 % a populace 85 a víceletých o 37 %.</w:t>
      </w:r>
      <w:r w:rsidR="001D50EF">
        <w:t xml:space="preserve">  </w:t>
      </w:r>
    </w:p>
    <w:p w:rsidR="00FF07BE" w:rsidRDefault="00FF07BE" w:rsidP="000C332B">
      <w:pPr>
        <w:spacing w:after="200"/>
      </w:pPr>
      <w:r>
        <w:t>Typickým rysem starší</w:t>
      </w:r>
      <w:r w:rsidR="007A3E35">
        <w:t xml:space="preserve"> populace </w:t>
      </w:r>
      <w:r w:rsidR="002F2A08">
        <w:t>je výrazná feminizace (graf</w:t>
      </w:r>
      <w:r w:rsidR="00013E5C">
        <w:t xml:space="preserve"> 5</w:t>
      </w:r>
      <w:r w:rsidR="007A3E35">
        <w:t>).</w:t>
      </w:r>
      <w:r>
        <w:t xml:space="preserve"> </w:t>
      </w:r>
    </w:p>
    <w:p w:rsidR="000B08D5" w:rsidRPr="008E6D93" w:rsidRDefault="002F2A08" w:rsidP="00BB3C94">
      <w:pPr>
        <w:ind w:firstLine="993"/>
        <w:rPr>
          <w:b/>
        </w:rPr>
      </w:pPr>
      <w:r>
        <w:rPr>
          <w:b/>
        </w:rPr>
        <w:t xml:space="preserve">Graf </w:t>
      </w:r>
      <w:r w:rsidR="00574A38">
        <w:rPr>
          <w:b/>
        </w:rPr>
        <w:t>5</w:t>
      </w:r>
      <w:r w:rsidR="000B08D5" w:rsidRPr="009741C5">
        <w:rPr>
          <w:b/>
        </w:rPr>
        <w:t xml:space="preserve">: Index maskulinity </w:t>
      </w:r>
      <w:r w:rsidR="000B08D5">
        <w:rPr>
          <w:rFonts w:cs="Arial"/>
          <w:b/>
          <w:szCs w:val="20"/>
        </w:rPr>
        <w:t xml:space="preserve">ze </w:t>
      </w:r>
      <w:r w:rsidR="000B08D5">
        <w:rPr>
          <w:b/>
        </w:rPr>
        <w:t>sčítání lidu v letech 2001 a 2011</w:t>
      </w:r>
    </w:p>
    <w:p w:rsidR="00FF07BE" w:rsidRDefault="00ED499E" w:rsidP="000661D0">
      <w:pPr>
        <w:jc w:val="center"/>
      </w:pPr>
      <w:r>
        <w:pict>
          <v:shape id="_x0000_i1035" type="#_x0000_t75" style="width:295.5pt;height:175.5pt">
            <v:imagedata r:id="rId25" o:title=""/>
          </v:shape>
        </w:pict>
      </w:r>
    </w:p>
    <w:p w:rsidR="007A3E35" w:rsidRDefault="007A3E35" w:rsidP="000C332B">
      <w:pPr>
        <w:spacing w:before="120" w:after="120"/>
      </w:pPr>
      <w:r>
        <w:t>Tento rys se s postupujícím věkem ještě prohlubuje. Zatímco ve věkové skupině 65 a více let tvoří ženy necelých 60 %, ve věkové skup</w:t>
      </w:r>
      <w:r w:rsidR="006864F1">
        <w:t>ině 85 a více let je to již 72</w:t>
      </w:r>
      <w:r>
        <w:t xml:space="preserve"> %. Zároveň však tím, jak </w:t>
      </w:r>
      <w:r>
        <w:lastRenderedPageBreak/>
        <w:t xml:space="preserve">se tyto věkové skupiny stávají </w:t>
      </w:r>
      <w:r w:rsidR="00042D16">
        <w:t>početnější</w:t>
      </w:r>
      <w:r>
        <w:t xml:space="preserve">, hodnota indexu maskulinity v čase mírně stoupá. V roce 2001 připadalo na 100 žen ve věkové skupině 65 a více let </w:t>
      </w:r>
      <w:r w:rsidRPr="00B11478">
        <w:t>62 mužů,</w:t>
      </w:r>
      <w:r>
        <w:t xml:space="preserve"> v roce 2011 to bylo 67 mužů. </w:t>
      </w:r>
    </w:p>
    <w:p w:rsidR="002C2B51" w:rsidRDefault="008B1795" w:rsidP="002C2B51">
      <w:pPr>
        <w:spacing w:line="288" w:lineRule="auto"/>
        <w:rPr>
          <w:rFonts w:cs="Arial"/>
          <w:szCs w:val="20"/>
        </w:rPr>
      </w:pPr>
      <w:r>
        <w:t>Vzhledem k současné věkové struktuře</w:t>
      </w:r>
      <w:r w:rsidR="004E1ECA">
        <w:t xml:space="preserve"> a </w:t>
      </w:r>
      <w:r w:rsidR="004E67D0">
        <w:t xml:space="preserve">očekávané úrovni úmrtnosti a plodnosti </w:t>
      </w:r>
      <w:r>
        <w:t xml:space="preserve">bude trend stárnutí v České republice </w:t>
      </w:r>
      <w:r w:rsidRPr="008B1795">
        <w:rPr>
          <w:szCs w:val="20"/>
        </w:rPr>
        <w:t xml:space="preserve">pokračovat a převaha poproduktivní složky nad dětskou se bude prohlubovat. </w:t>
      </w:r>
      <w:r w:rsidRPr="008B1795">
        <w:rPr>
          <w:rFonts w:cs="Arial"/>
          <w:szCs w:val="20"/>
        </w:rPr>
        <w:t xml:space="preserve">Prognózy budoucího demografického vývoje odhadují, že i intenzita procesu </w:t>
      </w:r>
      <w:r w:rsidR="002B0F0D">
        <w:rPr>
          <w:rFonts w:cs="Arial"/>
          <w:szCs w:val="20"/>
        </w:rPr>
        <w:t xml:space="preserve">stárnutí </w:t>
      </w:r>
      <w:r w:rsidRPr="008B1795">
        <w:rPr>
          <w:rFonts w:cs="Arial"/>
          <w:szCs w:val="20"/>
        </w:rPr>
        <w:t xml:space="preserve">se bude přechodem silných </w:t>
      </w:r>
      <w:r w:rsidRPr="002C2B51">
        <w:rPr>
          <w:rFonts w:cs="Arial"/>
          <w:szCs w:val="20"/>
        </w:rPr>
        <w:t>populačních ročníků do důchodového věku i nadále zvyšovat</w:t>
      </w:r>
      <w:r w:rsidR="002C2B51" w:rsidRPr="002C2B51">
        <w:rPr>
          <w:rFonts w:cs="Arial"/>
          <w:szCs w:val="20"/>
        </w:rPr>
        <w:t xml:space="preserve">. V roce 2060 by podle střední varianty </w:t>
      </w:r>
      <w:r w:rsidR="002C2B51" w:rsidRPr="002C2B51">
        <w:rPr>
          <w:szCs w:val="20"/>
        </w:rPr>
        <w:t>Projekce obyvatelstva České republiky do roku 2100</w:t>
      </w:r>
      <w:r w:rsidR="00BC7B5A">
        <w:rPr>
          <w:rStyle w:val="Znakapoznpodarou"/>
          <w:rFonts w:cs="Arial"/>
          <w:szCs w:val="20"/>
        </w:rPr>
        <w:footnoteReference w:id="1"/>
      </w:r>
      <w:r w:rsidR="002C2B51" w:rsidRPr="002C2B51">
        <w:rPr>
          <w:rFonts w:cs="Arial"/>
          <w:szCs w:val="20"/>
        </w:rPr>
        <w:t xml:space="preserve"> měl podíl osob starších 65 let dosáhnout 34 % z celkové populace.</w:t>
      </w:r>
    </w:p>
    <w:p w:rsidR="00993BA3" w:rsidRDefault="00993BA3" w:rsidP="00D42B8D"/>
    <w:p w:rsidR="00993BA3" w:rsidRDefault="00993BA3" w:rsidP="00D42B8D"/>
    <w:p w:rsidR="00993BA3" w:rsidRDefault="00993BA3" w:rsidP="00D42B8D"/>
    <w:p w:rsidR="00993BA3" w:rsidRDefault="00993BA3" w:rsidP="00D42B8D"/>
    <w:p w:rsidR="00993BA3" w:rsidRDefault="00993BA3" w:rsidP="00D42B8D"/>
    <w:p w:rsidR="00993BA3" w:rsidRDefault="00993BA3" w:rsidP="00D42B8D"/>
    <w:p w:rsidR="00993BA3" w:rsidRDefault="00993BA3" w:rsidP="00D42B8D"/>
    <w:p w:rsidR="00993BA3" w:rsidRDefault="00993BA3" w:rsidP="00D42B8D"/>
    <w:p w:rsidR="003C6493" w:rsidRDefault="003C6493" w:rsidP="00D42B8D"/>
    <w:p w:rsidR="003C6493" w:rsidRDefault="003C6493" w:rsidP="00D42B8D"/>
    <w:p w:rsidR="00B87CA4" w:rsidRDefault="00B87CA4" w:rsidP="00D42B8D"/>
    <w:p w:rsidR="00B87CA4" w:rsidRDefault="00B87CA4" w:rsidP="00D42B8D"/>
    <w:p w:rsidR="00CC5853" w:rsidRDefault="00CC5853" w:rsidP="004B1B7A">
      <w:pPr>
        <w:spacing w:after="240" w:line="360" w:lineRule="auto"/>
        <w:rPr>
          <w:rFonts w:cs="Arial"/>
          <w:b/>
          <w:szCs w:val="20"/>
        </w:rPr>
      </w:pPr>
    </w:p>
    <w:p w:rsidR="00CC5853" w:rsidRDefault="00CC5853" w:rsidP="004B1B7A">
      <w:pPr>
        <w:spacing w:after="240" w:line="360" w:lineRule="auto"/>
        <w:rPr>
          <w:rFonts w:cs="Arial"/>
          <w:b/>
          <w:szCs w:val="20"/>
        </w:rPr>
      </w:pPr>
    </w:p>
    <w:p w:rsidR="001527F7" w:rsidRDefault="001527F7" w:rsidP="004B1B7A">
      <w:pPr>
        <w:spacing w:after="240" w:line="360" w:lineRule="auto"/>
        <w:rPr>
          <w:rFonts w:cs="Arial"/>
          <w:b/>
          <w:szCs w:val="20"/>
        </w:rPr>
      </w:pPr>
    </w:p>
    <w:p w:rsidR="004A2478" w:rsidRDefault="004A2478" w:rsidP="004B1B7A">
      <w:pPr>
        <w:spacing w:after="240" w:line="360" w:lineRule="auto"/>
        <w:rPr>
          <w:rFonts w:cs="Arial"/>
          <w:b/>
          <w:szCs w:val="20"/>
        </w:rPr>
      </w:pPr>
    </w:p>
    <w:p w:rsidR="004D795B" w:rsidRDefault="004D795B" w:rsidP="004B1B7A">
      <w:pPr>
        <w:spacing w:after="240" w:line="360" w:lineRule="auto"/>
        <w:rPr>
          <w:rFonts w:cs="Arial"/>
          <w:b/>
          <w:szCs w:val="20"/>
        </w:rPr>
      </w:pPr>
    </w:p>
    <w:p w:rsidR="004D795B" w:rsidRDefault="004D795B" w:rsidP="004B1B7A">
      <w:pPr>
        <w:spacing w:after="240" w:line="360" w:lineRule="auto"/>
        <w:rPr>
          <w:rFonts w:cs="Arial"/>
          <w:b/>
          <w:szCs w:val="20"/>
        </w:rPr>
      </w:pPr>
    </w:p>
    <w:p w:rsidR="004D795B" w:rsidRDefault="004D795B" w:rsidP="004B1B7A">
      <w:pPr>
        <w:spacing w:after="240" w:line="360" w:lineRule="auto"/>
        <w:rPr>
          <w:rFonts w:cs="Arial"/>
          <w:b/>
          <w:szCs w:val="20"/>
        </w:rPr>
      </w:pPr>
    </w:p>
    <w:p w:rsidR="004D795B" w:rsidRDefault="004D795B" w:rsidP="004B1B7A">
      <w:pPr>
        <w:spacing w:after="240" w:line="360" w:lineRule="auto"/>
        <w:rPr>
          <w:rFonts w:cs="Arial"/>
          <w:b/>
          <w:szCs w:val="20"/>
        </w:rPr>
      </w:pPr>
    </w:p>
    <w:p w:rsidR="004D795B" w:rsidRDefault="004D795B" w:rsidP="004B1B7A">
      <w:pPr>
        <w:spacing w:after="240" w:line="360" w:lineRule="auto"/>
        <w:rPr>
          <w:rFonts w:cs="Arial"/>
          <w:b/>
          <w:szCs w:val="20"/>
        </w:rPr>
      </w:pPr>
    </w:p>
    <w:p w:rsidR="00D82814" w:rsidRDefault="00D82814" w:rsidP="00A04179">
      <w:pPr>
        <w:spacing w:after="240" w:line="360" w:lineRule="auto"/>
        <w:rPr>
          <w:rFonts w:cs="Arial"/>
          <w:b/>
          <w:szCs w:val="20"/>
        </w:rPr>
      </w:pPr>
    </w:p>
    <w:p w:rsidR="00A04179" w:rsidRPr="00AE464A" w:rsidRDefault="0088167E" w:rsidP="000C332B">
      <w:pPr>
        <w:spacing w:after="240" w:line="360" w:lineRule="auto"/>
        <w:rPr>
          <w:rFonts w:cs="Arial"/>
          <w:b/>
          <w:szCs w:val="20"/>
        </w:rPr>
      </w:pPr>
      <w:r>
        <w:rPr>
          <w:rFonts w:cs="Arial"/>
          <w:b/>
          <w:szCs w:val="20"/>
        </w:rPr>
        <w:lastRenderedPageBreak/>
        <w:t>R</w:t>
      </w:r>
      <w:r w:rsidR="00A04179">
        <w:rPr>
          <w:rFonts w:cs="Arial"/>
          <w:b/>
          <w:szCs w:val="20"/>
        </w:rPr>
        <w:t>e</w:t>
      </w:r>
      <w:r w:rsidR="00A04179" w:rsidRPr="00AE464A">
        <w:rPr>
          <w:rFonts w:cs="Arial"/>
          <w:b/>
          <w:szCs w:val="20"/>
        </w:rPr>
        <w:t>gionální rozdíly ve věkové struktuře</w:t>
      </w:r>
    </w:p>
    <w:p w:rsidR="008E2F45" w:rsidRDefault="00A04179" w:rsidP="00941902">
      <w:pPr>
        <w:spacing w:after="120"/>
        <w:rPr>
          <w:rFonts w:cs="Arial"/>
          <w:b/>
          <w:szCs w:val="20"/>
        </w:rPr>
      </w:pPr>
      <w:r w:rsidRPr="00DD15DA">
        <w:rPr>
          <w:rFonts w:cs="Arial"/>
          <w:szCs w:val="20"/>
        </w:rPr>
        <w:t>Na úrovni regionů mají na věkové složení v</w:t>
      </w:r>
      <w:r>
        <w:rPr>
          <w:rFonts w:cs="Arial"/>
          <w:szCs w:val="20"/>
        </w:rPr>
        <w:t> </w:t>
      </w:r>
      <w:r w:rsidRPr="00DD15DA">
        <w:rPr>
          <w:rFonts w:cs="Arial"/>
          <w:szCs w:val="20"/>
        </w:rPr>
        <w:t>daném</w:t>
      </w:r>
      <w:r>
        <w:rPr>
          <w:rFonts w:cs="Arial"/>
          <w:szCs w:val="20"/>
        </w:rPr>
        <w:t xml:space="preserve"> </w:t>
      </w:r>
      <w:r w:rsidRPr="00DD15DA">
        <w:rPr>
          <w:rFonts w:cs="Arial"/>
          <w:szCs w:val="20"/>
        </w:rPr>
        <w:t xml:space="preserve">území </w:t>
      </w:r>
      <w:r w:rsidR="00AC6EF8">
        <w:rPr>
          <w:rFonts w:cs="Arial"/>
          <w:szCs w:val="20"/>
        </w:rPr>
        <w:t>zásadní</w:t>
      </w:r>
      <w:r w:rsidR="004E67D0">
        <w:rPr>
          <w:rFonts w:cs="Arial"/>
          <w:szCs w:val="20"/>
        </w:rPr>
        <w:t xml:space="preserve"> </w:t>
      </w:r>
      <w:r w:rsidRPr="00DD15DA">
        <w:rPr>
          <w:rFonts w:cs="Arial"/>
          <w:szCs w:val="20"/>
        </w:rPr>
        <w:t>vliv i další faktory, zejména migrace.</w:t>
      </w:r>
      <w:r>
        <w:rPr>
          <w:rFonts w:cs="Arial"/>
          <w:szCs w:val="20"/>
        </w:rPr>
        <w:t xml:space="preserve"> </w:t>
      </w:r>
      <w:r w:rsidRPr="00AE464A">
        <w:rPr>
          <w:rFonts w:cs="Arial"/>
          <w:szCs w:val="20"/>
        </w:rPr>
        <w:t xml:space="preserve">Ekonomický rozvoj jednotlivých regionů souvisí s pracovními příležitostmi, které patří k hlavním důvodům vnitrostátní migrace. </w:t>
      </w:r>
      <w:r w:rsidRPr="008E2F45">
        <w:rPr>
          <w:rFonts w:cs="Arial"/>
          <w:szCs w:val="20"/>
        </w:rPr>
        <w:t>Při porovnávání </w:t>
      </w:r>
      <w:r w:rsidR="00AE0453" w:rsidRPr="008E2F45">
        <w:rPr>
          <w:rFonts w:cs="Arial"/>
          <w:szCs w:val="20"/>
        </w:rPr>
        <w:t xml:space="preserve">regionálních </w:t>
      </w:r>
      <w:r w:rsidRPr="008E2F45">
        <w:rPr>
          <w:rFonts w:cs="Arial"/>
          <w:szCs w:val="20"/>
        </w:rPr>
        <w:t>rozdíl</w:t>
      </w:r>
      <w:r w:rsidR="00AE0453" w:rsidRPr="008E2F45">
        <w:rPr>
          <w:rFonts w:cs="Arial"/>
          <w:szCs w:val="20"/>
        </w:rPr>
        <w:t>ů</w:t>
      </w:r>
      <w:r w:rsidRPr="008E2F45">
        <w:rPr>
          <w:rFonts w:cs="Arial"/>
          <w:szCs w:val="20"/>
        </w:rPr>
        <w:t xml:space="preserve"> </w:t>
      </w:r>
      <w:r w:rsidR="00AE0453" w:rsidRPr="008E2F45">
        <w:rPr>
          <w:rFonts w:cs="Arial"/>
          <w:szCs w:val="20"/>
        </w:rPr>
        <w:t>s</w:t>
      </w:r>
      <w:r w:rsidRPr="008E2F45">
        <w:rPr>
          <w:rFonts w:cs="Arial"/>
          <w:szCs w:val="20"/>
        </w:rPr>
        <w:t> minulý</w:t>
      </w:r>
      <w:r w:rsidR="00AE0453" w:rsidRPr="008E2F45">
        <w:rPr>
          <w:rFonts w:cs="Arial"/>
          <w:szCs w:val="20"/>
        </w:rPr>
        <w:t>mi</w:t>
      </w:r>
      <w:r w:rsidRPr="008E2F45">
        <w:rPr>
          <w:rFonts w:cs="Arial"/>
          <w:szCs w:val="20"/>
        </w:rPr>
        <w:t xml:space="preserve"> l</w:t>
      </w:r>
      <w:r w:rsidR="00AE0453" w:rsidRPr="008E2F45">
        <w:rPr>
          <w:rFonts w:cs="Arial"/>
          <w:szCs w:val="20"/>
        </w:rPr>
        <w:t>éty</w:t>
      </w:r>
      <w:r w:rsidRPr="008E2F45">
        <w:rPr>
          <w:rFonts w:cs="Arial"/>
          <w:szCs w:val="20"/>
        </w:rPr>
        <w:t xml:space="preserve"> je nutné zohlednit také změnu metodiky určování bydliště sčítané osoby</w:t>
      </w:r>
      <w:r w:rsidR="008E2F45" w:rsidRPr="008E2F45">
        <w:rPr>
          <w:rFonts w:cs="Arial"/>
          <w:szCs w:val="20"/>
        </w:rPr>
        <w:t>.</w:t>
      </w:r>
      <w:r w:rsidR="008E2F45">
        <w:rPr>
          <w:rFonts w:cs="Arial"/>
          <w:szCs w:val="20"/>
        </w:rPr>
        <w:t xml:space="preserve"> Do roku 2001 se obyvatelstvo vztahovalo k trvalému pobytu, v roce 2011 se přistoupilo k novému konceptu podle místa obvyklého pobytu. Osoby deklarovaly místo svého faktického </w:t>
      </w:r>
      <w:r w:rsidR="00042D16">
        <w:rPr>
          <w:rFonts w:cs="Arial"/>
          <w:szCs w:val="20"/>
        </w:rPr>
        <w:t>bydliště</w:t>
      </w:r>
      <w:r w:rsidR="008E2F45">
        <w:rPr>
          <w:rFonts w:cs="Arial"/>
          <w:szCs w:val="20"/>
        </w:rPr>
        <w:t xml:space="preserve"> bez ohledu na evidovaný pobyt, na základě kterého </w:t>
      </w:r>
      <w:r w:rsidR="00064D18">
        <w:rPr>
          <w:rFonts w:cs="Arial"/>
          <w:szCs w:val="20"/>
        </w:rPr>
        <w:t xml:space="preserve">pak bylo odvozeno </w:t>
      </w:r>
      <w:r w:rsidR="008E2F45">
        <w:rPr>
          <w:rFonts w:cs="Arial"/>
          <w:szCs w:val="20"/>
        </w:rPr>
        <w:t>místo obvyklého pobytu</w:t>
      </w:r>
      <w:r w:rsidR="00941902">
        <w:rPr>
          <w:rFonts w:cs="Arial"/>
          <w:szCs w:val="20"/>
        </w:rPr>
        <w:t>.</w:t>
      </w:r>
    </w:p>
    <w:p w:rsidR="00372BB0" w:rsidRDefault="00A04179" w:rsidP="00372BB0">
      <w:pPr>
        <w:spacing w:after="120"/>
        <w:rPr>
          <w:rFonts w:cs="Arial"/>
          <w:szCs w:val="20"/>
        </w:rPr>
      </w:pPr>
      <w:r w:rsidRPr="00AE464A">
        <w:rPr>
          <w:rFonts w:cs="Arial"/>
          <w:szCs w:val="20"/>
        </w:rPr>
        <w:t>Podle většiny ukazatelů věkové struktury byl nejmladším regionem České republiky Středočeský kraj. Průměrný věk byl nejnižší j</w:t>
      </w:r>
      <w:r w:rsidR="007E1680">
        <w:rPr>
          <w:rFonts w:cs="Arial"/>
          <w:szCs w:val="20"/>
        </w:rPr>
        <w:t xml:space="preserve">ak pro ženy, tak pro muže, pro které </w:t>
      </w:r>
      <w:r w:rsidRPr="00AE464A">
        <w:rPr>
          <w:rFonts w:cs="Arial"/>
          <w:szCs w:val="20"/>
        </w:rPr>
        <w:t>nepřesáhl hranici 39 let. Dětská složka tvoří přes 15</w:t>
      </w:r>
      <w:r>
        <w:rPr>
          <w:rFonts w:cs="Arial"/>
          <w:szCs w:val="20"/>
        </w:rPr>
        <w:t xml:space="preserve"> </w:t>
      </w:r>
      <w:r w:rsidRPr="00AE464A">
        <w:rPr>
          <w:rFonts w:cs="Arial"/>
          <w:szCs w:val="20"/>
        </w:rPr>
        <w:t>% populace a převyšuje po</w:t>
      </w:r>
      <w:r w:rsidR="008F7AA9">
        <w:rPr>
          <w:rFonts w:cs="Arial"/>
          <w:szCs w:val="20"/>
        </w:rPr>
        <w:t>produktivní o </w:t>
      </w:r>
      <w:r w:rsidRPr="00AE464A">
        <w:rPr>
          <w:rFonts w:cs="Arial"/>
          <w:szCs w:val="20"/>
        </w:rPr>
        <w:t>0,7</w:t>
      </w:r>
      <w:r w:rsidR="008F7AA9">
        <w:rPr>
          <w:rFonts w:cs="Arial"/>
          <w:szCs w:val="20"/>
        </w:rPr>
        <w:t> p</w:t>
      </w:r>
      <w:r>
        <w:rPr>
          <w:rFonts w:cs="Arial"/>
          <w:szCs w:val="20"/>
        </w:rPr>
        <w:t>rocentních bodů</w:t>
      </w:r>
      <w:r w:rsidRPr="00AE464A">
        <w:rPr>
          <w:rFonts w:cs="Arial"/>
          <w:szCs w:val="20"/>
        </w:rPr>
        <w:t>. V posledních letech pře</w:t>
      </w:r>
      <w:r w:rsidR="00C91A4E">
        <w:rPr>
          <w:rFonts w:cs="Arial"/>
          <w:szCs w:val="20"/>
        </w:rPr>
        <w:t>d</w:t>
      </w:r>
      <w:r w:rsidRPr="00AE464A">
        <w:rPr>
          <w:rFonts w:cs="Arial"/>
          <w:szCs w:val="20"/>
        </w:rPr>
        <w:t>stavuje Středočeský kraj především zázemí pro hlavní město. Výstavba dostupného bydlení a dobrá dopravní dostupnost do hlavního města činí tento kraj atraktivní</w:t>
      </w:r>
      <w:r w:rsidR="00AE0453">
        <w:rPr>
          <w:rFonts w:cs="Arial"/>
          <w:szCs w:val="20"/>
        </w:rPr>
        <w:t>m</w:t>
      </w:r>
      <w:r w:rsidRPr="00AE464A">
        <w:rPr>
          <w:rFonts w:cs="Arial"/>
          <w:szCs w:val="20"/>
        </w:rPr>
        <w:t xml:space="preserve"> pro mladé rodiny s dětmi. Středočeský kraj je tak s krajem Ústeckým jediným regionem České republiky, kde osoby do 15 let tvoří větší část populace než osoby starší 65 let. Mezi moravskými regiony měl průměrný věk nejnižší hodnotu v</w:t>
      </w:r>
      <w:r w:rsidR="003E3AC7">
        <w:rPr>
          <w:rFonts w:cs="Arial"/>
          <w:szCs w:val="20"/>
        </w:rPr>
        <w:t> </w:t>
      </w:r>
      <w:r w:rsidRPr="00AE464A">
        <w:rPr>
          <w:rFonts w:cs="Arial"/>
          <w:szCs w:val="20"/>
        </w:rPr>
        <w:t>Moravskoslezském kraji.</w:t>
      </w:r>
    </w:p>
    <w:p w:rsidR="00A04179" w:rsidRDefault="00A04179" w:rsidP="000B5777">
      <w:pPr>
        <w:spacing w:after="200"/>
        <w:rPr>
          <w:rFonts w:cs="Arial"/>
          <w:szCs w:val="20"/>
        </w:rPr>
      </w:pPr>
      <w:r w:rsidRPr="00AE464A">
        <w:rPr>
          <w:rFonts w:cs="Arial"/>
          <w:szCs w:val="20"/>
        </w:rPr>
        <w:t>Měřeno podílem nejstarší věkové skupiny z populace daného kraje a průměrným věkem byl nejstarším regionem v České republice Královéhradecký kraj následovaný krajem Zlínským a</w:t>
      </w:r>
      <w:r w:rsidR="00292A78">
        <w:rPr>
          <w:rFonts w:cs="Arial"/>
          <w:szCs w:val="20"/>
        </w:rPr>
        <w:t> </w:t>
      </w:r>
      <w:r w:rsidRPr="00AE464A">
        <w:rPr>
          <w:rFonts w:cs="Arial"/>
          <w:szCs w:val="20"/>
        </w:rPr>
        <w:t>krajem Vysočina. Hodnota průměrného věku</w:t>
      </w:r>
      <w:r>
        <w:rPr>
          <w:rFonts w:cs="Arial"/>
          <w:szCs w:val="20"/>
        </w:rPr>
        <w:t xml:space="preserve"> v těchto krajích p</w:t>
      </w:r>
      <w:r w:rsidRPr="00AE464A">
        <w:rPr>
          <w:rFonts w:cs="Arial"/>
          <w:szCs w:val="20"/>
        </w:rPr>
        <w:t>řekročila hranici 41,3 let.</w:t>
      </w:r>
      <w:r>
        <w:rPr>
          <w:rFonts w:cs="Arial"/>
          <w:szCs w:val="20"/>
        </w:rPr>
        <w:t xml:space="preserve"> </w:t>
      </w:r>
    </w:p>
    <w:p w:rsidR="00A04179" w:rsidRPr="00E07489" w:rsidRDefault="00A04179" w:rsidP="00E07489">
      <w:pPr>
        <w:pStyle w:val="Datum"/>
        <w:spacing w:after="60"/>
        <w:rPr>
          <w:sz w:val="20"/>
          <w:szCs w:val="20"/>
        </w:rPr>
      </w:pPr>
      <w:r w:rsidRPr="00E07489">
        <w:rPr>
          <w:sz w:val="20"/>
          <w:szCs w:val="20"/>
        </w:rPr>
        <w:t xml:space="preserve">Tab. </w:t>
      </w:r>
      <w:r w:rsidR="00345AB5" w:rsidRPr="00E07489">
        <w:rPr>
          <w:sz w:val="20"/>
          <w:szCs w:val="20"/>
        </w:rPr>
        <w:t>8</w:t>
      </w:r>
      <w:r w:rsidRPr="00E07489">
        <w:rPr>
          <w:sz w:val="20"/>
          <w:szCs w:val="20"/>
        </w:rPr>
        <w:t>: Základní věkové skupiny v České republice a krajích k 26. 3. 2011</w:t>
      </w:r>
    </w:p>
    <w:p w:rsidR="00A04179" w:rsidRPr="00AE464A" w:rsidRDefault="00594CF6" w:rsidP="00F750B5">
      <w:pPr>
        <w:spacing w:after="60" w:line="288" w:lineRule="auto"/>
        <w:jc w:val="center"/>
        <w:rPr>
          <w:rFonts w:cs="Arial"/>
          <w:b/>
          <w:szCs w:val="20"/>
        </w:rPr>
      </w:pPr>
      <w:r w:rsidRPr="00141C12">
        <w:rPr>
          <w:rFonts w:cs="Arial"/>
          <w:b/>
          <w:szCs w:val="20"/>
        </w:rPr>
        <w:object w:dxaOrig="8397" w:dyaOrig="4592">
          <v:shape id="_x0000_i1036" type="#_x0000_t75" style="width:420pt;height:229.5pt" o:ole="">
            <v:imagedata r:id="rId26" o:title=""/>
          </v:shape>
          <o:OLEObject Type="Embed" ProgID="Excel.Sheet.8" ShapeID="_x0000_i1036" DrawAspect="Content" ObjectID="_1456725354" r:id="rId27"/>
        </w:object>
      </w:r>
    </w:p>
    <w:p w:rsidR="00BB3C94" w:rsidRDefault="00BB3C94" w:rsidP="00BB3C94">
      <w:pPr>
        <w:rPr>
          <w:rFonts w:cs="Arial"/>
          <w:szCs w:val="20"/>
        </w:rPr>
      </w:pPr>
    </w:p>
    <w:p w:rsidR="00BB3C94" w:rsidRDefault="00BB3C94" w:rsidP="000B5777">
      <w:pPr>
        <w:spacing w:after="120"/>
        <w:rPr>
          <w:rFonts w:cs="Arial"/>
          <w:szCs w:val="20"/>
        </w:rPr>
      </w:pPr>
      <w:r w:rsidRPr="00AE464A">
        <w:rPr>
          <w:rFonts w:cs="Arial"/>
          <w:szCs w:val="20"/>
        </w:rPr>
        <w:t xml:space="preserve">Specifické postavení má </w:t>
      </w:r>
      <w:r>
        <w:rPr>
          <w:rFonts w:cs="Arial"/>
          <w:szCs w:val="20"/>
        </w:rPr>
        <w:t>kraj Hlavní město Pr</w:t>
      </w:r>
      <w:r w:rsidR="00933939">
        <w:rPr>
          <w:rFonts w:cs="Arial"/>
          <w:szCs w:val="20"/>
        </w:rPr>
        <w:t>aha. Zatímco v minulosti patřil</w:t>
      </w:r>
      <w:r>
        <w:rPr>
          <w:rFonts w:cs="Arial"/>
          <w:szCs w:val="20"/>
        </w:rPr>
        <w:t xml:space="preserve"> k nejstarším regionům, v roce 2011 se podílem </w:t>
      </w:r>
      <w:r w:rsidRPr="00AE464A">
        <w:rPr>
          <w:rFonts w:cs="Arial"/>
          <w:szCs w:val="20"/>
        </w:rPr>
        <w:t>poproduktivní složk</w:t>
      </w:r>
      <w:r>
        <w:rPr>
          <w:rFonts w:cs="Arial"/>
          <w:szCs w:val="20"/>
        </w:rPr>
        <w:t>y</w:t>
      </w:r>
      <w:r w:rsidRPr="00AE464A">
        <w:rPr>
          <w:rFonts w:cs="Arial"/>
          <w:szCs w:val="20"/>
        </w:rPr>
        <w:t xml:space="preserve"> </w:t>
      </w:r>
      <w:r>
        <w:rPr>
          <w:rFonts w:cs="Arial"/>
          <w:szCs w:val="20"/>
        </w:rPr>
        <w:t>ve výši</w:t>
      </w:r>
      <w:r w:rsidRPr="00AE464A">
        <w:rPr>
          <w:rFonts w:cs="Arial"/>
          <w:szCs w:val="20"/>
        </w:rPr>
        <w:t xml:space="preserve"> 15,8 % populace</w:t>
      </w:r>
      <w:r>
        <w:rPr>
          <w:rFonts w:cs="Arial"/>
          <w:szCs w:val="20"/>
        </w:rPr>
        <w:t xml:space="preserve"> přiblížila spíše </w:t>
      </w:r>
      <w:r>
        <w:rPr>
          <w:rFonts w:cs="Arial"/>
          <w:szCs w:val="20"/>
        </w:rPr>
        <w:lastRenderedPageBreak/>
        <w:t>průměrným hodnotám. D</w:t>
      </w:r>
      <w:r w:rsidRPr="00AE464A">
        <w:rPr>
          <w:rFonts w:cs="Arial"/>
          <w:szCs w:val="20"/>
        </w:rPr>
        <w:t>íky relativně příznivé ekonomické a pracovní situaci přesahuje podíl produktivního obyvatelstva</w:t>
      </w:r>
      <w:r>
        <w:rPr>
          <w:rFonts w:cs="Arial"/>
          <w:szCs w:val="20"/>
        </w:rPr>
        <w:t xml:space="preserve"> v Praze</w:t>
      </w:r>
      <w:r w:rsidRPr="00AE464A">
        <w:rPr>
          <w:rFonts w:cs="Arial"/>
          <w:szCs w:val="20"/>
        </w:rPr>
        <w:t xml:space="preserve"> 71</w:t>
      </w:r>
      <w:r>
        <w:rPr>
          <w:rFonts w:cs="Arial"/>
          <w:szCs w:val="20"/>
        </w:rPr>
        <w:t xml:space="preserve"> </w:t>
      </w:r>
      <w:r w:rsidRPr="00AE464A">
        <w:rPr>
          <w:rFonts w:cs="Arial"/>
          <w:szCs w:val="20"/>
        </w:rPr>
        <w:t>%, což je v rámci krajů České republiky výjimečné. K tomuto faktu přispívá velkou měrou migrace, nejpočetnější skupinou obyvatelstva podle věku, která se do hlavního města v roce 2011 p</w:t>
      </w:r>
      <w:r>
        <w:rPr>
          <w:rFonts w:cs="Arial"/>
          <w:szCs w:val="20"/>
        </w:rPr>
        <w:t xml:space="preserve">řistěhovala, byly osoby mezi 25 až </w:t>
      </w:r>
      <w:r w:rsidRPr="00AE464A">
        <w:rPr>
          <w:rFonts w:cs="Arial"/>
          <w:szCs w:val="20"/>
        </w:rPr>
        <w:t>29 lety.</w:t>
      </w:r>
      <w:r>
        <w:rPr>
          <w:rFonts w:cs="Arial"/>
          <w:szCs w:val="20"/>
        </w:rPr>
        <w:t xml:space="preserve"> </w:t>
      </w:r>
      <w:r w:rsidRPr="00AE464A">
        <w:rPr>
          <w:rFonts w:cs="Arial"/>
          <w:szCs w:val="20"/>
        </w:rPr>
        <w:t xml:space="preserve">V ostatních krajích </w:t>
      </w:r>
      <w:r>
        <w:rPr>
          <w:rFonts w:cs="Arial"/>
          <w:szCs w:val="20"/>
        </w:rPr>
        <w:t>se věková struktura blíží</w:t>
      </w:r>
      <w:r w:rsidRPr="00AE464A">
        <w:rPr>
          <w:rFonts w:cs="Arial"/>
          <w:szCs w:val="20"/>
        </w:rPr>
        <w:t xml:space="preserve"> k celorepublikovému průměru tj. mírná převaha poproduktivní složky nad dětskou a podíl produktivní složky okolo 69</w:t>
      </w:r>
      <w:r>
        <w:rPr>
          <w:rFonts w:cs="Arial"/>
          <w:szCs w:val="20"/>
        </w:rPr>
        <w:t xml:space="preserve"> </w:t>
      </w:r>
      <w:r w:rsidRPr="00AE464A">
        <w:rPr>
          <w:rFonts w:cs="Arial"/>
          <w:szCs w:val="20"/>
        </w:rPr>
        <w:t>%.</w:t>
      </w:r>
    </w:p>
    <w:p w:rsidR="00A04179" w:rsidRDefault="00A04179" w:rsidP="000B5777">
      <w:pPr>
        <w:spacing w:after="200"/>
        <w:rPr>
          <w:rFonts w:cs="Arial"/>
          <w:szCs w:val="20"/>
        </w:rPr>
      </w:pPr>
      <w:r w:rsidRPr="00AE464A">
        <w:rPr>
          <w:rFonts w:cs="Arial"/>
          <w:szCs w:val="20"/>
        </w:rPr>
        <w:t>Při detailnějším pohledu na územní diferenciaci lze vypozorovat relativně souvislá území na rozhraní jednotlivých krajů (tzv. vnitřní periferie). Zvláště patrné jsou tyto pásy jižně od Prahy na hranicích krajů Středočeského, Jihočeského, Plzeňského a kraje Vysočina. Jedná se o oblast s nejvyššími hodnotami indexu stáří, až nad 160 osob ve věku 65 a</w:t>
      </w:r>
      <w:r>
        <w:rPr>
          <w:rFonts w:cs="Arial"/>
          <w:szCs w:val="20"/>
        </w:rPr>
        <w:t xml:space="preserve"> více let na 100 oso</w:t>
      </w:r>
      <w:r w:rsidR="002C0EF6">
        <w:rPr>
          <w:rFonts w:cs="Arial"/>
          <w:szCs w:val="20"/>
        </w:rPr>
        <w:t>b ve věku 0 až 14 let (graf</w:t>
      </w:r>
      <w:r w:rsidR="00306CB5">
        <w:rPr>
          <w:rFonts w:cs="Arial"/>
          <w:szCs w:val="20"/>
        </w:rPr>
        <w:t xml:space="preserve"> 6</w:t>
      </w:r>
      <w:r>
        <w:rPr>
          <w:rFonts w:cs="Arial"/>
          <w:szCs w:val="20"/>
        </w:rPr>
        <w:t xml:space="preserve">). </w:t>
      </w:r>
      <w:r w:rsidRPr="00AE464A">
        <w:rPr>
          <w:rFonts w:cs="Arial"/>
          <w:szCs w:val="20"/>
        </w:rPr>
        <w:t xml:space="preserve">Vesměs jde o velmi malé obce se špatnou dostupností do krajského města. V těchto obcích zůstávají především starší </w:t>
      </w:r>
      <w:r>
        <w:rPr>
          <w:rFonts w:cs="Arial"/>
          <w:szCs w:val="20"/>
        </w:rPr>
        <w:t>lidé v po</w:t>
      </w:r>
      <w:r w:rsidRPr="00AE464A">
        <w:rPr>
          <w:rFonts w:cs="Arial"/>
          <w:szCs w:val="20"/>
        </w:rPr>
        <w:t xml:space="preserve">produktivním věku a mladší odchází do center za prací. Příkladem může být </w:t>
      </w:r>
      <w:r>
        <w:rPr>
          <w:rFonts w:cs="Arial"/>
          <w:szCs w:val="20"/>
        </w:rPr>
        <w:t xml:space="preserve">správní obvod obce s rozšířenou působností (SO ORP) </w:t>
      </w:r>
      <w:r w:rsidRPr="00AE464A">
        <w:rPr>
          <w:rFonts w:cs="Arial"/>
          <w:szCs w:val="20"/>
        </w:rPr>
        <w:t xml:space="preserve">Rokycany v Plzeňském kraji sousedící se Středočeským krajem, kde v 73 % obcí převyšuje hodnota indexu stáří hodnotu 110,5 tj. hodnotu pro Českou republiku. </w:t>
      </w:r>
    </w:p>
    <w:p w:rsidR="00A04179" w:rsidRPr="001203C1" w:rsidRDefault="00970903" w:rsidP="00A04179">
      <w:pPr>
        <w:rPr>
          <w:rFonts w:cs="Arial"/>
          <w:b/>
          <w:szCs w:val="20"/>
        </w:rPr>
      </w:pPr>
      <w:r>
        <w:rPr>
          <w:rFonts w:cs="Arial"/>
          <w:b/>
          <w:szCs w:val="20"/>
        </w:rPr>
        <w:t>Graf</w:t>
      </w:r>
      <w:r w:rsidR="00574A38">
        <w:rPr>
          <w:rFonts w:cs="Arial"/>
          <w:b/>
          <w:szCs w:val="20"/>
        </w:rPr>
        <w:t xml:space="preserve"> 6</w:t>
      </w:r>
      <w:r w:rsidR="00A04179" w:rsidRPr="001203C1">
        <w:rPr>
          <w:rFonts w:cs="Arial"/>
          <w:b/>
          <w:szCs w:val="20"/>
        </w:rPr>
        <w:t xml:space="preserve">: Index stáří ve správních obvodech obcí s rozšířenou působností </w:t>
      </w:r>
      <w:r w:rsidR="00E05502">
        <w:rPr>
          <w:rFonts w:cs="Arial"/>
          <w:b/>
          <w:szCs w:val="20"/>
        </w:rPr>
        <w:t>k 26. 3. 2011</w:t>
      </w:r>
    </w:p>
    <w:p w:rsidR="00A04179" w:rsidRDefault="00A04179" w:rsidP="00A04179">
      <w:pPr>
        <w:spacing w:after="120"/>
        <w:rPr>
          <w:rFonts w:cs="Arial"/>
          <w:szCs w:val="20"/>
        </w:rPr>
      </w:pPr>
      <w:r>
        <w:rPr>
          <w:rFonts w:cs="Arial"/>
          <w:noProof/>
          <w:szCs w:val="20"/>
          <w:lang w:eastAsia="cs-CZ"/>
        </w:rPr>
        <w:drawing>
          <wp:inline distT="0" distB="0" distL="0" distR="0">
            <wp:extent cx="5305425" cy="3758790"/>
            <wp:effectExtent l="19050" t="0" r="9525"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8" cstate="print"/>
                    <a:srcRect/>
                    <a:stretch>
                      <a:fillRect/>
                    </a:stretch>
                  </pic:blipFill>
                  <pic:spPr bwMode="auto">
                    <a:xfrm>
                      <a:off x="0" y="0"/>
                      <a:ext cx="5309759" cy="3761860"/>
                    </a:xfrm>
                    <a:prstGeom prst="rect">
                      <a:avLst/>
                    </a:prstGeom>
                    <a:noFill/>
                    <a:ln w="9525">
                      <a:noFill/>
                      <a:miter lim="800000"/>
                      <a:headEnd/>
                      <a:tailEnd/>
                    </a:ln>
                  </pic:spPr>
                </pic:pic>
              </a:graphicData>
            </a:graphic>
          </wp:inline>
        </w:drawing>
      </w:r>
    </w:p>
    <w:p w:rsidR="00372BB0" w:rsidRDefault="00BB3C94" w:rsidP="00BB3C94">
      <w:pPr>
        <w:rPr>
          <w:rFonts w:cs="Arial"/>
          <w:szCs w:val="20"/>
        </w:rPr>
      </w:pPr>
      <w:r>
        <w:rPr>
          <w:rFonts w:cs="Arial"/>
          <w:szCs w:val="20"/>
        </w:rPr>
        <w:t xml:space="preserve">Nejnižších hodnot dosahuje index stáří ve dvou typech oblastí. </w:t>
      </w:r>
      <w:r w:rsidRPr="00AE464A">
        <w:rPr>
          <w:rFonts w:cs="Arial"/>
          <w:szCs w:val="20"/>
        </w:rPr>
        <w:t>Jde jednak o zázemí velkých měst – Prahy, případně Brna. V případě obcí v SO ORP sousedících s Prahou bylo pouze 21 z celkového počtu 189, ve kterých hodnota indexu stáří překročila celorepublikový průměr.</w:t>
      </w:r>
    </w:p>
    <w:p w:rsidR="00BB3C94" w:rsidRDefault="00BB3C94" w:rsidP="00096B9D">
      <w:pPr>
        <w:spacing w:after="120"/>
        <w:rPr>
          <w:rFonts w:cs="Arial"/>
          <w:szCs w:val="20"/>
        </w:rPr>
      </w:pPr>
      <w:r w:rsidRPr="00AE464A">
        <w:rPr>
          <w:rFonts w:cs="Arial"/>
          <w:szCs w:val="20"/>
        </w:rPr>
        <w:lastRenderedPageBreak/>
        <w:t>Druhým typem mladé oblasti jsou severní regiony Moravy</w:t>
      </w:r>
      <w:r w:rsidR="00AE0453">
        <w:rPr>
          <w:rFonts w:cs="Arial"/>
          <w:szCs w:val="20"/>
        </w:rPr>
        <w:t xml:space="preserve"> a především </w:t>
      </w:r>
      <w:r w:rsidR="00AE0453" w:rsidRPr="00AE464A">
        <w:rPr>
          <w:rFonts w:cs="Arial"/>
          <w:szCs w:val="20"/>
        </w:rPr>
        <w:t>Čech</w:t>
      </w:r>
      <w:r w:rsidRPr="00AE464A">
        <w:rPr>
          <w:rFonts w:cs="Arial"/>
          <w:szCs w:val="20"/>
        </w:rPr>
        <w:t xml:space="preserve">, kde nejnižší hodnoty dosahovaly okolo 50 osob starších 65 let na 100 dětí </w:t>
      </w:r>
      <w:r>
        <w:rPr>
          <w:rFonts w:cs="Arial"/>
          <w:szCs w:val="20"/>
        </w:rPr>
        <w:t>do 15 let.</w:t>
      </w:r>
    </w:p>
    <w:p w:rsidR="00A04179" w:rsidRDefault="00A04179" w:rsidP="000B5777">
      <w:pPr>
        <w:spacing w:after="200"/>
        <w:rPr>
          <w:rFonts w:cs="Arial"/>
          <w:szCs w:val="20"/>
        </w:rPr>
      </w:pPr>
      <w:r>
        <w:rPr>
          <w:rFonts w:cs="Arial"/>
          <w:szCs w:val="20"/>
        </w:rPr>
        <w:t>Stejné regionální ro</w:t>
      </w:r>
      <w:r w:rsidR="002C0EF6">
        <w:rPr>
          <w:rFonts w:cs="Arial"/>
          <w:szCs w:val="20"/>
        </w:rPr>
        <w:t>zložení dokumentuje také graf</w:t>
      </w:r>
      <w:r>
        <w:rPr>
          <w:rFonts w:cs="Arial"/>
          <w:szCs w:val="20"/>
        </w:rPr>
        <w:t xml:space="preserve"> </w:t>
      </w:r>
      <w:r w:rsidR="003E73C5">
        <w:rPr>
          <w:rFonts w:cs="Arial"/>
          <w:szCs w:val="20"/>
        </w:rPr>
        <w:t>7</w:t>
      </w:r>
      <w:r>
        <w:rPr>
          <w:rFonts w:cs="Arial"/>
          <w:szCs w:val="20"/>
        </w:rPr>
        <w:t xml:space="preserve">. </w:t>
      </w:r>
      <w:r w:rsidRPr="00A57C52">
        <w:rPr>
          <w:rFonts w:cs="Arial"/>
          <w:szCs w:val="20"/>
        </w:rPr>
        <w:t xml:space="preserve">Výrazně nejnižší hodnotu průměrného věku měl </w:t>
      </w:r>
      <w:r w:rsidR="00FF3260">
        <w:rPr>
          <w:rFonts w:cs="Arial"/>
          <w:szCs w:val="20"/>
        </w:rPr>
        <w:t>SO ORP</w:t>
      </w:r>
      <w:r w:rsidRPr="00A57C52">
        <w:rPr>
          <w:rFonts w:cs="Arial"/>
          <w:szCs w:val="20"/>
        </w:rPr>
        <w:t xml:space="preserve"> Lysá nad Labem a to 36,3 let. Je to o dva roky méně než měl obvod s druhou nejnižší hodnotou Brandýs nad Labem - Stará Boleslav. Stejně jako dva následující správní obvody patří i </w:t>
      </w:r>
      <w:r w:rsidR="003E73C5">
        <w:rPr>
          <w:rFonts w:cs="Arial"/>
          <w:szCs w:val="20"/>
        </w:rPr>
        <w:t xml:space="preserve">tyto </w:t>
      </w:r>
      <w:r w:rsidRPr="00A57C52">
        <w:rPr>
          <w:rFonts w:cs="Arial"/>
          <w:szCs w:val="20"/>
        </w:rPr>
        <w:t xml:space="preserve">dva nejmladší do Středočeského kraje. Naopak nejvyšších </w:t>
      </w:r>
      <w:r w:rsidR="00A338AF">
        <w:rPr>
          <w:rFonts w:cs="Arial"/>
          <w:szCs w:val="20"/>
        </w:rPr>
        <w:t xml:space="preserve">hodnot dosahuje průměrný věk v SO ORP </w:t>
      </w:r>
      <w:r w:rsidRPr="00A57C52">
        <w:rPr>
          <w:rFonts w:cs="Arial"/>
          <w:szCs w:val="20"/>
        </w:rPr>
        <w:t xml:space="preserve">Pacov a Milevsko, kde překračuje 43 let. S hodnotou 42,9 let následují správní obvody Nepomuk a Sušice v Plzeňském kraji. </w:t>
      </w:r>
    </w:p>
    <w:p w:rsidR="00A04179" w:rsidRPr="001203C1" w:rsidRDefault="00970903" w:rsidP="00A04179">
      <w:pPr>
        <w:spacing w:after="120"/>
        <w:rPr>
          <w:rFonts w:cs="Arial"/>
          <w:b/>
          <w:szCs w:val="20"/>
        </w:rPr>
      </w:pPr>
      <w:r>
        <w:rPr>
          <w:rFonts w:cs="Arial"/>
          <w:b/>
          <w:szCs w:val="20"/>
        </w:rPr>
        <w:t xml:space="preserve">Graf </w:t>
      </w:r>
      <w:r w:rsidR="00574A38">
        <w:rPr>
          <w:rFonts w:cs="Arial"/>
          <w:b/>
          <w:szCs w:val="20"/>
        </w:rPr>
        <w:t>7</w:t>
      </w:r>
      <w:r w:rsidR="00A04179" w:rsidRPr="00153837">
        <w:rPr>
          <w:rFonts w:cs="Arial"/>
          <w:b/>
          <w:szCs w:val="20"/>
        </w:rPr>
        <w:t>:</w:t>
      </w:r>
      <w:r w:rsidR="00A04179">
        <w:rPr>
          <w:rFonts w:cs="Arial"/>
          <w:szCs w:val="20"/>
        </w:rPr>
        <w:t xml:space="preserve"> </w:t>
      </w:r>
      <w:r w:rsidR="00A04179">
        <w:rPr>
          <w:rFonts w:cs="Arial"/>
          <w:b/>
          <w:szCs w:val="20"/>
        </w:rPr>
        <w:t>Průměrný věk</w:t>
      </w:r>
      <w:r w:rsidR="00A04179" w:rsidRPr="001203C1">
        <w:rPr>
          <w:rFonts w:cs="Arial"/>
          <w:b/>
          <w:szCs w:val="20"/>
        </w:rPr>
        <w:t xml:space="preserve"> ve správních obvodech obcí s rozšířenou působností </w:t>
      </w:r>
      <w:r>
        <w:rPr>
          <w:rFonts w:cs="Arial"/>
          <w:b/>
          <w:szCs w:val="20"/>
        </w:rPr>
        <w:t>k 26. 3. 2011</w:t>
      </w:r>
    </w:p>
    <w:p w:rsidR="00A04179" w:rsidRDefault="00A04179" w:rsidP="00A04179">
      <w:pPr>
        <w:spacing w:after="120"/>
        <w:rPr>
          <w:rFonts w:cs="Arial"/>
          <w:szCs w:val="20"/>
        </w:rPr>
      </w:pPr>
      <w:r>
        <w:rPr>
          <w:rFonts w:cs="Arial"/>
          <w:noProof/>
          <w:szCs w:val="20"/>
          <w:lang w:eastAsia="cs-CZ"/>
        </w:rPr>
        <w:drawing>
          <wp:inline distT="0" distB="0" distL="0" distR="0">
            <wp:extent cx="5305425" cy="3740044"/>
            <wp:effectExtent l="19050" t="0" r="0"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cstate="print"/>
                    <a:srcRect/>
                    <a:stretch>
                      <a:fillRect/>
                    </a:stretch>
                  </pic:blipFill>
                  <pic:spPr bwMode="auto">
                    <a:xfrm>
                      <a:off x="0" y="0"/>
                      <a:ext cx="5311064" cy="3744020"/>
                    </a:xfrm>
                    <a:prstGeom prst="rect">
                      <a:avLst/>
                    </a:prstGeom>
                    <a:noFill/>
                    <a:ln w="9525">
                      <a:noFill/>
                      <a:miter lim="800000"/>
                      <a:headEnd/>
                      <a:tailEnd/>
                    </a:ln>
                  </pic:spPr>
                </pic:pic>
              </a:graphicData>
            </a:graphic>
          </wp:inline>
        </w:drawing>
      </w:r>
    </w:p>
    <w:p w:rsidR="008C1F0D" w:rsidRDefault="008C1F0D" w:rsidP="00BB3C94">
      <w:pPr>
        <w:spacing w:after="120"/>
        <w:rPr>
          <w:rFonts w:cs="Arial"/>
          <w:szCs w:val="20"/>
        </w:rPr>
      </w:pPr>
    </w:p>
    <w:p w:rsidR="00A04179" w:rsidRDefault="00A04179" w:rsidP="008C1F0D">
      <w:pPr>
        <w:widowControl w:val="0"/>
        <w:spacing w:after="120"/>
        <w:rPr>
          <w:rFonts w:cs="Arial"/>
          <w:szCs w:val="20"/>
        </w:rPr>
      </w:pPr>
      <w:r w:rsidRPr="00AE464A">
        <w:rPr>
          <w:rFonts w:cs="Arial"/>
          <w:szCs w:val="20"/>
        </w:rPr>
        <w:t xml:space="preserve">Populace samotných větších měst je pak spíš starší. V 11 ze 13 krajských měst dosahuje index stáří vyšších hodnot než je celorepublikový průměr. Jediná dvě mladší krajská města jsou ta na severu Čech, tj. Liberec (index stáří 107,3) a Ústí nad Labem (index stáří 100,2). </w:t>
      </w:r>
    </w:p>
    <w:p w:rsidR="00A04179" w:rsidRDefault="008C1F0D" w:rsidP="0021164E">
      <w:pPr>
        <w:widowControl w:val="0"/>
        <w:rPr>
          <w:rFonts w:cs="Arial"/>
          <w:szCs w:val="20"/>
        </w:rPr>
      </w:pPr>
      <w:r w:rsidRPr="00AE464A">
        <w:rPr>
          <w:rFonts w:cs="Arial"/>
          <w:szCs w:val="20"/>
        </w:rPr>
        <w:t>Při detailnějším pohledu na věkové složení Prahy</w:t>
      </w:r>
      <w:r w:rsidR="000F1EBA">
        <w:rPr>
          <w:rFonts w:cs="Arial"/>
          <w:szCs w:val="20"/>
        </w:rPr>
        <w:t xml:space="preserve"> (graf</w:t>
      </w:r>
      <w:r>
        <w:rPr>
          <w:rFonts w:cs="Arial"/>
          <w:szCs w:val="20"/>
        </w:rPr>
        <w:t xml:space="preserve"> 8)</w:t>
      </w:r>
      <w:r w:rsidRPr="00AE464A">
        <w:rPr>
          <w:rFonts w:cs="Arial"/>
          <w:szCs w:val="20"/>
        </w:rPr>
        <w:t>,</w:t>
      </w:r>
      <w:r>
        <w:rPr>
          <w:rFonts w:cs="Arial"/>
          <w:szCs w:val="20"/>
        </w:rPr>
        <w:t xml:space="preserve"> </w:t>
      </w:r>
      <w:r w:rsidRPr="00AE464A">
        <w:rPr>
          <w:rFonts w:cs="Arial"/>
          <w:szCs w:val="20"/>
        </w:rPr>
        <w:t xml:space="preserve">je </w:t>
      </w:r>
      <w:r>
        <w:rPr>
          <w:rFonts w:cs="Arial"/>
          <w:szCs w:val="20"/>
        </w:rPr>
        <w:t>m</w:t>
      </w:r>
      <w:r w:rsidRPr="00AE464A">
        <w:rPr>
          <w:rFonts w:cs="Arial"/>
          <w:szCs w:val="20"/>
        </w:rPr>
        <w:t>ožné pozorovat poměrně velké rozdíly i v rámci jednotlivých správních obvodů. Hodnoty průměrného věku se v pražských obvodech pohybují mezi 35,5 až 41,5 lety pro muže a mezi 37,1 a 45,7 pro ženy.  Ve srovnání s</w:t>
      </w:r>
      <w:r w:rsidR="004E67D0">
        <w:rPr>
          <w:rFonts w:cs="Arial"/>
          <w:szCs w:val="20"/>
        </w:rPr>
        <w:t xml:space="preserve"> republikovou hodnotou </w:t>
      </w:r>
      <w:r w:rsidRPr="00AE464A">
        <w:rPr>
          <w:rFonts w:cs="Arial"/>
          <w:szCs w:val="20"/>
        </w:rPr>
        <w:t>jsou pražské obvody r</w:t>
      </w:r>
      <w:r>
        <w:rPr>
          <w:rFonts w:cs="Arial"/>
          <w:szCs w:val="20"/>
        </w:rPr>
        <w:t>ozděleny přibližně na polovinu.</w:t>
      </w:r>
      <w:r w:rsidR="0021164E">
        <w:rPr>
          <w:rFonts w:cs="Arial"/>
          <w:szCs w:val="20"/>
        </w:rPr>
        <w:t xml:space="preserve"> </w:t>
      </w:r>
      <w:r w:rsidR="00B631AB">
        <w:rPr>
          <w:rFonts w:cs="Arial"/>
          <w:szCs w:val="20"/>
        </w:rPr>
        <w:t xml:space="preserve">Zatímco </w:t>
      </w:r>
      <w:r w:rsidR="00A04179" w:rsidRPr="00AE464A">
        <w:rPr>
          <w:rFonts w:cs="Arial"/>
          <w:szCs w:val="20"/>
        </w:rPr>
        <w:t>průměrn</w:t>
      </w:r>
      <w:r w:rsidR="00247ADF">
        <w:rPr>
          <w:rFonts w:cs="Arial"/>
          <w:szCs w:val="20"/>
        </w:rPr>
        <w:t>ý</w:t>
      </w:r>
      <w:r w:rsidR="00A04179" w:rsidRPr="00AE464A">
        <w:rPr>
          <w:rFonts w:cs="Arial"/>
          <w:szCs w:val="20"/>
        </w:rPr>
        <w:t xml:space="preserve"> věk obvodů nacházejících se blíže centru Prahy celorepublikov</w:t>
      </w:r>
      <w:r w:rsidR="00247ADF">
        <w:rPr>
          <w:rFonts w:cs="Arial"/>
          <w:szCs w:val="20"/>
        </w:rPr>
        <w:t>ou</w:t>
      </w:r>
      <w:r w:rsidR="00A04179" w:rsidRPr="00AE464A">
        <w:rPr>
          <w:rFonts w:cs="Arial"/>
          <w:szCs w:val="20"/>
        </w:rPr>
        <w:t xml:space="preserve"> hodnot</w:t>
      </w:r>
      <w:r w:rsidR="00247ADF">
        <w:rPr>
          <w:rFonts w:cs="Arial"/>
          <w:szCs w:val="20"/>
        </w:rPr>
        <w:t>u</w:t>
      </w:r>
      <w:r w:rsidR="00A04179" w:rsidRPr="00AE464A">
        <w:rPr>
          <w:rFonts w:cs="Arial"/>
          <w:szCs w:val="20"/>
        </w:rPr>
        <w:t xml:space="preserve"> překračuj</w:t>
      </w:r>
      <w:r w:rsidR="00247ADF">
        <w:rPr>
          <w:rFonts w:cs="Arial"/>
          <w:szCs w:val="20"/>
        </w:rPr>
        <w:t>e</w:t>
      </w:r>
      <w:r w:rsidR="00A04179" w:rsidRPr="00AE464A">
        <w:rPr>
          <w:rFonts w:cs="Arial"/>
          <w:szCs w:val="20"/>
        </w:rPr>
        <w:t>, hodnoty</w:t>
      </w:r>
      <w:r w:rsidR="00E24BF1">
        <w:rPr>
          <w:rFonts w:cs="Arial"/>
          <w:szCs w:val="20"/>
        </w:rPr>
        <w:t xml:space="preserve"> v</w:t>
      </w:r>
      <w:r w:rsidR="00A04179" w:rsidRPr="00AE464A">
        <w:rPr>
          <w:rFonts w:cs="Arial"/>
          <w:szCs w:val="20"/>
        </w:rPr>
        <w:t xml:space="preserve"> ok</w:t>
      </w:r>
      <w:r w:rsidR="00A04179">
        <w:rPr>
          <w:rFonts w:cs="Arial"/>
          <w:szCs w:val="20"/>
        </w:rPr>
        <w:t>rajových část</w:t>
      </w:r>
      <w:r w:rsidR="00E24BF1">
        <w:rPr>
          <w:rFonts w:cs="Arial"/>
          <w:szCs w:val="20"/>
        </w:rPr>
        <w:t>ech</w:t>
      </w:r>
      <w:r w:rsidR="00A04179">
        <w:rPr>
          <w:rFonts w:cs="Arial"/>
          <w:szCs w:val="20"/>
        </w:rPr>
        <w:t xml:space="preserve"> Prahy jsou nižší. </w:t>
      </w:r>
      <w:r w:rsidR="00A04179" w:rsidRPr="00AE464A">
        <w:rPr>
          <w:rFonts w:cs="Arial"/>
          <w:szCs w:val="20"/>
        </w:rPr>
        <w:t xml:space="preserve">Přes 190 osob ve věku 65 a více let </w:t>
      </w:r>
      <w:r w:rsidR="00A04179" w:rsidRPr="00AE464A">
        <w:rPr>
          <w:rFonts w:cs="Arial"/>
          <w:szCs w:val="20"/>
        </w:rPr>
        <w:lastRenderedPageBreak/>
        <w:t>připadalo na 100 osob 0</w:t>
      </w:r>
      <w:r w:rsidR="00E24BF1">
        <w:rPr>
          <w:rFonts w:cs="Arial"/>
          <w:szCs w:val="20"/>
        </w:rPr>
        <w:t xml:space="preserve"> až </w:t>
      </w:r>
      <w:r w:rsidR="00A04179" w:rsidRPr="00AE464A">
        <w:rPr>
          <w:rFonts w:cs="Arial"/>
          <w:szCs w:val="20"/>
        </w:rPr>
        <w:t>14let</w:t>
      </w:r>
      <w:r w:rsidR="00A04179">
        <w:rPr>
          <w:rFonts w:cs="Arial"/>
          <w:szCs w:val="20"/>
        </w:rPr>
        <w:t xml:space="preserve">ých ve správních obvodech Praha </w:t>
      </w:r>
      <w:r w:rsidR="00A04179" w:rsidRPr="00AE464A">
        <w:rPr>
          <w:rFonts w:cs="Arial"/>
          <w:szCs w:val="20"/>
        </w:rPr>
        <w:t>10 a</w:t>
      </w:r>
      <w:r w:rsidR="00901636">
        <w:rPr>
          <w:rFonts w:cs="Arial"/>
          <w:szCs w:val="20"/>
        </w:rPr>
        <w:t> </w:t>
      </w:r>
      <w:r w:rsidR="00A04179" w:rsidRPr="00AE464A">
        <w:rPr>
          <w:rFonts w:cs="Arial"/>
          <w:szCs w:val="20"/>
        </w:rPr>
        <w:t xml:space="preserve">Praha 4, v oblastech </w:t>
      </w:r>
      <w:r>
        <w:rPr>
          <w:rFonts w:cs="Arial"/>
          <w:noProof/>
          <w:szCs w:val="20"/>
          <w:lang w:eastAsia="cs-CZ"/>
        </w:rPr>
        <w:drawing>
          <wp:anchor distT="0" distB="0" distL="114300" distR="114300" simplePos="0" relativeHeight="251658240" behindDoc="0" locked="0" layoutInCell="1" allowOverlap="1">
            <wp:simplePos x="0" y="0"/>
            <wp:positionH relativeFrom="column">
              <wp:posOffset>2241550</wp:posOffset>
            </wp:positionH>
            <wp:positionV relativeFrom="paragraph">
              <wp:posOffset>-14605</wp:posOffset>
            </wp:positionV>
            <wp:extent cx="3145790" cy="2209800"/>
            <wp:effectExtent l="19050" t="0" r="0" b="0"/>
            <wp:wrapSquare wrapText="bothSides"/>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3145790" cy="2209800"/>
                    </a:xfrm>
                    <a:prstGeom prst="rect">
                      <a:avLst/>
                    </a:prstGeom>
                    <a:noFill/>
                    <a:ln w="9525">
                      <a:noFill/>
                      <a:miter lim="800000"/>
                      <a:headEnd/>
                      <a:tailEnd/>
                    </a:ln>
                  </pic:spPr>
                </pic:pic>
              </a:graphicData>
            </a:graphic>
          </wp:anchor>
        </w:drawing>
      </w:r>
      <w:r w:rsidR="00A04179" w:rsidRPr="00AE464A">
        <w:rPr>
          <w:rFonts w:cs="Arial"/>
          <w:szCs w:val="20"/>
        </w:rPr>
        <w:t xml:space="preserve">typických panelových sídlišť vybudovaných v 70. letech. Dříve centra pro mladé rodiny s dětmi se dnes mění, zůstávají zde především samotní rodiče - dnes již často v důchodovém věku. Nepatrně mladší, ale stále s velkou převahou starších osob jsou pak části </w:t>
      </w:r>
      <w:r w:rsidR="00A04179">
        <w:rPr>
          <w:rFonts w:cs="Arial"/>
          <w:szCs w:val="20"/>
        </w:rPr>
        <w:t>„</w:t>
      </w:r>
      <w:r w:rsidR="00A04179" w:rsidRPr="00AE464A">
        <w:rPr>
          <w:rFonts w:cs="Arial"/>
          <w:szCs w:val="20"/>
        </w:rPr>
        <w:t>staré</w:t>
      </w:r>
      <w:r w:rsidR="00A04179">
        <w:rPr>
          <w:rFonts w:cs="Arial"/>
          <w:szCs w:val="20"/>
        </w:rPr>
        <w:t xml:space="preserve">“ </w:t>
      </w:r>
      <w:r w:rsidR="00A04179" w:rsidRPr="00AE464A">
        <w:rPr>
          <w:rFonts w:cs="Arial"/>
          <w:szCs w:val="20"/>
        </w:rPr>
        <w:t>Prahy – Praha 1, 3 a</w:t>
      </w:r>
      <w:r w:rsidR="00F80639">
        <w:rPr>
          <w:rFonts w:cs="Arial"/>
          <w:szCs w:val="20"/>
        </w:rPr>
        <w:t> </w:t>
      </w:r>
      <w:r w:rsidR="00A04179" w:rsidRPr="00AE464A">
        <w:rPr>
          <w:rFonts w:cs="Arial"/>
          <w:szCs w:val="20"/>
        </w:rPr>
        <w:t>6. K nejmladším oblastem Prahy patří P</w:t>
      </w:r>
      <w:r w:rsidR="001C0149">
        <w:rPr>
          <w:rFonts w:cs="Arial"/>
          <w:szCs w:val="20"/>
        </w:rPr>
        <w:t>raha 22 (index stáří 54). Jde o </w:t>
      </w:r>
      <w:r w:rsidR="00A04179" w:rsidRPr="00AE464A">
        <w:rPr>
          <w:rFonts w:cs="Arial"/>
          <w:szCs w:val="20"/>
        </w:rPr>
        <w:t xml:space="preserve">okrajovou část Prahy, pro kterou je </w:t>
      </w:r>
      <w:r w:rsidR="00A04179">
        <w:rPr>
          <w:rFonts w:cs="Arial"/>
          <w:szCs w:val="20"/>
        </w:rPr>
        <w:t>v</w:t>
      </w:r>
      <w:r w:rsidR="00A04179" w:rsidRPr="00AE464A">
        <w:rPr>
          <w:rFonts w:cs="Arial"/>
          <w:szCs w:val="20"/>
        </w:rPr>
        <w:t> posledních letech typická nová výstavba rodinných i by</w:t>
      </w:r>
      <w:r w:rsidR="00DB7333">
        <w:rPr>
          <w:rFonts w:cs="Arial"/>
          <w:szCs w:val="20"/>
        </w:rPr>
        <w:t xml:space="preserve">tových domů (oproti období 1991 až </w:t>
      </w:r>
      <w:r w:rsidR="00A04179" w:rsidRPr="00AE464A">
        <w:rPr>
          <w:rFonts w:cs="Arial"/>
          <w:szCs w:val="20"/>
        </w:rPr>
        <w:t xml:space="preserve">2001 vzrostla výstavba nebo rekonstrukce </w:t>
      </w:r>
      <w:r w:rsidR="00A04179">
        <w:rPr>
          <w:rFonts w:cs="Arial"/>
          <w:szCs w:val="20"/>
        </w:rPr>
        <w:t xml:space="preserve">v této oblasti </w:t>
      </w:r>
      <w:r w:rsidR="00A04179" w:rsidRPr="00AE464A">
        <w:rPr>
          <w:rFonts w:cs="Arial"/>
          <w:szCs w:val="20"/>
        </w:rPr>
        <w:t>12krát). Obdobně jsou na tom obvody Prahy 13 a Prahy 14.</w:t>
      </w:r>
    </w:p>
    <w:p w:rsidR="00A04179" w:rsidRDefault="000B5777" w:rsidP="003C066F">
      <w:pPr>
        <w:spacing w:after="200"/>
        <w:rPr>
          <w:rFonts w:cs="Arial"/>
          <w:b/>
          <w:szCs w:val="20"/>
        </w:rPr>
      </w:pPr>
      <w:r>
        <w:rPr>
          <w:rFonts w:cs="Arial"/>
          <w:szCs w:val="20"/>
        </w:rPr>
        <w:t>Ze sčítání jsou k dispozici také údaje</w:t>
      </w:r>
      <w:r w:rsidR="00A04179">
        <w:rPr>
          <w:rFonts w:cs="Arial"/>
          <w:szCs w:val="20"/>
        </w:rPr>
        <w:t xml:space="preserve"> podle trvalého pobytu.</w:t>
      </w:r>
      <w:r>
        <w:rPr>
          <w:rFonts w:cs="Arial"/>
          <w:szCs w:val="20"/>
        </w:rPr>
        <w:t xml:space="preserve"> Zatímco na úrovni republiky se přechod </w:t>
      </w:r>
      <w:r w:rsidR="003C066F">
        <w:rPr>
          <w:rFonts w:cs="Arial"/>
          <w:szCs w:val="20"/>
        </w:rPr>
        <w:t>na koncept obvyklého pobytu projevil</w:t>
      </w:r>
      <w:r>
        <w:rPr>
          <w:rFonts w:cs="Arial"/>
          <w:szCs w:val="20"/>
        </w:rPr>
        <w:t xml:space="preserve"> jen minimálně, na úrovni krajů </w:t>
      </w:r>
      <w:r w:rsidR="00B73C21">
        <w:rPr>
          <w:rFonts w:cs="Arial"/>
          <w:szCs w:val="20"/>
        </w:rPr>
        <w:t>jsou</w:t>
      </w:r>
      <w:r>
        <w:rPr>
          <w:rFonts w:cs="Arial"/>
          <w:szCs w:val="20"/>
        </w:rPr>
        <w:t xml:space="preserve"> již </w:t>
      </w:r>
      <w:r w:rsidR="00B73C21">
        <w:rPr>
          <w:rFonts w:cs="Arial"/>
          <w:szCs w:val="20"/>
        </w:rPr>
        <w:t>jeho</w:t>
      </w:r>
      <w:r>
        <w:rPr>
          <w:rFonts w:cs="Arial"/>
          <w:szCs w:val="20"/>
        </w:rPr>
        <w:t xml:space="preserve"> dopady zřetelnější</w:t>
      </w:r>
      <w:r w:rsidR="00E56EBA">
        <w:rPr>
          <w:rFonts w:cs="Arial"/>
          <w:szCs w:val="20"/>
        </w:rPr>
        <w:t xml:space="preserve"> (tab</w:t>
      </w:r>
      <w:r w:rsidR="000229D8">
        <w:rPr>
          <w:rFonts w:cs="Arial"/>
          <w:szCs w:val="20"/>
        </w:rPr>
        <w:t>.</w:t>
      </w:r>
      <w:r w:rsidR="00E56EBA">
        <w:rPr>
          <w:rFonts w:cs="Arial"/>
          <w:szCs w:val="20"/>
        </w:rPr>
        <w:t xml:space="preserve"> 9)</w:t>
      </w:r>
      <w:r>
        <w:rPr>
          <w:rFonts w:cs="Arial"/>
          <w:szCs w:val="20"/>
        </w:rPr>
        <w:t>.</w:t>
      </w:r>
    </w:p>
    <w:p w:rsidR="00A04179" w:rsidRDefault="00C870E3" w:rsidP="00A04179">
      <w:pPr>
        <w:spacing w:line="360" w:lineRule="auto"/>
        <w:rPr>
          <w:rFonts w:cs="Arial"/>
          <w:b/>
          <w:szCs w:val="20"/>
        </w:rPr>
      </w:pPr>
      <w:r>
        <w:rPr>
          <w:rFonts w:cs="Arial"/>
          <w:b/>
          <w:szCs w:val="20"/>
        </w:rPr>
        <w:t>Tab.</w:t>
      </w:r>
      <w:r w:rsidR="00A04179">
        <w:rPr>
          <w:rFonts w:cs="Arial"/>
          <w:b/>
          <w:szCs w:val="20"/>
        </w:rPr>
        <w:t xml:space="preserve"> </w:t>
      </w:r>
      <w:r w:rsidR="008E5C66">
        <w:rPr>
          <w:rFonts w:cs="Arial"/>
          <w:b/>
          <w:szCs w:val="20"/>
        </w:rPr>
        <w:t xml:space="preserve">9: </w:t>
      </w:r>
      <w:r w:rsidR="00A04179">
        <w:rPr>
          <w:rFonts w:cs="Arial"/>
          <w:b/>
          <w:szCs w:val="20"/>
        </w:rPr>
        <w:t>Počet obyvatel podle trvalého pobytu v</w:t>
      </w:r>
      <w:r w:rsidR="008C1F0D">
        <w:rPr>
          <w:rFonts w:cs="Arial"/>
          <w:b/>
          <w:szCs w:val="20"/>
        </w:rPr>
        <w:t> </w:t>
      </w:r>
      <w:r w:rsidR="00A04179">
        <w:rPr>
          <w:rFonts w:cs="Arial"/>
          <w:b/>
          <w:szCs w:val="20"/>
        </w:rPr>
        <w:t>krajích</w:t>
      </w:r>
      <w:r w:rsidR="008C1F0D">
        <w:rPr>
          <w:rFonts w:cs="Arial"/>
          <w:b/>
          <w:szCs w:val="20"/>
        </w:rPr>
        <w:t xml:space="preserve"> k</w:t>
      </w:r>
      <w:r w:rsidR="00A04179">
        <w:rPr>
          <w:rFonts w:cs="Arial"/>
          <w:b/>
          <w:szCs w:val="20"/>
        </w:rPr>
        <w:t xml:space="preserve"> </w:t>
      </w:r>
      <w:r w:rsidR="00DC52C8">
        <w:rPr>
          <w:rFonts w:cs="Arial"/>
          <w:b/>
          <w:szCs w:val="20"/>
        </w:rPr>
        <w:t>26. 3. 2011</w:t>
      </w:r>
    </w:p>
    <w:p w:rsidR="00B9115E" w:rsidRDefault="00FF4720" w:rsidP="00B9115E">
      <w:pPr>
        <w:spacing w:line="360" w:lineRule="auto"/>
        <w:rPr>
          <w:rFonts w:cs="Arial"/>
          <w:b/>
          <w:szCs w:val="20"/>
        </w:rPr>
      </w:pPr>
      <w:r w:rsidRPr="00650F96">
        <w:rPr>
          <w:rFonts w:cs="Arial"/>
          <w:b/>
          <w:szCs w:val="20"/>
        </w:rPr>
        <w:object w:dxaOrig="8553" w:dyaOrig="4874">
          <v:shape id="_x0000_i1037" type="#_x0000_t75" style="width:427.5pt;height:243pt" o:ole="">
            <v:imagedata r:id="rId31" o:title=""/>
          </v:shape>
          <o:OLEObject Type="Embed" ProgID="Excel.Sheet.12" ShapeID="_x0000_i1037" DrawAspect="Content" ObjectID="_1456725355" r:id="rId32"/>
        </w:object>
      </w:r>
    </w:p>
    <w:p w:rsidR="00A04179" w:rsidRPr="005677B3" w:rsidRDefault="00A04179" w:rsidP="00126C09">
      <w:pPr>
        <w:spacing w:after="240"/>
        <w:rPr>
          <w:rFonts w:cs="Arial"/>
          <w:szCs w:val="20"/>
        </w:rPr>
      </w:pPr>
      <w:r>
        <w:rPr>
          <w:rFonts w:cs="Arial"/>
          <w:szCs w:val="20"/>
        </w:rPr>
        <w:t>N</w:t>
      </w:r>
      <w:r w:rsidRPr="005677B3">
        <w:rPr>
          <w:rFonts w:cs="Arial"/>
          <w:szCs w:val="20"/>
        </w:rPr>
        <w:t xml:space="preserve">ejvíce </w:t>
      </w:r>
      <w:r>
        <w:rPr>
          <w:rFonts w:cs="Arial"/>
          <w:szCs w:val="20"/>
        </w:rPr>
        <w:t xml:space="preserve">změna </w:t>
      </w:r>
      <w:r w:rsidRPr="005677B3">
        <w:rPr>
          <w:rFonts w:cs="Arial"/>
          <w:szCs w:val="20"/>
        </w:rPr>
        <w:t>ovlivnila rozmístění osob v produktivním věku, naopak nejméně se projevila v</w:t>
      </w:r>
      <w:r>
        <w:rPr>
          <w:rFonts w:cs="Arial"/>
          <w:szCs w:val="20"/>
        </w:rPr>
        <w:t>e věkové skupině nad</w:t>
      </w:r>
      <w:r w:rsidRPr="005677B3">
        <w:rPr>
          <w:rFonts w:cs="Arial"/>
          <w:szCs w:val="20"/>
        </w:rPr>
        <w:t xml:space="preserve"> 65 let. </w:t>
      </w:r>
      <w:r w:rsidR="003E73C5">
        <w:rPr>
          <w:rFonts w:cs="Arial"/>
          <w:szCs w:val="20"/>
        </w:rPr>
        <w:t xml:space="preserve">Nejvýrazněji </w:t>
      </w:r>
      <w:r>
        <w:rPr>
          <w:rFonts w:cs="Arial"/>
          <w:szCs w:val="20"/>
        </w:rPr>
        <w:t xml:space="preserve">umocňuje koncept obvyklého pobytu převahu produktivní složky v Praze, kde na 100 obvykle bydlících připadá jen 95,5 trvale bydlících. Ve </w:t>
      </w:r>
      <w:r>
        <w:rPr>
          <w:rFonts w:cs="Arial"/>
          <w:szCs w:val="20"/>
        </w:rPr>
        <w:lastRenderedPageBreak/>
        <w:t xml:space="preserve">Středočeském kraji převažuje počet obvykle bydlících ve všech věkových kategoriích. </w:t>
      </w:r>
      <w:r w:rsidR="00E23EDC">
        <w:rPr>
          <w:rFonts w:cs="Arial"/>
          <w:szCs w:val="20"/>
        </w:rPr>
        <w:t xml:space="preserve">Bez evidovaného pobytu zde žijí celé rodiny. </w:t>
      </w:r>
      <w:r>
        <w:rPr>
          <w:rFonts w:cs="Arial"/>
          <w:szCs w:val="20"/>
        </w:rPr>
        <w:t>Nejvýraznější „úbytek“ obyvatel díky obvyklému pobytu byl zaznamenán v produktivním věku v</w:t>
      </w:r>
      <w:r w:rsidR="00EB5A8E">
        <w:rPr>
          <w:rFonts w:cs="Arial"/>
          <w:szCs w:val="20"/>
        </w:rPr>
        <w:t xml:space="preserve"> </w:t>
      </w:r>
      <w:r>
        <w:rPr>
          <w:rFonts w:cs="Arial"/>
          <w:szCs w:val="20"/>
        </w:rPr>
        <w:t>krajích Karlovarském, Ústeckém a Moravskoslezském.</w:t>
      </w:r>
      <w:r w:rsidR="00E23EDC">
        <w:rPr>
          <w:rFonts w:cs="Arial"/>
          <w:szCs w:val="20"/>
        </w:rPr>
        <w:t xml:space="preserve"> Z těchto krajů odchází lidé v produktivním věku za prací a fakticky žijí v jiných krajích. </w:t>
      </w:r>
    </w:p>
    <w:p w:rsidR="0000187B" w:rsidRPr="00126C09" w:rsidRDefault="0000187B" w:rsidP="00EB02FE">
      <w:pPr>
        <w:rPr>
          <w:rFonts w:cs="Arial"/>
          <w:b/>
          <w:sz w:val="12"/>
          <w:szCs w:val="12"/>
        </w:rPr>
      </w:pPr>
    </w:p>
    <w:p w:rsidR="00A04179" w:rsidRPr="00AE464A" w:rsidRDefault="00A04179" w:rsidP="00EB02FE">
      <w:pPr>
        <w:spacing w:after="120"/>
        <w:rPr>
          <w:rFonts w:cs="Arial"/>
          <w:b/>
          <w:szCs w:val="20"/>
        </w:rPr>
      </w:pPr>
      <w:r w:rsidRPr="00AE464A">
        <w:rPr>
          <w:rFonts w:cs="Arial"/>
          <w:b/>
          <w:szCs w:val="20"/>
        </w:rPr>
        <w:t>Velikostní skupiny obcí</w:t>
      </w:r>
    </w:p>
    <w:p w:rsidR="00A04179" w:rsidRPr="00AE464A" w:rsidRDefault="00A04179" w:rsidP="00EB02FE">
      <w:pPr>
        <w:spacing w:after="120"/>
        <w:rPr>
          <w:szCs w:val="20"/>
        </w:rPr>
      </w:pPr>
      <w:r w:rsidRPr="00AE464A">
        <w:rPr>
          <w:szCs w:val="20"/>
        </w:rPr>
        <w:t>Věková struktura obyvatelstva České republiky je také poměrně výrazně diferencovaná podle velikostn</w:t>
      </w:r>
      <w:r w:rsidR="00FD5384">
        <w:rPr>
          <w:szCs w:val="20"/>
        </w:rPr>
        <w:t>ích skupin obcí.</w:t>
      </w:r>
      <w:r w:rsidR="002012B8">
        <w:rPr>
          <w:szCs w:val="20"/>
        </w:rPr>
        <w:t xml:space="preserve"> Na rozdíly mezi jednotlivými kategoriemi má vliv </w:t>
      </w:r>
      <w:r w:rsidRPr="00AE464A">
        <w:rPr>
          <w:szCs w:val="20"/>
        </w:rPr>
        <w:t xml:space="preserve">spíš než přirozená měna (přestože i ta se liší mezi městem a venkovem) </w:t>
      </w:r>
      <w:r w:rsidR="002012B8">
        <w:rPr>
          <w:szCs w:val="20"/>
        </w:rPr>
        <w:t>především</w:t>
      </w:r>
      <w:r w:rsidRPr="00AE464A">
        <w:rPr>
          <w:szCs w:val="20"/>
        </w:rPr>
        <w:t xml:space="preserve"> migrace.  </w:t>
      </w:r>
    </w:p>
    <w:p w:rsidR="00A04179" w:rsidRDefault="00A04179" w:rsidP="00EB02FE">
      <w:pPr>
        <w:spacing w:after="120"/>
        <w:rPr>
          <w:szCs w:val="20"/>
        </w:rPr>
      </w:pPr>
      <w:r w:rsidRPr="00AE464A">
        <w:rPr>
          <w:szCs w:val="20"/>
        </w:rPr>
        <w:t>Na obou koncích velikostního spektra stojí skupiny obcí s výrazně starší věkovou strukturou než je celorepublikový průměr. Nejvyšší hodnota průměrného věku byla zjištěna v nejmenších obcích do 199 obyvatel (42,1 let)</w:t>
      </w:r>
      <w:r>
        <w:rPr>
          <w:szCs w:val="20"/>
        </w:rPr>
        <w:t xml:space="preserve">. </w:t>
      </w:r>
      <w:r w:rsidR="00095ABE">
        <w:rPr>
          <w:szCs w:val="20"/>
        </w:rPr>
        <w:t>Vysoký</w:t>
      </w:r>
      <w:r>
        <w:rPr>
          <w:szCs w:val="20"/>
        </w:rPr>
        <w:t xml:space="preserve"> průměrný věk je i</w:t>
      </w:r>
      <w:r w:rsidRPr="00AE464A">
        <w:rPr>
          <w:szCs w:val="20"/>
        </w:rPr>
        <w:t xml:space="preserve"> v obcích s nejvyšším počtem obyvatel (41,</w:t>
      </w:r>
      <w:r>
        <w:rPr>
          <w:szCs w:val="20"/>
        </w:rPr>
        <w:t>1</w:t>
      </w:r>
      <w:r w:rsidRPr="00AE464A">
        <w:rPr>
          <w:szCs w:val="20"/>
        </w:rPr>
        <w:t xml:space="preserve"> let).</w:t>
      </w:r>
      <w:r>
        <w:rPr>
          <w:szCs w:val="20"/>
        </w:rPr>
        <w:t xml:space="preserve"> Při podrobnějším pohledu na věkovou strukturu těchto dvou velikostních kategorií je ale zásadní rozdíl. </w:t>
      </w:r>
      <w:r w:rsidRPr="00AE464A">
        <w:rPr>
          <w:szCs w:val="20"/>
        </w:rPr>
        <w:t>Specifikem obcí v největší velikostní skupině je výrazně nejvyšší podíl produktivního obyvatelstva</w:t>
      </w:r>
      <w:r>
        <w:rPr>
          <w:szCs w:val="20"/>
        </w:rPr>
        <w:t>.</w:t>
      </w:r>
      <w:r w:rsidRPr="00AE464A">
        <w:rPr>
          <w:szCs w:val="20"/>
        </w:rPr>
        <w:t xml:space="preserve"> </w:t>
      </w:r>
      <w:r>
        <w:rPr>
          <w:szCs w:val="20"/>
        </w:rPr>
        <w:t>V</w:t>
      </w:r>
      <w:r w:rsidRPr="00AE464A">
        <w:rPr>
          <w:szCs w:val="20"/>
        </w:rPr>
        <w:t> těchto obcích přesahuj</w:t>
      </w:r>
      <w:r>
        <w:rPr>
          <w:szCs w:val="20"/>
        </w:rPr>
        <w:t>e podíl</w:t>
      </w:r>
      <w:r w:rsidRPr="00AE464A">
        <w:rPr>
          <w:szCs w:val="20"/>
        </w:rPr>
        <w:t xml:space="preserve"> osob ve věku 15</w:t>
      </w:r>
      <w:r>
        <w:rPr>
          <w:szCs w:val="20"/>
        </w:rPr>
        <w:t xml:space="preserve"> až </w:t>
      </w:r>
      <w:r w:rsidR="005453FF">
        <w:rPr>
          <w:szCs w:val="20"/>
        </w:rPr>
        <w:t>64 let 70 </w:t>
      </w:r>
      <w:r w:rsidRPr="00AE464A">
        <w:rPr>
          <w:szCs w:val="20"/>
        </w:rPr>
        <w:t>% obyvatelstva.</w:t>
      </w:r>
      <w:r>
        <w:rPr>
          <w:szCs w:val="20"/>
        </w:rPr>
        <w:t xml:space="preserve"> Spolu se suverénně nejnižším zastoupením dětské složky (12,6 %) to znamená extrémně regresivní věkovou strukturu. Naopak vysoká hodnota průměrného věku v nejmenších obcích je jednoznačně dána vysokým procentem poproduktivní složky (graf </w:t>
      </w:r>
      <w:r w:rsidR="00EB5A8E">
        <w:rPr>
          <w:szCs w:val="20"/>
        </w:rPr>
        <w:t>9</w:t>
      </w:r>
      <w:r>
        <w:rPr>
          <w:szCs w:val="20"/>
        </w:rPr>
        <w:t>)</w:t>
      </w:r>
      <w:r w:rsidR="00026721">
        <w:rPr>
          <w:szCs w:val="20"/>
        </w:rPr>
        <w:t>.</w:t>
      </w:r>
    </w:p>
    <w:p w:rsidR="00A04179" w:rsidRPr="00AE464A" w:rsidRDefault="00A04179" w:rsidP="00EB02FE">
      <w:pPr>
        <w:rPr>
          <w:szCs w:val="20"/>
        </w:rPr>
      </w:pPr>
      <w:r>
        <w:rPr>
          <w:szCs w:val="20"/>
        </w:rPr>
        <w:t>N</w:t>
      </w:r>
      <w:r w:rsidRPr="00AE464A">
        <w:rPr>
          <w:szCs w:val="20"/>
        </w:rPr>
        <w:t>ejnižší průměrný věk (40,1 let) je v obcích s 1000 až 1999</w:t>
      </w:r>
      <w:r>
        <w:rPr>
          <w:szCs w:val="20"/>
        </w:rPr>
        <w:t xml:space="preserve"> obyvateli</w:t>
      </w:r>
      <w:r w:rsidRPr="00AE464A">
        <w:rPr>
          <w:szCs w:val="20"/>
        </w:rPr>
        <w:t>. V této velikostní skupině také nejvýrazněji převyšuje dětská složka nad poproduktivní</w:t>
      </w:r>
      <w:r>
        <w:rPr>
          <w:szCs w:val="20"/>
        </w:rPr>
        <w:t xml:space="preserve">. Na 100 osob ve věku do 15 let připadá 94 osob ve věku nad 65 let. </w:t>
      </w:r>
      <w:r w:rsidRPr="00AE464A">
        <w:rPr>
          <w:szCs w:val="20"/>
        </w:rPr>
        <w:t xml:space="preserve">Stejně výjimečnou věkovou strukturu mají </w:t>
      </w:r>
      <w:r>
        <w:rPr>
          <w:szCs w:val="20"/>
        </w:rPr>
        <w:t>i</w:t>
      </w:r>
      <w:r w:rsidRPr="00AE464A">
        <w:rPr>
          <w:szCs w:val="20"/>
        </w:rPr>
        <w:t xml:space="preserve"> </w:t>
      </w:r>
      <w:r>
        <w:rPr>
          <w:szCs w:val="20"/>
        </w:rPr>
        <w:t xml:space="preserve">obce ve vedlejších velikostních kategoriích od 500 do 999 obyvatel a od 2000 do </w:t>
      </w:r>
      <w:r w:rsidRPr="00AE464A">
        <w:rPr>
          <w:szCs w:val="20"/>
        </w:rPr>
        <w:t>4999</w:t>
      </w:r>
      <w:r>
        <w:rPr>
          <w:szCs w:val="20"/>
        </w:rPr>
        <w:t xml:space="preserve"> obyvatel</w:t>
      </w:r>
      <w:r w:rsidRPr="00AE464A">
        <w:rPr>
          <w:szCs w:val="20"/>
        </w:rPr>
        <w:t xml:space="preserve">. </w:t>
      </w:r>
    </w:p>
    <w:p w:rsidR="008C1F0D" w:rsidRDefault="008C1F0D" w:rsidP="009D1B7A">
      <w:pPr>
        <w:rPr>
          <w:b/>
        </w:rPr>
      </w:pPr>
    </w:p>
    <w:p w:rsidR="008C1F0D" w:rsidRPr="00E7314A" w:rsidRDefault="00E7314A" w:rsidP="00E7314A">
      <w:pPr>
        <w:spacing w:line="360" w:lineRule="auto"/>
        <w:rPr>
          <w:rFonts w:cs="Arial"/>
          <w:b/>
          <w:szCs w:val="20"/>
        </w:rPr>
      </w:pPr>
      <w:r>
        <w:rPr>
          <w:b/>
        </w:rPr>
        <w:t xml:space="preserve">Graf </w:t>
      </w:r>
      <w:r w:rsidR="009D1B7A">
        <w:rPr>
          <w:b/>
        </w:rPr>
        <w:t xml:space="preserve">9: </w:t>
      </w:r>
      <w:r w:rsidR="009D1B7A" w:rsidRPr="002C3D44">
        <w:rPr>
          <w:b/>
        </w:rPr>
        <w:t>Věková struktura vybraných velikostních skupin obcí</w:t>
      </w:r>
      <w:r>
        <w:rPr>
          <w:b/>
        </w:rPr>
        <w:t xml:space="preserve"> </w:t>
      </w:r>
      <w:r>
        <w:rPr>
          <w:rFonts w:cs="Arial"/>
          <w:b/>
          <w:szCs w:val="20"/>
        </w:rPr>
        <w:t>k 26. 3. 2011</w:t>
      </w:r>
    </w:p>
    <w:p w:rsidR="009D1B7A" w:rsidRDefault="009D1B7A" w:rsidP="00A03222">
      <w:pPr>
        <w:spacing w:after="120"/>
        <w:jc w:val="left"/>
        <w:rPr>
          <w:b/>
        </w:rPr>
      </w:pPr>
      <w:r>
        <w:rPr>
          <w:b/>
        </w:rPr>
        <w:t xml:space="preserve">Do 199 obyvatel        </w:t>
      </w:r>
      <w:r>
        <w:rPr>
          <w:b/>
        </w:rPr>
        <w:tab/>
      </w:r>
      <w:r>
        <w:rPr>
          <w:b/>
        </w:rPr>
        <w:tab/>
      </w:r>
      <w:r>
        <w:rPr>
          <w:b/>
        </w:rPr>
        <w:tab/>
      </w:r>
      <w:r>
        <w:rPr>
          <w:b/>
        </w:rPr>
        <w:tab/>
        <w:t xml:space="preserve">Od 1 000 do 1 999 obyvatel    </w:t>
      </w:r>
      <w:r w:rsidR="00ED499E" w:rsidRPr="00FA0BD6">
        <w:rPr>
          <w:b/>
        </w:rPr>
        <w:pict>
          <v:shape id="_x0000_i1038" type="#_x0000_t75" style="width:208.5pt;height:182.25pt">
            <v:imagedata r:id="rId33" o:title=""/>
          </v:shape>
        </w:pict>
      </w:r>
      <w:r w:rsidR="00FA0BD6" w:rsidRPr="00FA0BD6">
        <w:rPr>
          <w:b/>
        </w:rPr>
        <w:pict>
          <v:shape id="_x0000_i1039" type="#_x0000_t75" style="width:210.75pt;height:183pt">
            <v:imagedata r:id="rId34" o:title=""/>
          </v:shape>
        </w:pict>
      </w:r>
    </w:p>
    <w:p w:rsidR="008C1F0D" w:rsidRDefault="008C1F0D" w:rsidP="009D1B7A">
      <w:pPr>
        <w:rPr>
          <w:b/>
        </w:rPr>
      </w:pPr>
    </w:p>
    <w:p w:rsidR="008C1F0D" w:rsidRDefault="008C1F0D" w:rsidP="009D1B7A">
      <w:pPr>
        <w:rPr>
          <w:b/>
        </w:rPr>
      </w:pPr>
    </w:p>
    <w:p w:rsidR="00ED499E" w:rsidRDefault="00ED499E" w:rsidP="009D1B7A">
      <w:pPr>
        <w:rPr>
          <w:b/>
        </w:rPr>
      </w:pPr>
    </w:p>
    <w:p w:rsidR="009D1B7A" w:rsidRDefault="009D1B7A" w:rsidP="009D1B7A">
      <w:pPr>
        <w:rPr>
          <w:b/>
        </w:rPr>
      </w:pPr>
      <w:r>
        <w:rPr>
          <w:b/>
        </w:rPr>
        <w:lastRenderedPageBreak/>
        <w:t>Od 20 000 do 49 999 obyvatel</w:t>
      </w:r>
      <w:r>
        <w:rPr>
          <w:b/>
        </w:rPr>
        <w:tab/>
      </w:r>
      <w:r>
        <w:rPr>
          <w:b/>
        </w:rPr>
        <w:tab/>
      </w:r>
      <w:r>
        <w:rPr>
          <w:b/>
        </w:rPr>
        <w:tab/>
        <w:t>Nad 100 000 obyvatel</w:t>
      </w:r>
    </w:p>
    <w:p w:rsidR="009D1B7A" w:rsidRPr="00FD1CCA" w:rsidRDefault="00FA0BD6" w:rsidP="009D1B7A">
      <w:pPr>
        <w:rPr>
          <w:b/>
        </w:rPr>
      </w:pPr>
      <w:r w:rsidRPr="00FA0BD6">
        <w:rPr>
          <w:b/>
        </w:rPr>
        <w:pict>
          <v:shape id="_x0000_i1040" type="#_x0000_t75" style="width:210.75pt;height:183pt">
            <v:imagedata r:id="rId35" o:title=""/>
          </v:shape>
        </w:pict>
      </w:r>
      <w:r w:rsidRPr="00FA0BD6">
        <w:rPr>
          <w:b/>
        </w:rPr>
        <w:pict>
          <v:shape id="_x0000_i1041" type="#_x0000_t75" style="width:210.75pt;height:183pt;mso-position-vertical:absolute">
            <v:imagedata r:id="rId36" o:title=""/>
          </v:shape>
        </w:pict>
      </w:r>
    </w:p>
    <w:p w:rsidR="008C1F0D" w:rsidRDefault="008C1F0D" w:rsidP="00A04179">
      <w:pPr>
        <w:rPr>
          <w:b/>
        </w:rPr>
      </w:pPr>
    </w:p>
    <w:p w:rsidR="008C1F0D" w:rsidRDefault="008C1F0D" w:rsidP="00A04179">
      <w:pPr>
        <w:rPr>
          <w:b/>
        </w:rPr>
      </w:pPr>
    </w:p>
    <w:p w:rsidR="008C1F0D" w:rsidRDefault="008C1F0D" w:rsidP="00A04179">
      <w:pPr>
        <w:rPr>
          <w:b/>
        </w:rPr>
      </w:pPr>
    </w:p>
    <w:p w:rsidR="004901EB" w:rsidRDefault="004901EB">
      <w:pPr>
        <w:spacing w:line="240" w:lineRule="auto"/>
        <w:jc w:val="left"/>
        <w:rPr>
          <w:b/>
        </w:rPr>
      </w:pPr>
      <w:r>
        <w:rPr>
          <w:b/>
        </w:rPr>
        <w:br w:type="page"/>
      </w:r>
    </w:p>
    <w:p w:rsidR="00A04179" w:rsidRPr="00E93169" w:rsidRDefault="00A04179" w:rsidP="003E41F6">
      <w:pPr>
        <w:spacing w:after="120"/>
        <w:rPr>
          <w:b/>
        </w:rPr>
      </w:pPr>
      <w:r w:rsidRPr="00E93169">
        <w:rPr>
          <w:b/>
        </w:rPr>
        <w:lastRenderedPageBreak/>
        <w:t>Shrnutí</w:t>
      </w:r>
    </w:p>
    <w:p w:rsidR="00630CCD" w:rsidRPr="00630CCD" w:rsidRDefault="00630CCD" w:rsidP="00630CCD">
      <w:pPr>
        <w:spacing w:after="120"/>
        <w:rPr>
          <w:rFonts w:cs="Arial"/>
          <w:noProof/>
          <w:szCs w:val="20"/>
        </w:rPr>
      </w:pPr>
      <w:r w:rsidRPr="00630CCD">
        <w:rPr>
          <w:rFonts w:cs="Arial"/>
          <w:noProof/>
          <w:szCs w:val="20"/>
        </w:rPr>
        <w:t>Výsledky sčítání lidu 2011 potvrdily dlouhodobý trend stárnutí populace České republiky. Ve srovnání se sčítáním uskutečněným v roce 2001 dosáhly všechny ukazatele věkové struktury vyšších hodnot</w:t>
      </w:r>
      <w:r w:rsidRPr="000D7919">
        <w:rPr>
          <w:rFonts w:cs="Arial"/>
          <w:noProof/>
          <w:szCs w:val="20"/>
        </w:rPr>
        <w:t xml:space="preserve">. </w:t>
      </w:r>
      <w:r w:rsidR="00EB5A8E" w:rsidRPr="000D7919">
        <w:rPr>
          <w:rFonts w:cs="Arial"/>
          <w:noProof/>
          <w:szCs w:val="20"/>
        </w:rPr>
        <w:t>Změnil se poměr mezi základními věkovými skupinami.</w:t>
      </w:r>
      <w:r w:rsidR="00EB5A8E">
        <w:rPr>
          <w:rFonts w:cs="Arial"/>
          <w:noProof/>
          <w:szCs w:val="20"/>
        </w:rPr>
        <w:t xml:space="preserve"> </w:t>
      </w:r>
      <w:r w:rsidRPr="00630CCD">
        <w:rPr>
          <w:rFonts w:cs="Arial"/>
          <w:noProof/>
          <w:szCs w:val="20"/>
        </w:rPr>
        <w:t>Klesl podíl dětské složky z celkové populace a podíl nejstarších věkových kategorií naopak vzrosl</w:t>
      </w:r>
      <w:r w:rsidR="00EB5A8E">
        <w:rPr>
          <w:rFonts w:cs="Arial"/>
          <w:noProof/>
          <w:szCs w:val="20"/>
        </w:rPr>
        <w:t>, v důsledku čehož</w:t>
      </w:r>
      <w:r w:rsidRPr="00630CCD">
        <w:rPr>
          <w:rFonts w:cs="Arial"/>
          <w:noProof/>
          <w:szCs w:val="20"/>
        </w:rPr>
        <w:t xml:space="preserve"> </w:t>
      </w:r>
      <w:r w:rsidR="00EB5A8E">
        <w:rPr>
          <w:rFonts w:cs="Arial"/>
          <w:szCs w:val="20"/>
        </w:rPr>
        <w:t>p</w:t>
      </w:r>
      <w:r w:rsidR="00540016">
        <w:rPr>
          <w:rFonts w:cs="Arial"/>
          <w:szCs w:val="20"/>
        </w:rPr>
        <w:t>oproduktivní složka převážila nad dětskou.</w:t>
      </w:r>
    </w:p>
    <w:p w:rsidR="00630CCD" w:rsidRPr="00630CCD" w:rsidRDefault="002A4E5B" w:rsidP="00630CCD">
      <w:pPr>
        <w:spacing w:after="120"/>
        <w:rPr>
          <w:rFonts w:cs="Arial"/>
          <w:noProof/>
          <w:szCs w:val="20"/>
        </w:rPr>
      </w:pPr>
      <w:r>
        <w:rPr>
          <w:rFonts w:cs="Arial"/>
          <w:noProof/>
          <w:szCs w:val="20"/>
        </w:rPr>
        <w:t>Rozdíly byly zaznamenány jak v</w:t>
      </w:r>
      <w:r w:rsidR="00630CCD" w:rsidRPr="00630CCD">
        <w:rPr>
          <w:rFonts w:cs="Arial"/>
          <w:noProof/>
          <w:szCs w:val="20"/>
        </w:rPr>
        <w:t> regionálním pohledu</w:t>
      </w:r>
      <w:r w:rsidR="00DE231C">
        <w:rPr>
          <w:rFonts w:cs="Arial"/>
          <w:noProof/>
          <w:szCs w:val="20"/>
        </w:rPr>
        <w:t>, tak podle velikost</w:t>
      </w:r>
      <w:r>
        <w:rPr>
          <w:rFonts w:cs="Arial"/>
          <w:noProof/>
          <w:szCs w:val="20"/>
        </w:rPr>
        <w:t xml:space="preserve">ních skupin obcí. </w:t>
      </w:r>
      <w:r w:rsidR="00630CCD" w:rsidRPr="00630CCD">
        <w:rPr>
          <w:rFonts w:cs="Arial"/>
          <w:noProof/>
          <w:szCs w:val="20"/>
        </w:rPr>
        <w:t>Podle všech ukazatelů je věkově nejmladší oblastí České republiky Středočeský kraj resp. zázemí hlavního města. Jde oblast dostupného bydlení pro mladé rodiny s dětmi. Druhou mladou oblastí jsou kraje Ústecký a Moravskoslezský. V  těchto oblastech však zároveň dochází k </w:t>
      </w:r>
      <w:r w:rsidR="00702A4F">
        <w:rPr>
          <w:rFonts w:cs="Arial"/>
          <w:noProof/>
          <w:szCs w:val="20"/>
        </w:rPr>
        <w:t xml:space="preserve">úbytku počtu obyvatel ve věku 0 až </w:t>
      </w:r>
      <w:r w:rsidR="00630CCD" w:rsidRPr="00630CCD">
        <w:rPr>
          <w:rFonts w:cs="Arial"/>
          <w:noProof/>
          <w:szCs w:val="20"/>
        </w:rPr>
        <w:t xml:space="preserve">14 let, což předznamenává nepříliš optimistický směr budoucího vývoje .  </w:t>
      </w:r>
    </w:p>
    <w:p w:rsidR="00630CCD" w:rsidRPr="00630CCD" w:rsidRDefault="00630CCD" w:rsidP="00630CCD">
      <w:pPr>
        <w:rPr>
          <w:rFonts w:cs="Arial"/>
          <w:noProof/>
          <w:szCs w:val="20"/>
        </w:rPr>
      </w:pPr>
      <w:r w:rsidRPr="00630CCD">
        <w:rPr>
          <w:rFonts w:cs="Arial"/>
          <w:noProof/>
          <w:szCs w:val="20"/>
        </w:rPr>
        <w:t>Naopak nejstarší oblasti se formují na hranicích krajů Středočeského, Plzeňského, Jihočeského a kraje Vysočina. Jde o oblasti převážně málo početných obcí se špatnou dostupností do pracovních center, které nejsou pro mladou gener</w:t>
      </w:r>
      <w:r w:rsidR="00EB5A8E">
        <w:rPr>
          <w:rFonts w:cs="Arial"/>
          <w:noProof/>
          <w:szCs w:val="20"/>
        </w:rPr>
        <w:t>a</w:t>
      </w:r>
      <w:r w:rsidRPr="00630CCD">
        <w:rPr>
          <w:rFonts w:cs="Arial"/>
          <w:noProof/>
          <w:szCs w:val="20"/>
        </w:rPr>
        <w:t xml:space="preserve">ci atraktivní. </w:t>
      </w:r>
    </w:p>
    <w:p w:rsidR="00A04179" w:rsidRDefault="00A04179" w:rsidP="00A04179"/>
    <w:p w:rsidR="00A04179" w:rsidRDefault="00A04179" w:rsidP="00A04179"/>
    <w:p w:rsidR="00A04179" w:rsidRDefault="00A04179" w:rsidP="00A04179"/>
    <w:p w:rsidR="00A04179" w:rsidRDefault="00A04179" w:rsidP="00A04179"/>
    <w:p w:rsidR="00A04179" w:rsidRDefault="00A04179" w:rsidP="00A04179"/>
    <w:p w:rsidR="00A04179" w:rsidRDefault="00A04179" w:rsidP="00A04179"/>
    <w:p w:rsidR="00A04179" w:rsidRDefault="00A04179" w:rsidP="00A04179"/>
    <w:p w:rsidR="00A04179" w:rsidRDefault="00A04179" w:rsidP="00A04179"/>
    <w:p w:rsidR="00A04179" w:rsidRDefault="00A04179" w:rsidP="00A04179"/>
    <w:p w:rsidR="00A04179" w:rsidRDefault="00A04179" w:rsidP="00A04179"/>
    <w:p w:rsidR="00A04179" w:rsidRDefault="00A04179" w:rsidP="00A04179"/>
    <w:p w:rsidR="00A04179" w:rsidRDefault="00A04179" w:rsidP="00A04179"/>
    <w:p w:rsidR="00A04179" w:rsidRDefault="00A04179" w:rsidP="00A04179"/>
    <w:p w:rsidR="00A04179" w:rsidRDefault="00A04179" w:rsidP="00A04179"/>
    <w:p w:rsidR="00A04179" w:rsidRDefault="00A04179" w:rsidP="00A04179"/>
    <w:p w:rsidR="00A04179" w:rsidRDefault="00A04179" w:rsidP="00A04179"/>
    <w:p w:rsidR="00A04179" w:rsidRDefault="00A04179" w:rsidP="00A04179"/>
    <w:p w:rsidR="00A04179" w:rsidRDefault="00A04179" w:rsidP="00A04179"/>
    <w:p w:rsidR="00A04179" w:rsidRDefault="00A04179" w:rsidP="00A04179"/>
    <w:p w:rsidR="00A04179" w:rsidRDefault="00A04179" w:rsidP="00A04179"/>
    <w:p w:rsidR="00A04179" w:rsidRPr="009C540B" w:rsidRDefault="00A04179" w:rsidP="00A04179">
      <w:pPr>
        <w:spacing w:line="288" w:lineRule="auto"/>
        <w:rPr>
          <w:rFonts w:cs="Arial"/>
          <w:szCs w:val="20"/>
        </w:rPr>
      </w:pPr>
    </w:p>
    <w:p w:rsidR="00A04179" w:rsidRPr="009C540B" w:rsidRDefault="00A04179" w:rsidP="00A04179">
      <w:pPr>
        <w:pStyle w:val="Default"/>
        <w:spacing w:line="276" w:lineRule="auto"/>
        <w:jc w:val="both"/>
        <w:rPr>
          <w:rFonts w:ascii="Arial" w:hAnsi="Arial" w:cs="Arial"/>
          <w:sz w:val="20"/>
          <w:szCs w:val="20"/>
        </w:rPr>
      </w:pPr>
    </w:p>
    <w:p w:rsidR="00A04179" w:rsidRDefault="00A04179" w:rsidP="004B1B7A">
      <w:pPr>
        <w:spacing w:after="240" w:line="360" w:lineRule="auto"/>
        <w:rPr>
          <w:rFonts w:cs="Arial"/>
          <w:b/>
          <w:szCs w:val="20"/>
        </w:rPr>
      </w:pPr>
    </w:p>
    <w:p w:rsidR="00BA1242" w:rsidRDefault="00BA1242" w:rsidP="004B1B7A">
      <w:pPr>
        <w:spacing w:after="240" w:line="360" w:lineRule="auto"/>
        <w:rPr>
          <w:rFonts w:cs="Arial"/>
          <w:b/>
          <w:szCs w:val="20"/>
        </w:rPr>
      </w:pPr>
    </w:p>
    <w:sectPr w:rsidR="00BA1242" w:rsidSect="00655849">
      <w:headerReference w:type="default" r:id="rId37"/>
      <w:footerReference w:type="default" r:id="rId38"/>
      <w:type w:val="continuous"/>
      <w:pgSz w:w="11907" w:h="16839" w:code="9"/>
      <w:pgMar w:top="2948" w:right="1418" w:bottom="1985" w:left="1985" w:header="720" w:footer="168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0ED1" w:rsidRDefault="00DD0ED1" w:rsidP="00BA6370">
      <w:r>
        <w:separator/>
      </w:r>
    </w:p>
  </w:endnote>
  <w:endnote w:type="continuationSeparator" w:id="0">
    <w:p w:rsidR="00DD0ED1" w:rsidRDefault="00DD0ED1" w:rsidP="00BA637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BOPDNI+Arial">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EE5" w:rsidRDefault="00FA0BD6">
    <w:pPr>
      <w:pStyle w:val="Zpat"/>
    </w:pPr>
    <w:r>
      <w:rPr>
        <w:noProof/>
      </w:rPr>
      <w:pict>
        <v:shapetype id="_x0000_t202" coordsize="21600,21600" o:spt="202" path="m,l,21600r21600,l21600,xe">
          <v:stroke joinstyle="miter"/>
          <v:path gradientshapeok="t" o:connecttype="rect"/>
        </v:shapetype>
        <v:shape id="Textové pole 2" o:spid="_x0000_s2051" type="#_x0000_t202" style="position:absolute;left:0;text-align:left;margin-left:99.2pt;margin-top:773.95pt;width:426.5pt;height:39pt;z-index:251657728;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" filled="f" stroked="f">
          <v:textbox style="mso-next-textbox:#Textové pole 2" inset="0,0,0,0">
            <w:txbxContent>
              <w:p w:rsidR="006C1EE5" w:rsidRPr="005B16C2" w:rsidRDefault="005B16C2" w:rsidP="0045547F">
                <w:pPr>
                  <w:spacing w:line="220" w:lineRule="atLeast"/>
                  <w:jc w:val="left"/>
                  <w:rPr>
                    <w:rFonts w:cs="Arial"/>
                    <w:b/>
                    <w:bCs/>
                    <w:sz w:val="15"/>
                    <w:szCs w:val="15"/>
                  </w:rPr>
                </w:pPr>
                <w:r w:rsidRPr="005B16C2">
                  <w:rPr>
                    <w:b/>
                    <w:sz w:val="15"/>
                    <w:szCs w:val="15"/>
                  </w:rPr>
                  <w:t>Oddělení metodiky, analýz a diseminace sčítání</w:t>
                </w:r>
              </w:p>
              <w:p w:rsidR="006C1EE5" w:rsidRPr="00A81EB3" w:rsidRDefault="005B16C2" w:rsidP="00175ABA">
                <w:pPr>
                  <w:tabs>
                    <w:tab w:val="right" w:pos="8505"/>
                  </w:tabs>
                  <w:spacing w:before="60" w:line="220" w:lineRule="atLeast"/>
                  <w:jc w:val="left"/>
                  <w:rPr>
                    <w:rFonts w:cs="Arial"/>
                  </w:rPr>
                </w:pPr>
                <w:r>
                  <w:rPr>
                    <w:rFonts w:cs="Arial"/>
                    <w:sz w:val="15"/>
                    <w:szCs w:val="15"/>
                  </w:rPr>
                  <w:t>Český</w:t>
                </w:r>
                <w:r w:rsidR="006C1EE5" w:rsidRPr="001404AB">
                  <w:rPr>
                    <w:rFonts w:cs="Arial"/>
                    <w:sz w:val="15"/>
                    <w:szCs w:val="15"/>
                  </w:rPr>
                  <w:t xml:space="preserve"> statistick</w:t>
                </w:r>
                <w:r>
                  <w:rPr>
                    <w:rFonts w:cs="Arial"/>
                    <w:sz w:val="15"/>
                    <w:szCs w:val="15"/>
                  </w:rPr>
                  <w:t>ý úřad</w:t>
                </w:r>
                <w:r w:rsidR="006C1EE5" w:rsidRPr="001404AB">
                  <w:rPr>
                    <w:rFonts w:cs="Arial"/>
                    <w:sz w:val="15"/>
                    <w:szCs w:val="15"/>
                  </w:rPr>
                  <w:t xml:space="preserve">: </w:t>
                </w:r>
                <w:r w:rsidR="006C1EE5" w:rsidRPr="00E93830">
                  <w:rPr>
                    <w:rFonts w:cs="Arial"/>
                    <w:b/>
                    <w:bCs/>
                    <w:color w:val="BD1B21"/>
                    <w:sz w:val="15"/>
                    <w:szCs w:val="15"/>
                  </w:rPr>
                  <w:t>www.czso.cz</w:t>
                </w:r>
                <w:r w:rsidR="006C1EE5">
                  <w:rPr>
                    <w:rFonts w:cs="Arial"/>
                    <w:sz w:val="15"/>
                    <w:szCs w:val="15"/>
                  </w:rPr>
                  <w:tab/>
                </w:r>
                <w:r w:rsidR="00FA0BD6" w:rsidRPr="004E479E">
                  <w:rPr>
                    <w:rFonts w:cs="Arial"/>
                    <w:szCs w:val="15"/>
                  </w:rPr>
                  <w:fldChar w:fldCharType="begin"/>
                </w:r>
                <w:r w:rsidR="006C1EE5" w:rsidRPr="004E479E">
                  <w:rPr>
                    <w:rFonts w:cs="Arial"/>
                    <w:szCs w:val="15"/>
                  </w:rPr>
                  <w:instrText xml:space="preserve"> PAGE   \* MERGEFORMAT </w:instrText>
                </w:r>
                <w:r w:rsidR="00FA0BD6" w:rsidRPr="004E479E">
                  <w:rPr>
                    <w:rFonts w:cs="Arial"/>
                    <w:szCs w:val="15"/>
                  </w:rPr>
                  <w:fldChar w:fldCharType="separate"/>
                </w:r>
                <w:r w:rsidR="00ED499E">
                  <w:rPr>
                    <w:rFonts w:cs="Arial"/>
                    <w:noProof/>
                    <w:szCs w:val="15"/>
                  </w:rPr>
                  <w:t>16</w:t>
                </w:r>
                <w:r w:rsidR="00FA0BD6" w:rsidRPr="004E479E">
                  <w:rPr>
                    <w:rFonts w:cs="Arial"/>
                    <w:szCs w:val="15"/>
                  </w:rPr>
                  <w:fldChar w:fldCharType="end"/>
                </w:r>
              </w:p>
            </w:txbxContent>
          </v:textbox>
          <w10:wrap anchorx="page" anchory="page"/>
        </v:shape>
      </w:pict>
    </w:r>
    <w:r>
      <w:rPr>
        <w:noProof/>
      </w:rPr>
      <w:pict>
        <v:line id="Přímá spojnice 2" o:spid="_x0000_s2049" style="position:absolute;left:0;text-align:left;flip:y;z-index:251656704;visibility:visible;mso-wrap-distance-top:-3e-5mm;mso-wrap-distance-bottom:-3e-5mm;mso-position-horizontal-relative:page;mso-position-vertical-relative:page;mso-width-relative:margin;mso-height-relative:margin" from="97.8pt,756.95pt" to="525.85pt,7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" strokecolor="#0071bc" strokeweight="1.5pt">
          <o:lock v:ext="edit" shapetype="f"/>
          <w10:wrap anchorx="page" anchory="page"/>
        </v:lin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0ED1" w:rsidRDefault="00DD0ED1" w:rsidP="00BA6370">
      <w:r>
        <w:separator/>
      </w:r>
    </w:p>
  </w:footnote>
  <w:footnote w:type="continuationSeparator" w:id="0">
    <w:p w:rsidR="00DD0ED1" w:rsidRDefault="00DD0ED1" w:rsidP="00BA6370">
      <w:r>
        <w:continuationSeparator/>
      </w:r>
    </w:p>
  </w:footnote>
  <w:footnote w:id="1">
    <w:p w:rsidR="00BC7B5A" w:rsidRDefault="00BC7B5A">
      <w:pPr>
        <w:pStyle w:val="Textpoznpodarou"/>
      </w:pPr>
      <w:r>
        <w:rPr>
          <w:rStyle w:val="Znakapoznpodarou"/>
        </w:rPr>
        <w:footnoteRef/>
      </w:r>
      <w:r>
        <w:t xml:space="preserve"> </w:t>
      </w:r>
      <w:r w:rsidRPr="002C2B51">
        <w:t>Projekce obyvatelstva České republiky do roku 2100</w:t>
      </w:r>
      <w:r>
        <w:t>, Český statistický úřad, 2013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EE5" w:rsidRPr="00C526BB" w:rsidRDefault="00FA0BD6">
    <w:pPr>
      <w:pStyle w:val="Zhlav"/>
      <w:rPr>
        <w:b/>
      </w:rPr>
    </w:pPr>
    <w:r>
      <w:rPr>
        <w:b/>
        <w:noProof/>
        <w:lang w:eastAsia="cs-CZ"/>
      </w:rPr>
      <w:pict>
        <v:group id="_x0000_s2054" style="position:absolute;left:0;text-align:left;margin-left:28.35pt;margin-top:42.55pt;width:498.35pt;height:82.35pt;z-index:251658752;mso-position-horizontal-relative:page;mso-position-vertical-relative:page" coordorigin="571,846" coordsize="9967,1647">
          <v:rect id="_x0000_s2055" style="position:absolute;left:1219;top:896;width:676;height:154" fillcolor="#0071bc" stroked="f"/>
          <v:rect id="_x0000_s2056" style="position:absolute;left:571;top:1126;width:1324;height:154" fillcolor="#0071bc" stroked="f"/>
          <v:rect id="_x0000_s2057" style="position:absolute;left:1292;top:1356;width:603;height:153" fillcolor="#0071bc" stroked="f"/>
          <v:shape id="_x0000_s2058" style="position:absolute;left:1973;top:1306;width:600;height:207" coordsize="1200,415" path="m1011,341r,-174l1030,167r10,2l1049,170r10,1l1067,174r7,3l1082,182r6,5l1094,194r5,6l1104,206r4,7l1112,221r2,7l1116,237r1,8l1117,253r,9l1116,271r-2,7l1112,287r-4,7l1104,301r-5,7l1094,314r-6,7l1082,326r-8,5l1067,334r-8,3l1049,338r-9,1l1030,341r-19,xm931,408r118,l1064,407r15,-3l1093,400r14,-5l1121,389r12,-9l1144,372r11,-10l1165,351r9,-12l1182,326r6,-13l1194,298r4,-14l1200,270r,-17l1200,238r-2,-15l1194,208r-6,-13l1182,181r-8,-12l1165,157r-10,-11l1144,136r-11,-10l1121,119r-14,-6l1093,108r-14,-5l1064,101r-15,-1l931,100r,308xm775,293r-67,l742,195r33,98xm797,354r20,54l901,408,785,100r-87,l581,408r84,l686,354r111,xm347,37r83,46l513,37,491,3,430,34,369,3,347,37xm407,238r,-77l422,161r10,1l442,164r7,2l455,170r6,6l466,182r3,9l470,200r-1,8l466,216r-5,7l455,230r-6,3l442,236r-10,1l422,238r-15,xm485,282r13,-4l508,275r8,-5l525,263r6,-6l536,250r5,-8l545,233r4,-8l551,215r1,-10l552,195r,-9l551,176r-2,-9l546,159r-4,-9l537,141r-5,-7l526,128r-7,-8l511,115r-7,-5l495,106r-10,-2l475,101r-12,-1l450,100r-123,l327,408r80,l407,289r76,119l582,408,485,282xm210,35l171,,105,56r28,29l210,35xm80,100l,100,,278r,15l2,308r1,13l5,333r4,10l13,353r4,9l23,369r9,10l43,389r11,8l68,403r15,6l99,413r16,2l133,415r16,l165,413r14,-4l192,404r14,-5l217,392r11,-9l238,372r8,-9l253,353r5,-10l262,333r3,-12l267,308r1,-15l268,278r,-178l189,100r,167l189,287r-2,14l185,311r-4,10l177,326r-5,5l167,334r-6,4l155,341r-6,2l141,344r-7,2l126,344r-6,-1l114,342r-6,-3l103,336r-5,-4l93,327r-4,-5l84,312,81,302,80,288r,-21l80,100xe" fillcolor="#bd1b21" stroked="f">
            <v:path arrowok="t"/>
            <o:lock v:ext="edit" verticies="t"/>
          </v:shape>
          <v:shape id="_x0000_s2059" style="position:absolute;left:1966;top:1076;width:1319;height:208" coordsize="2637,416" path="m2561,35l2524,r-66,56l2485,84r76,-49xm2442,260r,147l2521,407r,-147l2637,99r-97,l2484,183,2427,99r-96,l2442,260xm2143,226r,-127l2063,99r,308l2143,407r,-133l2247,407r104,l2217,245,2340,99r-100,l2143,226xm2008,108r-21,-6l1969,97r-17,-4l1936,93r-18,l1902,96r-16,5l1871,106r-14,6l1844,121r-13,8l1820,140r-11,12l1800,164r-9,14l1785,192r-5,15l1775,223r-2,16l1773,256r,15l1775,286r3,14l1783,314r6,13l1795,340r9,11l1813,362r12,11l1839,385r15,8l1869,401r16,6l1902,412r16,3l1936,416r15,-1l1966,413r17,-5l2008,401r,-95l1999,314r-7,6l1983,326r-7,4l1967,334r-10,2l1948,337r-10,l1931,337r-8,-1l1916,335r-8,-3l1902,330r-6,-4l1889,322r-5,-5l1876,311r-5,-6l1866,299r-4,-8l1860,283r-3,-9l1856,265r,-10l1856,246r1,-8l1860,229r2,-8l1865,214r5,-7l1874,200r5,-6l1885,189r6,-5l1898,180r7,-3l1913,174r8,-2l1930,170r8,l1948,170r10,3l1967,175r10,4l1984,184r9,5l2001,197r7,7l2008,108xm1727,99r-80,l1647,407r80,l1727,99xm1538,167r66,l1604,99r-210,l1394,167r65,l1459,407r79,l1538,167xm1360,117r-11,-6l1337,106r-13,-4l1313,98r-13,-2l1288,93r-12,-1l1263,92r-11,l1241,94r-10,2l1221,99r-10,4l1203,108r-8,6l1187,121r-6,7l1175,136r-5,8l1166,153r-4,10l1161,174r-3,10l1158,195r,10l1160,215r2,9l1165,231r3,8l1172,245r5,6l1183,256r9,7l1203,269r16,6l1242,281r12,5l1264,290r9,4l1279,297r5,4l1287,306r2,5l1289,317r,7l1287,330r-4,5l1279,339r-6,3l1267,345r-8,1l1251,347r-9,l1233,345r-9,-1l1216,340r-9,-5l1198,330r-8,-6l1180,316r-34,65l1158,388r13,8l1185,401r13,5l1212,410r14,3l1239,415r14,l1266,415r12,-2l1290,411r12,-4l1313,403r10,-5l1333,392r9,-6l1349,378r6,-7l1360,362r5,-10l1369,342r2,-11l1373,319r,-13l1371,290r-2,-15l1366,269r-3,-6l1359,258r-4,-7l1350,246r-5,-5l1339,238r-7,-4l1315,226r-17,-6l1276,213r-13,-4l1256,205r-7,-5l1247,198r-3,-4l1242,189r,-4l1243,179r1,-5l1248,170r4,-3l1257,163r6,-3l1269,159r8,-1l1283,159r6,l1297,162r6,1l1315,170r14,9l1360,117xm1091,99r-80,l1011,407r80,l1091,99xm904,167r66,l970,99r-212,l758,167r67,l825,407r79,l904,167xm644,292r-66,l611,194r33,98xm666,354r20,53l771,407,655,99r-87,l450,407r84,l555,354r111,xm395,167r66,l461,99r-212,l249,167r66,l315,407r80,l395,167xm214,117r-11,-6l190,106r-12,-4l167,98,154,96,142,93,129,92r-12,l106,92,94,94,84,96r-9,3l65,103r-9,5l48,114r-7,7l35,128r-7,8l23,144r-3,9l16,163r-1,11l12,184r,11l12,205r1,10l16,224r2,7l22,239r4,6l31,251r6,5l46,263r11,6l73,275r23,6l108,286r10,4l127,294r6,3l138,301r3,5l143,311r,6l143,324r-2,6l137,335r-4,4l127,342r-6,3l113,346r-9,1l96,347r-9,-2l78,344r-8,-4l61,335r-9,-5l43,324,33,316,,381r12,7l25,396r13,5l52,406r14,4l79,413r14,2l107,415r12,l132,413r12,-2l155,407r12,-4l177,398r10,-6l195,386r8,-8l209,371r5,-9l219,352r4,-10l225,331r2,-12l227,306r-2,-16l223,275r-3,-6l217,263r-4,-5l209,251r-5,-5l199,241r-6,-3l185,234r-16,-8l151,220r-22,-7l117,209r-8,-4l103,200r-4,-2l98,194r-2,-5l96,185r1,-6l98,174r4,-4l106,167r5,-4l117,160r6,-1l129,158r8,1l143,159r8,3l157,163r12,7l183,179r31,-62xe" fillcolor="#bd1b21" stroked="f">
            <v:path arrowok="t"/>
            <o:lock v:ext="edit" verticies="t"/>
          </v:shape>
          <v:shape id="_x0000_s2060" style="position:absolute;left:1966;top:846;width:679;height:208" coordsize="1358,416" path="m1282,36l1243,r-65,56l1205,85r77,-49xm1162,260r,147l1242,407r,-147l1358,100r-97,l1205,183r-59,-83l1051,100r111,160xm863,227r,-127l783,100r,307l863,407r,-133l967,407r104,l938,245,1059,100r-99,l863,227xm721,117r-12,-5l697,107r-12,-5l673,98,660,96,648,93,635,92r-11,l611,92r-9,3l590,97r-10,3l572,103r-9,5l555,115r-7,6l542,128r-7,8l531,145r-4,8l523,163r-2,11l519,184r,12l519,206r2,10l522,224r2,8l528,239r5,6l538,252r5,5l552,263r12,6l580,275r22,7l614,287r11,3l634,294r6,4l644,301r4,5l649,311r1,7l649,324r-1,6l644,335r-5,4l634,343r-8,2l619,348r-8,l603,348r-9,-3l585,344r-8,-4l568,335r-9,-5l549,324r-9,-8l507,381r12,8l532,396r12,5l558,406r14,4l585,414r14,1l613,415r13,l639,414r12,-3l663,407r11,-3l684,399r10,-7l702,386r7,-7l716,371r5,-8l725,353r4,-10l731,331r1,-12l734,306r-2,-16l729,275r-3,-6l724,263r-4,-5l716,252r-5,-5l705,243r-6,-5l692,234r-16,-7l658,221r-22,-7l624,209r-9,-3l610,201r-3,-3l604,194r-1,-5l603,186r,-5l605,174r3,-3l611,167r7,-4l623,161r6,-2l636,158r7,1l650,159r6,3l663,163r13,8l689,179r32,-62xm463,167r,-67l289,100r,307l463,407r,-67l369,340r,-53l458,287r,-68l369,219r,-52l463,167xm66,36r82,46l231,36,210,2,148,34,87,2,66,36xm235,108r-20,-6l197,97,180,95,163,93r-17,2l129,96r-15,5l99,106r-15,6l71,121r-13,9l47,141,37,152,27,164r-7,14l12,192,7,207,3,223,1,239,,257r,15l2,287r4,13l10,314r6,14l22,340r9,11l41,363r12,11l66,385r15,9l97,401r16,6l129,412r18,3l163,416r16,-1l193,414r19,-5l235,401r,-95l228,314r-9,6l212,326r-9,4l194,334r-9,2l175,338r-10,1l158,338r-7,-2l143,335r-6,-2l129,330r-6,-4l117,323r-6,-5l104,311r-6,-6l93,299r-4,-7l87,283r-3,-9l83,265r,-10l83,247r1,-9l87,229r2,-7l93,214r4,-7l102,201r5,-7l112,189r6,-5l126,181r7,-4l141,174r7,-2l157,171r8,l175,171r10,2l195,176r9,3l213,184r7,5l228,197r7,7l235,108xe" fillcolor="#bd1b21" stroked="f">
            <v:path arrowok="t"/>
            <o:lock v:ext="edit" verticies="t"/>
          </v:shape>
          <v:rect id="_x0000_s2061" style="position:absolute;left:1963;top:1925;width:8575;height:568" fillcolor="#0071bc" stroked="f"/>
          <v:shape id="_x0000_s2062" style="position:absolute;left:2178;top:2129;width:195;height:186" coordsize="391,374" path="m197,116l156,236r81,l197,116xm128,309r-24,65l,374,143,,251,,391,374r-104,l263,309r-135,xe" stroked="f">
            <v:path arrowok="t"/>
            <o:lock v:ext="edit" verticies="t"/>
          </v:shape>
          <v:shape id="_x0000_s2063" style="position:absolute;left:2394;top:2129;width:187;height:186" coordsize="373,374" path="m,l97,,276,229,276,r97,l373,374r-97,l97,146r,228l,374,,xe" stroked="f">
            <v:path arrowok="t"/>
          </v:shape>
          <v:shape id="_x0000_s2064" style="position:absolute;left:2603;top:2129;width:195;height:186" coordsize="390,374" path="m196,116l155,236r81,l196,116xm128,309r-26,65l,374,143,,249,,390,374r-103,l263,309r-135,xe" stroked="f">
            <v:path arrowok="t"/>
            <o:lock v:ext="edit" verticies="t"/>
          </v:shape>
          <v:shape id="_x0000_s2065" style="position:absolute;left:2820;top:2129;width:106;height:186" coordsize="213,374" path="m97,292r116,l213,374,,374,,,97,r,292xe" stroked="f">
            <v:path arrowok="t"/>
          </v:shape>
          <v:shape id="_x0000_s2066" style="position:absolute;left:2909;top:2068;width:187;height:247" coordsize="374,495" path="m188,102l154,69,234,r47,43l188,102xm,121r117,l187,223,255,121r119,l233,316r,179l136,495r,-179l,121xe" stroked="f">
            <v:path arrowok="t"/>
            <o:lock v:ext="edit" verticies="t"/>
          </v:shape>
          <v:shape id="_x0000_s2067" style="position:absolute;left:3099;top:2129;width:170;height:186" coordsize="340,374" path="m320,292r,82l,374,177,82,30,82,30,,340,,163,292r157,xe" stroked="f">
            <v:path arrowok="t"/>
          </v:shape>
          <v:shape id="_x0000_s2068" style="position:absolute;left:3278;top:2129;width:195;height:186" coordsize="392,374" path="m197,116l156,236r81,l197,116xm129,309r-27,65l,374,144,,251,,392,374r-105,l263,309r-134,xe" stroked="f">
            <v:path arrowok="t"/>
            <o:lock v:ext="edit" verticies="t"/>
          </v:shape>
          <v:shape id="_x0000_s2069" style="position:absolute;left:6643;top:1371;width:3880;height:179" coordsize="7760,358" path="m174,86l159,77,144,70r-9,-1l128,66r-8,l112,65,99,66,89,68,78,70,68,74,58,79,48,85r-7,6l32,99r-8,7l18,115r-5,9l8,134,5,144,2,155,,165r,12l,188r2,10l5,210r3,10l13,228r5,10l24,247r8,7l39,262r9,6l57,273r10,5l77,282r11,2l99,286r11,1l118,287r9,-1l135,284r8,-2l152,278r7,-2l166,271r8,-5l174,236r-8,7l159,248r-7,5l143,257r-8,4l127,263r-8,1l110,264r-8,-1l93,262r-9,-1l77,257r-8,-4l62,249r-8,-5l49,238r-6,-6l38,226r-4,-8l31,211r-4,-8l26,195r-3,-9l23,177r,-9l26,158r1,-7l31,142r3,-7l38,127r5,-7l49,114r5,-5l62,104r6,-5l77,95r7,-3l92,90r8,-1l109,87r9,2l127,90r8,1l143,95r9,4l159,104r7,5l174,116r,-30xm155,14l138,,110,24,82,,64,14r46,37l155,14xm327,221r,-4l326,202r-4,-14l320,182r-3,-6l314,171r-4,-5l306,162r-5,-4l296,155r-6,-3l284,150r-7,-2l271,147r-7,l256,147r-6,1l244,150r-6,2l231,155r-5,3l221,162r-3,4l213,171r-3,5l206,182r-2,6l200,202r-1,15l200,224r,8l203,238r1,8l206,252r4,5l214,262r4,5l223,272r5,4l233,279r6,3l245,283r6,3l257,287r8,l275,286r9,-2l292,282r8,-5l307,272r7,-6l320,258r6,-9l307,238r-5,6l297,251r-5,5l289,259r-5,3l277,264r-5,2l266,266r-9,-2l249,263r-7,-5l236,253r-5,-6l228,239r-3,-8l224,221r103,xm225,202r1,-7l230,188r4,-6l239,177r5,-4l250,170r7,-2l264,167r7,1l277,170r7,2l290,177r4,5l299,187r2,8l304,202r-79,xm431,171r-3,-6l424,160r-3,-4l416,152r-5,-2l406,148r-5,-1l394,147r-7,l380,150r-8,3l367,157r-5,6l358,170r-1,6l356,183r,7l357,196r3,5l363,205r5,5l376,213r7,5l394,223r10,5l411,233r2,3l414,238r2,4l416,244r,5l414,253r-2,4l409,259r-3,3l403,264r-5,2l394,266r-4,l386,264r-4,-1l378,261r-5,-7l367,244r-20,9l351,261r4,6l360,273r6,5l371,282r7,2l386,286r7,1l403,286r9,-3l419,279r7,-5l432,268r4,-7l438,252r1,-9l438,234r-2,-7l431,220r-7,-5l416,208r-17,-7l388,196r-6,-4l380,190r-2,-3l378,185r-1,-3l378,177r4,-5l387,168r6,-1l399,168r5,3l408,175r4,6l431,171xm493,49r-23,l470,283r23,l493,228r5,-6l551,283r32,l514,206r57,-56l540,150r-47,48l493,49xm644,271r-44,87l626,358,725,150r-27,l655,244,609,150r-26,l644,271xm693,82l670,73r-34,46l650,126,693,82xm899,171r-4,-6l892,160r-4,-4l884,152r-5,-2l874,148r-6,-1l862,147r-8,l847,150r-6,3l834,157r-5,6l827,170r-3,6l823,183r1,7l826,196r2,5l831,205r6,5l843,213r9,5l862,223r11,5l879,233r3,3l883,238r,4l883,244r,5l882,253r-2,4l877,259r-3,3l870,264r-3,2l862,266r-5,l853,264r-4,-1l847,261r-6,-7l836,244r-22,9l818,261r5,6l828,273r5,5l839,282r6,2l853,286r9,1l870,286r9,-3l887,279r7,-5l899,268r4,-7l905,252r2,-9l905,234r-2,-7l898,220r-6,-5l883,208r-16,-7l857,196r-8,-4l848,190r-1,-3l845,185r,-3l847,177r3,-5l855,168r7,-1l867,168r5,3l877,175r3,6l899,171xm961,171r24,l985,150r-24,l961,101r-22,l939,150r-14,l925,171r14,l939,283r22,l961,171xm1108,150r,18l1103,163r-6,-5l1092,155r-5,-3l1081,150r-6,-3l1069,147r-8,-1l1055,147r-6,l1042,150r-6,2l1030,155r-5,3l1020,162r-4,4l1012,171r-3,5l1005,182r-3,6l999,201r-2,15l999,223r,8l1000,237r2,7l1005,251r4,5l1012,262r4,5l1020,271r5,5l1031,278r5,4l1042,283r7,3l1055,287r7,l1069,287r6,-1l1081,283r6,-2l1092,278r6,-4l1103,269r5,-5l1108,283r23,l1131,150r-23,xm1065,167r10,1l1083,171r8,4l1097,181r5,7l1106,196r2,10l1110,216r-2,11l1106,236r-4,8l1097,252r-6,6l1083,262r-8,2l1065,266r-9,-2l1047,262r-7,-4l1034,252r-5,-8l1025,236r-3,-10l1021,216r1,-10l1025,196r4,-8l1034,181r6,-5l1047,171r9,-3l1065,167r,xm1197,171r24,l1221,150r-24,l1197,101r-23,l1174,150r-15,l1159,171r15,l1174,283r23,l1197,171xm1264,150r-22,l1242,283r22,l1264,150xm1253,82r-6,3l1242,87r-4,5l1237,99r1,3l1238,106r1,3l1242,111r2,1l1247,115r3,l1253,116r6,-1l1265,111r3,-5l1269,100r-1,-8l1265,87r-6,-2l1253,82r,xm1379,171r-3,-6l1372,160r-4,-4l1364,152r-5,-2l1354,148r-5,-1l1343,147r-9,l1328,150r-8,3l1315,157r-5,6l1306,170r-2,6l1304,183r,7l1305,196r3,5l1311,205r5,5l1323,213r8,5l1343,223r10,5l1359,233r2,3l1363,238r1,4l1364,244r,5l1363,253r-3,4l1358,259r-4,3l1350,264r-4,2l1341,266r-3,l1334,264r-4,-1l1326,261r-5,-7l1315,244r-20,9l1299,261r4,6l1308,273r5,5l1319,282r7,2l1334,286r7,1l1351,286r9,-3l1368,279r6,-5l1380,268r4,-7l1386,252r1,-9l1386,234r-2,-7l1379,220r-7,-5l1363,208r-17,-7l1336,196r-6,-4l1328,190r-2,-3l1325,185r,-3l1326,177r4,-5l1335,168r6,-1l1348,168r5,3l1356,175r4,6l1379,171xm1442,171r24,l1466,150r-24,l1442,101r-22,l1420,150r-14,l1406,171r14,l1420,283r22,l1442,171xm1510,150r-23,l1487,283r23,l1510,150xm1498,82r-6,3l1487,87r-4,5l1482,99r1,3l1483,106r3,3l1487,111r3,1l1492,115r4,l1498,116r7,-1l1511,111r2,-5l1516,100r-3,-8l1511,87r-6,-2l1498,82xm1654,160r-10,-7l1634,150r-10,-3l1613,147r-8,l1598,148r-6,2l1586,152r-7,3l1573,158r-6,4l1562,167r-4,5l1554,177r-3,6l1548,190r-2,6l1543,202r-1,8l1542,217r,7l1543,231r3,7l1548,244r3,7l1554,256r4,6l1562,267r5,4l1573,274r5,4l1584,282r8,1l1598,286r7,1l1613,287r10,-1l1634,283r10,-4l1655,273r,-30l1644,253r-10,8l1629,263r-5,1l1618,266r-6,l1603,264r-10,-2l1586,258r-7,-6l1573,244r-4,-8l1567,227r-1,-10l1567,207r2,-10l1573,188r6,-6l1586,176r8,-5l1603,168r10,-1l1618,168r6,l1629,171r5,1l1644,180r10,10l1654,160xm1710,49r-22,l1688,283r22,l1710,228r6,-6l1770,283r30,l1733,206r57,-56l1759,150r-49,48l1710,49xm1861,271r-42,87l1845,358r98,-208l1917,150r-44,94l1826,150r-26,l1861,271xm1912,82r-24,-9l1855,119r13,7l1912,82xm2066,150r-22,l2044,229r,14l2047,253r3,9l2055,269r4,5l2064,277r5,4l2074,282r10,4l2096,287r13,-1l2119,282r10,-5l2136,269r6,-7l2146,253r3,-10l2149,229r,-79l2126,150r,77l2126,236r-1,6l2124,248r-1,4l2118,258r-7,4l2105,264r-9,2l2088,264r-8,-2l2075,258r-5,-6l2069,248r-1,-6l2066,236r,-9l2066,150xm2136,82r-23,-9l2079,119r15,7l2136,82xm2190,150r,133l2212,283r,-71l2212,202r1,-9l2215,186r2,-5l2221,176r5,-4l2232,170r6,-2l2245,170r7,2l2262,152r-5,-2l2252,147r-5,l2242,146r-9,1l2227,150r-7,6l2212,165r,-15l2190,150xm2265,85l2248,73r-27,26l2192,73r-16,12l2221,126r44,-41xm2379,150r,18l2374,163r-5,-5l2363,155r-5,-3l2352,150r-6,-3l2339,147r-7,-1l2326,147r-7,l2313,150r-6,2l2302,155r-6,3l2291,162r-4,4l2283,171r-4,5l2276,182r-3,6l2270,201r-2,15l2270,223r,8l2272,237r1,7l2276,251r3,5l2283,262r4,5l2292,271r4,5l2302,278r5,4l2313,283r6,3l2326,287r7,l2339,287r8,-1l2352,283r6,-2l2364,278r5,-4l2374,269r5,-5l2379,283r23,l2402,150r-23,xm2336,167r10,1l2354,171r8,4l2368,181r5,7l2377,196r2,10l2380,216r-1,11l2377,236r-4,8l2368,252r-6,6l2354,262r-8,2l2336,266r-9,-2l2318,262r-7,-4l2304,252r-5,-8l2296,236r-3,-10l2292,216r1,-10l2296,196r3,-8l2304,181r7,-5l2318,171r9,-3l2336,167xm2544,49r,119l2539,163r-5,-5l2527,155r-5,-3l2516,150r-6,-2l2504,147r-8,l2490,147r-6,1l2478,150r-7,2l2466,155r-6,3l2455,162r-4,4l2448,171r-4,6l2440,182r-2,6l2434,202r-1,14l2434,223r,8l2436,238r2,6l2440,251r4,6l2448,262r3,5l2456,271r5,5l2466,278r5,4l2478,283r6,3l2490,287r8,l2504,287r7,-1l2517,283r7,-2l2529,278r5,-4l2539,269r3,-5l2542,283r24,l2566,49r-22,xm2500,167r9,1l2516,171r8,4l2531,180r6,7l2541,195r3,10l2545,216r-1,11l2541,237r-4,7l2532,252r-6,6l2519,262r-9,2l2500,266r-9,-2l2483,262r-8,-4l2469,252r-5,-8l2460,236r-2,-10l2456,216r2,-10l2460,197r4,-9l2469,181r6,-5l2483,171r8,-3l2500,167r,xm2734,337r25,l2759,69r-25,l2734,337xm2932,283r24,l2956,117r167,175l3123,69r-24,l3099,234,2932,60r,223xm3271,150r,18l3266,163r-5,-5l3256,155r-6,-3l3244,150r-5,-3l3231,147r-6,-1l3218,147r-7,l3205,150r-6,2l3194,155r-5,3l3184,162r-5,4l3175,171r-3,5l3169,182r-2,6l3163,201r-1,15l3162,223r1,8l3164,237r3,7l3169,251r3,5l3175,262r4,5l3184,271r5,5l3194,278r6,4l3205,283r6,3l3219,287r6,l3233,287r6,-1l3245,283r5,-2l3256,278r5,-4l3266,269r5,-5l3271,283r23,l3294,150r-23,xm3229,167r9,1l3246,171r8,4l3260,181r6,7l3270,196r2,10l3272,216r,11l3270,236r-4,8l3260,252r-6,6l3246,262r-8,2l3229,266r-10,-2l3210,262r-6,-4l3196,252r-5,-8l3188,236r-3,-10l3185,216r,-10l3188,196r3,-8l3198,181r6,-5l3211,171r8,-3l3229,167xm3438,358r,-94l3443,269r5,5l3453,278r5,4l3464,283r7,3l3477,287r7,l3490,287r7,-1l3503,283r6,-1l3515,278r5,-2l3525,272r4,-5l3537,257r6,-13l3547,232r1,-15l3548,210r-1,-8l3545,196r-2,-8l3540,182r-3,-5l3533,171r-4,-5l3525,162r-5,-4l3514,155r-5,-3l3503,150r-6,-2l3490,147r-7,-1l3477,147r-6,l3464,150r-6,2l3453,155r-5,3l3442,163r-4,5l3438,150r-24,l3414,358r24,xm3481,167r8,1l3498,171r7,5l3512,182r5,6l3520,197r3,10l3524,218r-1,9l3520,237r-3,7l3512,252r-7,6l3498,262r-9,2l3481,266r-10,-2l3463,262r-7,-4l3448,252r-5,-8l3439,237r-2,-10l3436,217r1,-10l3439,197r4,-9l3448,181r8,-5l3463,171r8,-3l3481,167r,xm3680,150r,18l3675,163r-5,-5l3665,155r-6,-3l3654,150r-7,-3l3641,147r-7,-1l3628,147r-8,l3614,150r-5,2l3603,155r-5,3l3593,162r-4,4l3584,171r-4,5l3578,182r-3,6l3571,201r-1,15l3570,223r1,8l3573,237r2,7l3578,251r2,5l3584,262r5,5l3593,271r5,5l3603,278r6,4l3615,283r6,3l3628,287r7,l3641,287r6,-1l3654,283r6,-2l3665,278r5,-4l3675,269r5,-5l3680,283r24,l3704,150r-24,xm3637,167r10,1l3655,171r7,4l3670,181r5,7l3679,196r2,10l3682,216r-1,11l3679,236r-4,8l3670,252r-8,6l3655,262r-9,2l3637,266r-9,-2l3620,262r-7,-4l3606,252r-5,-8l3596,236r-2,-10l3594,216r1,-10l3598,196r3,-8l3606,181r7,-5l3620,171r9,-3l3637,167r,xm3844,49r,119l3839,163r-5,-5l3829,155r-6,-3l3818,150r-6,-2l3806,147r-8,l3792,147r-7,1l3778,150r-5,2l3767,155r-5,3l3757,162r-4,4l3748,171r-3,6l3742,182r-2,6l3737,195r-1,7l3735,208r,8l3735,223r1,8l3737,238r3,6l3742,251r4,6l3748,262r5,5l3757,271r5,5l3767,278r6,4l3780,283r6,3l3792,287r6,l3806,287r6,-1l3818,283r6,-2l3831,278r5,-4l3841,269r3,-5l3844,283r24,l3868,49r-24,xm3802,167r9,1l3818,171r8,4l3833,180r5,7l3843,195r3,10l3846,216r,11l3843,237r-4,7l3834,252r-7,6l3819,262r-8,2l3802,266r-10,-2l3785,262r-8,-4l3771,252r-5,-8l3761,236r-3,-10l3758,216r2,-10l3762,197r4,-9l3771,181r6,-5l3785,171r8,-3l3802,167r,xm4026,221r,-4l4026,202r-4,-14l4020,182r-4,-6l4014,171r-4,-5l4005,162r-5,-4l3995,155r-6,-3l3984,150r-6,-2l3970,147r-7,l3956,147r-7,1l3943,150r-6,2l3932,155r-5,3l3922,162r-5,4l3913,171r-4,5l3907,182r-3,6l3900,202r-1,15l3899,224r1,8l3902,238r2,8l3907,252r2,5l3913,262r4,5l3922,272r5,4l3932,279r6,3l3944,283r6,3l3958,287r6,l3974,286r9,-2l3991,282r8,-5l4006,272r8,-6l4020,258r5,-9l4006,238r-5,6l3996,251r-3,5l3988,259r-5,3l3978,264r-7,2l3965,266r-9,-2l3949,263r-8,-5l3935,253r-5,-6l3927,239r-3,-8l3923,221r103,xm3924,202r3,-7l3929,188r4,-6l3938,177r6,-4l3950,170r6,-2l3964,167r6,1l3978,170r6,2l3989,177r5,5l3998,187r2,8l4003,202r-79,xm4131,171r-4,-6l4123,160r-3,-4l4116,152r-5,-2l4106,148r-6,-1l4093,147r-7,l4079,150r-7,3l4066,157r-5,6l4059,170r-3,6l4055,183r1,7l4057,196r3,5l4064,205r5,5l4075,213r9,5l4093,223r12,5l4111,233r2,3l4115,238r,4l4115,244r,5l4113,253r-1,4l4108,259r-2,3l4102,264r-4,2l4093,266r-4,l4085,264r-4,-1l4079,261r-7,-7l4067,244r-21,9l4050,261r5,6l4060,273r5,5l4071,282r6,2l4085,286r8,1l4102,286r9,-3l4118,279r8,-5l4131,268r4,-7l4137,252r1,-9l4137,234r-2,-7l4130,220r-7,-5l4115,208r-17,-7l4089,196r-8,-4l4080,190r-1,-3l4077,185r,-3l4079,177r3,-5l4087,168r6,-1l4098,168r5,3l4108,175r4,6l4131,171xm4270,150r,18l4265,163r-5,-5l4255,155r-5,-3l4244,150r-6,-3l4232,147r-8,-1l4218,147r-6,l4206,150r-7,2l4193,155r-5,3l4183,162r-4,4l4174,171r-2,5l4168,182r-2,6l4162,201r-1,15l4161,223r1,8l4163,237r3,7l4168,251r4,5l4176,262r3,5l4183,271r5,5l4194,278r5,4l4206,283r6,3l4218,287r8,l4232,287r6,-1l4244,283r6,-2l4255,278r7,-4l4267,269r3,-5l4270,283r24,l4294,150r-24,xm4228,167r10,1l4247,171r7,4l4260,181r5,7l4269,196r3,10l4273,216r-1,11l4269,236r-4,8l4260,252r-6,6l4245,262r-7,2l4228,266r-9,-2l4211,262r-8,-4l4197,252r-5,-8l4188,236r-2,-10l4184,216r2,-10l4188,196r4,-8l4197,181r6,-5l4211,171r8,-3l4228,167r,xm4273,82r-24,-9l4216,119r15,7l4273,82xm4359,171r24,l4383,150r-24,l4359,101r-23,l4336,150r-13,l4323,171r13,l4336,283r23,l4359,171xm4523,221r,-4l4522,202r-4,-14l4516,182r-3,-6l4510,171r-4,-5l4501,162r-5,-4l4491,155r-5,-3l4480,150r-7,-2l4466,147r-6,l4452,147r-6,1l4440,150r-6,2l4427,155r-5,3l4417,162r-5,4l4409,171r-4,5l4402,182r-2,6l4396,202r-1,15l4395,224r1,8l4397,238r3,8l4402,252r4,5l4409,262r5,5l4417,272r5,4l4429,279r5,3l4440,283r6,3l4454,287r7,l4470,286r10,-2l4487,282r9,-5l4503,272r7,-6l4516,258r6,-9l4502,238r-5,6l4493,251r-5,5l4483,259r-5,3l4473,264r-6,2l4461,266r-9,-2l4445,263r-8,-5l4431,253r-5,-6l4422,239r-2,-8l4419,221r104,xm4421,202r1,-7l4425,188r5,-6l4435,177r5,-4l4446,170r6,-2l4460,167r7,1l4473,170r7,2l4485,177r5,5l4493,187r4,8l4498,202r-77,xm4503,82r-25,-9l4445,119r15,7l4503,82xm4554,150r,133l4577,283r,-72l4578,201r,-8l4581,187r1,-5l4587,176r5,-5l4599,168r8,-1l4612,168r5,2l4622,172r2,4l4628,182r1,6l4630,196r,7l4630,283r24,l4654,210r,-10l4655,191r3,-8l4660,177r5,-4l4669,170r6,-2l4683,167r5,l4693,170r5,2l4700,176r3,5l4705,186r1,7l4706,202r,81l4729,283r,-85l4729,187r-1,-9l4725,171r-4,-6l4719,161r-4,-4l4711,153r-5,-2l4701,150r-5,-3l4692,147r-7,-1l4679,147r-5,1l4668,150r-5,2l4658,155r-4,3l4650,163r-3,5l4644,163r-4,-5l4637,155r-5,-3l4627,150r-5,-2l4617,147r-6,-1l4601,147r-9,4l4584,156r-7,9l4577,150r-23,xm4887,171r-7,5l4873,181r-6,5l4863,192r-3,8l4857,207r-1,8l4855,223r1,8l4856,237r2,6l4860,248r6,11l4873,268r10,8l4895,282r12,4l4921,287r12,-1l4946,282r11,-6l4967,268r7,-9l4979,248r3,-6l4983,236r1,-7l4984,223r,-8l4983,207r-4,-7l4977,192r-5,-6l4967,181r-6,-5l4953,171r6,-4l4964,163r5,-6l4973,152r3,-7l4978,139r1,-8l4981,125r-2,-13l4976,101r-5,-10l4963,82r-9,-7l4944,70r-11,-4l4921,66r-13,l4897,70r-10,5l4877,82r-6,9l4865,101r-3,11l4861,125r,7l4862,139r3,7l4867,152r4,5l4876,162r5,5l4887,171xm4921,87r7,2l4934,90r7,4l4947,99r5,5l4954,110r3,7l4958,125r-1,7l4954,140r-2,6l4947,151r-6,5l4934,158r-6,3l4921,162r-8,-1l4906,158r-6,-2l4895,151r-5,-6l4886,139r-3,-7l4883,124r2,-7l4886,110r4,-6l4895,99r5,-5l4906,90r7,-1l4921,87xm4920,182r8,1l4936,186r7,4l4949,195r5,5l4958,207r3,8l4961,223r,9l4958,239r-4,7l4949,252r-6,5l4936,261r-8,2l4920,264r-9,-1l4903,261r-6,-4l4891,252r-5,-6l4882,239r-2,-8l4878,222r2,-7l4882,207r4,-7l4891,195r6,-5l4903,186r9,-3l4920,182r,xm5090,91r,192l5114,283r,-214l5067,69r-13,22l5090,91xm5333,337r24,l5357,69r-24,l5333,337xm5587,91r,192l5611,283r,-214l5565,69r-13,22l5587,91xm5770,66r-7,l5755,68r-7,2l5741,74r-7,5l5728,84r-6,6l5717,97r-5,8l5707,114r-4,8l5701,132r-3,10l5696,152r-2,11l5694,175r,11l5696,197r1,10l5699,217r3,10l5706,236r3,8l5714,252r5,7l5726,267r7,5l5739,277r8,4l5755,284r8,2l5770,287r8,-1l5787,284r7,-3l5802,277r6,-4l5814,267r6,-6l5827,253r4,-7l5835,237r4,-9l5841,218r3,-10l5845,197r1,-10l5848,176r-2,-13l5845,152r-1,-10l5841,132r-3,-10l5834,114r-4,-9l5825,97r-5,-7l5814,84r-6,-5l5802,74r-8,-4l5787,68r-8,-2l5770,66r,xm5770,87r7,l5782,89r5,2l5792,94r5,3l5800,102r5,5l5809,112r6,14l5820,141r3,16l5824,176r-1,17l5820,211r-5,15l5808,238r-4,6l5800,249r-3,4l5792,257r-5,4l5782,262r-5,1l5770,264r-5,l5759,262r-5,-1l5749,258r-5,-4l5741,249r-4,-5l5733,239r-6,-13l5722,211r-4,-18l5718,176r,-19l5722,141r5,-15l5733,112r4,-5l5741,102r5,-5l5749,94r5,-3l5759,89r6,-2l5770,87xm5949,66r-9,l5932,68r-7,2l5917,74r-6,5l5905,84r-6,6l5894,97r-5,8l5885,114r-5,8l5878,132r-3,10l5873,152r-2,11l5871,175r,11l5873,197r1,10l5876,217r3,10l5883,236r5,8l5891,252r7,7l5904,267r6,5l5917,277r8,4l5932,284r8,2l5949,287r7,-1l5964,284r7,-3l5978,277r7,-4l5992,267r6,-6l6003,253r5,-7l6012,237r4,-9l6020,218r1,-10l6023,197r2,-10l6025,176r,-13l6023,152r-2,-10l6018,132r-2,-10l6012,114r-5,-9l6002,97r-5,-7l5991,84r-6,-5l5978,74r-7,-4l5964,68r-8,-2l5949,66r,xm5947,87r7,l5959,89r5,2l5969,94r5,3l5978,102r4,5l5986,112r6,14l5997,141r3,16l6001,176r-1,17l5997,211r-5,15l5986,238r-4,6l5977,249r-3,4l5969,257r-5,4l5959,262r-5,1l5949,264r-7,l5937,262r-5,-1l5927,258r-5,-4l5917,249r-3,-5l5910,239r-6,-13l5899,211r-3,-18l5895,176r1,-19l5899,141r5,-15l5910,112r4,-5l5917,102r5,-5l5927,94r5,-3l5937,89r5,-2l5947,87xm6174,171r-7,5l6160,181r-6,5l6150,192r-3,8l6144,207r-1,8l6142,223r1,8l6143,237r2,6l6147,248r6,11l6160,268r10,8l6182,282r12,4l6208,287r12,-1l6233,282r11,-6l6254,268r7,-9l6266,248r3,-6l6270,236r1,-7l6271,223r,-8l6270,207r-4,-7l6264,192r-5,-6l6254,181r-6,-5l6240,171r6,-4l6251,163r5,-6l6260,152r4,-7l6265,139r3,-8l6268,125r-2,-13l6263,101r-5,-10l6250,82r-9,-7l6231,70r-11,-4l6208,66r-13,l6184,70r-10,5l6165,82r-7,9l6152,101r-3,11l6148,125r,7l6149,139r3,7l6154,152r4,5l6163,162r5,5l6174,171xm6208,87r7,2l6221,90r7,4l6234,99r5,5l6241,110r3,7l6245,125r-1,7l6241,140r-2,6l6234,151r-6,5l6221,158r-6,3l6208,162r-8,-1l6193,158r-6,-2l6182,151r-5,-6l6173,139r-1,-7l6170,124r2,-7l6173,110r4,-6l6182,99r5,-5l6193,90r7,-1l6208,87xm6206,182r9,1l6223,186r7,4l6236,195r5,5l6245,207r3,8l6249,223r-1,9l6245,239r-4,7l6236,252r-6,5l6223,261r-8,2l6206,264r-7,-1l6190,261r-6,-4l6178,252r-5,-6l6169,239r-2,-8l6165,222r2,-7l6169,207r4,-7l6178,195r6,-5l6190,186r9,-3l6206,182r,xm6356,261r44,-50l6413,196r10,-13l6431,172r6,-10l6442,153r2,-7l6446,137r,-8l6446,122r-2,-6l6443,110r-2,-6l6434,94r-7,-10l6417,76r-11,-5l6400,69r-7,-1l6387,66r-7,l6371,66r-8,2l6355,70r-8,4l6341,77r-6,5l6329,89r-5,6l6320,102r-3,8l6315,120r-1,11l6337,131r2,-7l6340,116r1,-5l6345,106r2,-4l6351,99r4,-4l6360,92r3,-2l6370,89r5,-2l6380,87r8,2l6397,91r8,4l6411,100r5,5l6420,112r2,8l6423,129r-1,6l6421,141r-3,6l6415,155r-12,16l6386,192r-77,91l6446,283r,-22l6356,261xm6681,190r21,l6717,188r14,-3l6736,182r6,-2l6747,177r5,-4l6756,168r4,-3l6762,160r3,-5l6767,148r1,-6l6770,136r,-7l6770,122r-2,-6l6767,110r-2,-6l6762,99r-4,-7l6755,89r-5,-5l6745,80r-5,-3l6735,75r-6,-2l6714,70r-18,-1l6657,69r,214l6681,283r,-93xm6681,167r,-76l6699,91r12,l6720,94r9,2l6735,101r5,5l6743,112r3,9l6746,129r,8l6743,145r-3,7l6735,157r-8,5l6720,165r-9,2l6700,167r-19,xm6795,150r,133l6817,283r,-71l6817,202r1,-9l6819,186r3,-5l6826,176r5,-4l6837,170r6,-2l6849,170r8,2l6868,152r-6,-2l6857,147r-5,l6847,146r-8,1l6832,150r-6,6l6817,165r,-15l6795,150xm6983,150r,18l6978,163r-5,-5l6968,155r-7,-3l6955,150r-6,-3l6943,147r-6,-1l6929,147r-6,l6917,150r-7,2l6905,155r-5,3l6895,162r-5,4l6887,171r-4,5l6881,182r-3,6l6874,201r-1,15l6873,223r1,8l6876,237r2,7l6881,251r2,5l6887,262r3,5l6895,271r5,5l6905,278r7,4l6917,283r6,3l6930,287r7,l6944,287r6,-1l6957,283r4,-2l6968,278r5,-4l6978,269r5,-5l6983,283r22,l7005,150r-22,xm6940,167r9,1l6958,171r7,4l6971,181r5,7l6981,196r3,10l6984,216r,11l6981,236r-5,8l6971,252r-6,6l6958,262r-9,2l6939,266r-9,-2l6922,262r-8,-4l6908,252r-5,-8l6899,236r-2,-10l6895,216r2,-10l6899,196r4,-8l6909,181r6,-5l6923,171r7,-3l6940,167xm7046,49r,234l7069,283r,-67l7069,206r1,-9l7071,190r3,-7l7079,177r6,-5l7094,168r8,-1l7110,168r5,2l7120,172r3,4l7126,181r2,5l7130,193r,9l7130,283r23,l7153,201r-1,-13l7151,180r-3,-8l7145,165r-3,-4l7138,157r-5,-2l7130,152r-5,-2l7118,148r-5,-1l7107,147r-11,l7086,151r-9,6l7069,166r,-117l7046,49xm7295,150r,18l7290,163r-6,-5l7279,155r-5,-3l7268,150r-6,-3l7256,147r-8,-1l7242,147r-6,l7229,150r-6,2l7217,155r-5,3l7207,162r-4,4l7199,171r-3,5l7192,182r-3,6l7186,201r-1,15l7186,223r,8l7187,237r2,7l7192,251r4,5l7199,262r4,5l7207,271r5,5l7218,278r5,4l7229,283r7,3l7242,287r7,l7256,287r6,-1l7268,283r6,-2l7279,278r6,-4l7290,269r5,-5l7295,283r23,l7318,150r-23,xm7252,167r10,1l7270,171r8,4l7284,181r5,7l7293,196r2,10l7297,216r-2,11l7293,236r-4,8l7284,252r-6,6l7270,262r-8,2l7252,266r-9,-2l7234,262r-7,-4l7221,252r-5,-8l7212,236r-3,-10l7208,216r1,-10l7212,196r4,-8l7221,181r6,-5l7234,171r9,-3l7252,167r,xm7501,91r,192l7525,283r,-214l7477,69r-12,22l7501,91xm7684,66r-7,l7668,68r-8,2l7654,74r-7,5l7640,84r-4,6l7629,97r-5,8l7621,114r-4,8l7613,132r-2,10l7609,152r-1,11l7607,175r1,11l7608,197r3,10l7612,217r4,10l7619,236r4,8l7628,252r5,7l7639,267r6,5l7653,277r7,4l7668,284r9,2l7684,287r8,-1l7699,284r8,-3l7714,277r7,-4l7728,267r6,-6l7739,253r5,-7l7748,237r3,-9l7755,218r3,-10l7759,197r1,-10l7760,176r,-13l7759,152r-3,-10l7754,132r-3,-10l7748,114r-5,-9l7739,97r-6,-7l7728,84r-7,-5l7714,74r-6,-4l7700,68r-8,-2l7684,66r,xm7684,87r5,l7694,89r6,2l7705,94r4,3l7714,102r4,5l7721,112r7,14l7733,141r3,16l7736,176r,17l7733,211r-5,15l7721,238r-3,6l7714,249r-5,4l7705,257r-5,4l7695,262r-6,1l7684,264r-6,l7673,262r-5,-1l7663,258r-5,-4l7653,249r-4,-5l7645,239r-6,-13l7634,211r-2,-18l7631,176r1,-19l7634,141r5,-15l7645,112r4,-5l7654,102r4,-5l7663,94r5,-3l7673,89r5,-2l7684,87xe" fillcolor="#0071bc" stroked="f">
            <v:path arrowok="t"/>
            <o:lock v:ext="edit" verticies="t"/>
          </v:shape>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5F5679"/>
    <w:multiLevelType w:val="hybridMultilevel"/>
    <w:tmpl w:val="9A540D22"/>
    <w:lvl w:ilvl="0" w:tplc="6AD6FD00">
      <w:start w:val="16"/>
      <w:numFmt w:val="bullet"/>
      <w:lvlText w:val=""/>
      <w:lvlJc w:val="left"/>
      <w:pPr>
        <w:ind w:left="720" w:hanging="360"/>
      </w:pPr>
      <w:rPr>
        <w:rFonts w:ascii="Symbol" w:eastAsia="Calibri" w:hAnsi="Symbol" w:cs="Arial" w:hint="default"/>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3E050EBA"/>
    <w:multiLevelType w:val="hybridMultilevel"/>
    <w:tmpl w:val="3A16D880"/>
    <w:lvl w:ilvl="0" w:tplc="91B2DE56">
      <w:start w:val="16"/>
      <w:numFmt w:val="bullet"/>
      <w:lvlText w:val=""/>
      <w:lvlJc w:val="left"/>
      <w:pPr>
        <w:ind w:left="720" w:hanging="360"/>
      </w:pPr>
      <w:rPr>
        <w:rFonts w:ascii="Symbol" w:eastAsia="Calibri" w:hAnsi="Symbol" w:cs="Arial" w:hint="default"/>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hyphenationZone w:val="425"/>
  <w:characterSpacingControl w:val="doNotCompress"/>
  <w:hdrShapeDefaults>
    <o:shapedefaults v:ext="edit" spidmax="91138">
      <o:colormru v:ext="edit" colors="#0071bc"/>
    </o:shapedefaults>
    <o:shapelayout v:ext="edit">
      <o:idmap v:ext="edit" data="2"/>
    </o:shapelayout>
  </w:hdrShapeDefaults>
  <w:footnotePr>
    <w:footnote w:id="-1"/>
    <w:footnote w:id="0"/>
  </w:footnotePr>
  <w:endnotePr>
    <w:endnote w:id="-1"/>
    <w:endnote w:id="0"/>
  </w:endnotePr>
  <w:compat/>
  <w:rsids>
    <w:rsidRoot w:val="00971A12"/>
    <w:rsid w:val="0000187B"/>
    <w:rsid w:val="000039F4"/>
    <w:rsid w:val="0000554F"/>
    <w:rsid w:val="00007FD5"/>
    <w:rsid w:val="000101F9"/>
    <w:rsid w:val="00013E5C"/>
    <w:rsid w:val="00015141"/>
    <w:rsid w:val="00016529"/>
    <w:rsid w:val="000229D8"/>
    <w:rsid w:val="00023676"/>
    <w:rsid w:val="00025005"/>
    <w:rsid w:val="00025337"/>
    <w:rsid w:val="00026721"/>
    <w:rsid w:val="000271B2"/>
    <w:rsid w:val="0002797B"/>
    <w:rsid w:val="000337CB"/>
    <w:rsid w:val="000354C7"/>
    <w:rsid w:val="00035FB8"/>
    <w:rsid w:val="000366F1"/>
    <w:rsid w:val="000369F8"/>
    <w:rsid w:val="000372C8"/>
    <w:rsid w:val="00042D16"/>
    <w:rsid w:val="00043BF4"/>
    <w:rsid w:val="0004459C"/>
    <w:rsid w:val="00046490"/>
    <w:rsid w:val="0004662E"/>
    <w:rsid w:val="00054543"/>
    <w:rsid w:val="00054BCF"/>
    <w:rsid w:val="000560D6"/>
    <w:rsid w:val="000634C3"/>
    <w:rsid w:val="000637C9"/>
    <w:rsid w:val="00064D18"/>
    <w:rsid w:val="000661D0"/>
    <w:rsid w:val="00066F00"/>
    <w:rsid w:val="00067A50"/>
    <w:rsid w:val="0007276A"/>
    <w:rsid w:val="00073DD5"/>
    <w:rsid w:val="00075225"/>
    <w:rsid w:val="00076DC2"/>
    <w:rsid w:val="000805D2"/>
    <w:rsid w:val="000831CD"/>
    <w:rsid w:val="000835DB"/>
    <w:rsid w:val="000843A5"/>
    <w:rsid w:val="00087073"/>
    <w:rsid w:val="00090B9B"/>
    <w:rsid w:val="00091DF6"/>
    <w:rsid w:val="0009293A"/>
    <w:rsid w:val="00095ABE"/>
    <w:rsid w:val="00096B9D"/>
    <w:rsid w:val="00096F35"/>
    <w:rsid w:val="000A3686"/>
    <w:rsid w:val="000A39EA"/>
    <w:rsid w:val="000A45BC"/>
    <w:rsid w:val="000A54A8"/>
    <w:rsid w:val="000A5C3A"/>
    <w:rsid w:val="000B08D5"/>
    <w:rsid w:val="000B297B"/>
    <w:rsid w:val="000B2A58"/>
    <w:rsid w:val="000B5777"/>
    <w:rsid w:val="000B6F63"/>
    <w:rsid w:val="000C181E"/>
    <w:rsid w:val="000C2F6A"/>
    <w:rsid w:val="000C332B"/>
    <w:rsid w:val="000C40C8"/>
    <w:rsid w:val="000C4D64"/>
    <w:rsid w:val="000C557C"/>
    <w:rsid w:val="000C56B1"/>
    <w:rsid w:val="000C62DA"/>
    <w:rsid w:val="000C6C6D"/>
    <w:rsid w:val="000D7663"/>
    <w:rsid w:val="000D76C3"/>
    <w:rsid w:val="000D7919"/>
    <w:rsid w:val="000E0C86"/>
    <w:rsid w:val="000E0E0C"/>
    <w:rsid w:val="000E1691"/>
    <w:rsid w:val="000E3DA8"/>
    <w:rsid w:val="000F1EBA"/>
    <w:rsid w:val="000F429F"/>
    <w:rsid w:val="000F5B28"/>
    <w:rsid w:val="00104ADF"/>
    <w:rsid w:val="0010532B"/>
    <w:rsid w:val="001056D6"/>
    <w:rsid w:val="00105FC3"/>
    <w:rsid w:val="0010778C"/>
    <w:rsid w:val="00107BF8"/>
    <w:rsid w:val="001151A1"/>
    <w:rsid w:val="00116DCC"/>
    <w:rsid w:val="00120289"/>
    <w:rsid w:val="00126C09"/>
    <w:rsid w:val="00127216"/>
    <w:rsid w:val="00130413"/>
    <w:rsid w:val="00133183"/>
    <w:rsid w:val="0013478D"/>
    <w:rsid w:val="001404AB"/>
    <w:rsid w:val="001406E5"/>
    <w:rsid w:val="001417D4"/>
    <w:rsid w:val="00141C12"/>
    <w:rsid w:val="00142071"/>
    <w:rsid w:val="001527F7"/>
    <w:rsid w:val="0015335D"/>
    <w:rsid w:val="00157D22"/>
    <w:rsid w:val="001658A9"/>
    <w:rsid w:val="00166971"/>
    <w:rsid w:val="0017005A"/>
    <w:rsid w:val="0017231D"/>
    <w:rsid w:val="00174DB9"/>
    <w:rsid w:val="00175602"/>
    <w:rsid w:val="00175ABA"/>
    <w:rsid w:val="0017613A"/>
    <w:rsid w:val="001762BC"/>
    <w:rsid w:val="001762F0"/>
    <w:rsid w:val="001810DC"/>
    <w:rsid w:val="001821CB"/>
    <w:rsid w:val="00191DC9"/>
    <w:rsid w:val="001925F7"/>
    <w:rsid w:val="001973D8"/>
    <w:rsid w:val="001A1CC6"/>
    <w:rsid w:val="001A243C"/>
    <w:rsid w:val="001A4495"/>
    <w:rsid w:val="001A59BF"/>
    <w:rsid w:val="001B46F1"/>
    <w:rsid w:val="001B5192"/>
    <w:rsid w:val="001B565F"/>
    <w:rsid w:val="001B607F"/>
    <w:rsid w:val="001B670B"/>
    <w:rsid w:val="001B7F8B"/>
    <w:rsid w:val="001C0149"/>
    <w:rsid w:val="001C15CB"/>
    <w:rsid w:val="001C79E7"/>
    <w:rsid w:val="001D021C"/>
    <w:rsid w:val="001D0A43"/>
    <w:rsid w:val="001D1E3C"/>
    <w:rsid w:val="001D369A"/>
    <w:rsid w:val="001D50EF"/>
    <w:rsid w:val="001D715F"/>
    <w:rsid w:val="001E1A07"/>
    <w:rsid w:val="001E20CD"/>
    <w:rsid w:val="001E6219"/>
    <w:rsid w:val="001E62CA"/>
    <w:rsid w:val="001E739D"/>
    <w:rsid w:val="001F1AD1"/>
    <w:rsid w:val="001F4005"/>
    <w:rsid w:val="001F42FB"/>
    <w:rsid w:val="001F6C45"/>
    <w:rsid w:val="002008CB"/>
    <w:rsid w:val="002012B8"/>
    <w:rsid w:val="00204090"/>
    <w:rsid w:val="0020460D"/>
    <w:rsid w:val="002051B9"/>
    <w:rsid w:val="002070FB"/>
    <w:rsid w:val="002072EA"/>
    <w:rsid w:val="00207400"/>
    <w:rsid w:val="0021164E"/>
    <w:rsid w:val="0021176E"/>
    <w:rsid w:val="00213729"/>
    <w:rsid w:val="00213B68"/>
    <w:rsid w:val="0022181C"/>
    <w:rsid w:val="00227DC1"/>
    <w:rsid w:val="002302AD"/>
    <w:rsid w:val="002303AD"/>
    <w:rsid w:val="002308FB"/>
    <w:rsid w:val="00230FF1"/>
    <w:rsid w:val="00233DE2"/>
    <w:rsid w:val="0023698B"/>
    <w:rsid w:val="002404EF"/>
    <w:rsid w:val="002406FA"/>
    <w:rsid w:val="002428E4"/>
    <w:rsid w:val="00244AF7"/>
    <w:rsid w:val="0024557D"/>
    <w:rsid w:val="002460B9"/>
    <w:rsid w:val="00247ADF"/>
    <w:rsid w:val="00251B2F"/>
    <w:rsid w:val="002564A8"/>
    <w:rsid w:val="002601B3"/>
    <w:rsid w:val="002608F6"/>
    <w:rsid w:val="00261A4E"/>
    <w:rsid w:val="00262715"/>
    <w:rsid w:val="0026667C"/>
    <w:rsid w:val="00267703"/>
    <w:rsid w:val="00272AA7"/>
    <w:rsid w:val="002831E0"/>
    <w:rsid w:val="00285ADB"/>
    <w:rsid w:val="00287673"/>
    <w:rsid w:val="00290ECB"/>
    <w:rsid w:val="00292A78"/>
    <w:rsid w:val="00293F6F"/>
    <w:rsid w:val="002953CC"/>
    <w:rsid w:val="00295AE8"/>
    <w:rsid w:val="00295C74"/>
    <w:rsid w:val="002A0608"/>
    <w:rsid w:val="002A2906"/>
    <w:rsid w:val="002A437D"/>
    <w:rsid w:val="002A4BE3"/>
    <w:rsid w:val="002A4E5B"/>
    <w:rsid w:val="002B0F0D"/>
    <w:rsid w:val="002B2E47"/>
    <w:rsid w:val="002B3A06"/>
    <w:rsid w:val="002B5AA9"/>
    <w:rsid w:val="002B5D14"/>
    <w:rsid w:val="002B60D4"/>
    <w:rsid w:val="002C0B18"/>
    <w:rsid w:val="002C0EF6"/>
    <w:rsid w:val="002C2B51"/>
    <w:rsid w:val="002C446D"/>
    <w:rsid w:val="002D21E0"/>
    <w:rsid w:val="002D3D17"/>
    <w:rsid w:val="002D471F"/>
    <w:rsid w:val="002D5026"/>
    <w:rsid w:val="002D5B2B"/>
    <w:rsid w:val="002D6654"/>
    <w:rsid w:val="002D6A6C"/>
    <w:rsid w:val="002E3509"/>
    <w:rsid w:val="002F1C7E"/>
    <w:rsid w:val="002F2948"/>
    <w:rsid w:val="002F2A08"/>
    <w:rsid w:val="002F59B4"/>
    <w:rsid w:val="002F7493"/>
    <w:rsid w:val="0030024B"/>
    <w:rsid w:val="00301678"/>
    <w:rsid w:val="00304905"/>
    <w:rsid w:val="00304F2C"/>
    <w:rsid w:val="00306CB5"/>
    <w:rsid w:val="00307923"/>
    <w:rsid w:val="00316BE9"/>
    <w:rsid w:val="00323983"/>
    <w:rsid w:val="00323BD4"/>
    <w:rsid w:val="003271AF"/>
    <w:rsid w:val="003301A3"/>
    <w:rsid w:val="00333502"/>
    <w:rsid w:val="00334874"/>
    <w:rsid w:val="003355EA"/>
    <w:rsid w:val="003424EA"/>
    <w:rsid w:val="00343173"/>
    <w:rsid w:val="00343A06"/>
    <w:rsid w:val="00345AB5"/>
    <w:rsid w:val="003464C9"/>
    <w:rsid w:val="00350174"/>
    <w:rsid w:val="00350BB9"/>
    <w:rsid w:val="003519EA"/>
    <w:rsid w:val="00352AF7"/>
    <w:rsid w:val="003530C7"/>
    <w:rsid w:val="003577A3"/>
    <w:rsid w:val="003615BA"/>
    <w:rsid w:val="0036615A"/>
    <w:rsid w:val="0036777B"/>
    <w:rsid w:val="00371A5B"/>
    <w:rsid w:val="00371D62"/>
    <w:rsid w:val="00371E14"/>
    <w:rsid w:val="00372BB0"/>
    <w:rsid w:val="00374B11"/>
    <w:rsid w:val="0037518C"/>
    <w:rsid w:val="0038282A"/>
    <w:rsid w:val="00384DC5"/>
    <w:rsid w:val="00395CAA"/>
    <w:rsid w:val="00397580"/>
    <w:rsid w:val="003A0BC2"/>
    <w:rsid w:val="003A1794"/>
    <w:rsid w:val="003A3A3C"/>
    <w:rsid w:val="003A45C8"/>
    <w:rsid w:val="003A5DB0"/>
    <w:rsid w:val="003A632F"/>
    <w:rsid w:val="003A6C33"/>
    <w:rsid w:val="003B3590"/>
    <w:rsid w:val="003B7053"/>
    <w:rsid w:val="003C066F"/>
    <w:rsid w:val="003C0FAD"/>
    <w:rsid w:val="003C2DCF"/>
    <w:rsid w:val="003C6493"/>
    <w:rsid w:val="003C6B84"/>
    <w:rsid w:val="003C7755"/>
    <w:rsid w:val="003C7FE7"/>
    <w:rsid w:val="003D0499"/>
    <w:rsid w:val="003D0CBB"/>
    <w:rsid w:val="003D1A04"/>
    <w:rsid w:val="003D1E9F"/>
    <w:rsid w:val="003D205C"/>
    <w:rsid w:val="003D2E11"/>
    <w:rsid w:val="003D3F88"/>
    <w:rsid w:val="003D5468"/>
    <w:rsid w:val="003D67FE"/>
    <w:rsid w:val="003E1450"/>
    <w:rsid w:val="003E3AC7"/>
    <w:rsid w:val="003E41F6"/>
    <w:rsid w:val="003E73C5"/>
    <w:rsid w:val="003F1449"/>
    <w:rsid w:val="003F2621"/>
    <w:rsid w:val="003F4E2F"/>
    <w:rsid w:val="003F526A"/>
    <w:rsid w:val="00400965"/>
    <w:rsid w:val="00402AC8"/>
    <w:rsid w:val="0040330B"/>
    <w:rsid w:val="00405244"/>
    <w:rsid w:val="004073BE"/>
    <w:rsid w:val="00411170"/>
    <w:rsid w:val="004112A2"/>
    <w:rsid w:val="00412520"/>
    <w:rsid w:val="004148AF"/>
    <w:rsid w:val="00415766"/>
    <w:rsid w:val="00415D3B"/>
    <w:rsid w:val="004235C6"/>
    <w:rsid w:val="0042571B"/>
    <w:rsid w:val="00425EC8"/>
    <w:rsid w:val="00426C2B"/>
    <w:rsid w:val="00431780"/>
    <w:rsid w:val="00432808"/>
    <w:rsid w:val="00434CF6"/>
    <w:rsid w:val="004357AA"/>
    <w:rsid w:val="0044352A"/>
    <w:rsid w:val="004436EE"/>
    <w:rsid w:val="00444B04"/>
    <w:rsid w:val="00444D27"/>
    <w:rsid w:val="0044603A"/>
    <w:rsid w:val="004510F6"/>
    <w:rsid w:val="00451B18"/>
    <w:rsid w:val="00452326"/>
    <w:rsid w:val="00453C09"/>
    <w:rsid w:val="0045547F"/>
    <w:rsid w:val="0045702A"/>
    <w:rsid w:val="004614C5"/>
    <w:rsid w:val="004618B8"/>
    <w:rsid w:val="00461AA0"/>
    <w:rsid w:val="00462A30"/>
    <w:rsid w:val="004639E7"/>
    <w:rsid w:val="00463A27"/>
    <w:rsid w:val="0046500B"/>
    <w:rsid w:val="0046651C"/>
    <w:rsid w:val="00466EB2"/>
    <w:rsid w:val="00470150"/>
    <w:rsid w:val="00471DA1"/>
    <w:rsid w:val="0047425C"/>
    <w:rsid w:val="00483995"/>
    <w:rsid w:val="00483F77"/>
    <w:rsid w:val="004841FE"/>
    <w:rsid w:val="004848A6"/>
    <w:rsid w:val="00485F72"/>
    <w:rsid w:val="004901EB"/>
    <w:rsid w:val="00490D67"/>
    <w:rsid w:val="0049109A"/>
    <w:rsid w:val="004920AD"/>
    <w:rsid w:val="00493CE5"/>
    <w:rsid w:val="00496585"/>
    <w:rsid w:val="00497B49"/>
    <w:rsid w:val="004A0035"/>
    <w:rsid w:val="004A2478"/>
    <w:rsid w:val="004A2CE7"/>
    <w:rsid w:val="004A3D31"/>
    <w:rsid w:val="004A470E"/>
    <w:rsid w:val="004A56BB"/>
    <w:rsid w:val="004B13F6"/>
    <w:rsid w:val="004B148C"/>
    <w:rsid w:val="004B1B7A"/>
    <w:rsid w:val="004B5573"/>
    <w:rsid w:val="004B77DB"/>
    <w:rsid w:val="004C1515"/>
    <w:rsid w:val="004C2936"/>
    <w:rsid w:val="004C47A6"/>
    <w:rsid w:val="004D05B3"/>
    <w:rsid w:val="004D0E67"/>
    <w:rsid w:val="004D5C28"/>
    <w:rsid w:val="004D795B"/>
    <w:rsid w:val="004D7D62"/>
    <w:rsid w:val="004D7F29"/>
    <w:rsid w:val="004E1ECA"/>
    <w:rsid w:val="004E479E"/>
    <w:rsid w:val="004E4F50"/>
    <w:rsid w:val="004E67D0"/>
    <w:rsid w:val="004F1571"/>
    <w:rsid w:val="004F3CA2"/>
    <w:rsid w:val="004F74BE"/>
    <w:rsid w:val="004F78E6"/>
    <w:rsid w:val="00501534"/>
    <w:rsid w:val="00501F7F"/>
    <w:rsid w:val="00504D59"/>
    <w:rsid w:val="00504EE7"/>
    <w:rsid w:val="00506608"/>
    <w:rsid w:val="00506F39"/>
    <w:rsid w:val="00507129"/>
    <w:rsid w:val="00512D99"/>
    <w:rsid w:val="00515EDE"/>
    <w:rsid w:val="00517212"/>
    <w:rsid w:val="005205FF"/>
    <w:rsid w:val="00531698"/>
    <w:rsid w:val="00531BEE"/>
    <w:rsid w:val="00531C5C"/>
    <w:rsid w:val="00531DBB"/>
    <w:rsid w:val="005320B3"/>
    <w:rsid w:val="00533957"/>
    <w:rsid w:val="00536283"/>
    <w:rsid w:val="00540016"/>
    <w:rsid w:val="005417C8"/>
    <w:rsid w:val="00541FDB"/>
    <w:rsid w:val="005453FF"/>
    <w:rsid w:val="00545D85"/>
    <w:rsid w:val="00553DAA"/>
    <w:rsid w:val="00554D45"/>
    <w:rsid w:val="00555FBC"/>
    <w:rsid w:val="0056021C"/>
    <w:rsid w:val="005620C2"/>
    <w:rsid w:val="005646B3"/>
    <w:rsid w:val="0056482D"/>
    <w:rsid w:val="00570BB9"/>
    <w:rsid w:val="00571C1B"/>
    <w:rsid w:val="00572DD7"/>
    <w:rsid w:val="00574A38"/>
    <w:rsid w:val="00575E32"/>
    <w:rsid w:val="005777EA"/>
    <w:rsid w:val="00580665"/>
    <w:rsid w:val="00581722"/>
    <w:rsid w:val="00581B2F"/>
    <w:rsid w:val="00581C60"/>
    <w:rsid w:val="00581CE8"/>
    <w:rsid w:val="005839CB"/>
    <w:rsid w:val="00583F13"/>
    <w:rsid w:val="00584E0B"/>
    <w:rsid w:val="00587A62"/>
    <w:rsid w:val="00590148"/>
    <w:rsid w:val="00594CF6"/>
    <w:rsid w:val="005A38A9"/>
    <w:rsid w:val="005B08F9"/>
    <w:rsid w:val="005B1074"/>
    <w:rsid w:val="005B16C2"/>
    <w:rsid w:val="005B6F7F"/>
    <w:rsid w:val="005B76B3"/>
    <w:rsid w:val="005C4E32"/>
    <w:rsid w:val="005C6B5C"/>
    <w:rsid w:val="005C6BAB"/>
    <w:rsid w:val="005C6FBB"/>
    <w:rsid w:val="005D12A7"/>
    <w:rsid w:val="005D1902"/>
    <w:rsid w:val="005D27C9"/>
    <w:rsid w:val="005D3638"/>
    <w:rsid w:val="005E0D5C"/>
    <w:rsid w:val="005E1C9A"/>
    <w:rsid w:val="005E5F32"/>
    <w:rsid w:val="005E68AE"/>
    <w:rsid w:val="005E779E"/>
    <w:rsid w:val="005F13F2"/>
    <w:rsid w:val="005F4AE6"/>
    <w:rsid w:val="005F66B6"/>
    <w:rsid w:val="005F699D"/>
    <w:rsid w:val="005F79FB"/>
    <w:rsid w:val="006011E5"/>
    <w:rsid w:val="00603172"/>
    <w:rsid w:val="006039D2"/>
    <w:rsid w:val="00603C18"/>
    <w:rsid w:val="00604406"/>
    <w:rsid w:val="00605F4A"/>
    <w:rsid w:val="00606331"/>
    <w:rsid w:val="00607822"/>
    <w:rsid w:val="006103AA"/>
    <w:rsid w:val="00613BBF"/>
    <w:rsid w:val="00614AD4"/>
    <w:rsid w:val="00615352"/>
    <w:rsid w:val="00617918"/>
    <w:rsid w:val="00620F51"/>
    <w:rsid w:val="00622B80"/>
    <w:rsid w:val="00622FCF"/>
    <w:rsid w:val="00630CCD"/>
    <w:rsid w:val="00631539"/>
    <w:rsid w:val="006318AC"/>
    <w:rsid w:val="006324D6"/>
    <w:rsid w:val="006336E1"/>
    <w:rsid w:val="00636DBF"/>
    <w:rsid w:val="00641347"/>
    <w:rsid w:val="0064139A"/>
    <w:rsid w:val="00642880"/>
    <w:rsid w:val="00644F50"/>
    <w:rsid w:val="006453D5"/>
    <w:rsid w:val="00650F96"/>
    <w:rsid w:val="0065105D"/>
    <w:rsid w:val="00653249"/>
    <w:rsid w:val="00655849"/>
    <w:rsid w:val="00656187"/>
    <w:rsid w:val="00657BAC"/>
    <w:rsid w:val="00660F4B"/>
    <w:rsid w:val="00661AD2"/>
    <w:rsid w:val="00662DA9"/>
    <w:rsid w:val="00674340"/>
    <w:rsid w:val="00674D8E"/>
    <w:rsid w:val="00680DD5"/>
    <w:rsid w:val="006843CA"/>
    <w:rsid w:val="006864F1"/>
    <w:rsid w:val="006879C9"/>
    <w:rsid w:val="00690385"/>
    <w:rsid w:val="00693327"/>
    <w:rsid w:val="00696E76"/>
    <w:rsid w:val="00697674"/>
    <w:rsid w:val="006977DB"/>
    <w:rsid w:val="00697CF7"/>
    <w:rsid w:val="006A0A8E"/>
    <w:rsid w:val="006A1929"/>
    <w:rsid w:val="006A2E09"/>
    <w:rsid w:val="006A344A"/>
    <w:rsid w:val="006B1DAD"/>
    <w:rsid w:val="006B327A"/>
    <w:rsid w:val="006B56D0"/>
    <w:rsid w:val="006C09DD"/>
    <w:rsid w:val="006C1EE5"/>
    <w:rsid w:val="006C28A2"/>
    <w:rsid w:val="006D0707"/>
    <w:rsid w:val="006D11D8"/>
    <w:rsid w:val="006D1F11"/>
    <w:rsid w:val="006D442A"/>
    <w:rsid w:val="006D4B03"/>
    <w:rsid w:val="006E024F"/>
    <w:rsid w:val="006E3B8F"/>
    <w:rsid w:val="006E4E81"/>
    <w:rsid w:val="006F173E"/>
    <w:rsid w:val="006F51E6"/>
    <w:rsid w:val="006F57A1"/>
    <w:rsid w:val="006F68D2"/>
    <w:rsid w:val="006F7985"/>
    <w:rsid w:val="0070008D"/>
    <w:rsid w:val="007009F7"/>
    <w:rsid w:val="0070159C"/>
    <w:rsid w:val="00702A4F"/>
    <w:rsid w:val="00705A79"/>
    <w:rsid w:val="00706DCC"/>
    <w:rsid w:val="00707F7D"/>
    <w:rsid w:val="00712952"/>
    <w:rsid w:val="00717EC5"/>
    <w:rsid w:val="00721BD3"/>
    <w:rsid w:val="0072591E"/>
    <w:rsid w:val="007323FF"/>
    <w:rsid w:val="00732B61"/>
    <w:rsid w:val="00733670"/>
    <w:rsid w:val="00737575"/>
    <w:rsid w:val="00737B80"/>
    <w:rsid w:val="007421F5"/>
    <w:rsid w:val="00742B32"/>
    <w:rsid w:val="00745FD9"/>
    <w:rsid w:val="007501DB"/>
    <w:rsid w:val="007506AD"/>
    <w:rsid w:val="00751631"/>
    <w:rsid w:val="00753CF6"/>
    <w:rsid w:val="00757923"/>
    <w:rsid w:val="00763C54"/>
    <w:rsid w:val="00764E1F"/>
    <w:rsid w:val="0076577C"/>
    <w:rsid w:val="00765DD9"/>
    <w:rsid w:val="007670BD"/>
    <w:rsid w:val="007671CA"/>
    <w:rsid w:val="00767A1C"/>
    <w:rsid w:val="007702B4"/>
    <w:rsid w:val="007742C5"/>
    <w:rsid w:val="00775EBF"/>
    <w:rsid w:val="00776BE8"/>
    <w:rsid w:val="00777370"/>
    <w:rsid w:val="00777EF3"/>
    <w:rsid w:val="007804C5"/>
    <w:rsid w:val="00781EEF"/>
    <w:rsid w:val="00782B55"/>
    <w:rsid w:val="00786E6B"/>
    <w:rsid w:val="00793A1F"/>
    <w:rsid w:val="00793A2C"/>
    <w:rsid w:val="00793DE7"/>
    <w:rsid w:val="00794E21"/>
    <w:rsid w:val="00794FAB"/>
    <w:rsid w:val="007A1EA7"/>
    <w:rsid w:val="007A2D3B"/>
    <w:rsid w:val="007A3E35"/>
    <w:rsid w:val="007A4267"/>
    <w:rsid w:val="007A4FBE"/>
    <w:rsid w:val="007A57F2"/>
    <w:rsid w:val="007B1333"/>
    <w:rsid w:val="007B14DB"/>
    <w:rsid w:val="007B3D33"/>
    <w:rsid w:val="007C01B5"/>
    <w:rsid w:val="007C43D9"/>
    <w:rsid w:val="007D3197"/>
    <w:rsid w:val="007D74B1"/>
    <w:rsid w:val="007E1457"/>
    <w:rsid w:val="007E1680"/>
    <w:rsid w:val="007E192A"/>
    <w:rsid w:val="007E23A3"/>
    <w:rsid w:val="007E6A13"/>
    <w:rsid w:val="007F1B5F"/>
    <w:rsid w:val="007F37AB"/>
    <w:rsid w:val="007F3982"/>
    <w:rsid w:val="007F4969"/>
    <w:rsid w:val="007F4AEB"/>
    <w:rsid w:val="007F73BC"/>
    <w:rsid w:val="007F75B2"/>
    <w:rsid w:val="00803FD9"/>
    <w:rsid w:val="008043C4"/>
    <w:rsid w:val="00804480"/>
    <w:rsid w:val="00804561"/>
    <w:rsid w:val="00805647"/>
    <w:rsid w:val="00815588"/>
    <w:rsid w:val="008202C1"/>
    <w:rsid w:val="00821054"/>
    <w:rsid w:val="00822950"/>
    <w:rsid w:val="008239A8"/>
    <w:rsid w:val="00824269"/>
    <w:rsid w:val="008267CA"/>
    <w:rsid w:val="00830309"/>
    <w:rsid w:val="00830B45"/>
    <w:rsid w:val="00831B1B"/>
    <w:rsid w:val="008333DA"/>
    <w:rsid w:val="00844904"/>
    <w:rsid w:val="00844CDF"/>
    <w:rsid w:val="00845564"/>
    <w:rsid w:val="00845BD2"/>
    <w:rsid w:val="008479D8"/>
    <w:rsid w:val="00854693"/>
    <w:rsid w:val="0085581B"/>
    <w:rsid w:val="0086185A"/>
    <w:rsid w:val="00861D0E"/>
    <w:rsid w:val="00865D8B"/>
    <w:rsid w:val="00867569"/>
    <w:rsid w:val="00871163"/>
    <w:rsid w:val="00871C5D"/>
    <w:rsid w:val="0087207A"/>
    <w:rsid w:val="008732B9"/>
    <w:rsid w:val="008748A6"/>
    <w:rsid w:val="008762FD"/>
    <w:rsid w:val="0088121A"/>
    <w:rsid w:val="0088167E"/>
    <w:rsid w:val="00882CCD"/>
    <w:rsid w:val="008840C0"/>
    <w:rsid w:val="008849C0"/>
    <w:rsid w:val="00896F18"/>
    <w:rsid w:val="00897E3F"/>
    <w:rsid w:val="008A18A9"/>
    <w:rsid w:val="008A23A1"/>
    <w:rsid w:val="008A4599"/>
    <w:rsid w:val="008A750A"/>
    <w:rsid w:val="008B1795"/>
    <w:rsid w:val="008B3FE2"/>
    <w:rsid w:val="008C0033"/>
    <w:rsid w:val="008C1B96"/>
    <w:rsid w:val="008C1F0D"/>
    <w:rsid w:val="008C384C"/>
    <w:rsid w:val="008C44A4"/>
    <w:rsid w:val="008C6888"/>
    <w:rsid w:val="008D0F11"/>
    <w:rsid w:val="008D1D81"/>
    <w:rsid w:val="008D44D2"/>
    <w:rsid w:val="008D52F4"/>
    <w:rsid w:val="008E2133"/>
    <w:rsid w:val="008E2999"/>
    <w:rsid w:val="008E2F45"/>
    <w:rsid w:val="008E38D7"/>
    <w:rsid w:val="008E5C66"/>
    <w:rsid w:val="008E6397"/>
    <w:rsid w:val="008E6D93"/>
    <w:rsid w:val="008E7ABD"/>
    <w:rsid w:val="008F1A5C"/>
    <w:rsid w:val="008F4562"/>
    <w:rsid w:val="008F73B4"/>
    <w:rsid w:val="008F7AA9"/>
    <w:rsid w:val="00900AEE"/>
    <w:rsid w:val="00901636"/>
    <w:rsid w:val="00905C4B"/>
    <w:rsid w:val="0090741A"/>
    <w:rsid w:val="00907C29"/>
    <w:rsid w:val="00913F44"/>
    <w:rsid w:val="00917C9C"/>
    <w:rsid w:val="009276AA"/>
    <w:rsid w:val="00927EC2"/>
    <w:rsid w:val="00931A52"/>
    <w:rsid w:val="00933551"/>
    <w:rsid w:val="00933939"/>
    <w:rsid w:val="00936869"/>
    <w:rsid w:val="00941902"/>
    <w:rsid w:val="00942FC3"/>
    <w:rsid w:val="00943FA0"/>
    <w:rsid w:val="00944C31"/>
    <w:rsid w:val="00950CE8"/>
    <w:rsid w:val="00953285"/>
    <w:rsid w:val="00953C38"/>
    <w:rsid w:val="009600A3"/>
    <w:rsid w:val="00964874"/>
    <w:rsid w:val="00964AC4"/>
    <w:rsid w:val="00965641"/>
    <w:rsid w:val="0096736A"/>
    <w:rsid w:val="00970903"/>
    <w:rsid w:val="0097142E"/>
    <w:rsid w:val="00971A12"/>
    <w:rsid w:val="00971A8D"/>
    <w:rsid w:val="00971FA3"/>
    <w:rsid w:val="009741C5"/>
    <w:rsid w:val="00975A96"/>
    <w:rsid w:val="00977542"/>
    <w:rsid w:val="009824C3"/>
    <w:rsid w:val="00985C79"/>
    <w:rsid w:val="009874C1"/>
    <w:rsid w:val="00987C6C"/>
    <w:rsid w:val="00990399"/>
    <w:rsid w:val="009931F1"/>
    <w:rsid w:val="00993BA3"/>
    <w:rsid w:val="00997EB8"/>
    <w:rsid w:val="009A348E"/>
    <w:rsid w:val="009A460E"/>
    <w:rsid w:val="009A6406"/>
    <w:rsid w:val="009A7912"/>
    <w:rsid w:val="009B3C2C"/>
    <w:rsid w:val="009B55B1"/>
    <w:rsid w:val="009B6038"/>
    <w:rsid w:val="009B7EA2"/>
    <w:rsid w:val="009C1E8D"/>
    <w:rsid w:val="009C3DEE"/>
    <w:rsid w:val="009C4595"/>
    <w:rsid w:val="009C57BD"/>
    <w:rsid w:val="009C7E9A"/>
    <w:rsid w:val="009D1B7A"/>
    <w:rsid w:val="009D2600"/>
    <w:rsid w:val="009D523C"/>
    <w:rsid w:val="009D70D1"/>
    <w:rsid w:val="009E71A5"/>
    <w:rsid w:val="009F3483"/>
    <w:rsid w:val="009F4442"/>
    <w:rsid w:val="009F7262"/>
    <w:rsid w:val="00A00F8B"/>
    <w:rsid w:val="00A017EC"/>
    <w:rsid w:val="00A019BA"/>
    <w:rsid w:val="00A03222"/>
    <w:rsid w:val="00A04179"/>
    <w:rsid w:val="00A1328E"/>
    <w:rsid w:val="00A21AD6"/>
    <w:rsid w:val="00A2321F"/>
    <w:rsid w:val="00A23945"/>
    <w:rsid w:val="00A243FE"/>
    <w:rsid w:val="00A25C90"/>
    <w:rsid w:val="00A2613A"/>
    <w:rsid w:val="00A30708"/>
    <w:rsid w:val="00A31706"/>
    <w:rsid w:val="00A338AF"/>
    <w:rsid w:val="00A344ED"/>
    <w:rsid w:val="00A34841"/>
    <w:rsid w:val="00A37BD1"/>
    <w:rsid w:val="00A37F00"/>
    <w:rsid w:val="00A42EE3"/>
    <w:rsid w:val="00A43274"/>
    <w:rsid w:val="00A4343D"/>
    <w:rsid w:val="00A46E31"/>
    <w:rsid w:val="00A502F1"/>
    <w:rsid w:val="00A526D9"/>
    <w:rsid w:val="00A53F64"/>
    <w:rsid w:val="00A56C80"/>
    <w:rsid w:val="00A57C52"/>
    <w:rsid w:val="00A57F72"/>
    <w:rsid w:val="00A61B03"/>
    <w:rsid w:val="00A61CA7"/>
    <w:rsid w:val="00A6212A"/>
    <w:rsid w:val="00A63EE9"/>
    <w:rsid w:val="00A64B11"/>
    <w:rsid w:val="00A6634F"/>
    <w:rsid w:val="00A667B0"/>
    <w:rsid w:val="00A70A83"/>
    <w:rsid w:val="00A72E85"/>
    <w:rsid w:val="00A73123"/>
    <w:rsid w:val="00A7333C"/>
    <w:rsid w:val="00A7620A"/>
    <w:rsid w:val="00A7794F"/>
    <w:rsid w:val="00A77DC1"/>
    <w:rsid w:val="00A8026A"/>
    <w:rsid w:val="00A81EB3"/>
    <w:rsid w:val="00A87C36"/>
    <w:rsid w:val="00A941D7"/>
    <w:rsid w:val="00AA0FB2"/>
    <w:rsid w:val="00AA10FF"/>
    <w:rsid w:val="00AA4CC5"/>
    <w:rsid w:val="00AA5EFD"/>
    <w:rsid w:val="00AB0BA2"/>
    <w:rsid w:val="00AB7750"/>
    <w:rsid w:val="00AC0DE1"/>
    <w:rsid w:val="00AC175A"/>
    <w:rsid w:val="00AC2C2E"/>
    <w:rsid w:val="00AC3E4A"/>
    <w:rsid w:val="00AC617F"/>
    <w:rsid w:val="00AC6B54"/>
    <w:rsid w:val="00AC6EF8"/>
    <w:rsid w:val="00AC7724"/>
    <w:rsid w:val="00AD1342"/>
    <w:rsid w:val="00AD1965"/>
    <w:rsid w:val="00AD2814"/>
    <w:rsid w:val="00AD2910"/>
    <w:rsid w:val="00AD3B3C"/>
    <w:rsid w:val="00AD5AD3"/>
    <w:rsid w:val="00AD6B13"/>
    <w:rsid w:val="00AE0453"/>
    <w:rsid w:val="00AE077E"/>
    <w:rsid w:val="00AE2F57"/>
    <w:rsid w:val="00AE3C21"/>
    <w:rsid w:val="00AE51F3"/>
    <w:rsid w:val="00AE551E"/>
    <w:rsid w:val="00AE6B69"/>
    <w:rsid w:val="00AE6C98"/>
    <w:rsid w:val="00AF0A7D"/>
    <w:rsid w:val="00AF7A10"/>
    <w:rsid w:val="00B00C1D"/>
    <w:rsid w:val="00B037BA"/>
    <w:rsid w:val="00B06E59"/>
    <w:rsid w:val="00B102C7"/>
    <w:rsid w:val="00B11478"/>
    <w:rsid w:val="00B14347"/>
    <w:rsid w:val="00B20B88"/>
    <w:rsid w:val="00B25061"/>
    <w:rsid w:val="00B25CEC"/>
    <w:rsid w:val="00B279FC"/>
    <w:rsid w:val="00B322CA"/>
    <w:rsid w:val="00B33194"/>
    <w:rsid w:val="00B339CA"/>
    <w:rsid w:val="00B33D90"/>
    <w:rsid w:val="00B36E2C"/>
    <w:rsid w:val="00B408E8"/>
    <w:rsid w:val="00B4348E"/>
    <w:rsid w:val="00B51A16"/>
    <w:rsid w:val="00B52D5C"/>
    <w:rsid w:val="00B531A9"/>
    <w:rsid w:val="00B53F71"/>
    <w:rsid w:val="00B552DA"/>
    <w:rsid w:val="00B6032E"/>
    <w:rsid w:val="00B631AB"/>
    <w:rsid w:val="00B668B8"/>
    <w:rsid w:val="00B70737"/>
    <w:rsid w:val="00B71AD6"/>
    <w:rsid w:val="00B73098"/>
    <w:rsid w:val="00B73C21"/>
    <w:rsid w:val="00B75047"/>
    <w:rsid w:val="00B80F66"/>
    <w:rsid w:val="00B816A2"/>
    <w:rsid w:val="00B86DA3"/>
    <w:rsid w:val="00B87CA4"/>
    <w:rsid w:val="00B9115E"/>
    <w:rsid w:val="00B9197A"/>
    <w:rsid w:val="00B920A7"/>
    <w:rsid w:val="00B94702"/>
    <w:rsid w:val="00B95550"/>
    <w:rsid w:val="00B97C64"/>
    <w:rsid w:val="00B97E3E"/>
    <w:rsid w:val="00BA0A61"/>
    <w:rsid w:val="00BA0BD5"/>
    <w:rsid w:val="00BA1242"/>
    <w:rsid w:val="00BA1DFB"/>
    <w:rsid w:val="00BA37F7"/>
    <w:rsid w:val="00BA439F"/>
    <w:rsid w:val="00BA4D19"/>
    <w:rsid w:val="00BA6370"/>
    <w:rsid w:val="00BB35C7"/>
    <w:rsid w:val="00BB3C50"/>
    <w:rsid w:val="00BB3C94"/>
    <w:rsid w:val="00BB4179"/>
    <w:rsid w:val="00BB7EB6"/>
    <w:rsid w:val="00BB7FA1"/>
    <w:rsid w:val="00BC15D0"/>
    <w:rsid w:val="00BC1976"/>
    <w:rsid w:val="00BC748B"/>
    <w:rsid w:val="00BC7B5A"/>
    <w:rsid w:val="00BD0775"/>
    <w:rsid w:val="00BD5B9D"/>
    <w:rsid w:val="00BE02C1"/>
    <w:rsid w:val="00BE0E9E"/>
    <w:rsid w:val="00BF15BD"/>
    <w:rsid w:val="00BF1CAC"/>
    <w:rsid w:val="00BF6644"/>
    <w:rsid w:val="00BF6734"/>
    <w:rsid w:val="00BF6AF7"/>
    <w:rsid w:val="00C03CE6"/>
    <w:rsid w:val="00C04255"/>
    <w:rsid w:val="00C05F60"/>
    <w:rsid w:val="00C07068"/>
    <w:rsid w:val="00C17A6C"/>
    <w:rsid w:val="00C2020B"/>
    <w:rsid w:val="00C207AE"/>
    <w:rsid w:val="00C22C3C"/>
    <w:rsid w:val="00C23F33"/>
    <w:rsid w:val="00C2514B"/>
    <w:rsid w:val="00C269D4"/>
    <w:rsid w:val="00C27D46"/>
    <w:rsid w:val="00C31BF9"/>
    <w:rsid w:val="00C35858"/>
    <w:rsid w:val="00C36DFE"/>
    <w:rsid w:val="00C36E38"/>
    <w:rsid w:val="00C37427"/>
    <w:rsid w:val="00C40D9E"/>
    <w:rsid w:val="00C4160D"/>
    <w:rsid w:val="00C41BC1"/>
    <w:rsid w:val="00C51DAD"/>
    <w:rsid w:val="00C526BB"/>
    <w:rsid w:val="00C5532F"/>
    <w:rsid w:val="00C55E7B"/>
    <w:rsid w:val="00C57139"/>
    <w:rsid w:val="00C57E30"/>
    <w:rsid w:val="00C6012B"/>
    <w:rsid w:val="00C66410"/>
    <w:rsid w:val="00C72F79"/>
    <w:rsid w:val="00C75C3B"/>
    <w:rsid w:val="00C75E2B"/>
    <w:rsid w:val="00C76ACB"/>
    <w:rsid w:val="00C7758A"/>
    <w:rsid w:val="00C804F6"/>
    <w:rsid w:val="00C811BE"/>
    <w:rsid w:val="00C83BB6"/>
    <w:rsid w:val="00C8406E"/>
    <w:rsid w:val="00C84105"/>
    <w:rsid w:val="00C870E3"/>
    <w:rsid w:val="00C91A4E"/>
    <w:rsid w:val="00C963E0"/>
    <w:rsid w:val="00CA2920"/>
    <w:rsid w:val="00CA38CC"/>
    <w:rsid w:val="00CA418E"/>
    <w:rsid w:val="00CA47FA"/>
    <w:rsid w:val="00CA58DC"/>
    <w:rsid w:val="00CA61FE"/>
    <w:rsid w:val="00CA7A2A"/>
    <w:rsid w:val="00CB2709"/>
    <w:rsid w:val="00CB2AB6"/>
    <w:rsid w:val="00CB4817"/>
    <w:rsid w:val="00CB6F89"/>
    <w:rsid w:val="00CB76B5"/>
    <w:rsid w:val="00CC4B28"/>
    <w:rsid w:val="00CC5853"/>
    <w:rsid w:val="00CC67DF"/>
    <w:rsid w:val="00CD28A7"/>
    <w:rsid w:val="00CD2F40"/>
    <w:rsid w:val="00CE1D36"/>
    <w:rsid w:val="00CE228C"/>
    <w:rsid w:val="00CE35CF"/>
    <w:rsid w:val="00CE6835"/>
    <w:rsid w:val="00CE7020"/>
    <w:rsid w:val="00CE717F"/>
    <w:rsid w:val="00CF25E1"/>
    <w:rsid w:val="00CF3371"/>
    <w:rsid w:val="00CF4967"/>
    <w:rsid w:val="00CF545B"/>
    <w:rsid w:val="00D02FCB"/>
    <w:rsid w:val="00D05594"/>
    <w:rsid w:val="00D078A0"/>
    <w:rsid w:val="00D11049"/>
    <w:rsid w:val="00D123E1"/>
    <w:rsid w:val="00D1252A"/>
    <w:rsid w:val="00D12B38"/>
    <w:rsid w:val="00D12BD9"/>
    <w:rsid w:val="00D1433B"/>
    <w:rsid w:val="00D15E82"/>
    <w:rsid w:val="00D17803"/>
    <w:rsid w:val="00D21545"/>
    <w:rsid w:val="00D253F5"/>
    <w:rsid w:val="00D27D69"/>
    <w:rsid w:val="00D339AA"/>
    <w:rsid w:val="00D365F4"/>
    <w:rsid w:val="00D36F5C"/>
    <w:rsid w:val="00D4105C"/>
    <w:rsid w:val="00D42B8D"/>
    <w:rsid w:val="00D4414D"/>
    <w:rsid w:val="00D448C2"/>
    <w:rsid w:val="00D51F44"/>
    <w:rsid w:val="00D543EE"/>
    <w:rsid w:val="00D562AA"/>
    <w:rsid w:val="00D64E2D"/>
    <w:rsid w:val="00D666C3"/>
    <w:rsid w:val="00D72CB8"/>
    <w:rsid w:val="00D767D6"/>
    <w:rsid w:val="00D816E2"/>
    <w:rsid w:val="00D818A5"/>
    <w:rsid w:val="00D82143"/>
    <w:rsid w:val="00D82814"/>
    <w:rsid w:val="00D83E4D"/>
    <w:rsid w:val="00D9189B"/>
    <w:rsid w:val="00D929D0"/>
    <w:rsid w:val="00D94A30"/>
    <w:rsid w:val="00D952FF"/>
    <w:rsid w:val="00DA139C"/>
    <w:rsid w:val="00DA37C9"/>
    <w:rsid w:val="00DA533E"/>
    <w:rsid w:val="00DA7060"/>
    <w:rsid w:val="00DB06C6"/>
    <w:rsid w:val="00DB0BE6"/>
    <w:rsid w:val="00DB11FC"/>
    <w:rsid w:val="00DB6938"/>
    <w:rsid w:val="00DB7333"/>
    <w:rsid w:val="00DC0CCE"/>
    <w:rsid w:val="00DC33EA"/>
    <w:rsid w:val="00DC52C8"/>
    <w:rsid w:val="00DC5947"/>
    <w:rsid w:val="00DC78A2"/>
    <w:rsid w:val="00DD0ED1"/>
    <w:rsid w:val="00DD1EAE"/>
    <w:rsid w:val="00DD38A0"/>
    <w:rsid w:val="00DD5A14"/>
    <w:rsid w:val="00DE0017"/>
    <w:rsid w:val="00DE231C"/>
    <w:rsid w:val="00DE291F"/>
    <w:rsid w:val="00DE611A"/>
    <w:rsid w:val="00DE68E1"/>
    <w:rsid w:val="00DE6B76"/>
    <w:rsid w:val="00DF04AF"/>
    <w:rsid w:val="00DF1CF2"/>
    <w:rsid w:val="00DF2417"/>
    <w:rsid w:val="00DF3847"/>
    <w:rsid w:val="00DF3BDE"/>
    <w:rsid w:val="00DF4771"/>
    <w:rsid w:val="00DF47FE"/>
    <w:rsid w:val="00DF4E12"/>
    <w:rsid w:val="00DF559D"/>
    <w:rsid w:val="00DF6181"/>
    <w:rsid w:val="00DF7FAD"/>
    <w:rsid w:val="00E000E8"/>
    <w:rsid w:val="00E013E4"/>
    <w:rsid w:val="00E02F12"/>
    <w:rsid w:val="00E03348"/>
    <w:rsid w:val="00E047BA"/>
    <w:rsid w:val="00E054AB"/>
    <w:rsid w:val="00E05502"/>
    <w:rsid w:val="00E05C2C"/>
    <w:rsid w:val="00E060D8"/>
    <w:rsid w:val="00E07489"/>
    <w:rsid w:val="00E07E7D"/>
    <w:rsid w:val="00E10EE8"/>
    <w:rsid w:val="00E17804"/>
    <w:rsid w:val="00E22DA6"/>
    <w:rsid w:val="00E23D67"/>
    <w:rsid w:val="00E23EDC"/>
    <w:rsid w:val="00E24BF1"/>
    <w:rsid w:val="00E24F00"/>
    <w:rsid w:val="00E26704"/>
    <w:rsid w:val="00E31980"/>
    <w:rsid w:val="00E3529A"/>
    <w:rsid w:val="00E37597"/>
    <w:rsid w:val="00E37CC0"/>
    <w:rsid w:val="00E414A0"/>
    <w:rsid w:val="00E424E8"/>
    <w:rsid w:val="00E42887"/>
    <w:rsid w:val="00E42E00"/>
    <w:rsid w:val="00E43B6E"/>
    <w:rsid w:val="00E445CD"/>
    <w:rsid w:val="00E466AD"/>
    <w:rsid w:val="00E46811"/>
    <w:rsid w:val="00E5112A"/>
    <w:rsid w:val="00E52D36"/>
    <w:rsid w:val="00E54908"/>
    <w:rsid w:val="00E56EBA"/>
    <w:rsid w:val="00E56F3F"/>
    <w:rsid w:val="00E6423C"/>
    <w:rsid w:val="00E660F5"/>
    <w:rsid w:val="00E727E9"/>
    <w:rsid w:val="00E72C34"/>
    <w:rsid w:val="00E72FFA"/>
    <w:rsid w:val="00E7314A"/>
    <w:rsid w:val="00E74CC2"/>
    <w:rsid w:val="00E74F70"/>
    <w:rsid w:val="00E773CB"/>
    <w:rsid w:val="00E82ED9"/>
    <w:rsid w:val="00E83BE4"/>
    <w:rsid w:val="00E84D0C"/>
    <w:rsid w:val="00E85E67"/>
    <w:rsid w:val="00E866C1"/>
    <w:rsid w:val="00E8726B"/>
    <w:rsid w:val="00E9130C"/>
    <w:rsid w:val="00E91935"/>
    <w:rsid w:val="00E91D9A"/>
    <w:rsid w:val="00E92EC4"/>
    <w:rsid w:val="00E93830"/>
    <w:rsid w:val="00E93E0E"/>
    <w:rsid w:val="00E93E22"/>
    <w:rsid w:val="00E94951"/>
    <w:rsid w:val="00E977EB"/>
    <w:rsid w:val="00E97960"/>
    <w:rsid w:val="00EA0C15"/>
    <w:rsid w:val="00EA1623"/>
    <w:rsid w:val="00EA26C5"/>
    <w:rsid w:val="00EA3726"/>
    <w:rsid w:val="00EA64D4"/>
    <w:rsid w:val="00EA7B94"/>
    <w:rsid w:val="00EB02FE"/>
    <w:rsid w:val="00EB0AA1"/>
    <w:rsid w:val="00EB12E2"/>
    <w:rsid w:val="00EB15A0"/>
    <w:rsid w:val="00EB1ED3"/>
    <w:rsid w:val="00EB4B9E"/>
    <w:rsid w:val="00EB4CFB"/>
    <w:rsid w:val="00EB54E8"/>
    <w:rsid w:val="00EB5A8E"/>
    <w:rsid w:val="00EC1150"/>
    <w:rsid w:val="00EC167C"/>
    <w:rsid w:val="00EC2D51"/>
    <w:rsid w:val="00ED2234"/>
    <w:rsid w:val="00ED3DED"/>
    <w:rsid w:val="00ED499E"/>
    <w:rsid w:val="00ED4D9F"/>
    <w:rsid w:val="00ED66A9"/>
    <w:rsid w:val="00ED731F"/>
    <w:rsid w:val="00ED7B69"/>
    <w:rsid w:val="00EE0AAB"/>
    <w:rsid w:val="00EE2100"/>
    <w:rsid w:val="00EE3D40"/>
    <w:rsid w:val="00EF2D79"/>
    <w:rsid w:val="00F00EF4"/>
    <w:rsid w:val="00F00FB3"/>
    <w:rsid w:val="00F01C71"/>
    <w:rsid w:val="00F023F4"/>
    <w:rsid w:val="00F040DB"/>
    <w:rsid w:val="00F06A18"/>
    <w:rsid w:val="00F10DEB"/>
    <w:rsid w:val="00F12495"/>
    <w:rsid w:val="00F13564"/>
    <w:rsid w:val="00F14D98"/>
    <w:rsid w:val="00F1631C"/>
    <w:rsid w:val="00F20241"/>
    <w:rsid w:val="00F26395"/>
    <w:rsid w:val="00F32DA4"/>
    <w:rsid w:val="00F35DF0"/>
    <w:rsid w:val="00F40407"/>
    <w:rsid w:val="00F40997"/>
    <w:rsid w:val="00F40E4C"/>
    <w:rsid w:val="00F443DC"/>
    <w:rsid w:val="00F44A82"/>
    <w:rsid w:val="00F45512"/>
    <w:rsid w:val="00F46623"/>
    <w:rsid w:val="00F47CD1"/>
    <w:rsid w:val="00F50181"/>
    <w:rsid w:val="00F551B4"/>
    <w:rsid w:val="00F60F00"/>
    <w:rsid w:val="00F63E8A"/>
    <w:rsid w:val="00F63F7A"/>
    <w:rsid w:val="00F64EBC"/>
    <w:rsid w:val="00F6684C"/>
    <w:rsid w:val="00F66EE2"/>
    <w:rsid w:val="00F700EE"/>
    <w:rsid w:val="00F70B2E"/>
    <w:rsid w:val="00F73805"/>
    <w:rsid w:val="00F750B5"/>
    <w:rsid w:val="00F80639"/>
    <w:rsid w:val="00F8358F"/>
    <w:rsid w:val="00F8400F"/>
    <w:rsid w:val="00F8763C"/>
    <w:rsid w:val="00F91586"/>
    <w:rsid w:val="00F95A77"/>
    <w:rsid w:val="00FA0BD6"/>
    <w:rsid w:val="00FA3501"/>
    <w:rsid w:val="00FA7DC0"/>
    <w:rsid w:val="00FB2166"/>
    <w:rsid w:val="00FB4B6E"/>
    <w:rsid w:val="00FB687C"/>
    <w:rsid w:val="00FC24C4"/>
    <w:rsid w:val="00FD0475"/>
    <w:rsid w:val="00FD2367"/>
    <w:rsid w:val="00FD3EB1"/>
    <w:rsid w:val="00FD4F47"/>
    <w:rsid w:val="00FD5384"/>
    <w:rsid w:val="00FE0223"/>
    <w:rsid w:val="00FE03EE"/>
    <w:rsid w:val="00FE2344"/>
    <w:rsid w:val="00FE2A4D"/>
    <w:rsid w:val="00FE2CA6"/>
    <w:rsid w:val="00FE2E52"/>
    <w:rsid w:val="00FE41F7"/>
    <w:rsid w:val="00FE68DF"/>
    <w:rsid w:val="00FF07BE"/>
    <w:rsid w:val="00FF265B"/>
    <w:rsid w:val="00FF3260"/>
    <w:rsid w:val="00FF4720"/>
    <w:rsid w:val="00FF7029"/>
    <w:rsid w:val="00FF7307"/>
    <w:rsid w:val="00FF79E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91138">
      <o:colormru v:ext="edit" colors="#0071b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aliases w:val="Text_"/>
    <w:qFormat/>
    <w:rsid w:val="00D27D69"/>
    <w:pPr>
      <w:spacing w:line="276" w:lineRule="auto"/>
      <w:jc w:val="both"/>
    </w:pPr>
    <w:rPr>
      <w:rFonts w:ascii="Arial" w:hAnsi="Arial"/>
      <w:szCs w:val="22"/>
      <w:lang w:eastAsia="en-US"/>
    </w:rPr>
  </w:style>
  <w:style w:type="paragraph" w:styleId="Nadpis1">
    <w:name w:val="heading 1"/>
    <w:aliases w:val="Mezititulek_"/>
    <w:next w:val="Normln"/>
    <w:link w:val="Nadpis1Char"/>
    <w:uiPriority w:val="9"/>
    <w:qFormat/>
    <w:rsid w:val="00E6423C"/>
    <w:pPr>
      <w:keepNext/>
      <w:keepLines/>
      <w:spacing w:line="276" w:lineRule="auto"/>
      <w:outlineLvl w:val="0"/>
    </w:pPr>
    <w:rPr>
      <w:rFonts w:ascii="Arial" w:eastAsia="Times New Roman" w:hAnsi="Arial"/>
      <w:b/>
      <w:bCs/>
      <w:szCs w:val="28"/>
      <w:lang w:eastAsia="en-US"/>
    </w:rPr>
  </w:style>
  <w:style w:type="paragraph" w:styleId="Nadpis2">
    <w:name w:val="heading 2"/>
    <w:next w:val="Normln"/>
    <w:link w:val="Nadpis2Char"/>
    <w:uiPriority w:val="9"/>
    <w:unhideWhenUsed/>
    <w:rsid w:val="00A4343D"/>
    <w:pPr>
      <w:keepNext/>
      <w:keepLines/>
      <w:spacing w:line="480" w:lineRule="exact"/>
      <w:outlineLvl w:val="1"/>
    </w:pPr>
    <w:rPr>
      <w:rFonts w:ascii="Arial" w:eastAsia="Times New Roman" w:hAnsi="Arial"/>
      <w:b/>
      <w:bCs/>
      <w:sz w:val="28"/>
      <w:szCs w:val="26"/>
      <w:lang w:eastAsia="en-US"/>
    </w:rPr>
  </w:style>
  <w:style w:type="paragraph" w:styleId="Nadpis3">
    <w:name w:val="heading 3"/>
    <w:aliases w:val="Mezititulek"/>
    <w:basedOn w:val="Normln"/>
    <w:next w:val="Normln"/>
    <w:link w:val="Nadpis3Char"/>
    <w:uiPriority w:val="9"/>
    <w:unhideWhenUsed/>
    <w:rsid w:val="001810DC"/>
    <w:pPr>
      <w:keepNext/>
      <w:keepLines/>
      <w:spacing w:before="200"/>
      <w:jc w:val="left"/>
      <w:outlineLvl w:val="2"/>
    </w:pPr>
    <w:rPr>
      <w:rFonts w:eastAsia="Times New Roman"/>
      <w:b/>
      <w:bCs/>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BA6370"/>
    <w:pPr>
      <w:tabs>
        <w:tab w:val="center" w:pos="4703"/>
        <w:tab w:val="right" w:pos="9406"/>
      </w:tabs>
      <w:spacing w:line="240" w:lineRule="auto"/>
    </w:pPr>
  </w:style>
  <w:style w:type="character" w:customStyle="1" w:styleId="ZhlavChar">
    <w:name w:val="Záhlaví Char"/>
    <w:basedOn w:val="Standardnpsmoodstavce"/>
    <w:link w:val="Zhlav"/>
    <w:uiPriority w:val="99"/>
    <w:rsid w:val="00BA6370"/>
  </w:style>
  <w:style w:type="paragraph" w:styleId="Zpat">
    <w:name w:val="footer"/>
    <w:basedOn w:val="Normln"/>
    <w:link w:val="ZpatChar"/>
    <w:uiPriority w:val="99"/>
    <w:unhideWhenUsed/>
    <w:rsid w:val="00BA6370"/>
    <w:pPr>
      <w:tabs>
        <w:tab w:val="center" w:pos="4703"/>
        <w:tab w:val="right" w:pos="9406"/>
      </w:tabs>
      <w:spacing w:line="240" w:lineRule="auto"/>
    </w:pPr>
  </w:style>
  <w:style w:type="character" w:customStyle="1" w:styleId="ZpatChar">
    <w:name w:val="Zápatí Char"/>
    <w:basedOn w:val="Standardnpsmoodstavce"/>
    <w:link w:val="Zpat"/>
    <w:uiPriority w:val="99"/>
    <w:rsid w:val="00BA6370"/>
  </w:style>
  <w:style w:type="paragraph" w:styleId="Textbubliny">
    <w:name w:val="Balloon Text"/>
    <w:basedOn w:val="Normln"/>
    <w:link w:val="TextbublinyChar"/>
    <w:uiPriority w:val="99"/>
    <w:semiHidden/>
    <w:unhideWhenUsed/>
    <w:rsid w:val="00BA6370"/>
    <w:pPr>
      <w:spacing w:line="240" w:lineRule="auto"/>
    </w:pPr>
    <w:rPr>
      <w:rFonts w:ascii="Tahoma" w:hAnsi="Tahoma"/>
      <w:sz w:val="16"/>
      <w:szCs w:val="16"/>
    </w:rPr>
  </w:style>
  <w:style w:type="character" w:customStyle="1" w:styleId="TextbublinyChar">
    <w:name w:val="Text bubliny Char"/>
    <w:link w:val="Textbubliny"/>
    <w:uiPriority w:val="99"/>
    <w:semiHidden/>
    <w:rsid w:val="00BA6370"/>
    <w:rPr>
      <w:rFonts w:ascii="Tahoma" w:hAnsi="Tahoma" w:cs="Tahoma"/>
      <w:sz w:val="16"/>
      <w:szCs w:val="16"/>
    </w:rPr>
  </w:style>
  <w:style w:type="paragraph" w:customStyle="1" w:styleId="Zkladnodstavec">
    <w:name w:val="[Základní odstavec]"/>
    <w:basedOn w:val="Normln"/>
    <w:uiPriority w:val="99"/>
    <w:rsid w:val="00BA6370"/>
    <w:pPr>
      <w:autoSpaceDE w:val="0"/>
      <w:autoSpaceDN w:val="0"/>
      <w:adjustRightInd w:val="0"/>
      <w:spacing w:line="288" w:lineRule="auto"/>
      <w:textAlignment w:val="center"/>
    </w:pPr>
    <w:rPr>
      <w:rFonts w:ascii="TimesNewRomanPSMT" w:hAnsi="TimesNewRomanPSMT" w:cs="TimesNewRomanPSMT"/>
      <w:color w:val="000000"/>
      <w:sz w:val="24"/>
      <w:szCs w:val="24"/>
    </w:rPr>
  </w:style>
  <w:style w:type="paragraph" w:customStyle="1" w:styleId="Datum">
    <w:name w:val="Datum_"/>
    <w:qFormat/>
    <w:rsid w:val="00622B80"/>
    <w:pPr>
      <w:spacing w:line="276" w:lineRule="auto"/>
    </w:pPr>
    <w:rPr>
      <w:rFonts w:ascii="Arial" w:hAnsi="Arial" w:cs="Arial"/>
      <w:b/>
      <w:sz w:val="18"/>
      <w:szCs w:val="22"/>
      <w:lang w:eastAsia="en-US"/>
    </w:rPr>
  </w:style>
  <w:style w:type="character" w:customStyle="1" w:styleId="Nadpis1Char">
    <w:name w:val="Nadpis 1 Char"/>
    <w:aliases w:val="Mezititulek_ Char"/>
    <w:link w:val="Nadpis1"/>
    <w:uiPriority w:val="9"/>
    <w:rsid w:val="00E6423C"/>
    <w:rPr>
      <w:rFonts w:ascii="Arial" w:eastAsia="Times New Roman" w:hAnsi="Arial"/>
      <w:b/>
      <w:bCs/>
      <w:szCs w:val="28"/>
      <w:lang w:eastAsia="en-US" w:bidi="ar-SA"/>
    </w:rPr>
  </w:style>
  <w:style w:type="character" w:customStyle="1" w:styleId="Nadpis2Char">
    <w:name w:val="Nadpis 2 Char"/>
    <w:link w:val="Nadpis2"/>
    <w:uiPriority w:val="9"/>
    <w:rsid w:val="00A4343D"/>
    <w:rPr>
      <w:rFonts w:ascii="Arial" w:eastAsia="Times New Roman" w:hAnsi="Arial"/>
      <w:b/>
      <w:bCs/>
      <w:sz w:val="28"/>
      <w:szCs w:val="26"/>
      <w:lang w:eastAsia="en-US" w:bidi="ar-SA"/>
    </w:rPr>
  </w:style>
  <w:style w:type="paragraph" w:customStyle="1" w:styleId="Poznmky">
    <w:name w:val="Poznámky"/>
    <w:next w:val="Poznmky0"/>
    <w:rsid w:val="008C384C"/>
    <w:pPr>
      <w:pBdr>
        <w:top w:val="single" w:sz="4" w:space="9" w:color="auto"/>
      </w:pBdr>
      <w:spacing w:before="624" w:line="240" w:lineRule="exact"/>
    </w:pPr>
    <w:rPr>
      <w:rFonts w:ascii="Arial" w:hAnsi="Arial" w:cs="ArialMT"/>
      <w:color w:val="000000"/>
      <w:sz w:val="18"/>
      <w:szCs w:val="18"/>
      <w:lang w:eastAsia="en-US"/>
    </w:rPr>
  </w:style>
  <w:style w:type="paragraph" w:customStyle="1" w:styleId="Poznmky0">
    <w:name w:val="Poznámky_"/>
    <w:next w:val="Normln"/>
    <w:qFormat/>
    <w:rsid w:val="002D6A6C"/>
    <w:pPr>
      <w:pBdr>
        <w:top w:val="single" w:sz="4" w:space="9" w:color="auto"/>
      </w:pBdr>
      <w:spacing w:before="280" w:line="276" w:lineRule="auto"/>
      <w:jc w:val="both"/>
    </w:pPr>
    <w:rPr>
      <w:rFonts w:ascii="Arial" w:hAnsi="Arial" w:cs="ArialMT"/>
      <w:i/>
      <w:sz w:val="18"/>
      <w:szCs w:val="18"/>
      <w:lang w:eastAsia="en-US"/>
    </w:rPr>
  </w:style>
  <w:style w:type="character" w:customStyle="1" w:styleId="Nadpis3Char">
    <w:name w:val="Nadpis 3 Char"/>
    <w:aliases w:val="Mezititulek Char"/>
    <w:link w:val="Nadpis3"/>
    <w:uiPriority w:val="9"/>
    <w:rsid w:val="001810DC"/>
    <w:rPr>
      <w:rFonts w:ascii="Arial" w:eastAsia="Times New Roman" w:hAnsi="Arial" w:cs="Times New Roman"/>
      <w:b/>
      <w:bCs/>
      <w:sz w:val="20"/>
      <w:lang w:val="cs-CZ"/>
    </w:rPr>
  </w:style>
  <w:style w:type="character" w:styleId="Hypertextovodkaz">
    <w:name w:val="Hyperlink"/>
    <w:uiPriority w:val="99"/>
    <w:unhideWhenUsed/>
    <w:rsid w:val="004E479E"/>
    <w:rPr>
      <w:color w:val="0000FF"/>
      <w:u w:val="single"/>
    </w:rPr>
  </w:style>
  <w:style w:type="paragraph" w:customStyle="1" w:styleId="Perex">
    <w:name w:val="Perex_"/>
    <w:next w:val="Normln"/>
    <w:qFormat/>
    <w:rsid w:val="00D27D69"/>
    <w:pPr>
      <w:autoSpaceDE w:val="0"/>
      <w:autoSpaceDN w:val="0"/>
      <w:adjustRightInd w:val="0"/>
      <w:spacing w:after="280" w:line="276" w:lineRule="auto"/>
      <w:jc w:val="both"/>
    </w:pPr>
    <w:rPr>
      <w:rFonts w:ascii="Arial" w:hAnsi="Arial" w:cs="Arial"/>
      <w:b/>
      <w:szCs w:val="18"/>
      <w:lang w:eastAsia="en-US"/>
    </w:rPr>
  </w:style>
  <w:style w:type="paragraph" w:styleId="Nzev">
    <w:name w:val="Title"/>
    <w:aliases w:val="Titulek_"/>
    <w:next w:val="Normln"/>
    <w:link w:val="NzevChar"/>
    <w:uiPriority w:val="10"/>
    <w:qFormat/>
    <w:rsid w:val="003C2DCF"/>
    <w:pPr>
      <w:spacing w:before="280" w:after="280" w:line="360" w:lineRule="exact"/>
      <w:outlineLvl w:val="0"/>
    </w:pPr>
    <w:rPr>
      <w:rFonts w:ascii="Arial" w:eastAsia="Times New Roman" w:hAnsi="Arial"/>
      <w:b/>
      <w:bCs/>
      <w:color w:val="BD1B21"/>
      <w:sz w:val="32"/>
      <w:szCs w:val="32"/>
      <w:lang w:eastAsia="en-US"/>
    </w:rPr>
  </w:style>
  <w:style w:type="character" w:customStyle="1" w:styleId="NzevChar">
    <w:name w:val="Název Char"/>
    <w:aliases w:val="Titulek_ Char"/>
    <w:link w:val="Nzev"/>
    <w:uiPriority w:val="10"/>
    <w:rsid w:val="003C2DCF"/>
    <w:rPr>
      <w:rFonts w:ascii="Arial" w:eastAsia="Times New Roman" w:hAnsi="Arial"/>
      <w:b/>
      <w:bCs/>
      <w:color w:val="BD1B21"/>
      <w:sz w:val="32"/>
      <w:szCs w:val="32"/>
      <w:lang w:eastAsia="en-US" w:bidi="ar-SA"/>
    </w:rPr>
  </w:style>
  <w:style w:type="character" w:styleId="Odkazjemn">
    <w:name w:val="Subtle Reference"/>
    <w:uiPriority w:val="31"/>
    <w:rsid w:val="003A45C8"/>
    <w:rPr>
      <w:smallCaps/>
      <w:color w:val="C0504D"/>
      <w:u w:val="single"/>
    </w:rPr>
  </w:style>
  <w:style w:type="paragraph" w:customStyle="1" w:styleId="TabulkaGraf">
    <w:name w:val="Tabulka/Graf_"/>
    <w:next w:val="Normln"/>
    <w:link w:val="TabulkaGrafChar"/>
    <w:qFormat/>
    <w:rsid w:val="007A57F2"/>
    <w:pPr>
      <w:spacing w:line="276" w:lineRule="auto"/>
    </w:pPr>
    <w:rPr>
      <w:rFonts w:ascii="Arial" w:eastAsia="Times New Roman" w:hAnsi="Arial"/>
      <w:b/>
      <w:bCs/>
      <w:szCs w:val="28"/>
      <w:lang w:eastAsia="en-US"/>
    </w:rPr>
  </w:style>
  <w:style w:type="character" w:customStyle="1" w:styleId="TabulkaGrafChar">
    <w:name w:val="Tabulka/Graf_ Char"/>
    <w:link w:val="TabulkaGraf"/>
    <w:rsid w:val="007A57F2"/>
    <w:rPr>
      <w:rFonts w:ascii="Arial" w:eastAsia="Times New Roman" w:hAnsi="Arial"/>
      <w:b/>
      <w:bCs/>
      <w:szCs w:val="28"/>
      <w:lang w:eastAsia="en-US" w:bidi="ar-SA"/>
    </w:rPr>
  </w:style>
  <w:style w:type="paragraph" w:styleId="Textpoznpodarou">
    <w:name w:val="footnote text"/>
    <w:aliases w:val="Text pozn. pod čarou_martin_ang"/>
    <w:basedOn w:val="Normln"/>
    <w:link w:val="TextpoznpodarouChar"/>
    <w:unhideWhenUsed/>
    <w:rsid w:val="00E94951"/>
    <w:pPr>
      <w:spacing w:line="240" w:lineRule="auto"/>
      <w:jc w:val="left"/>
    </w:pPr>
    <w:rPr>
      <w:rFonts w:ascii="Calibri" w:hAnsi="Calibri"/>
      <w:szCs w:val="20"/>
    </w:rPr>
  </w:style>
  <w:style w:type="character" w:customStyle="1" w:styleId="TextpoznpodarouChar">
    <w:name w:val="Text pozn. pod čarou Char"/>
    <w:aliases w:val="Text pozn. pod čarou_martin_ang Char"/>
    <w:basedOn w:val="Standardnpsmoodstavce"/>
    <w:link w:val="Textpoznpodarou"/>
    <w:rsid w:val="00E94951"/>
    <w:rPr>
      <w:lang w:eastAsia="en-US"/>
    </w:rPr>
  </w:style>
  <w:style w:type="character" w:styleId="Znakapoznpodarou">
    <w:name w:val="footnote reference"/>
    <w:basedOn w:val="Standardnpsmoodstavce"/>
    <w:uiPriority w:val="99"/>
    <w:semiHidden/>
    <w:unhideWhenUsed/>
    <w:rsid w:val="00E94951"/>
    <w:rPr>
      <w:vertAlign w:val="superscript"/>
    </w:rPr>
  </w:style>
  <w:style w:type="paragraph" w:customStyle="1" w:styleId="Default">
    <w:name w:val="Default"/>
    <w:rsid w:val="00D42B8D"/>
    <w:pPr>
      <w:autoSpaceDE w:val="0"/>
      <w:autoSpaceDN w:val="0"/>
      <w:adjustRightInd w:val="0"/>
    </w:pPr>
    <w:rPr>
      <w:rFonts w:ascii="BOPDNI+Arial" w:eastAsia="Times New Roman" w:hAnsi="BOPDNI+Arial" w:cs="BOPDNI+Arial"/>
      <w:color w:val="000000"/>
      <w:sz w:val="24"/>
      <w:szCs w:val="24"/>
    </w:rPr>
  </w:style>
  <w:style w:type="character" w:styleId="Siln">
    <w:name w:val="Strong"/>
    <w:basedOn w:val="Standardnpsmoodstavce"/>
    <w:uiPriority w:val="22"/>
    <w:qFormat/>
    <w:rsid w:val="00C2020B"/>
    <w:rPr>
      <w:b/>
      <w:bCs/>
    </w:rPr>
  </w:style>
  <w:style w:type="paragraph" w:styleId="Odstavecseseznamem">
    <w:name w:val="List Paragraph"/>
    <w:basedOn w:val="Normln"/>
    <w:uiPriority w:val="34"/>
    <w:rsid w:val="00451B18"/>
    <w:pPr>
      <w:ind w:left="720"/>
      <w:contextualSpacing/>
    </w:pPr>
  </w:style>
  <w:style w:type="character" w:styleId="Odkaznakoment">
    <w:name w:val="annotation reference"/>
    <w:basedOn w:val="Standardnpsmoodstavce"/>
    <w:uiPriority w:val="99"/>
    <w:semiHidden/>
    <w:unhideWhenUsed/>
    <w:rsid w:val="00AD2910"/>
    <w:rPr>
      <w:sz w:val="16"/>
      <w:szCs w:val="16"/>
    </w:rPr>
  </w:style>
  <w:style w:type="paragraph" w:styleId="Textkomente">
    <w:name w:val="annotation text"/>
    <w:basedOn w:val="Normln"/>
    <w:link w:val="TextkomenteChar"/>
    <w:uiPriority w:val="99"/>
    <w:semiHidden/>
    <w:unhideWhenUsed/>
    <w:rsid w:val="00AD2910"/>
    <w:pPr>
      <w:spacing w:line="240" w:lineRule="auto"/>
    </w:pPr>
    <w:rPr>
      <w:szCs w:val="20"/>
    </w:rPr>
  </w:style>
  <w:style w:type="character" w:customStyle="1" w:styleId="TextkomenteChar">
    <w:name w:val="Text komentáře Char"/>
    <w:basedOn w:val="Standardnpsmoodstavce"/>
    <w:link w:val="Textkomente"/>
    <w:uiPriority w:val="99"/>
    <w:semiHidden/>
    <w:rsid w:val="00AD2910"/>
    <w:rPr>
      <w:rFonts w:ascii="Arial" w:hAnsi="Arial"/>
      <w:lang w:eastAsia="en-US"/>
    </w:rPr>
  </w:style>
  <w:style w:type="paragraph" w:styleId="Pedmtkomente">
    <w:name w:val="annotation subject"/>
    <w:basedOn w:val="Textkomente"/>
    <w:next w:val="Textkomente"/>
    <w:link w:val="PedmtkomenteChar"/>
    <w:uiPriority w:val="99"/>
    <w:semiHidden/>
    <w:unhideWhenUsed/>
    <w:rsid w:val="00AD2910"/>
    <w:rPr>
      <w:b/>
      <w:bCs/>
    </w:rPr>
  </w:style>
  <w:style w:type="character" w:customStyle="1" w:styleId="PedmtkomenteChar">
    <w:name w:val="Předmět komentáře Char"/>
    <w:basedOn w:val="TextkomenteChar"/>
    <w:link w:val="Pedmtkomente"/>
    <w:uiPriority w:val="99"/>
    <w:semiHidden/>
    <w:rsid w:val="00AD2910"/>
    <w:rPr>
      <w:b/>
      <w:bCs/>
    </w:rPr>
  </w:style>
</w:styles>
</file>

<file path=word/webSettings.xml><?xml version="1.0" encoding="utf-8"?>
<w:webSettings xmlns:r="http://schemas.openxmlformats.org/officeDocument/2006/relationships" xmlns:w="http://schemas.openxmlformats.org/wordprocessingml/2006/main">
  <w:divs>
    <w:div w:id="219634058">
      <w:bodyDiv w:val="1"/>
      <w:marLeft w:val="0"/>
      <w:marRight w:val="0"/>
      <w:marTop w:val="0"/>
      <w:marBottom w:val="0"/>
      <w:divBdr>
        <w:top w:val="none" w:sz="0" w:space="0" w:color="auto"/>
        <w:left w:val="none" w:sz="0" w:space="0" w:color="auto"/>
        <w:bottom w:val="none" w:sz="0" w:space="0" w:color="auto"/>
        <w:right w:val="none" w:sz="0" w:space="0" w:color="auto"/>
      </w:divBdr>
    </w:div>
    <w:div w:id="375739061">
      <w:bodyDiv w:val="1"/>
      <w:marLeft w:val="0"/>
      <w:marRight w:val="0"/>
      <w:marTop w:val="0"/>
      <w:marBottom w:val="0"/>
      <w:divBdr>
        <w:top w:val="none" w:sz="0" w:space="0" w:color="auto"/>
        <w:left w:val="none" w:sz="0" w:space="0" w:color="auto"/>
        <w:bottom w:val="none" w:sz="0" w:space="0" w:color="auto"/>
        <w:right w:val="none" w:sz="0" w:space="0" w:color="auto"/>
      </w:divBdr>
    </w:div>
    <w:div w:id="627902145">
      <w:bodyDiv w:val="1"/>
      <w:marLeft w:val="0"/>
      <w:marRight w:val="0"/>
      <w:marTop w:val="0"/>
      <w:marBottom w:val="0"/>
      <w:divBdr>
        <w:top w:val="none" w:sz="0" w:space="0" w:color="auto"/>
        <w:left w:val="none" w:sz="0" w:space="0" w:color="auto"/>
        <w:bottom w:val="none" w:sz="0" w:space="0" w:color="auto"/>
        <w:right w:val="none" w:sz="0" w:space="0" w:color="auto"/>
      </w:divBdr>
    </w:div>
    <w:div w:id="1056390256">
      <w:bodyDiv w:val="1"/>
      <w:marLeft w:val="0"/>
      <w:marRight w:val="0"/>
      <w:marTop w:val="0"/>
      <w:marBottom w:val="0"/>
      <w:divBdr>
        <w:top w:val="none" w:sz="0" w:space="0" w:color="auto"/>
        <w:left w:val="none" w:sz="0" w:space="0" w:color="auto"/>
        <w:bottom w:val="none" w:sz="0" w:space="0" w:color="auto"/>
        <w:right w:val="none" w:sz="0" w:space="0" w:color="auto"/>
      </w:divBdr>
    </w:div>
    <w:div w:id="1172984979">
      <w:bodyDiv w:val="1"/>
      <w:marLeft w:val="0"/>
      <w:marRight w:val="0"/>
      <w:marTop w:val="0"/>
      <w:marBottom w:val="0"/>
      <w:divBdr>
        <w:top w:val="none" w:sz="0" w:space="0" w:color="auto"/>
        <w:left w:val="none" w:sz="0" w:space="0" w:color="auto"/>
        <w:bottom w:val="none" w:sz="0" w:space="0" w:color="auto"/>
        <w:right w:val="none" w:sz="0" w:space="0" w:color="auto"/>
      </w:divBdr>
    </w:div>
    <w:div w:id="1465393814">
      <w:bodyDiv w:val="1"/>
      <w:marLeft w:val="0"/>
      <w:marRight w:val="0"/>
      <w:marTop w:val="0"/>
      <w:marBottom w:val="0"/>
      <w:divBdr>
        <w:top w:val="none" w:sz="0" w:space="0" w:color="auto"/>
        <w:left w:val="none" w:sz="0" w:space="0" w:color="auto"/>
        <w:bottom w:val="none" w:sz="0" w:space="0" w:color="auto"/>
        <w:right w:val="none" w:sz="0" w:space="0" w:color="auto"/>
      </w:divBdr>
    </w:div>
    <w:div w:id="1509636011">
      <w:bodyDiv w:val="1"/>
      <w:marLeft w:val="0"/>
      <w:marRight w:val="0"/>
      <w:marTop w:val="0"/>
      <w:marBottom w:val="0"/>
      <w:divBdr>
        <w:top w:val="none" w:sz="0" w:space="0" w:color="auto"/>
        <w:left w:val="none" w:sz="0" w:space="0" w:color="auto"/>
        <w:bottom w:val="none" w:sz="0" w:space="0" w:color="auto"/>
        <w:right w:val="none" w:sz="0" w:space="0" w:color="auto"/>
      </w:divBdr>
    </w:div>
    <w:div w:id="1550990489">
      <w:bodyDiv w:val="1"/>
      <w:marLeft w:val="0"/>
      <w:marRight w:val="0"/>
      <w:marTop w:val="0"/>
      <w:marBottom w:val="0"/>
      <w:divBdr>
        <w:top w:val="none" w:sz="0" w:space="0" w:color="auto"/>
        <w:left w:val="none" w:sz="0" w:space="0" w:color="auto"/>
        <w:bottom w:val="none" w:sz="0" w:space="0" w:color="auto"/>
        <w:right w:val="none" w:sz="0" w:space="0" w:color="auto"/>
      </w:divBdr>
    </w:div>
    <w:div w:id="193705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List_aplikace_Microsoft_Office_Excel_97-20032.xls"/><Relationship Id="rId26" Type="http://schemas.openxmlformats.org/officeDocument/2006/relationships/image" Target="media/image12.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18.emf"/><Relationship Id="rId7" Type="http://schemas.openxmlformats.org/officeDocument/2006/relationships/endnotes" Target="endnotes.xml"/><Relationship Id="rId12" Type="http://schemas.openxmlformats.org/officeDocument/2006/relationships/package" Target="embeddings/List_aplikace_Microsoft_Office_Excel2.xlsx"/><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image" Target="media/image17.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List_aplikace_Microsoft_Office_Excel_97-20031.xls"/><Relationship Id="rId20" Type="http://schemas.openxmlformats.org/officeDocument/2006/relationships/oleObject" Target="embeddings/List_aplikace_Microsoft_Office_Excel_97-20033.xls"/><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0.emf"/><Relationship Id="rId32" Type="http://schemas.openxmlformats.org/officeDocument/2006/relationships/package" Target="embeddings/List_aplikace_Microsoft_Office_Excel4.xlsx"/><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9.emf"/><Relationship Id="rId28" Type="http://schemas.openxmlformats.org/officeDocument/2006/relationships/image" Target="media/image13.png"/><Relationship Id="rId36" Type="http://schemas.openxmlformats.org/officeDocument/2006/relationships/image" Target="media/image20.emf"/><Relationship Id="rId10" Type="http://schemas.openxmlformats.org/officeDocument/2006/relationships/chart" Target="charts/chart1.xml"/><Relationship Id="rId19" Type="http://schemas.openxmlformats.org/officeDocument/2006/relationships/image" Target="media/image6.emf"/><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package" Target="embeddings/List_aplikace_Microsoft_Office_Excel1.xlsx"/><Relationship Id="rId14" Type="http://schemas.openxmlformats.org/officeDocument/2006/relationships/package" Target="embeddings/List_aplikace_Microsoft_Office_Excel3.xlsx"/><Relationship Id="rId22" Type="http://schemas.openxmlformats.org/officeDocument/2006/relationships/image" Target="media/image8.emf"/><Relationship Id="rId27" Type="http://schemas.openxmlformats.org/officeDocument/2006/relationships/oleObject" Target="embeddings/List_aplikace_Microsoft_Office_Excel_97-20034.xls"/><Relationship Id="rId30" Type="http://schemas.openxmlformats.org/officeDocument/2006/relationships/image" Target="media/image15.png"/><Relationship Id="rId35" Type="http://schemas.openxmlformats.org/officeDocument/2006/relationships/image" Target="media/image19.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DUBSKA~1\LOCALS~1\Temp\Anal&#253;za%20CZ.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0.15751941869827607"/>
          <c:y val="0.10987581557339836"/>
          <c:w val="0.77741689028459193"/>
          <c:h val="0.7115415493856555"/>
        </c:manualLayout>
      </c:layout>
      <c:lineChart>
        <c:grouping val="standard"/>
        <c:ser>
          <c:idx val="0"/>
          <c:order val="0"/>
          <c:tx>
            <c:strRef>
              <c:f>List1!$A$18</c:f>
              <c:strCache>
                <c:ptCount val="1"/>
                <c:pt idx="0">
                  <c:v>0 až 14</c:v>
                </c:pt>
              </c:strCache>
            </c:strRef>
          </c:tx>
          <c:marker>
            <c:symbol val="none"/>
          </c:marker>
          <c:cat>
            <c:numRef>
              <c:f>List1!$B$17:$H$17</c:f>
              <c:numCache>
                <c:formatCode>General</c:formatCode>
                <c:ptCount val="7"/>
                <c:pt idx="0">
                  <c:v>1950</c:v>
                </c:pt>
                <c:pt idx="1">
                  <c:v>1961</c:v>
                </c:pt>
                <c:pt idx="2">
                  <c:v>1970</c:v>
                </c:pt>
                <c:pt idx="3">
                  <c:v>1980</c:v>
                </c:pt>
                <c:pt idx="4">
                  <c:v>1991</c:v>
                </c:pt>
                <c:pt idx="5">
                  <c:v>2001</c:v>
                </c:pt>
                <c:pt idx="6">
                  <c:v>2011</c:v>
                </c:pt>
              </c:numCache>
            </c:numRef>
          </c:cat>
          <c:val>
            <c:numRef>
              <c:f>List1!$B$18:$H$18</c:f>
              <c:numCache>
                <c:formatCode>#,##0</c:formatCode>
                <c:ptCount val="7"/>
                <c:pt idx="0">
                  <c:v>2138376</c:v>
                </c:pt>
                <c:pt idx="1">
                  <c:v>2428569</c:v>
                </c:pt>
                <c:pt idx="2">
                  <c:v>2081666</c:v>
                </c:pt>
                <c:pt idx="3">
                  <c:v>2412015</c:v>
                </c:pt>
                <c:pt idx="4">
                  <c:v>2164436</c:v>
                </c:pt>
                <c:pt idx="5">
                  <c:v>1654869</c:v>
                </c:pt>
                <c:pt idx="6" formatCode="###,###,##0">
                  <c:v>1488928</c:v>
                </c:pt>
              </c:numCache>
            </c:numRef>
          </c:val>
        </c:ser>
        <c:ser>
          <c:idx val="1"/>
          <c:order val="1"/>
          <c:tx>
            <c:strRef>
              <c:f>List1!$A$19</c:f>
              <c:strCache>
                <c:ptCount val="1"/>
                <c:pt idx="0">
                  <c:v>15 až 64</c:v>
                </c:pt>
              </c:strCache>
            </c:strRef>
          </c:tx>
          <c:marker>
            <c:symbol val="none"/>
          </c:marker>
          <c:cat>
            <c:numRef>
              <c:f>List1!$B$17:$H$17</c:f>
              <c:numCache>
                <c:formatCode>General</c:formatCode>
                <c:ptCount val="7"/>
                <c:pt idx="0">
                  <c:v>1950</c:v>
                </c:pt>
                <c:pt idx="1">
                  <c:v>1961</c:v>
                </c:pt>
                <c:pt idx="2">
                  <c:v>1970</c:v>
                </c:pt>
                <c:pt idx="3">
                  <c:v>1980</c:v>
                </c:pt>
                <c:pt idx="4">
                  <c:v>1991</c:v>
                </c:pt>
                <c:pt idx="5">
                  <c:v>2001</c:v>
                </c:pt>
                <c:pt idx="6">
                  <c:v>2011</c:v>
                </c:pt>
              </c:numCache>
            </c:numRef>
          </c:cat>
          <c:val>
            <c:numRef>
              <c:f>List1!$B$19:$H$19</c:f>
              <c:numCache>
                <c:formatCode>#,##0</c:formatCode>
                <c:ptCount val="7"/>
                <c:pt idx="0">
                  <c:v>6007202</c:v>
                </c:pt>
                <c:pt idx="1">
                  <c:v>6223844</c:v>
                </c:pt>
                <c:pt idx="2">
                  <c:v>6530667</c:v>
                </c:pt>
                <c:pt idx="3">
                  <c:v>6492249</c:v>
                </c:pt>
                <c:pt idx="4">
                  <c:v>6834465</c:v>
                </c:pt>
                <c:pt idx="5">
                  <c:v>7125439</c:v>
                </c:pt>
                <c:pt idx="6" formatCode="###,###,##0">
                  <c:v>7267169</c:v>
                </c:pt>
              </c:numCache>
            </c:numRef>
          </c:val>
        </c:ser>
        <c:ser>
          <c:idx val="2"/>
          <c:order val="2"/>
          <c:tx>
            <c:strRef>
              <c:f>List1!$A$20</c:f>
              <c:strCache>
                <c:ptCount val="1"/>
                <c:pt idx="0">
                  <c:v>65 a více let</c:v>
                </c:pt>
              </c:strCache>
            </c:strRef>
          </c:tx>
          <c:marker>
            <c:symbol val="none"/>
          </c:marker>
          <c:cat>
            <c:numRef>
              <c:f>List1!$B$17:$H$17</c:f>
              <c:numCache>
                <c:formatCode>General</c:formatCode>
                <c:ptCount val="7"/>
                <c:pt idx="0">
                  <c:v>1950</c:v>
                </c:pt>
                <c:pt idx="1">
                  <c:v>1961</c:v>
                </c:pt>
                <c:pt idx="2">
                  <c:v>1970</c:v>
                </c:pt>
                <c:pt idx="3">
                  <c:v>1980</c:v>
                </c:pt>
                <c:pt idx="4">
                  <c:v>1991</c:v>
                </c:pt>
                <c:pt idx="5">
                  <c:v>2001</c:v>
                </c:pt>
                <c:pt idx="6">
                  <c:v>2011</c:v>
                </c:pt>
              </c:numCache>
            </c:numRef>
          </c:cat>
          <c:val>
            <c:numRef>
              <c:f>List1!$B$20:$H$20</c:f>
              <c:numCache>
                <c:formatCode>#,##0</c:formatCode>
                <c:ptCount val="7"/>
                <c:pt idx="0">
                  <c:v>735269</c:v>
                </c:pt>
                <c:pt idx="1">
                  <c:v>911480</c:v>
                </c:pt>
                <c:pt idx="2">
                  <c:v>1190060</c:v>
                </c:pt>
                <c:pt idx="3">
                  <c:v>1373029</c:v>
                </c:pt>
                <c:pt idx="4">
                  <c:v>1301957</c:v>
                </c:pt>
                <c:pt idx="5">
                  <c:v>1410571</c:v>
                </c:pt>
                <c:pt idx="6" formatCode="###,###,##0">
                  <c:v>1644836</c:v>
                </c:pt>
              </c:numCache>
            </c:numRef>
          </c:val>
        </c:ser>
        <c:ser>
          <c:idx val="3"/>
          <c:order val="3"/>
          <c:tx>
            <c:strRef>
              <c:f>List1!$A$22</c:f>
              <c:strCache>
                <c:ptCount val="1"/>
                <c:pt idx="0">
                  <c:v>obyvatelstvo celkem</c:v>
                </c:pt>
              </c:strCache>
            </c:strRef>
          </c:tx>
          <c:spPr>
            <a:ln>
              <a:solidFill>
                <a:srgbClr val="FFC000"/>
              </a:solidFill>
            </a:ln>
          </c:spPr>
          <c:marker>
            <c:symbol val="none"/>
          </c:marker>
          <c:cat>
            <c:numRef>
              <c:f>List1!$B$17:$H$17</c:f>
              <c:numCache>
                <c:formatCode>General</c:formatCode>
                <c:ptCount val="7"/>
                <c:pt idx="0">
                  <c:v>1950</c:v>
                </c:pt>
                <c:pt idx="1">
                  <c:v>1961</c:v>
                </c:pt>
                <c:pt idx="2">
                  <c:v>1970</c:v>
                </c:pt>
                <c:pt idx="3">
                  <c:v>1980</c:v>
                </c:pt>
                <c:pt idx="4">
                  <c:v>1991</c:v>
                </c:pt>
                <c:pt idx="5">
                  <c:v>2001</c:v>
                </c:pt>
                <c:pt idx="6">
                  <c:v>2011</c:v>
                </c:pt>
              </c:numCache>
            </c:numRef>
          </c:cat>
          <c:val>
            <c:numRef>
              <c:f>List1!$B$22:$H$22</c:f>
              <c:numCache>
                <c:formatCode>#,##0</c:formatCode>
                <c:ptCount val="7"/>
                <c:pt idx="0">
                  <c:v>8896133</c:v>
                </c:pt>
                <c:pt idx="1">
                  <c:v>9571531</c:v>
                </c:pt>
                <c:pt idx="2">
                  <c:v>9807697</c:v>
                </c:pt>
                <c:pt idx="3">
                  <c:v>10291927</c:v>
                </c:pt>
                <c:pt idx="4">
                  <c:v>10302215</c:v>
                </c:pt>
                <c:pt idx="5">
                  <c:v>10230060</c:v>
                </c:pt>
                <c:pt idx="6" formatCode="General">
                  <c:v>10436560</c:v>
                </c:pt>
              </c:numCache>
            </c:numRef>
          </c:val>
        </c:ser>
        <c:marker val="1"/>
        <c:axId val="114819840"/>
        <c:axId val="114821376"/>
      </c:lineChart>
      <c:catAx>
        <c:axId val="114819840"/>
        <c:scaling>
          <c:orientation val="minMax"/>
        </c:scaling>
        <c:axPos val="b"/>
        <c:numFmt formatCode="General" sourceLinked="1"/>
        <c:tickLblPos val="nextTo"/>
        <c:txPr>
          <a:bodyPr/>
          <a:lstStyle/>
          <a:p>
            <a:pPr>
              <a:defRPr sz="1100" baseline="0"/>
            </a:pPr>
            <a:endParaRPr lang="cs-CZ"/>
          </a:p>
        </c:txPr>
        <c:crossAx val="114821376"/>
        <c:crosses val="autoZero"/>
        <c:lblAlgn val="ctr"/>
        <c:lblOffset val="100"/>
      </c:catAx>
      <c:valAx>
        <c:axId val="114821376"/>
        <c:scaling>
          <c:orientation val="minMax"/>
          <c:min val="0"/>
        </c:scaling>
        <c:axPos val="l"/>
        <c:majorGridlines/>
        <c:numFmt formatCode="#,##0" sourceLinked="1"/>
        <c:tickLblPos val="nextTo"/>
        <c:txPr>
          <a:bodyPr/>
          <a:lstStyle/>
          <a:p>
            <a:pPr>
              <a:defRPr sz="1100" baseline="0"/>
            </a:pPr>
            <a:endParaRPr lang="cs-CZ"/>
          </a:p>
        </c:txPr>
        <c:crossAx val="114819840"/>
        <c:crosses val="autoZero"/>
        <c:crossBetween val="midCat"/>
        <c:dispUnits>
          <c:builtInUnit val="thousands"/>
          <c:dispUnitsLbl>
            <c:layout>
              <c:manualLayout>
                <c:xMode val="edge"/>
                <c:yMode val="edge"/>
                <c:x val="1.214135395237758E-2"/>
                <c:y val="0.21200652134435033"/>
              </c:manualLayout>
            </c:layout>
            <c:tx>
              <c:rich>
                <a:bodyPr/>
                <a:lstStyle/>
                <a:p>
                  <a:pPr>
                    <a:defRPr/>
                  </a:pPr>
                  <a:r>
                    <a:rPr lang="cs-CZ" sz="1100" b="0" i="0" baseline="0"/>
                    <a:t>Počet obyvatel v tis</a:t>
                  </a:r>
                  <a:r>
                    <a:rPr lang="cs-CZ" sz="1200" b="0" i="0" baseline="0"/>
                    <a:t>.</a:t>
                  </a:r>
                  <a:endParaRPr lang="en-US" sz="1200" b="0" i="0" baseline="0"/>
                </a:p>
              </c:rich>
            </c:tx>
          </c:dispUnitsLbl>
        </c:dispUnits>
      </c:valAx>
      <c:spPr>
        <a:ln>
          <a:solidFill>
            <a:schemeClr val="bg1">
              <a:lumMod val="75000"/>
            </a:schemeClr>
          </a:solidFill>
        </a:ln>
      </c:spPr>
    </c:plotArea>
    <c:legend>
      <c:legendPos val="r"/>
      <c:layout>
        <c:manualLayout>
          <c:xMode val="edge"/>
          <c:yMode val="edge"/>
          <c:x val="0.14996500437445462"/>
          <c:y val="0.10140154049371279"/>
          <c:w val="0.80928794614958965"/>
          <c:h val="0.10756591700547249"/>
        </c:manualLayout>
      </c:layout>
      <c:txPr>
        <a:bodyPr/>
        <a:lstStyle/>
        <a:p>
          <a:pPr>
            <a:defRPr sz="1000" baseline="0"/>
          </a:pPr>
          <a:endParaRPr lang="cs-CZ"/>
        </a:p>
      </c:txPr>
    </c:legend>
    <c:plotVisOnly val="1"/>
    <c:dispBlanksAs val="gap"/>
  </c:chart>
  <c:spPr>
    <a:ln>
      <a:noFill/>
    </a:ln>
  </c:spPr>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DF77E-2609-418B-AA61-D69A8EE3E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Analýza CZ</Template>
  <TotalTime>0</TotalTime>
  <Pages>16</Pages>
  <Words>3071</Words>
  <Characters>18122</Characters>
  <Application>Microsoft Office Word</Application>
  <DocSecurity>0</DocSecurity>
  <Lines>151</Lines>
  <Paragraphs>42</Paragraphs>
  <ScaleCrop>false</ScaleCrop>
  <HeadingPairs>
    <vt:vector size="2" baseType="variant">
      <vt:variant>
        <vt:lpstr>Název</vt:lpstr>
      </vt:variant>
      <vt:variant>
        <vt:i4>1</vt:i4>
      </vt:variant>
    </vt:vector>
  </HeadingPairs>
  <TitlesOfParts>
    <vt:vector size="1" baseType="lpstr">
      <vt:lpstr/>
    </vt:vector>
  </TitlesOfParts>
  <Company>CSU</Company>
  <LinksUpToDate>false</LinksUpToDate>
  <CharactersWithSpaces>21151</CharactersWithSpaces>
  <SharedDoc>false</SharedDoc>
  <HLinks>
    <vt:vector size="12" baseType="variant">
      <vt:variant>
        <vt:i4>5963832</vt:i4>
      </vt:variant>
      <vt:variant>
        <vt:i4>6</vt:i4>
      </vt:variant>
      <vt:variant>
        <vt:i4>0</vt:i4>
      </vt:variant>
      <vt:variant>
        <vt:i4>5</vt:i4>
      </vt:variant>
      <vt:variant>
        <vt:lpwstr>mailto:drahomira.dubska@czso.cz</vt:lpwstr>
      </vt:variant>
      <vt:variant>
        <vt:lpwstr/>
      </vt:variant>
      <vt:variant>
        <vt:i4>3342357</vt:i4>
      </vt:variant>
      <vt:variant>
        <vt:i4>0</vt:i4>
      </vt:variant>
      <vt:variant>
        <vt:i4>0</vt:i4>
      </vt:variant>
      <vt:variant>
        <vt:i4>5</vt:i4>
      </vt:variant>
      <vt:variant>
        <vt:lpwstr>mailto:infoservis@czso.cz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 Service</dc:creator>
  <cp:lastModifiedBy>operator</cp:lastModifiedBy>
  <cp:revision>3</cp:revision>
  <cp:lastPrinted>2014-03-14T09:30:00Z</cp:lastPrinted>
  <dcterms:created xsi:type="dcterms:W3CDTF">2014-03-18T08:55:00Z</dcterms:created>
  <dcterms:modified xsi:type="dcterms:W3CDTF">2014-03-19T08:09:00Z</dcterms:modified>
</cp:coreProperties>
</file>