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16948" w14:textId="77777777" w:rsidR="00410694" w:rsidRPr="009110F7" w:rsidRDefault="00410694" w:rsidP="00410694">
      <w:pPr>
        <w:pStyle w:val="Nadpis1"/>
      </w:pPr>
      <w:bookmarkStart w:id="0" w:name="_Toc216777586"/>
      <w:bookmarkStart w:id="1" w:name="_Toc169258116"/>
      <w:bookmarkStart w:id="2" w:name="_Toc153531176"/>
      <w:bookmarkStart w:id="3" w:name="_Toc176767107"/>
      <w:bookmarkStart w:id="4" w:name="_Toc161914427"/>
      <w:bookmarkStart w:id="5" w:name="_Toc193366678"/>
      <w:bookmarkStart w:id="6" w:name="_Toc176767109"/>
      <w:r>
        <w:t>2. Souhrnná výkonnost</w:t>
      </w:r>
      <w:bookmarkEnd w:id="0"/>
    </w:p>
    <w:tbl>
      <w:tblPr>
        <w:tblW w:w="9639" w:type="dxa"/>
        <w:tblInd w:w="-20" w:type="dxa"/>
        <w:tblCellMar>
          <w:left w:w="0" w:type="dxa"/>
          <w:right w:w="0" w:type="dxa"/>
        </w:tblCellMar>
        <w:tblLook w:val="00A0" w:firstRow="1" w:lastRow="0" w:firstColumn="1" w:lastColumn="0" w:noHBand="0" w:noVBand="0"/>
      </w:tblPr>
      <w:tblGrid>
        <w:gridCol w:w="1806"/>
        <w:gridCol w:w="210"/>
        <w:gridCol w:w="7623"/>
      </w:tblGrid>
      <w:tr w:rsidR="00410694" w:rsidRPr="009110F7" w14:paraId="2080CD28" w14:textId="77777777" w:rsidTr="00FC03B0">
        <w:trPr>
          <w:trHeight w:val="145"/>
        </w:trPr>
        <w:tc>
          <w:tcPr>
            <w:tcW w:w="1806" w:type="dxa"/>
            <w:tcMar>
              <w:left w:w="0" w:type="dxa"/>
            </w:tcMar>
          </w:tcPr>
          <w:p w14:paraId="5A20CDA4" w14:textId="77777777" w:rsidR="00410694" w:rsidRDefault="00410694" w:rsidP="00FC03B0">
            <w:pPr>
              <w:pStyle w:val="Marginlie"/>
            </w:pPr>
            <w:r>
              <w:t>Růst české ekonomiky zrychlil.</w:t>
            </w:r>
          </w:p>
        </w:tc>
        <w:tc>
          <w:tcPr>
            <w:tcW w:w="210" w:type="dxa"/>
            <w:tcMar>
              <w:left w:w="0" w:type="dxa"/>
            </w:tcMar>
          </w:tcPr>
          <w:p w14:paraId="377DE84B" w14:textId="77777777" w:rsidR="00410694" w:rsidRDefault="00410694" w:rsidP="00FC03B0">
            <w:pPr>
              <w:pStyle w:val="Textpoznpodarou"/>
              <w:jc w:val="both"/>
              <w:rPr>
                <w:spacing w:val="-4"/>
              </w:rPr>
            </w:pPr>
          </w:p>
        </w:tc>
        <w:tc>
          <w:tcPr>
            <w:tcW w:w="7623" w:type="dxa"/>
            <w:tcMar>
              <w:left w:w="0" w:type="dxa"/>
            </w:tcMar>
          </w:tcPr>
          <w:p w14:paraId="7445454F" w14:textId="39A10B10" w:rsidR="00410694" w:rsidRPr="00014ED0" w:rsidRDefault="00410694" w:rsidP="00FC03B0">
            <w:pPr>
              <w:rPr>
                <w:spacing w:val="-2"/>
              </w:rPr>
            </w:pPr>
            <w:r>
              <w:rPr>
                <w:spacing w:val="-2"/>
              </w:rPr>
              <w:t>Česká ekonomika ve 3. čtvrtletí 2025 posilovala a mezičtvrtletní přírůstek hrubého domácího produktu (HDP)</w:t>
            </w:r>
            <w:r w:rsidRPr="00014ED0">
              <w:rPr>
                <w:rStyle w:val="Znakapoznpodarou"/>
                <w:rFonts w:cs="Arial"/>
                <w:spacing w:val="-2"/>
              </w:rPr>
              <w:footnoteReference w:id="1"/>
            </w:r>
            <w:r>
              <w:rPr>
                <w:spacing w:val="-2"/>
              </w:rPr>
              <w:t xml:space="preserve"> zrychlil na 0,8 %. Posílení hospodářského růstu bylo podpořeno zejména zlepšením bilance zahraničního obchodu. K mezičtvrtletnímu růstu mírně přispěla také spotřeba domácností a investice, ve směru poklesu naopak působila změna zásob. Rovněž meziroční růst HDP ve 3. čtvrtletí posílil (na 2,8 %) a přispělo k tomu zlepšení bilance zahraničního obchodu. K meziročnímu růstu HDP ve 3. čtvrtletí přispívaly všechny jeho výdajové složky. Nejvíce se na pozitivní meziroční dynamice podílela spotřeba domácností. Nižší příspěvek měla spotřeba vládních institucí, změna zásob, bilance zahraničního obchodu a investiční aktivita.</w:t>
            </w:r>
          </w:p>
        </w:tc>
      </w:tr>
      <w:tr w:rsidR="00410694" w:rsidRPr="009110F7" w14:paraId="678BDCF6" w14:textId="77777777" w:rsidTr="00FC03B0">
        <w:trPr>
          <w:trHeight w:val="170"/>
        </w:trPr>
        <w:tc>
          <w:tcPr>
            <w:tcW w:w="1806" w:type="dxa"/>
            <w:vMerge w:val="restart"/>
            <w:tcMar>
              <w:left w:w="0" w:type="dxa"/>
            </w:tcMar>
          </w:tcPr>
          <w:p w14:paraId="084B28EA" w14:textId="77777777" w:rsidR="00410694" w:rsidRDefault="00410694" w:rsidP="00FC03B0">
            <w:pPr>
              <w:pStyle w:val="Marginlie"/>
            </w:pPr>
          </w:p>
        </w:tc>
        <w:tc>
          <w:tcPr>
            <w:tcW w:w="210" w:type="dxa"/>
            <w:vMerge w:val="restart"/>
            <w:tcMar>
              <w:left w:w="0" w:type="dxa"/>
            </w:tcMar>
          </w:tcPr>
          <w:p w14:paraId="466D4105" w14:textId="77777777" w:rsidR="00410694" w:rsidRDefault="00410694" w:rsidP="00FC03B0">
            <w:pPr>
              <w:pStyle w:val="Textpoznpodarou"/>
              <w:jc w:val="both"/>
              <w:rPr>
                <w:spacing w:val="-4"/>
              </w:rPr>
            </w:pPr>
          </w:p>
        </w:tc>
        <w:tc>
          <w:tcPr>
            <w:tcW w:w="7623" w:type="dxa"/>
            <w:tcMar>
              <w:left w:w="0" w:type="dxa"/>
            </w:tcMar>
          </w:tcPr>
          <w:p w14:paraId="68643681" w14:textId="77777777" w:rsidR="00410694" w:rsidRPr="00D721B4" w:rsidRDefault="00410694" w:rsidP="00FC03B0">
            <w:pPr>
              <w:spacing w:after="0"/>
              <w:rPr>
                <w:b/>
                <w:szCs w:val="20"/>
              </w:rPr>
            </w:pPr>
            <w:r w:rsidRPr="00D721B4">
              <w:rPr>
                <w:rFonts w:cs="Arial"/>
                <w:b/>
                <w:bCs/>
                <w:color w:val="000000"/>
                <w:szCs w:val="20"/>
              </w:rPr>
              <w:t>Graf č. 1</w:t>
            </w:r>
            <w:r>
              <w:rPr>
                <w:rFonts w:cs="Arial"/>
                <w:b/>
                <w:bCs/>
                <w:color w:val="000000"/>
                <w:szCs w:val="20"/>
              </w:rPr>
              <w:t xml:space="preserve"> </w:t>
            </w:r>
            <w:r w:rsidRPr="00D721B4">
              <w:rPr>
                <w:rFonts w:cs="Arial"/>
                <w:b/>
                <w:szCs w:val="20"/>
                <w:lang w:eastAsia="en-US"/>
              </w:rPr>
              <w:t xml:space="preserve">HDP </w:t>
            </w:r>
            <w:r w:rsidRPr="00D721B4">
              <w:rPr>
                <w:rFonts w:cs="Arial"/>
                <w:bCs/>
                <w:szCs w:val="20"/>
                <w:lang w:eastAsia="en-US"/>
              </w:rPr>
              <w:t>(objemové indexy, očištěno o sezónní a kalendářní vlivy, v</w:t>
            </w:r>
            <w:r>
              <w:rPr>
                <w:rFonts w:cs="Arial"/>
                <w:bCs/>
                <w:szCs w:val="20"/>
                <w:lang w:eastAsia="en-US"/>
              </w:rPr>
              <w:t> %</w:t>
            </w:r>
            <w:r w:rsidRPr="00D721B4">
              <w:rPr>
                <w:rFonts w:cs="Arial"/>
                <w:bCs/>
                <w:szCs w:val="20"/>
                <w:lang w:eastAsia="en-US"/>
              </w:rPr>
              <w:t>)</w:t>
            </w:r>
          </w:p>
        </w:tc>
      </w:tr>
      <w:tr w:rsidR="00410694" w:rsidRPr="009110F7" w14:paraId="57AF2877" w14:textId="77777777" w:rsidTr="000F49A9">
        <w:tblPrEx>
          <w:tblCellMar>
            <w:left w:w="70" w:type="dxa"/>
            <w:right w:w="70" w:type="dxa"/>
          </w:tblCellMar>
        </w:tblPrEx>
        <w:trPr>
          <w:trHeight w:val="170"/>
        </w:trPr>
        <w:tc>
          <w:tcPr>
            <w:tcW w:w="1806" w:type="dxa"/>
            <w:vMerge/>
          </w:tcPr>
          <w:p w14:paraId="7BA8AAFF" w14:textId="77777777" w:rsidR="00410694" w:rsidRPr="009110F7" w:rsidRDefault="00410694" w:rsidP="00FC03B0">
            <w:pPr>
              <w:pStyle w:val="Marginlie"/>
            </w:pPr>
          </w:p>
        </w:tc>
        <w:tc>
          <w:tcPr>
            <w:tcW w:w="210" w:type="dxa"/>
            <w:vMerge/>
          </w:tcPr>
          <w:p w14:paraId="10B4EC7B" w14:textId="77777777" w:rsidR="00410694" w:rsidRPr="009110F7" w:rsidRDefault="00410694" w:rsidP="00FC03B0">
            <w:pPr>
              <w:pStyle w:val="Textpoznpodarou"/>
              <w:jc w:val="both"/>
              <w:rPr>
                <w:spacing w:val="-4"/>
              </w:rPr>
            </w:pPr>
          </w:p>
        </w:tc>
        <w:tc>
          <w:tcPr>
            <w:tcW w:w="7623" w:type="dxa"/>
          </w:tcPr>
          <w:p w14:paraId="07E0D745" w14:textId="74304AE9" w:rsidR="00410694" w:rsidRPr="009110F7" w:rsidRDefault="000F49A9" w:rsidP="00FC03B0">
            <w:pPr>
              <w:spacing w:after="0"/>
            </w:pPr>
            <w:r>
              <w:rPr>
                <w:noProof/>
              </w:rPr>
              <w:drawing>
                <wp:inline distT="0" distB="0" distL="0" distR="0" wp14:anchorId="7BB6D563" wp14:editId="302523D6">
                  <wp:extent cx="4737600" cy="3553200"/>
                  <wp:effectExtent l="0" t="0" r="6350" b="0"/>
                  <wp:docPr id="1203880126" name="Graf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410694" w:rsidRPr="009110F7" w14:paraId="2FCDB192" w14:textId="77777777" w:rsidTr="00FC03B0">
        <w:trPr>
          <w:trHeight w:val="170"/>
        </w:trPr>
        <w:tc>
          <w:tcPr>
            <w:tcW w:w="1806" w:type="dxa"/>
            <w:vMerge/>
            <w:tcMar>
              <w:left w:w="0" w:type="dxa"/>
            </w:tcMar>
          </w:tcPr>
          <w:p w14:paraId="75B0321F" w14:textId="77777777" w:rsidR="00410694" w:rsidRPr="009110F7" w:rsidRDefault="00410694" w:rsidP="00FC03B0">
            <w:pPr>
              <w:pStyle w:val="Marginlie"/>
            </w:pPr>
          </w:p>
        </w:tc>
        <w:tc>
          <w:tcPr>
            <w:tcW w:w="210" w:type="dxa"/>
            <w:vMerge/>
            <w:tcMar>
              <w:left w:w="0" w:type="dxa"/>
            </w:tcMar>
          </w:tcPr>
          <w:p w14:paraId="037FC7C0" w14:textId="77777777" w:rsidR="00410694" w:rsidRPr="009110F7" w:rsidRDefault="00410694" w:rsidP="00FC03B0">
            <w:pPr>
              <w:pStyle w:val="Textpoznpodarou"/>
              <w:jc w:val="both"/>
              <w:rPr>
                <w:spacing w:val="-4"/>
              </w:rPr>
            </w:pPr>
          </w:p>
        </w:tc>
        <w:tc>
          <w:tcPr>
            <w:tcW w:w="7623" w:type="dxa"/>
            <w:tcMar>
              <w:left w:w="0" w:type="dxa"/>
            </w:tcMar>
          </w:tcPr>
          <w:p w14:paraId="581EC739" w14:textId="77777777" w:rsidR="00410694" w:rsidRPr="009110F7" w:rsidRDefault="00410694" w:rsidP="00FC03B0">
            <w:pPr>
              <w:spacing w:after="220"/>
              <w:rPr>
                <w:sz w:val="14"/>
                <w:szCs w:val="14"/>
              </w:rPr>
            </w:pPr>
            <w:r>
              <w:rPr>
                <w:sz w:val="14"/>
                <w:szCs w:val="14"/>
              </w:rPr>
              <w:t>Zdroj: ČSÚ, Eurostat</w:t>
            </w:r>
          </w:p>
        </w:tc>
      </w:tr>
      <w:tr w:rsidR="00410694" w:rsidRPr="009110F7" w14:paraId="7358B675" w14:textId="77777777" w:rsidTr="00FC03B0">
        <w:trPr>
          <w:trHeight w:val="145"/>
        </w:trPr>
        <w:tc>
          <w:tcPr>
            <w:tcW w:w="1806" w:type="dxa"/>
            <w:tcMar>
              <w:left w:w="0" w:type="dxa"/>
            </w:tcMar>
          </w:tcPr>
          <w:p w14:paraId="0121FC0B" w14:textId="77777777" w:rsidR="00410694" w:rsidRDefault="00410694" w:rsidP="00FC03B0">
            <w:pPr>
              <w:pStyle w:val="Marginlie"/>
            </w:pPr>
            <w:r>
              <w:t>HDP v EU si držel mírný mezičtvrtletní přírůstek.</w:t>
            </w:r>
          </w:p>
        </w:tc>
        <w:tc>
          <w:tcPr>
            <w:tcW w:w="210" w:type="dxa"/>
            <w:tcMar>
              <w:left w:w="0" w:type="dxa"/>
            </w:tcMar>
          </w:tcPr>
          <w:p w14:paraId="0FCEE8D9" w14:textId="77777777" w:rsidR="00410694" w:rsidRDefault="00410694" w:rsidP="00FC03B0">
            <w:pPr>
              <w:pStyle w:val="Textpoznpodarou"/>
              <w:jc w:val="both"/>
              <w:rPr>
                <w:spacing w:val="-4"/>
              </w:rPr>
            </w:pPr>
          </w:p>
        </w:tc>
        <w:tc>
          <w:tcPr>
            <w:tcW w:w="7623" w:type="dxa"/>
            <w:tcMar>
              <w:left w:w="0" w:type="dxa"/>
            </w:tcMar>
          </w:tcPr>
          <w:p w14:paraId="0FC77ED0" w14:textId="1A7C74DB" w:rsidR="00410694" w:rsidRDefault="00410694" w:rsidP="00AF1DE9">
            <w:pPr>
              <w:spacing w:after="0"/>
            </w:pPr>
            <w:r>
              <w:t>Ve 3. čtvrtletí HDP v EU mezičtvrtletně vzrostl o 0,</w:t>
            </w:r>
            <w:r w:rsidR="0016649F">
              <w:t>4</w:t>
            </w:r>
            <w:r>
              <w:t xml:space="preserve"> %. </w:t>
            </w:r>
            <w:r w:rsidR="00327D4E">
              <w:t>Navyšovaly se zejména kapitálové výdaje</w:t>
            </w:r>
            <w:r w:rsidR="007457F6">
              <w:t xml:space="preserve"> (1,1 %)</w:t>
            </w:r>
            <w:r w:rsidR="00327D4E">
              <w:t xml:space="preserve"> a mírně rostla spotřeba</w:t>
            </w:r>
            <w:r w:rsidR="007457F6">
              <w:t xml:space="preserve"> (0,3 %)</w:t>
            </w:r>
            <w:r w:rsidR="00327D4E">
              <w:t xml:space="preserve">. </w:t>
            </w:r>
            <w:r w:rsidR="00AF1DE9">
              <w:t xml:space="preserve">Zhoršovala se </w:t>
            </w:r>
            <w:r w:rsidR="00EA7407">
              <w:t xml:space="preserve">bilance zahraničního obchodu. </w:t>
            </w:r>
            <w:r>
              <w:t>Většina ekonomik EU rostla a celkov</w:t>
            </w:r>
            <w:r w:rsidR="00AF1DE9">
              <w:t xml:space="preserve">ě mírnou dynamiku HDP </w:t>
            </w:r>
            <w:r w:rsidR="00943853">
              <w:t xml:space="preserve">v EU </w:t>
            </w:r>
            <w:r>
              <w:t xml:space="preserve">ovlivnila zejména stagnace Německa a minimální růst Itálie (0,1 %). Klesaly jen ekonomiky Finska (−0,3 %), </w:t>
            </w:r>
            <w:r w:rsidR="00CC0E87">
              <w:t xml:space="preserve">Irska (−0,3 %) a </w:t>
            </w:r>
            <w:r>
              <w:t>Rumunska (−0,2 %)</w:t>
            </w:r>
            <w:r w:rsidR="00CC0E87">
              <w:t xml:space="preserve">. </w:t>
            </w:r>
            <w:r>
              <w:t>V</w:t>
            </w:r>
            <w:r w:rsidR="00CC0E87">
              <w:t>e třinácti</w:t>
            </w:r>
            <w:r>
              <w:t xml:space="preserve"> zemích mezičtvrtletní přírůstek HDP překročil 0,5 %, nejvíce posílilo Dánsko (2,3 %)</w:t>
            </w:r>
            <w:r w:rsidR="00BF71A0">
              <w:t>, Lucembursko</w:t>
            </w:r>
            <w:r>
              <w:t xml:space="preserve"> a Švédsko (</w:t>
            </w:r>
            <w:r w:rsidR="00BF71A0">
              <w:t xml:space="preserve">shodně o </w:t>
            </w:r>
            <w:r>
              <w:t>1,1 %), o 0,9 % vzrostly Kypr a Polsko a</w:t>
            </w:r>
            <w:r w:rsidR="002175EA">
              <w:t> </w:t>
            </w:r>
            <w:r>
              <w:t xml:space="preserve">hned za nimi se umístily s 0,8 % Česko, Portugalsko a Slovinsko. Meziročně se HDP v EU zvýšil o 1,6 %. </w:t>
            </w:r>
            <w:r w:rsidR="00252D48">
              <w:t xml:space="preserve">Solidní </w:t>
            </w:r>
            <w:r w:rsidR="005B3361">
              <w:t xml:space="preserve">byl meziroční </w:t>
            </w:r>
            <w:r w:rsidR="00D40F7C">
              <w:t xml:space="preserve">nárůst </w:t>
            </w:r>
            <w:r w:rsidR="005B3361">
              <w:t>investi</w:t>
            </w:r>
            <w:r w:rsidR="00D40F7C">
              <w:t>c</w:t>
            </w:r>
            <w:r w:rsidR="001A4CA3">
              <w:t xml:space="preserve"> (2,7 %)</w:t>
            </w:r>
            <w:r w:rsidR="00D40F7C">
              <w:t xml:space="preserve"> a</w:t>
            </w:r>
            <w:r w:rsidR="001A4CA3">
              <w:t xml:space="preserve"> rostla i spotřeba (</w:t>
            </w:r>
            <w:r w:rsidR="002175EA">
              <w:t>1,5 %</w:t>
            </w:r>
            <w:r w:rsidR="001A4CA3">
              <w:t>).</w:t>
            </w:r>
            <w:r w:rsidR="002175EA">
              <w:t xml:space="preserve"> </w:t>
            </w:r>
            <w:r>
              <w:t>Za úrovní loňského roku zaostala jen finská ekonomika (−0,7 %), nad hranicí stagnace se třetí kvartál v řadě drželo Německo (0,3 %) a pod 1,0 % byl přírůstek HDP také v Maďarsku a Itálii (shodně 0,6 %) a na Slovensku</w:t>
            </w:r>
            <w:r w:rsidR="00AA2DA1">
              <w:t xml:space="preserve"> (0,8 %) a</w:t>
            </w:r>
            <w:r>
              <w:t xml:space="preserve"> ve Francii a v Estonsku (shodně 0,9 %). Jako obvykle se zbytku Unie vymykalo Irsko (1</w:t>
            </w:r>
            <w:r w:rsidR="00AA2DA1">
              <w:t>0,9</w:t>
            </w:r>
            <w:r>
              <w:t xml:space="preserve"> %), ale nad 3 % se dostal přírůstek HDP v Dánsku (3,9 %), Polsku (3,8 %), na Kypru (3,6 %) a v Bulharsku (3,2 %). Také Česko bylo v </w:t>
            </w:r>
            <w:r w:rsidR="00EA6C97">
              <w:t>horní</w:t>
            </w:r>
            <w:r>
              <w:t xml:space="preserve"> čtvrtině žebříčku. </w:t>
            </w:r>
          </w:p>
        </w:tc>
      </w:tr>
      <w:tr w:rsidR="00410694" w:rsidRPr="009110F7" w14:paraId="36D749FE" w14:textId="77777777" w:rsidTr="00FC03B0">
        <w:trPr>
          <w:trHeight w:val="145"/>
        </w:trPr>
        <w:tc>
          <w:tcPr>
            <w:tcW w:w="1806" w:type="dxa"/>
            <w:tcMar>
              <w:left w:w="0" w:type="dxa"/>
            </w:tcMar>
          </w:tcPr>
          <w:p w14:paraId="2D5C943D" w14:textId="77777777" w:rsidR="00410694" w:rsidRDefault="00410694" w:rsidP="00FC03B0">
            <w:pPr>
              <w:pStyle w:val="Marginlie"/>
            </w:pPr>
            <w:r>
              <w:lastRenderedPageBreak/>
              <w:t xml:space="preserve">Mezičtvrtletní růst mezd </w:t>
            </w:r>
            <w:r>
              <w:br/>
              <w:t>a platů oslabil.</w:t>
            </w:r>
          </w:p>
        </w:tc>
        <w:tc>
          <w:tcPr>
            <w:tcW w:w="210" w:type="dxa"/>
            <w:tcMar>
              <w:left w:w="0" w:type="dxa"/>
            </w:tcMar>
          </w:tcPr>
          <w:p w14:paraId="53AFAF6B" w14:textId="77777777" w:rsidR="00410694" w:rsidRDefault="00410694" w:rsidP="00FC03B0">
            <w:pPr>
              <w:pStyle w:val="Textpoznpodarou"/>
              <w:jc w:val="both"/>
              <w:rPr>
                <w:spacing w:val="-4"/>
              </w:rPr>
            </w:pPr>
          </w:p>
        </w:tc>
        <w:tc>
          <w:tcPr>
            <w:tcW w:w="7623" w:type="dxa"/>
            <w:tcMar>
              <w:left w:w="0" w:type="dxa"/>
            </w:tcMar>
          </w:tcPr>
          <w:p w14:paraId="15E96BBF" w14:textId="77777777" w:rsidR="00410694" w:rsidRPr="00014ED0" w:rsidRDefault="00410694" w:rsidP="00FC03B0">
            <w:r>
              <w:t>Mezičtvrtletní růst objemu vyplacených mezd a platů po dvou silných kvartálech ve 3. čtvrtletí zpomalil na 1,2 % při současné stagnaci zaměstnanosti</w:t>
            </w:r>
            <w:r w:rsidRPr="00014ED0">
              <w:rPr>
                <w:rStyle w:val="Znakapoznpodarou"/>
                <w:spacing w:val="-2"/>
              </w:rPr>
              <w:footnoteReference w:id="2"/>
            </w:r>
            <w:r>
              <w:t xml:space="preserve"> (růst o 0,1 %). Reálně se objem mezd a platů mezičtvrtletně zvýšil o 0,9 %</w:t>
            </w:r>
            <w:r>
              <w:rPr>
                <w:rStyle w:val="Znakapoznpodarou"/>
                <w:spacing w:val="-2"/>
              </w:rPr>
              <w:footnoteReference w:id="3"/>
            </w:r>
            <w:r>
              <w:t xml:space="preserve">. Zpomalení celkové mezičtvrtletní dynamiky bylo ovlivněno především váhově významným průmyslem. Zde jako v jediném odvětví mzdy a platy klesaly (−0,6 % při stagnaci zaměstnanosti). Vývoj v samotném zpracovatelském průmyslu se od celého průmyslu v zásadě nelišil. Dále zpomalil růst v uskupení obchod, doprava, ubytování a pohostinství na 1,7 % (zaměstnanost klesla o 0,5 %). Nejvýraznější růst mezd a platů byl zaznamenán v činnostech v oblasti nemovitostí (4,7 %, růst zaměstnanosti o 0,2 %) a dále v profesních, vědeckých, technických a administrativních činnostech (3,7 %, zaměstnanost o 0,2 %). Z velké části růst zaměstnanosti ovlivnil navýšení v informačních a komunikačních činnostech (2,9 %, zaměstnanost o 2,6 %), </w:t>
            </w:r>
            <w:r>
              <w:br/>
              <w:t>v peněžnictví a pojišťovnictví (2,5 %, zaměstnanost o 1,4 %) a stavebnictví (2,5 %, zaměstnanost o 2,5 %). Mírnější bylo pak mezičtvrtletní navýšení mezd a platů v zemědělství, lesnictví a rybářství (1,4 % při poklesu zaměstnanosti o 1,4 %), ostatních činnostech</w:t>
            </w:r>
            <w:r>
              <w:rPr>
                <w:rStyle w:val="Znakapoznpodarou"/>
                <w:spacing w:val="-2"/>
              </w:rPr>
              <w:footnoteReference w:id="4"/>
            </w:r>
            <w:r>
              <w:t xml:space="preserve"> (1,2 % při poklesu zaměstnanosti o 2,9 %) a ve veřejné správě a obraně, vzdělávání, zdravotní a sociální péči (1,0 %, růst zaměstnanosti o 0,3 %).</w:t>
            </w:r>
          </w:p>
        </w:tc>
      </w:tr>
      <w:tr w:rsidR="00410694" w:rsidRPr="009110F7" w14:paraId="3385B3E3" w14:textId="77777777" w:rsidTr="00FC03B0">
        <w:trPr>
          <w:trHeight w:val="145"/>
        </w:trPr>
        <w:tc>
          <w:tcPr>
            <w:tcW w:w="1806" w:type="dxa"/>
            <w:tcMar>
              <w:left w:w="0" w:type="dxa"/>
            </w:tcMar>
          </w:tcPr>
          <w:p w14:paraId="7C3E5350" w14:textId="77777777" w:rsidR="00410694" w:rsidRDefault="00410694" w:rsidP="00FC03B0">
            <w:pPr>
              <w:pStyle w:val="Marginlie"/>
            </w:pPr>
            <w:r>
              <w:t xml:space="preserve">Reálné posilování mezd </w:t>
            </w:r>
            <w:r>
              <w:br/>
              <w:t>a platů zůstalo silné.</w:t>
            </w:r>
          </w:p>
        </w:tc>
        <w:tc>
          <w:tcPr>
            <w:tcW w:w="210" w:type="dxa"/>
            <w:tcMar>
              <w:left w:w="0" w:type="dxa"/>
            </w:tcMar>
          </w:tcPr>
          <w:p w14:paraId="7E0F0D2F" w14:textId="77777777" w:rsidR="00410694" w:rsidRDefault="00410694" w:rsidP="00FC03B0">
            <w:pPr>
              <w:pStyle w:val="Textpoznpodarou"/>
              <w:jc w:val="both"/>
              <w:rPr>
                <w:spacing w:val="-4"/>
              </w:rPr>
            </w:pPr>
          </w:p>
        </w:tc>
        <w:tc>
          <w:tcPr>
            <w:tcW w:w="7623" w:type="dxa"/>
            <w:tcMar>
              <w:left w:w="0" w:type="dxa"/>
            </w:tcMar>
          </w:tcPr>
          <w:p w14:paraId="2279BE49" w14:textId="77777777" w:rsidR="00410694" w:rsidRDefault="00410694" w:rsidP="00FC03B0">
            <w:r>
              <w:t>Meziroční přírůstek objemu vyplacených mezd a platů ve 3. čtvrtletí mírně zpomalil na 7,8 % při současném růstu zaměstnanosti o 1,0 %. Reálný přírůstek zůstal stejně silný jako v předchozím kvartálu (4,7 %). Činnosti v oblasti nemovitostí si stále drží mimořádně silný meziroční nárůst mezd a platů (17,2 % při poklesu zaměstnanosti o 0,7 %), který souvisí s rapidním zdražováním nemovitostí. Posilovalo nadprůměrné tempo růstu mezd a platů v profesních, vědeckých, technických a administrativních činnostech (11,8 % při nárůstu zaměstnanosti o 0,5 %) a ve stavebnictví (10,1 %, zaměstnanost o 2,8 %). Uskupení obchod, doprava, ubytování a pohostinství dosáhlo meziročního přírůstku 9,1 % (zaměstnanost 1,3 %), informační a komunikační činnosti 8,6 % (zaměstnanost o 1,5 %) a nad průměr ekonomiky se dostala i v</w:t>
            </w:r>
            <w:r w:rsidRPr="00A94321">
              <w:t>eřejná správa a</w:t>
            </w:r>
            <w:r>
              <w:t> </w:t>
            </w:r>
            <w:r w:rsidRPr="00A94321">
              <w:t>obrana, vzdělávání, zdravotní a sociální péče</w:t>
            </w:r>
            <w:r>
              <w:t xml:space="preserve"> (8,2 %, zaměstnanost 2,1 %). Navzdory posílení tempa zůstal ve 3. čtvrtletí podprůměrný mzdový růst v zemědělství, lesnictví a rybářství (6,3 %, zaměstnanost −0,1 %), peněžnictví a pojišťovnictví (6,1 %, zaměstnanost 0,1 %) a v ostatních činnostech (5,8 %, zaměstnanost 2,7 %). Zpomalení mzdové dynamiky bylo zaznamenáno v průmyslu (4,4 %), kde tempo brzdila také klesající zaměstnanost (−0,4 %). </w:t>
            </w:r>
          </w:p>
        </w:tc>
      </w:tr>
      <w:tr w:rsidR="00410694" w:rsidRPr="009110F7" w14:paraId="0A28BD98" w14:textId="77777777" w:rsidTr="00FC03B0">
        <w:trPr>
          <w:trHeight w:val="145"/>
        </w:trPr>
        <w:tc>
          <w:tcPr>
            <w:tcW w:w="1806" w:type="dxa"/>
            <w:tcMar>
              <w:left w:w="0" w:type="dxa"/>
            </w:tcMar>
          </w:tcPr>
          <w:p w14:paraId="2B52DC3D" w14:textId="77777777" w:rsidR="00410694" w:rsidRDefault="00410694" w:rsidP="00FC03B0">
            <w:pPr>
              <w:pStyle w:val="Marginlie"/>
            </w:pPr>
            <w:r>
              <w:t>Spotřeba mezičtvrtletně rostla jen mírně.</w:t>
            </w:r>
          </w:p>
        </w:tc>
        <w:tc>
          <w:tcPr>
            <w:tcW w:w="210" w:type="dxa"/>
            <w:tcMar>
              <w:left w:w="0" w:type="dxa"/>
            </w:tcMar>
          </w:tcPr>
          <w:p w14:paraId="24D7E2A8" w14:textId="77777777" w:rsidR="00410694" w:rsidRDefault="00410694" w:rsidP="00FC03B0">
            <w:pPr>
              <w:pStyle w:val="Textpoznpodarou"/>
              <w:jc w:val="both"/>
              <w:rPr>
                <w:spacing w:val="-4"/>
              </w:rPr>
            </w:pPr>
          </w:p>
        </w:tc>
        <w:tc>
          <w:tcPr>
            <w:tcW w:w="7623" w:type="dxa"/>
            <w:tcMar>
              <w:left w:w="0" w:type="dxa"/>
            </w:tcMar>
          </w:tcPr>
          <w:p w14:paraId="091F2059" w14:textId="77777777" w:rsidR="00410694" w:rsidRPr="004B6F8C" w:rsidRDefault="00410694" w:rsidP="00FC03B0">
            <w:pPr>
              <w:rPr>
                <w:spacing w:val="-2"/>
              </w:rPr>
            </w:pPr>
            <w:r>
              <w:rPr>
                <w:spacing w:val="-2"/>
              </w:rPr>
              <w:t>Výdaje na konečnou spotřebu po předchozím silném kvartálu (navýšení o 1,4 %) ve 3. čtvrtletí mezičtvrtletně vzrostly jen o 0,3 %. Výsledný příspěvek k mezičtvrtletnímu růstu HDP tak oslabil na 0,2 p. b.</w:t>
            </w:r>
            <w:r w:rsidRPr="00014ED0">
              <w:rPr>
                <w:rStyle w:val="Znakapoznpodarou"/>
                <w:spacing w:val="-2"/>
              </w:rPr>
              <w:t xml:space="preserve"> </w:t>
            </w:r>
            <w:r w:rsidRPr="00014ED0">
              <w:rPr>
                <w:rStyle w:val="Znakapoznpodarou"/>
                <w:spacing w:val="-2"/>
              </w:rPr>
              <w:footnoteReference w:id="5"/>
            </w:r>
            <w:r>
              <w:rPr>
                <w:spacing w:val="-2"/>
              </w:rPr>
              <w:t xml:space="preserve"> Zpomalil růst spotřeby domácností (0,3 %) i vládních institucí (0,1 %). Z pohledu trvanlivosti</w:t>
            </w:r>
            <w:r>
              <w:rPr>
                <w:rStyle w:val="Znakapoznpodarou"/>
              </w:rPr>
              <w:footnoteReference w:id="6"/>
            </w:r>
            <w:r>
              <w:rPr>
                <w:spacing w:val="-2"/>
              </w:rPr>
              <w:t xml:space="preserve"> mezičtvrtletně rostla především střednědobá spotřeba (2,2 %) a spotřeba služeb (1,6 %). Naopak k nejvýraznějšímu poklesu od začátku roku 2023 došlo u krátkodobé spotřeby (−1,9 %) a nižší byla také dlouhodobá spotřeba (−0,8 %). Meziroční růst spotřeby domácností ve 3. kvartálu zpomalil na 2,7 % a zmírnila se dynamika spotřeby domácností (3,0 %) i vládních institucí (2,0 %). Celkový příspěvek spotřeby k meziročnímu růstu HDP zůstal nejvyšší ze všech výdajových složek (1,6 p. b.). Ve 3. čtvrtletí posílil meziroční růst střednědobé spotřeby (3,2 %) i spotřeby služeb (3,0 %). Naproti tomu se neudržela silná dynamika u krátkodobé spotřeby (3,1 %) a jen mírně se zvyšovala dlouhodobá spotřeba (0,6 %).</w:t>
            </w:r>
          </w:p>
        </w:tc>
      </w:tr>
      <w:tr w:rsidR="00410694" w:rsidRPr="009110F7" w14:paraId="2717531C" w14:textId="77777777" w:rsidTr="00FC03B0">
        <w:trPr>
          <w:trHeight w:val="145"/>
        </w:trPr>
        <w:tc>
          <w:tcPr>
            <w:tcW w:w="1806" w:type="dxa"/>
            <w:tcMar>
              <w:left w:w="0" w:type="dxa"/>
            </w:tcMar>
          </w:tcPr>
          <w:p w14:paraId="57FE19BA" w14:textId="77777777" w:rsidR="00410694" w:rsidRDefault="00410694" w:rsidP="00FC03B0">
            <w:pPr>
              <w:pStyle w:val="Marginlie"/>
            </w:pPr>
            <w:r>
              <w:lastRenderedPageBreak/>
              <w:t>Investiční aktivita pod vlivem investic do staveb rostla.</w:t>
            </w:r>
          </w:p>
        </w:tc>
        <w:tc>
          <w:tcPr>
            <w:tcW w:w="210" w:type="dxa"/>
            <w:tcMar>
              <w:left w:w="0" w:type="dxa"/>
            </w:tcMar>
          </w:tcPr>
          <w:p w14:paraId="4A2DE689" w14:textId="77777777" w:rsidR="00410694" w:rsidRDefault="00410694" w:rsidP="00FC03B0">
            <w:pPr>
              <w:pStyle w:val="Textpoznpodarou"/>
              <w:jc w:val="both"/>
              <w:rPr>
                <w:spacing w:val="-4"/>
              </w:rPr>
            </w:pPr>
          </w:p>
        </w:tc>
        <w:tc>
          <w:tcPr>
            <w:tcW w:w="7623" w:type="dxa"/>
            <w:tcMar>
              <w:left w:w="0" w:type="dxa"/>
            </w:tcMar>
          </w:tcPr>
          <w:p w14:paraId="5DF1FA2C" w14:textId="77777777" w:rsidR="00410694" w:rsidRDefault="00410694" w:rsidP="00FC03B0">
            <w:pPr>
              <w:rPr>
                <w:spacing w:val="-2"/>
              </w:rPr>
            </w:pPr>
            <w:r>
              <w:rPr>
                <w:spacing w:val="-2"/>
              </w:rPr>
              <w:t>Po pěti předchozích kvartálech růstu došlo ve 3. čtvrtletí k mezičtvrtletnímu poklesu výdajů na tvorbu hrubého kapitálu o 0,2 %. Z toho výdaje na tvorbu hrubého fixního kapitálu (investiční aktivita) se mírně zvýšily o 0,4 %. Na mezičtvrtletní růst kapitálových výdajů i celého HDP tak negativně působila změna zásob</w:t>
            </w:r>
            <w:r>
              <w:rPr>
                <w:rStyle w:val="Znakapoznpodarou"/>
              </w:rPr>
              <w:footnoteReference w:id="7"/>
            </w:r>
            <w:r>
              <w:rPr>
                <w:spacing w:val="-2"/>
              </w:rPr>
              <w:t xml:space="preserve">. Věcné členění mezičtvrtletního růstu investiční aktivity korespondovalo s aktuálním pozitivním vývojem ve stavebnictví. Výdaje na obydlí byly mezičtvrtletně vyšší o 2,8 % a na ostatní budovy </w:t>
            </w:r>
            <w:r>
              <w:rPr>
                <w:spacing w:val="-2"/>
              </w:rPr>
              <w:br/>
              <w:t xml:space="preserve">a stavby dokonce o 8,2 %. Klesaly ale investice do dopravních prostředků a zařízení (−9,3 %), produktů duševního vlastnictví (−4,7 %) i ICT a ostatních strojů a zařízení (−1,2 %). Meziročně se kapitálové výdaje zvýšily o 3,3 % a přírůstek oproti předchozímu čtvrtletí oslabil. Tempo samotné investiční aktivity posílilo na 1,7 %. Změna zásob působila ve směru růstu HDP pozitivně, ale značně slaběji než v předchozích třech kvartálech. Investice do obydlí vzrostly meziročně o 3,0 % a do ostatních budov a staveb o 11,0 %. Jen drobný byl meziroční nárůst výdajů na ICT a ostatní stroje a zařízení (0,6 %). Výrazný meziroční propad byl zachycen u investic do dopravních prostředků </w:t>
            </w:r>
            <w:r>
              <w:rPr>
                <w:spacing w:val="-2"/>
              </w:rPr>
              <w:br/>
              <w:t xml:space="preserve">a zařízení (−11,0 %) a produktů duševního vlastnictví (−3,5 %).  </w:t>
            </w:r>
          </w:p>
        </w:tc>
      </w:tr>
      <w:tr w:rsidR="00410694" w:rsidRPr="009110F7" w14:paraId="5AA8323C" w14:textId="77777777" w:rsidTr="00FC03B0">
        <w:trPr>
          <w:trHeight w:val="154"/>
        </w:trPr>
        <w:tc>
          <w:tcPr>
            <w:tcW w:w="1806" w:type="dxa"/>
            <w:vMerge w:val="restart"/>
            <w:tcMar>
              <w:left w:w="0" w:type="dxa"/>
            </w:tcMar>
          </w:tcPr>
          <w:p w14:paraId="44DC2CF1" w14:textId="77777777" w:rsidR="00410694" w:rsidRDefault="00410694" w:rsidP="00FC03B0">
            <w:pPr>
              <w:pStyle w:val="Marginlie"/>
            </w:pPr>
          </w:p>
        </w:tc>
        <w:tc>
          <w:tcPr>
            <w:tcW w:w="210" w:type="dxa"/>
            <w:vMerge w:val="restart"/>
            <w:tcMar>
              <w:left w:w="0" w:type="dxa"/>
            </w:tcMar>
          </w:tcPr>
          <w:p w14:paraId="4DB4F63D" w14:textId="77777777" w:rsidR="00410694" w:rsidRDefault="00410694" w:rsidP="00FC03B0">
            <w:pPr>
              <w:pStyle w:val="Textpoznpodarou"/>
              <w:jc w:val="both"/>
              <w:rPr>
                <w:spacing w:val="-4"/>
              </w:rPr>
            </w:pPr>
          </w:p>
        </w:tc>
        <w:tc>
          <w:tcPr>
            <w:tcW w:w="7623" w:type="dxa"/>
            <w:tcMar>
              <w:left w:w="0" w:type="dxa"/>
            </w:tcMar>
          </w:tcPr>
          <w:p w14:paraId="32575016" w14:textId="77777777" w:rsidR="00410694" w:rsidRDefault="00410694" w:rsidP="00FC03B0">
            <w:pPr>
              <w:spacing w:after="0"/>
            </w:pPr>
            <w:r w:rsidRPr="00D721B4">
              <w:rPr>
                <w:b/>
                <w:szCs w:val="20"/>
              </w:rPr>
              <w:t>Graf č. 2</w:t>
            </w:r>
            <w:r>
              <w:rPr>
                <w:b/>
                <w:szCs w:val="20"/>
              </w:rPr>
              <w:t xml:space="preserve"> </w:t>
            </w:r>
            <w:r w:rsidRPr="00D721B4">
              <w:rPr>
                <w:rFonts w:cs="Arial"/>
                <w:b/>
                <w:szCs w:val="20"/>
                <w:lang w:eastAsia="en-US"/>
              </w:rPr>
              <w:t xml:space="preserve">Příspěvky výdajových složek k reálné změně HDP* </w:t>
            </w:r>
            <w:r w:rsidRPr="00D721B4">
              <w:rPr>
                <w:rFonts w:cs="Arial"/>
                <w:bCs/>
                <w:szCs w:val="20"/>
                <w:lang w:eastAsia="en-US"/>
              </w:rPr>
              <w:t>(objemové indexy, meziroční růst, příspěvky v p. b., HDP v</w:t>
            </w:r>
            <w:r>
              <w:rPr>
                <w:rFonts w:cs="Arial"/>
                <w:bCs/>
                <w:szCs w:val="20"/>
                <w:lang w:eastAsia="en-US"/>
              </w:rPr>
              <w:t> %</w:t>
            </w:r>
            <w:r w:rsidRPr="00D721B4">
              <w:rPr>
                <w:rFonts w:cs="Arial"/>
                <w:bCs/>
                <w:szCs w:val="20"/>
                <w:lang w:eastAsia="en-US"/>
              </w:rPr>
              <w:t>)</w:t>
            </w:r>
          </w:p>
        </w:tc>
      </w:tr>
      <w:tr w:rsidR="00410694" w:rsidRPr="009110F7" w14:paraId="30489E59" w14:textId="77777777" w:rsidTr="00FC03B0">
        <w:tblPrEx>
          <w:tblCellMar>
            <w:left w:w="70" w:type="dxa"/>
            <w:right w:w="70" w:type="dxa"/>
          </w:tblCellMar>
        </w:tblPrEx>
        <w:trPr>
          <w:trHeight w:val="154"/>
        </w:trPr>
        <w:tc>
          <w:tcPr>
            <w:tcW w:w="1806" w:type="dxa"/>
            <w:vMerge/>
          </w:tcPr>
          <w:p w14:paraId="019C0443" w14:textId="77777777" w:rsidR="00410694" w:rsidRDefault="00410694" w:rsidP="00FC03B0">
            <w:pPr>
              <w:pStyle w:val="Marginlie"/>
            </w:pPr>
          </w:p>
        </w:tc>
        <w:tc>
          <w:tcPr>
            <w:tcW w:w="210" w:type="dxa"/>
            <w:vMerge/>
          </w:tcPr>
          <w:p w14:paraId="595C375C" w14:textId="77777777" w:rsidR="00410694" w:rsidRDefault="00410694" w:rsidP="00FC03B0">
            <w:pPr>
              <w:pStyle w:val="Textpoznpodarou"/>
              <w:jc w:val="both"/>
              <w:rPr>
                <w:spacing w:val="-4"/>
              </w:rPr>
            </w:pPr>
          </w:p>
        </w:tc>
        <w:tc>
          <w:tcPr>
            <w:tcW w:w="7623" w:type="dxa"/>
          </w:tcPr>
          <w:p w14:paraId="41C4A707" w14:textId="77777777" w:rsidR="00410694" w:rsidRDefault="00410694" w:rsidP="00FC03B0">
            <w:pPr>
              <w:spacing w:after="0"/>
            </w:pPr>
            <w:r>
              <w:rPr>
                <w:noProof/>
              </w:rPr>
              <w:drawing>
                <wp:inline distT="0" distB="0" distL="0" distR="0" wp14:anchorId="61D55989" wp14:editId="50D8BB8E">
                  <wp:extent cx="4737600" cy="3553200"/>
                  <wp:effectExtent l="0" t="0" r="6350" b="0"/>
                  <wp:docPr id="898450279" name="Graf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410694" w:rsidRPr="009110F7" w14:paraId="57928F53" w14:textId="77777777" w:rsidTr="00FC03B0">
        <w:trPr>
          <w:trHeight w:val="154"/>
        </w:trPr>
        <w:tc>
          <w:tcPr>
            <w:tcW w:w="1806" w:type="dxa"/>
            <w:vMerge/>
            <w:tcMar>
              <w:left w:w="0" w:type="dxa"/>
            </w:tcMar>
          </w:tcPr>
          <w:p w14:paraId="6CEF77E6" w14:textId="77777777" w:rsidR="00410694" w:rsidRDefault="00410694" w:rsidP="00FC03B0">
            <w:pPr>
              <w:pStyle w:val="Marginlie"/>
            </w:pPr>
          </w:p>
        </w:tc>
        <w:tc>
          <w:tcPr>
            <w:tcW w:w="210" w:type="dxa"/>
            <w:vMerge/>
            <w:tcMar>
              <w:left w:w="0" w:type="dxa"/>
            </w:tcMar>
          </w:tcPr>
          <w:p w14:paraId="39D79BE8" w14:textId="77777777" w:rsidR="00410694" w:rsidRDefault="00410694" w:rsidP="00FC03B0">
            <w:pPr>
              <w:pStyle w:val="Textpoznpodarou"/>
              <w:jc w:val="both"/>
              <w:rPr>
                <w:spacing w:val="-4"/>
              </w:rPr>
            </w:pPr>
          </w:p>
        </w:tc>
        <w:tc>
          <w:tcPr>
            <w:tcW w:w="7623" w:type="dxa"/>
            <w:tcMar>
              <w:left w:w="0" w:type="dxa"/>
            </w:tcMar>
          </w:tcPr>
          <w:p w14:paraId="1F84D5BF" w14:textId="77777777" w:rsidR="00410694" w:rsidRDefault="00410694" w:rsidP="00FC03B0">
            <w:pPr>
              <w:spacing w:after="0"/>
              <w:rPr>
                <w:sz w:val="14"/>
                <w:szCs w:val="14"/>
              </w:rPr>
            </w:pPr>
            <w:r>
              <w:rPr>
                <w:sz w:val="14"/>
                <w:szCs w:val="14"/>
              </w:rPr>
              <w:t>Zdroj: ČSÚ</w:t>
            </w:r>
          </w:p>
          <w:p w14:paraId="4608B848" w14:textId="77777777" w:rsidR="00410694" w:rsidRDefault="00410694" w:rsidP="00FC03B0">
            <w:r>
              <w:rPr>
                <w:sz w:val="14"/>
                <w:szCs w:val="14"/>
              </w:rPr>
              <w:t>* po vyloučení dovozu pro konečné užití</w:t>
            </w:r>
          </w:p>
        </w:tc>
      </w:tr>
      <w:tr w:rsidR="00410694" w:rsidRPr="009110F7" w14:paraId="24483016" w14:textId="77777777" w:rsidTr="00FC03B0">
        <w:trPr>
          <w:trHeight w:val="145"/>
        </w:trPr>
        <w:tc>
          <w:tcPr>
            <w:tcW w:w="1806" w:type="dxa"/>
            <w:tcMar>
              <w:left w:w="0" w:type="dxa"/>
            </w:tcMar>
          </w:tcPr>
          <w:p w14:paraId="2C9155F2" w14:textId="77777777" w:rsidR="00410694" w:rsidRDefault="00410694" w:rsidP="00FC03B0">
            <w:pPr>
              <w:pStyle w:val="Marginlie"/>
            </w:pPr>
            <w:r>
              <w:t>Bilance zahraničního obchodu se zlepšila.</w:t>
            </w:r>
          </w:p>
        </w:tc>
        <w:tc>
          <w:tcPr>
            <w:tcW w:w="210" w:type="dxa"/>
            <w:tcMar>
              <w:left w:w="0" w:type="dxa"/>
            </w:tcMar>
          </w:tcPr>
          <w:p w14:paraId="5E9AE2E1" w14:textId="77777777" w:rsidR="00410694" w:rsidRDefault="00410694" w:rsidP="00FC03B0">
            <w:pPr>
              <w:pStyle w:val="Textpoznpodarou"/>
              <w:jc w:val="both"/>
              <w:rPr>
                <w:spacing w:val="-4"/>
              </w:rPr>
            </w:pPr>
          </w:p>
        </w:tc>
        <w:tc>
          <w:tcPr>
            <w:tcW w:w="7623" w:type="dxa"/>
            <w:tcMar>
              <w:left w:w="0" w:type="dxa"/>
            </w:tcMar>
          </w:tcPr>
          <w:p w14:paraId="76FEB3E4" w14:textId="5D8C2F54" w:rsidR="00410694" w:rsidRDefault="00410694" w:rsidP="00FC03B0">
            <w:r>
              <w:t>Výrazně pozitivní působení bilance zahraničního obchodu na mezičtvrtletní růst HDP bylo zapříčiněno zrychlením reálného růstu exportu zboží a služeb na 1,0 % za současné stagnace dovozu</w:t>
            </w:r>
            <w:r w:rsidRPr="009110F7">
              <w:rPr>
                <w:rStyle w:val="Znakapoznpodarou"/>
              </w:rPr>
              <w:footnoteReference w:id="8"/>
            </w:r>
            <w:r>
              <w:t xml:space="preserve">. Příznivý vývoj vývozu ovlivnily především výsledky služeb (mezičtvrtletní nárůst o 4,1 %), export zboží byl vyšší jen o 0,3 %. Meziroční přírůstek exportu zboží a služeb ve 3. kvartálu zpomalil na 3,4 %. Vliv na to měl vývoj vývozu zboží (navýšení se zmírnilo na 3,2 %), u služeb došlo k mírnému zrychlení přírůstku na 4,5 %. Dovoz zboží a služeb meziročně vzrostl o 3,7 %. Celková bilance zahraničního obchodu se zbožím a službami ve 3. čtvrtletí dosáhla přebytku 128,3 mld. korun. </w:t>
            </w:r>
            <w:r w:rsidR="00F70D20">
              <w:t xml:space="preserve">V celé </w:t>
            </w:r>
            <w:r w:rsidR="00F70D20">
              <w:lastRenderedPageBreak/>
              <w:t>časové řadě š</w:t>
            </w:r>
            <w:r>
              <w:t>lo o nejvyšší zaznamenaný přebytek za toto období roku. Mezičtvrtletně se bilance zlepšila o 12,8 mld. korun, z toho přebytek obchodu se zbožím byl vyšší o 2,6 mld. a se službami o 10,2 mld. Meziročně bylo kladné saldo vyšší o</w:t>
            </w:r>
            <w:r w:rsidR="00710078">
              <w:t> </w:t>
            </w:r>
            <w:r>
              <w:t>10,1</w:t>
            </w:r>
            <w:r w:rsidR="00710078">
              <w:t> </w:t>
            </w:r>
            <w:r>
              <w:t xml:space="preserve">mld. korun, přičemž bilance obchodu se zbožím se zlepšila o 3,3 mld. a se službami o 6,7 mld.  </w:t>
            </w:r>
          </w:p>
        </w:tc>
      </w:tr>
      <w:tr w:rsidR="00410694" w:rsidRPr="009110F7" w14:paraId="275CDE3A" w14:textId="77777777" w:rsidTr="00FC03B0">
        <w:trPr>
          <w:trHeight w:val="145"/>
        </w:trPr>
        <w:tc>
          <w:tcPr>
            <w:tcW w:w="1806" w:type="dxa"/>
            <w:tcMar>
              <w:left w:w="0" w:type="dxa"/>
            </w:tcMar>
          </w:tcPr>
          <w:p w14:paraId="00697205" w14:textId="77777777" w:rsidR="00410694" w:rsidRDefault="00410694" w:rsidP="00FC03B0">
            <w:pPr>
              <w:pStyle w:val="Marginlie"/>
            </w:pPr>
            <w:r>
              <w:lastRenderedPageBreak/>
              <w:t>HPH ve stavebnictví rostla mimořádným tempem.</w:t>
            </w:r>
          </w:p>
        </w:tc>
        <w:tc>
          <w:tcPr>
            <w:tcW w:w="210" w:type="dxa"/>
            <w:tcMar>
              <w:left w:w="0" w:type="dxa"/>
            </w:tcMar>
          </w:tcPr>
          <w:p w14:paraId="6847DBDE" w14:textId="77777777" w:rsidR="00410694" w:rsidRDefault="00410694" w:rsidP="00FC03B0">
            <w:pPr>
              <w:pStyle w:val="Textpoznpodarou"/>
              <w:jc w:val="both"/>
              <w:rPr>
                <w:spacing w:val="-4"/>
              </w:rPr>
            </w:pPr>
          </w:p>
        </w:tc>
        <w:tc>
          <w:tcPr>
            <w:tcW w:w="7623" w:type="dxa"/>
            <w:tcMar>
              <w:left w:w="0" w:type="dxa"/>
            </w:tcMar>
          </w:tcPr>
          <w:p w14:paraId="27CABA61" w14:textId="77777777" w:rsidR="00410694" w:rsidRDefault="00410694" w:rsidP="00FC03B0">
            <w:r>
              <w:t>Mezičtvrtletní růst hrubé přidané hodnoty (HPH) ve 3. čtvrtletí zrychlil na 0,9 % a podporovala jej široká paleta odvětví napříč ekonomikou. Nejvíce mezičtvrtletně rostla HPH ve stavebnictví, pro které byl nárůst o 4,2 % nejsilnějším výsledkem od 2. kvartálu 2006. Dařilo se také řadě odvětví služeb, nejvíce ostatním činnostem (2,3 %), peněžnictví a pojišťovnictví (2,3 %) a informačním a komunikačním činnostem (2,0 %). Mírněji rostla HPH v profesních, vědeckých, technických a administrativních činnostech (0,9 %), veřejné správě a obraně, vzdělávání, zdravotní a sociální péči (0,9 %), činnostech v oblasti nemovitostí (0,7 %) a v uskupení obchod, doprava, ubytování a pohostinství (0,5 %). Průmysl jako celek pokračoval ve stagnaci (pokles HPH o 0,1 %), ačkoli samotný zpracovatelský průmysl mírně rostl (0,3 %).</w:t>
            </w:r>
          </w:p>
        </w:tc>
      </w:tr>
      <w:tr w:rsidR="00410694" w:rsidRPr="009110F7" w14:paraId="50B2D87B" w14:textId="77777777" w:rsidTr="00FC03B0">
        <w:trPr>
          <w:trHeight w:val="170"/>
        </w:trPr>
        <w:tc>
          <w:tcPr>
            <w:tcW w:w="1806" w:type="dxa"/>
            <w:vMerge w:val="restart"/>
            <w:tcMar>
              <w:left w:w="0" w:type="dxa"/>
            </w:tcMar>
          </w:tcPr>
          <w:p w14:paraId="30C61962" w14:textId="77777777" w:rsidR="00410694" w:rsidRDefault="00410694" w:rsidP="00FC03B0">
            <w:pPr>
              <w:pStyle w:val="Marginlie"/>
            </w:pPr>
          </w:p>
        </w:tc>
        <w:tc>
          <w:tcPr>
            <w:tcW w:w="210" w:type="dxa"/>
            <w:vMerge w:val="restart"/>
            <w:tcMar>
              <w:left w:w="0" w:type="dxa"/>
            </w:tcMar>
          </w:tcPr>
          <w:p w14:paraId="3AC894ED" w14:textId="77777777" w:rsidR="00410694" w:rsidRDefault="00410694" w:rsidP="00FC03B0">
            <w:pPr>
              <w:pStyle w:val="Textpoznpodarou"/>
              <w:jc w:val="both"/>
              <w:rPr>
                <w:spacing w:val="-4"/>
              </w:rPr>
            </w:pPr>
          </w:p>
        </w:tc>
        <w:tc>
          <w:tcPr>
            <w:tcW w:w="7623" w:type="dxa"/>
            <w:tcMar>
              <w:left w:w="0" w:type="dxa"/>
            </w:tcMar>
          </w:tcPr>
          <w:p w14:paraId="3C061726" w14:textId="77777777" w:rsidR="00410694" w:rsidRDefault="00410694" w:rsidP="00FC03B0">
            <w:pPr>
              <w:spacing w:after="0"/>
            </w:pPr>
            <w:r w:rsidRPr="00D721B4">
              <w:rPr>
                <w:b/>
                <w:szCs w:val="20"/>
              </w:rPr>
              <w:t>Graf č. 3</w:t>
            </w:r>
            <w:r>
              <w:rPr>
                <w:b/>
                <w:szCs w:val="20"/>
              </w:rPr>
              <w:t xml:space="preserve"> </w:t>
            </w:r>
            <w:r w:rsidRPr="00D721B4">
              <w:rPr>
                <w:rFonts w:cs="Arial"/>
                <w:b/>
                <w:szCs w:val="20"/>
                <w:lang w:eastAsia="en-US"/>
              </w:rPr>
              <w:t xml:space="preserve">Příspěvky odvětví k reálné změně HPH </w:t>
            </w:r>
            <w:r w:rsidRPr="00D721B4">
              <w:rPr>
                <w:rFonts w:cs="Arial"/>
                <w:bCs/>
                <w:szCs w:val="20"/>
                <w:lang w:eastAsia="en-US"/>
              </w:rPr>
              <w:t>(objemové indexy, meziroční příspěvky v p. b., HPH v</w:t>
            </w:r>
            <w:r>
              <w:rPr>
                <w:rFonts w:cs="Arial"/>
                <w:bCs/>
                <w:szCs w:val="20"/>
                <w:lang w:eastAsia="en-US"/>
              </w:rPr>
              <w:t> %</w:t>
            </w:r>
            <w:r w:rsidRPr="00D721B4">
              <w:rPr>
                <w:rFonts w:cs="Arial"/>
                <w:bCs/>
                <w:szCs w:val="20"/>
                <w:lang w:eastAsia="en-US"/>
              </w:rPr>
              <w:t>)</w:t>
            </w:r>
          </w:p>
        </w:tc>
      </w:tr>
      <w:tr w:rsidR="00410694" w:rsidRPr="009110F7" w14:paraId="378FFDAA" w14:textId="77777777" w:rsidTr="00FC03B0">
        <w:tblPrEx>
          <w:tblCellMar>
            <w:left w:w="70" w:type="dxa"/>
            <w:right w:w="70" w:type="dxa"/>
          </w:tblCellMar>
        </w:tblPrEx>
        <w:trPr>
          <w:trHeight w:val="170"/>
        </w:trPr>
        <w:tc>
          <w:tcPr>
            <w:tcW w:w="1806" w:type="dxa"/>
            <w:vMerge/>
          </w:tcPr>
          <w:p w14:paraId="7827D20D" w14:textId="77777777" w:rsidR="00410694" w:rsidRDefault="00410694" w:rsidP="00FC03B0">
            <w:pPr>
              <w:pStyle w:val="Marginlie"/>
            </w:pPr>
          </w:p>
        </w:tc>
        <w:tc>
          <w:tcPr>
            <w:tcW w:w="210" w:type="dxa"/>
            <w:vMerge/>
          </w:tcPr>
          <w:p w14:paraId="2AB24817" w14:textId="77777777" w:rsidR="00410694" w:rsidRDefault="00410694" w:rsidP="00FC03B0">
            <w:pPr>
              <w:pStyle w:val="Textpoznpodarou"/>
              <w:jc w:val="both"/>
              <w:rPr>
                <w:spacing w:val="-4"/>
              </w:rPr>
            </w:pPr>
          </w:p>
        </w:tc>
        <w:tc>
          <w:tcPr>
            <w:tcW w:w="7623" w:type="dxa"/>
          </w:tcPr>
          <w:p w14:paraId="14846E81" w14:textId="77777777" w:rsidR="00410694" w:rsidRDefault="00410694" w:rsidP="00FC03B0">
            <w:pPr>
              <w:spacing w:after="0"/>
            </w:pPr>
            <w:r>
              <w:rPr>
                <w:noProof/>
              </w:rPr>
              <w:drawing>
                <wp:inline distT="0" distB="0" distL="0" distR="0" wp14:anchorId="25A007CF" wp14:editId="07586625">
                  <wp:extent cx="4737600" cy="3486525"/>
                  <wp:effectExtent l="0" t="0" r="6350" b="0"/>
                  <wp:docPr id="950181038" name="Graf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410694" w:rsidRPr="009110F7" w14:paraId="4EF06267" w14:textId="77777777" w:rsidTr="00FC03B0">
        <w:trPr>
          <w:trHeight w:val="170"/>
        </w:trPr>
        <w:tc>
          <w:tcPr>
            <w:tcW w:w="1806" w:type="dxa"/>
            <w:vMerge/>
            <w:tcMar>
              <w:left w:w="0" w:type="dxa"/>
            </w:tcMar>
          </w:tcPr>
          <w:p w14:paraId="2A034271" w14:textId="77777777" w:rsidR="00410694" w:rsidRDefault="00410694" w:rsidP="00FC03B0">
            <w:pPr>
              <w:pStyle w:val="Marginlie"/>
            </w:pPr>
          </w:p>
        </w:tc>
        <w:tc>
          <w:tcPr>
            <w:tcW w:w="210" w:type="dxa"/>
            <w:vMerge/>
            <w:tcMar>
              <w:left w:w="0" w:type="dxa"/>
            </w:tcMar>
          </w:tcPr>
          <w:p w14:paraId="5A18C12A" w14:textId="77777777" w:rsidR="00410694" w:rsidRDefault="00410694" w:rsidP="00FC03B0">
            <w:pPr>
              <w:pStyle w:val="Textpoznpodarou"/>
              <w:jc w:val="both"/>
              <w:rPr>
                <w:spacing w:val="-4"/>
              </w:rPr>
            </w:pPr>
          </w:p>
        </w:tc>
        <w:tc>
          <w:tcPr>
            <w:tcW w:w="7623" w:type="dxa"/>
            <w:tcMar>
              <w:left w:w="0" w:type="dxa"/>
            </w:tcMar>
          </w:tcPr>
          <w:p w14:paraId="02B7597B" w14:textId="77777777" w:rsidR="00410694" w:rsidRDefault="00410694" w:rsidP="00FC03B0">
            <w:r w:rsidRPr="00A85DE1">
              <w:rPr>
                <w:sz w:val="14"/>
                <w:szCs w:val="14"/>
              </w:rPr>
              <w:t>Zdroj: ČSÚ</w:t>
            </w:r>
          </w:p>
        </w:tc>
      </w:tr>
      <w:tr w:rsidR="00410694" w:rsidRPr="009110F7" w14:paraId="36A1E944" w14:textId="77777777" w:rsidTr="00FC03B0">
        <w:trPr>
          <w:trHeight w:val="145"/>
        </w:trPr>
        <w:tc>
          <w:tcPr>
            <w:tcW w:w="1806" w:type="dxa"/>
            <w:tcMar>
              <w:left w:w="0" w:type="dxa"/>
            </w:tcMar>
          </w:tcPr>
          <w:p w14:paraId="76FBF564" w14:textId="77777777" w:rsidR="00410694" w:rsidRDefault="00410694" w:rsidP="00FC03B0">
            <w:pPr>
              <w:pStyle w:val="Marginlie"/>
            </w:pPr>
            <w:r>
              <w:t>Meziročně rostly zejména služby.</w:t>
            </w:r>
          </w:p>
        </w:tc>
        <w:tc>
          <w:tcPr>
            <w:tcW w:w="210" w:type="dxa"/>
            <w:tcMar>
              <w:left w:w="0" w:type="dxa"/>
            </w:tcMar>
          </w:tcPr>
          <w:p w14:paraId="3B01E45B" w14:textId="77777777" w:rsidR="00410694" w:rsidRDefault="00410694" w:rsidP="00FC03B0">
            <w:pPr>
              <w:pStyle w:val="Textpoznpodarou"/>
              <w:jc w:val="both"/>
              <w:rPr>
                <w:spacing w:val="-4"/>
              </w:rPr>
            </w:pPr>
          </w:p>
        </w:tc>
        <w:tc>
          <w:tcPr>
            <w:tcW w:w="7623" w:type="dxa"/>
            <w:tcMar>
              <w:left w:w="0" w:type="dxa"/>
            </w:tcMar>
          </w:tcPr>
          <w:p w14:paraId="52A2479B" w14:textId="77777777" w:rsidR="00410694" w:rsidRDefault="00410694" w:rsidP="00FC03B0">
            <w:pPr>
              <w:spacing w:after="0"/>
            </w:pPr>
            <w:r>
              <w:t>Hrubá přidaná hodnota ve 3. čtvrtletí meziročně vzrostla o 2,8 %. Nejvíce k růstu přispíval soubor odvětví služeb, nejvíce váhově významné uskupení obchod, doprava, ubytování a pohostinství (růst HPH o 3,4 %) a dynamicky se rozvíjející informační a komunikační činnosti (7,5 %). Posílil vliv dříve zaostávajícího stavebnictví, jehož HPH se ve 3. čtvrtletí 2025 meziročně zvýšila o 9,7 %, nejvíce od 1. kvartálu 2007. Nadprůměrně se zvyšovala HPH také v ostatních činnostech (4,7 %) a v peněžnictví a pojišťovnictví (3,1 %). Mírnější pak byla dynamika HPH v profesních, vědeckých, technických a administrativních činnostech (2,5 %), v činnostech v oblasti nemovitostí (2,5 %) a ve veřejné správě a obraně, vzdělávání, zdravotní a sociální péči (1,7 %). Po příznivě vypadajícím 2. kvartálu podpořeném nízkou srovnávací základnou došlo opět k propadu meziročního tempa růstu HPH v průmyslu na 0,4 %. Samotný zpracovatelský průmysl meziročně rostl jen o 0,3 %.</w:t>
            </w:r>
          </w:p>
        </w:tc>
      </w:tr>
      <w:bookmarkEnd w:id="1"/>
      <w:bookmarkEnd w:id="2"/>
      <w:bookmarkEnd w:id="3"/>
      <w:bookmarkEnd w:id="4"/>
    </w:tbl>
    <w:p w14:paraId="7C7E9504" w14:textId="77777777" w:rsidR="00410694" w:rsidRPr="00A04CEF" w:rsidRDefault="00410694" w:rsidP="00410694">
      <w:pPr>
        <w:pStyle w:val="Nadpis1"/>
        <w:rPr>
          <w:sz w:val="2"/>
          <w:szCs w:val="2"/>
        </w:rPr>
      </w:pPr>
    </w:p>
    <w:bookmarkEnd w:id="5"/>
    <w:bookmarkEnd w:id="6"/>
    <w:sectPr w:rsidR="00410694" w:rsidRPr="00A04CEF" w:rsidSect="0000363A">
      <w:headerReference w:type="even" r:id="rId14"/>
      <w:headerReference w:type="default" r:id="rId15"/>
      <w:footerReference w:type="even" r:id="rId16"/>
      <w:footerReference w:type="default" r:id="rId17"/>
      <w:pgSz w:w="11906" w:h="16838" w:code="9"/>
      <w:pgMar w:top="1134" w:right="1134" w:bottom="1418" w:left="1134" w:header="680" w:footer="680"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50931" w14:textId="77777777" w:rsidR="00C54141" w:rsidRDefault="00C54141" w:rsidP="00E71A58">
      <w:r>
        <w:separator/>
      </w:r>
    </w:p>
  </w:endnote>
  <w:endnote w:type="continuationSeparator" w:id="0">
    <w:p w14:paraId="53C7081B" w14:textId="77777777" w:rsidR="00C54141" w:rsidRDefault="00C54141"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62E7" w14:textId="3B3F7B37" w:rsidR="004C456F" w:rsidRPr="00932443" w:rsidRDefault="004C456F" w:rsidP="00A418BC">
    <w:pPr>
      <w:pStyle w:val="Zpat"/>
      <w:rPr>
        <w:szCs w:val="16"/>
      </w:rPr>
    </w:pPr>
    <w:r>
      <w:rPr>
        <w:szCs w:val="16"/>
        <w:lang w:eastAsia="cs-CZ"/>
      </w:rPr>
      <w:drawing>
        <wp:anchor distT="0" distB="0" distL="114300" distR="114300" simplePos="0" relativeHeight="251658240"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233D05">
      <w:rPr>
        <w:szCs w:val="16"/>
      </w:rPr>
      <w:t>50</w:t>
    </w:r>
    <w:r w:rsidRPr="00932443">
      <w:rPr>
        <w:szCs w:val="16"/>
      </w:rPr>
      <w:fldChar w:fldCharType="end"/>
    </w:r>
    <w:r w:rsidRPr="00932443">
      <w:rPr>
        <w:szCs w:val="16"/>
      </w:rPr>
      <w:tab/>
    </w:r>
    <w:r w:rsidR="00C5418A">
      <w:rPr>
        <w:szCs w:val="16"/>
      </w:rPr>
      <w:t>1. až 3. čtvrtletí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9" w14:textId="15E32B36" w:rsidR="004C456F" w:rsidRPr="00932443" w:rsidRDefault="004C456F" w:rsidP="00A418BC">
    <w:pPr>
      <w:pStyle w:val="Zpat"/>
      <w:rPr>
        <w:szCs w:val="16"/>
      </w:rPr>
    </w:pPr>
    <w:r>
      <w:rPr>
        <w:szCs w:val="16"/>
        <w:lang w:eastAsia="cs-CZ"/>
      </w:rPr>
      <w:drawing>
        <wp:anchor distT="0" distB="0" distL="114300" distR="114300" simplePos="0" relativeHeight="251657216" behindDoc="0" locked="0" layoutInCell="1" allowOverlap="1" wp14:anchorId="2143298C" wp14:editId="2143298D">
          <wp:simplePos x="0" y="0"/>
          <wp:positionH relativeFrom="column">
            <wp:align>left</wp:align>
          </wp:positionH>
          <wp:positionV relativeFrom="paragraph">
            <wp:posOffset>-122555</wp:posOffset>
          </wp:positionV>
          <wp:extent cx="510540" cy="272415"/>
          <wp:effectExtent l="0" t="0" r="0" b="6985"/>
          <wp:wrapNone/>
          <wp:docPr id="22" name="Picture 16"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Pr>
        <w:szCs w:val="16"/>
      </w:rPr>
      <w:t xml:space="preserve">1. </w:t>
    </w:r>
    <w:r w:rsidR="00C5418A">
      <w:rPr>
        <w:szCs w:val="16"/>
      </w:rPr>
      <w:t>až 3. čtvrt</w:t>
    </w:r>
    <w:r>
      <w:rPr>
        <w:szCs w:val="16"/>
      </w:rPr>
      <w:t>letí 2025</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233D05">
      <w:rPr>
        <w:rStyle w:val="ZpatChar"/>
        <w:szCs w:val="16"/>
      </w:rPr>
      <w:t>49</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EC961" w14:textId="77777777" w:rsidR="00C54141" w:rsidRDefault="00C54141" w:rsidP="00EA4302">
      <w:pPr>
        <w:spacing w:after="0"/>
      </w:pPr>
      <w:r>
        <w:separator/>
      </w:r>
    </w:p>
  </w:footnote>
  <w:footnote w:type="continuationSeparator" w:id="0">
    <w:p w14:paraId="76A7A74E" w14:textId="77777777" w:rsidR="00C54141" w:rsidRDefault="00C54141" w:rsidP="00E71A58">
      <w:r>
        <w:continuationSeparator/>
      </w:r>
    </w:p>
  </w:footnote>
  <w:footnote w:id="1">
    <w:p w14:paraId="65535A07" w14:textId="77777777" w:rsidR="00410694" w:rsidRPr="003879FE" w:rsidRDefault="00410694" w:rsidP="00410694">
      <w:pPr>
        <w:pStyle w:val="Textpoznpodarou"/>
        <w:rPr>
          <w:sz w:val="16"/>
          <w:szCs w:val="16"/>
        </w:rPr>
      </w:pPr>
      <w:r w:rsidRPr="000348AF">
        <w:rPr>
          <w:rStyle w:val="Znakapoznpodarou"/>
          <w:sz w:val="16"/>
          <w:szCs w:val="16"/>
        </w:rPr>
        <w:footnoteRef/>
      </w:r>
      <w:r w:rsidRPr="000348AF">
        <w:rPr>
          <w:sz w:val="16"/>
          <w:szCs w:val="16"/>
        </w:rPr>
        <w:t xml:space="preserve"> Vývoj HDP, hrubé přidané hodnoty a jejich složek je vyjádřen prostřednictvím objemových indexů (tj. očištěn o vliv cen) a po očištění o sezónní a kalendářní vlivy. Údaje jsou platné k</w:t>
      </w:r>
      <w:r>
        <w:rPr>
          <w:sz w:val="16"/>
          <w:szCs w:val="16"/>
        </w:rPr>
        <w:t xml:space="preserve"> 29. 8. </w:t>
      </w:r>
      <w:r w:rsidRPr="000348AF">
        <w:rPr>
          <w:sz w:val="16"/>
          <w:szCs w:val="16"/>
        </w:rPr>
        <w:t>202</w:t>
      </w:r>
      <w:r>
        <w:rPr>
          <w:sz w:val="16"/>
          <w:szCs w:val="16"/>
        </w:rPr>
        <w:t>5</w:t>
      </w:r>
      <w:r w:rsidRPr="000348AF">
        <w:rPr>
          <w:sz w:val="16"/>
          <w:szCs w:val="16"/>
        </w:rPr>
        <w:t>.</w:t>
      </w:r>
    </w:p>
  </w:footnote>
  <w:footnote w:id="2">
    <w:p w14:paraId="407CD340" w14:textId="77777777" w:rsidR="00410694" w:rsidRDefault="00410694" w:rsidP="00410694">
      <w:pPr>
        <w:pStyle w:val="Textpoznpodarou"/>
      </w:pPr>
      <w:r w:rsidRPr="009C6EA8">
        <w:rPr>
          <w:rStyle w:val="Znakapoznpodarou"/>
          <w:sz w:val="16"/>
          <w:szCs w:val="16"/>
        </w:rPr>
        <w:footnoteRef/>
      </w:r>
      <w:r w:rsidRPr="009C6EA8">
        <w:rPr>
          <w:sz w:val="16"/>
          <w:szCs w:val="16"/>
        </w:rPr>
        <w:t xml:space="preserve"> </w:t>
      </w:r>
      <w:r>
        <w:rPr>
          <w:sz w:val="16"/>
          <w:szCs w:val="16"/>
        </w:rPr>
        <w:t>Zaměstnanost v</w:t>
      </w:r>
      <w:r w:rsidRPr="009C6EA8">
        <w:rPr>
          <w:sz w:val="16"/>
          <w:szCs w:val="16"/>
        </w:rPr>
        <w:t> pojetí národních účtů</w:t>
      </w:r>
      <w:r>
        <w:rPr>
          <w:sz w:val="16"/>
          <w:szCs w:val="16"/>
        </w:rPr>
        <w:t xml:space="preserve"> (osoby)</w:t>
      </w:r>
      <w:r w:rsidRPr="009C6EA8">
        <w:rPr>
          <w:sz w:val="16"/>
          <w:szCs w:val="16"/>
        </w:rPr>
        <w:t xml:space="preserve">, </w:t>
      </w:r>
      <w:r>
        <w:rPr>
          <w:sz w:val="16"/>
          <w:szCs w:val="16"/>
        </w:rPr>
        <w:t xml:space="preserve">údaj je </w:t>
      </w:r>
      <w:r w:rsidRPr="009C6EA8">
        <w:rPr>
          <w:sz w:val="16"/>
          <w:szCs w:val="16"/>
        </w:rPr>
        <w:t>sezónně očištěn</w:t>
      </w:r>
      <w:r w:rsidRPr="00004BA8">
        <w:rPr>
          <w:sz w:val="16"/>
        </w:rPr>
        <w:t>.</w:t>
      </w:r>
    </w:p>
  </w:footnote>
  <w:footnote w:id="3">
    <w:p w14:paraId="0FC127AD" w14:textId="77777777" w:rsidR="00410694" w:rsidRPr="005F75B1" w:rsidRDefault="00410694" w:rsidP="00410694">
      <w:pPr>
        <w:pStyle w:val="Textpoznpodarou"/>
        <w:rPr>
          <w:sz w:val="16"/>
          <w:szCs w:val="16"/>
        </w:rPr>
      </w:pPr>
      <w:r w:rsidRPr="005F75B1">
        <w:rPr>
          <w:rStyle w:val="Znakapoznpodarou"/>
          <w:sz w:val="16"/>
          <w:szCs w:val="16"/>
        </w:rPr>
        <w:footnoteRef/>
      </w:r>
      <w:r w:rsidRPr="005F75B1">
        <w:rPr>
          <w:sz w:val="16"/>
          <w:szCs w:val="16"/>
        </w:rPr>
        <w:t xml:space="preserve"> Do reálného vyjádření převedeno s pomocí deflátoru spotřeby domácností.</w:t>
      </w:r>
    </w:p>
  </w:footnote>
  <w:footnote w:id="4">
    <w:p w14:paraId="001BE122" w14:textId="77777777" w:rsidR="00410694" w:rsidRPr="0053191D" w:rsidRDefault="00410694" w:rsidP="00410694">
      <w:pPr>
        <w:pStyle w:val="Textpoznpodarou"/>
        <w:rPr>
          <w:sz w:val="16"/>
          <w:szCs w:val="16"/>
        </w:rPr>
      </w:pPr>
      <w:r w:rsidRPr="0053191D">
        <w:rPr>
          <w:rStyle w:val="Znakapoznpodarou"/>
          <w:sz w:val="16"/>
          <w:szCs w:val="16"/>
        </w:rPr>
        <w:footnoteRef/>
      </w:r>
      <w:r w:rsidRPr="0053191D">
        <w:rPr>
          <w:sz w:val="16"/>
          <w:szCs w:val="16"/>
        </w:rPr>
        <w:t xml:space="preserve"> Tato sekce zahrnuje činnosti organizací sdružujících osoby za účelem prosazování společných zájmů, opravy počítačů a výrobků pro osobní potřebu a převážně pro domácnost a řadu jiných osobních služeb</w:t>
      </w:r>
      <w:r>
        <w:rPr>
          <w:sz w:val="16"/>
          <w:szCs w:val="16"/>
        </w:rPr>
        <w:t xml:space="preserve"> (kosmetické, kadeřnické apod.).</w:t>
      </w:r>
    </w:p>
  </w:footnote>
  <w:footnote w:id="5">
    <w:p w14:paraId="48987B31" w14:textId="77777777" w:rsidR="00410694" w:rsidRPr="009C6EA8" w:rsidRDefault="00410694" w:rsidP="00410694">
      <w:pPr>
        <w:pStyle w:val="Textpoznpodarou"/>
        <w:rPr>
          <w:sz w:val="16"/>
          <w:szCs w:val="16"/>
        </w:rPr>
      </w:pPr>
      <w:r w:rsidRPr="009C6EA8">
        <w:rPr>
          <w:rStyle w:val="Znakapoznpodarou"/>
          <w:sz w:val="16"/>
          <w:szCs w:val="16"/>
        </w:rPr>
        <w:footnoteRef/>
      </w:r>
      <w:r w:rsidRPr="009C6EA8">
        <w:rPr>
          <w:sz w:val="16"/>
          <w:szCs w:val="16"/>
        </w:rPr>
        <w:t xml:space="preserve"> Příspěvky ke změně HDP po vyloučení dovozu pro konečné užití.</w:t>
      </w:r>
    </w:p>
  </w:footnote>
  <w:footnote w:id="6">
    <w:p w14:paraId="1CBAD63B" w14:textId="77777777" w:rsidR="00410694" w:rsidRPr="00954992" w:rsidRDefault="00410694" w:rsidP="00410694">
      <w:pPr>
        <w:pStyle w:val="Textpoznpodarou"/>
        <w:rPr>
          <w:sz w:val="16"/>
          <w:szCs w:val="16"/>
        </w:rPr>
      </w:pPr>
      <w:r w:rsidRPr="00954992">
        <w:rPr>
          <w:rStyle w:val="Znakapoznpodarou"/>
          <w:sz w:val="16"/>
          <w:szCs w:val="16"/>
        </w:rPr>
        <w:footnoteRef/>
      </w:r>
      <w:r w:rsidRPr="00954992">
        <w:rPr>
          <w:sz w:val="16"/>
          <w:szCs w:val="16"/>
        </w:rPr>
        <w:t xml:space="preserve"> Údaje o</w:t>
      </w:r>
      <w:r>
        <w:rPr>
          <w:sz w:val="16"/>
          <w:szCs w:val="16"/>
        </w:rPr>
        <w:t> </w:t>
      </w:r>
      <w:r w:rsidRPr="00954992">
        <w:rPr>
          <w:sz w:val="16"/>
          <w:szCs w:val="16"/>
        </w:rPr>
        <w:t>spotřebě dle trvanlivosti jsou v domácím pojetí</w:t>
      </w:r>
      <w:r>
        <w:rPr>
          <w:sz w:val="16"/>
          <w:szCs w:val="16"/>
        </w:rPr>
        <w:t>.</w:t>
      </w:r>
    </w:p>
  </w:footnote>
  <w:footnote w:id="7">
    <w:p w14:paraId="46B9459D" w14:textId="77777777" w:rsidR="00410694" w:rsidRPr="004831F6" w:rsidRDefault="00410694" w:rsidP="00410694">
      <w:pPr>
        <w:pStyle w:val="Textpoznpodarou"/>
        <w:rPr>
          <w:sz w:val="16"/>
          <w:szCs w:val="16"/>
        </w:rPr>
      </w:pPr>
      <w:r w:rsidRPr="004831F6">
        <w:rPr>
          <w:rStyle w:val="Znakapoznpodarou"/>
          <w:sz w:val="16"/>
          <w:szCs w:val="16"/>
        </w:rPr>
        <w:footnoteRef/>
      </w:r>
      <w:r w:rsidRPr="004831F6">
        <w:rPr>
          <w:sz w:val="16"/>
          <w:szCs w:val="16"/>
        </w:rPr>
        <w:t xml:space="preserve"> Změna zásob</w:t>
      </w:r>
      <w:r>
        <w:rPr>
          <w:sz w:val="16"/>
          <w:szCs w:val="16"/>
        </w:rPr>
        <w:t xml:space="preserve"> (v běžných cenách a sezónně neočištěná)</w:t>
      </w:r>
      <w:r w:rsidRPr="004831F6">
        <w:rPr>
          <w:sz w:val="16"/>
          <w:szCs w:val="16"/>
        </w:rPr>
        <w:t xml:space="preserve"> </w:t>
      </w:r>
      <w:r>
        <w:rPr>
          <w:sz w:val="16"/>
          <w:szCs w:val="16"/>
        </w:rPr>
        <w:t xml:space="preserve">ve 3. čtvrtletí 2025 činila 61,5 mld. korun. Ve stejném období loňského roku to bylo 53,1 mld. korun a v letošním 2. čtvrtletí 31,1 mld.  </w:t>
      </w:r>
    </w:p>
  </w:footnote>
  <w:footnote w:id="8">
    <w:p w14:paraId="4CB06A02" w14:textId="77777777" w:rsidR="00410694" w:rsidRPr="00167B30" w:rsidRDefault="00410694" w:rsidP="00410694">
      <w:pPr>
        <w:pStyle w:val="Textpoznpodarou"/>
        <w:rPr>
          <w:sz w:val="16"/>
          <w:szCs w:val="16"/>
        </w:rPr>
      </w:pPr>
      <w:r w:rsidRPr="00167B30">
        <w:rPr>
          <w:rStyle w:val="Znakapoznpodarou"/>
          <w:sz w:val="16"/>
          <w:szCs w:val="16"/>
        </w:rPr>
        <w:footnoteRef/>
      </w:r>
      <w:r w:rsidRPr="00167B30">
        <w:rPr>
          <w:sz w:val="16"/>
          <w:szCs w:val="16"/>
        </w:rPr>
        <w:t xml:space="preserve"> Podle metodiky čtvrtletních národních účtů (vývoz a</w:t>
      </w:r>
      <w:r>
        <w:rPr>
          <w:sz w:val="16"/>
          <w:szCs w:val="16"/>
        </w:rPr>
        <w:t> </w:t>
      </w:r>
      <w:r w:rsidRPr="00167B30">
        <w:rPr>
          <w:sz w:val="16"/>
          <w:szCs w:val="16"/>
        </w:rPr>
        <w:t>dovoz v ocenění FOB/FOB)</w:t>
      </w:r>
      <w:r>
        <w:rPr>
          <w:sz w:val="16"/>
          <w:szCs w:val="16"/>
        </w:rPr>
        <w:t xml:space="preserve">. Bilance zahraničního obchodu v běžných cenách </w:t>
      </w:r>
      <w:r>
        <w:rPr>
          <w:sz w:val="16"/>
          <w:szCs w:val="16"/>
        </w:rPr>
        <w:br/>
        <w:t>a po sezónním očištění.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6" w14:textId="3C11EE3B" w:rsidR="004C456F" w:rsidRPr="00C27E4F" w:rsidRDefault="004C456F" w:rsidP="00C27E4F">
    <w:pPr>
      <w:pStyle w:val="Zhlav"/>
    </w:pPr>
    <w:r>
      <w:t>Vývoj ekonomiky České republiky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7" w14:textId="4F78F164" w:rsidR="004C456F" w:rsidRPr="006F5416" w:rsidRDefault="004C456F" w:rsidP="00937AE2">
    <w:pPr>
      <w:pStyle w:val="Zhlav"/>
    </w:pPr>
    <w:r>
      <w:t>Vývoj ekonomiky České republiky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E145AAD"/>
    <w:multiLevelType w:val="hybridMultilevel"/>
    <w:tmpl w:val="96304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6" w15:restartNumberingAfterBreak="0">
    <w:nsid w:val="1E462C8E"/>
    <w:multiLevelType w:val="hybridMultilevel"/>
    <w:tmpl w:val="84B46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C64F20"/>
    <w:multiLevelType w:val="hybridMultilevel"/>
    <w:tmpl w:val="ADE25A6C"/>
    <w:lvl w:ilvl="0" w:tplc="04050001">
      <w:start w:val="1"/>
      <w:numFmt w:val="bullet"/>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8DA62F8"/>
    <w:multiLevelType w:val="hybridMultilevel"/>
    <w:tmpl w:val="419C8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7"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30"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5051A8"/>
    <w:multiLevelType w:val="hybridMultilevel"/>
    <w:tmpl w:val="DEACE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655F88"/>
    <w:multiLevelType w:val="hybridMultilevel"/>
    <w:tmpl w:val="70283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651B2D"/>
    <w:multiLevelType w:val="hybridMultilevel"/>
    <w:tmpl w:val="858498FC"/>
    <w:lvl w:ilvl="0" w:tplc="B4A838D0">
      <w:start w:val="1"/>
      <w:numFmt w:val="bullet"/>
      <w:pStyle w:val="Normalodrka"/>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694960533">
    <w:abstractNumId w:val="31"/>
  </w:num>
  <w:num w:numId="2" w16cid:durableId="997685702">
    <w:abstractNumId w:val="8"/>
  </w:num>
  <w:num w:numId="3" w16cid:durableId="2038313518">
    <w:abstractNumId w:val="3"/>
  </w:num>
  <w:num w:numId="4" w16cid:durableId="331031531">
    <w:abstractNumId w:val="2"/>
  </w:num>
  <w:num w:numId="5" w16cid:durableId="1757743337">
    <w:abstractNumId w:val="1"/>
  </w:num>
  <w:num w:numId="6" w16cid:durableId="409816451">
    <w:abstractNumId w:val="0"/>
  </w:num>
  <w:num w:numId="7" w16cid:durableId="1318534121">
    <w:abstractNumId w:val="9"/>
  </w:num>
  <w:num w:numId="8" w16cid:durableId="262305282">
    <w:abstractNumId w:val="7"/>
  </w:num>
  <w:num w:numId="9" w16cid:durableId="136917715">
    <w:abstractNumId w:val="6"/>
  </w:num>
  <w:num w:numId="10" w16cid:durableId="2045862263">
    <w:abstractNumId w:val="5"/>
  </w:num>
  <w:num w:numId="11" w16cid:durableId="191305307">
    <w:abstractNumId w:val="4"/>
  </w:num>
  <w:num w:numId="12" w16cid:durableId="333654438">
    <w:abstractNumId w:val="18"/>
  </w:num>
  <w:num w:numId="13" w16cid:durableId="969557016">
    <w:abstractNumId w:val="34"/>
  </w:num>
  <w:num w:numId="14" w16cid:durableId="607392429">
    <w:abstractNumId w:val="15"/>
  </w:num>
  <w:num w:numId="15" w16cid:durableId="1953782534">
    <w:abstractNumId w:val="24"/>
  </w:num>
  <w:num w:numId="16" w16cid:durableId="2048219208">
    <w:abstractNumId w:val="19"/>
  </w:num>
  <w:num w:numId="17" w16cid:durableId="684745295">
    <w:abstractNumId w:val="35"/>
  </w:num>
  <w:num w:numId="18" w16cid:durableId="1764376373">
    <w:abstractNumId w:val="25"/>
  </w:num>
  <w:num w:numId="19" w16cid:durableId="807280038">
    <w:abstractNumId w:val="38"/>
  </w:num>
  <w:num w:numId="20" w16cid:durableId="1692685976">
    <w:abstractNumId w:val="43"/>
  </w:num>
  <w:num w:numId="21" w16cid:durableId="1978029892">
    <w:abstractNumId w:val="33"/>
  </w:num>
  <w:num w:numId="22" w16cid:durableId="718896653">
    <w:abstractNumId w:val="23"/>
  </w:num>
  <w:num w:numId="23" w16cid:durableId="159078720">
    <w:abstractNumId w:val="21"/>
  </w:num>
  <w:num w:numId="24" w16cid:durableId="1135441192">
    <w:abstractNumId w:val="22"/>
  </w:num>
  <w:num w:numId="25" w16cid:durableId="1815366340">
    <w:abstractNumId w:val="41"/>
  </w:num>
  <w:num w:numId="26" w16cid:durableId="1577863405">
    <w:abstractNumId w:val="42"/>
  </w:num>
  <w:num w:numId="27" w16cid:durableId="223610688">
    <w:abstractNumId w:val="43"/>
  </w:num>
  <w:num w:numId="28" w16cid:durableId="1207061094">
    <w:abstractNumId w:val="13"/>
  </w:num>
  <w:num w:numId="29" w16cid:durableId="1693920833">
    <w:abstractNumId w:val="27"/>
  </w:num>
  <w:num w:numId="30" w16cid:durableId="1876775477">
    <w:abstractNumId w:val="26"/>
  </w:num>
  <w:num w:numId="31" w16cid:durableId="179972127">
    <w:abstractNumId w:val="10"/>
  </w:num>
  <w:num w:numId="32" w16cid:durableId="970136012">
    <w:abstractNumId w:val="28"/>
  </w:num>
  <w:num w:numId="33" w16cid:durableId="1617836376">
    <w:abstractNumId w:val="12"/>
  </w:num>
  <w:num w:numId="34" w16cid:durableId="357007340">
    <w:abstractNumId w:val="45"/>
  </w:num>
  <w:num w:numId="35" w16cid:durableId="2131776467">
    <w:abstractNumId w:val="11"/>
  </w:num>
  <w:num w:numId="36" w16cid:durableId="1776095800">
    <w:abstractNumId w:val="37"/>
  </w:num>
  <w:num w:numId="37" w16cid:durableId="862209000">
    <w:abstractNumId w:val="30"/>
  </w:num>
  <w:num w:numId="38" w16cid:durableId="322010878">
    <w:abstractNumId w:val="29"/>
  </w:num>
  <w:num w:numId="39" w16cid:durableId="1458373311">
    <w:abstractNumId w:val="39"/>
  </w:num>
  <w:num w:numId="40" w16cid:durableId="288441997">
    <w:abstractNumId w:val="44"/>
  </w:num>
  <w:num w:numId="41" w16cid:durableId="952595072">
    <w:abstractNumId w:val="40"/>
  </w:num>
  <w:num w:numId="42" w16cid:durableId="1427652868">
    <w:abstractNumId w:val="32"/>
  </w:num>
  <w:num w:numId="43" w16cid:durableId="1024401835">
    <w:abstractNumId w:val="20"/>
  </w:num>
  <w:num w:numId="44" w16cid:durableId="428089243">
    <w:abstractNumId w:val="14"/>
  </w:num>
  <w:num w:numId="45" w16cid:durableId="82647767">
    <w:abstractNumId w:val="36"/>
  </w:num>
  <w:num w:numId="46" w16cid:durableId="215163427">
    <w:abstractNumId w:val="16"/>
  </w:num>
  <w:num w:numId="47" w16cid:durableId="222064403">
    <w:abstractNumId w:val="43"/>
  </w:num>
  <w:num w:numId="48" w16cid:durableId="1639922006">
    <w:abstractNumId w:val="43"/>
    <w:lvlOverride w:ilvl="0">
      <w:startOverride w:val="1"/>
    </w:lvlOverride>
  </w:num>
  <w:num w:numId="49" w16cid:durableId="15091015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4097">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62"/>
    <w:rsid w:val="0000209D"/>
    <w:rsid w:val="0000363A"/>
    <w:rsid w:val="00004D5A"/>
    <w:rsid w:val="000056D5"/>
    <w:rsid w:val="00006ABD"/>
    <w:rsid w:val="0000767A"/>
    <w:rsid w:val="00010256"/>
    <w:rsid w:val="00010702"/>
    <w:rsid w:val="00011912"/>
    <w:rsid w:val="0002195D"/>
    <w:rsid w:val="000234D6"/>
    <w:rsid w:val="00023D29"/>
    <w:rsid w:val="00026389"/>
    <w:rsid w:val="00031AE0"/>
    <w:rsid w:val="000322EF"/>
    <w:rsid w:val="00033FCD"/>
    <w:rsid w:val="00037BF9"/>
    <w:rsid w:val="00040D10"/>
    <w:rsid w:val="00041CEC"/>
    <w:rsid w:val="0004694F"/>
    <w:rsid w:val="000522E4"/>
    <w:rsid w:val="00054EA4"/>
    <w:rsid w:val="00055507"/>
    <w:rsid w:val="000610E1"/>
    <w:rsid w:val="00062EC5"/>
    <w:rsid w:val="00062F22"/>
    <w:rsid w:val="000673C2"/>
    <w:rsid w:val="000712B3"/>
    <w:rsid w:val="0008263E"/>
    <w:rsid w:val="000829B1"/>
    <w:rsid w:val="00082C19"/>
    <w:rsid w:val="00085395"/>
    <w:rsid w:val="00087634"/>
    <w:rsid w:val="00087F2B"/>
    <w:rsid w:val="000912CC"/>
    <w:rsid w:val="00092201"/>
    <w:rsid w:val="00095135"/>
    <w:rsid w:val="000974D1"/>
    <w:rsid w:val="0009799E"/>
    <w:rsid w:val="000A1183"/>
    <w:rsid w:val="000A256D"/>
    <w:rsid w:val="000A3A2C"/>
    <w:rsid w:val="000A5265"/>
    <w:rsid w:val="000A57D4"/>
    <w:rsid w:val="000B7C8D"/>
    <w:rsid w:val="000C004E"/>
    <w:rsid w:val="000C2CF1"/>
    <w:rsid w:val="000C3408"/>
    <w:rsid w:val="000C6AFD"/>
    <w:rsid w:val="000D1B52"/>
    <w:rsid w:val="000D5637"/>
    <w:rsid w:val="000E15EA"/>
    <w:rsid w:val="000E6FBD"/>
    <w:rsid w:val="000F49A9"/>
    <w:rsid w:val="00100F5C"/>
    <w:rsid w:val="00101CDA"/>
    <w:rsid w:val="00102C41"/>
    <w:rsid w:val="00104C4C"/>
    <w:rsid w:val="00107F50"/>
    <w:rsid w:val="00117623"/>
    <w:rsid w:val="0012096D"/>
    <w:rsid w:val="0012192F"/>
    <w:rsid w:val="001224E5"/>
    <w:rsid w:val="00124940"/>
    <w:rsid w:val="00125D69"/>
    <w:rsid w:val="001405FA"/>
    <w:rsid w:val="00142254"/>
    <w:rsid w:val="001425C3"/>
    <w:rsid w:val="001476BD"/>
    <w:rsid w:val="00153D91"/>
    <w:rsid w:val="001612F4"/>
    <w:rsid w:val="00161AB8"/>
    <w:rsid w:val="0016256B"/>
    <w:rsid w:val="001625B5"/>
    <w:rsid w:val="00163793"/>
    <w:rsid w:val="0016649F"/>
    <w:rsid w:val="00170621"/>
    <w:rsid w:val="001706D6"/>
    <w:rsid w:val="001714F2"/>
    <w:rsid w:val="00175B9F"/>
    <w:rsid w:val="00175C9E"/>
    <w:rsid w:val="00181BBC"/>
    <w:rsid w:val="00184B08"/>
    <w:rsid w:val="00185010"/>
    <w:rsid w:val="0019143B"/>
    <w:rsid w:val="001A0487"/>
    <w:rsid w:val="001A4CA3"/>
    <w:rsid w:val="001A552F"/>
    <w:rsid w:val="001A5B6F"/>
    <w:rsid w:val="001A6170"/>
    <w:rsid w:val="001A7280"/>
    <w:rsid w:val="001B2CA9"/>
    <w:rsid w:val="001B3110"/>
    <w:rsid w:val="001B4729"/>
    <w:rsid w:val="001B6310"/>
    <w:rsid w:val="001B6C09"/>
    <w:rsid w:val="001B73E6"/>
    <w:rsid w:val="001C05CD"/>
    <w:rsid w:val="001C3924"/>
    <w:rsid w:val="001D1815"/>
    <w:rsid w:val="001D40D7"/>
    <w:rsid w:val="001D48D4"/>
    <w:rsid w:val="001D68B2"/>
    <w:rsid w:val="001E1C2E"/>
    <w:rsid w:val="001E504C"/>
    <w:rsid w:val="001E5850"/>
    <w:rsid w:val="001E6062"/>
    <w:rsid w:val="001E6753"/>
    <w:rsid w:val="001F4597"/>
    <w:rsid w:val="00203DA4"/>
    <w:rsid w:val="002118B9"/>
    <w:rsid w:val="00213E46"/>
    <w:rsid w:val="00214CF7"/>
    <w:rsid w:val="00216286"/>
    <w:rsid w:val="00216A01"/>
    <w:rsid w:val="002175EA"/>
    <w:rsid w:val="00217C5B"/>
    <w:rsid w:val="0022139E"/>
    <w:rsid w:val="00222729"/>
    <w:rsid w:val="002252E0"/>
    <w:rsid w:val="002255F6"/>
    <w:rsid w:val="00227850"/>
    <w:rsid w:val="00227A53"/>
    <w:rsid w:val="00230682"/>
    <w:rsid w:val="00230C6E"/>
    <w:rsid w:val="00233546"/>
    <w:rsid w:val="00233CD7"/>
    <w:rsid w:val="00233D05"/>
    <w:rsid w:val="00236443"/>
    <w:rsid w:val="00241B06"/>
    <w:rsid w:val="00242119"/>
    <w:rsid w:val="002421C4"/>
    <w:rsid w:val="00242C10"/>
    <w:rsid w:val="002436BA"/>
    <w:rsid w:val="00244A15"/>
    <w:rsid w:val="0024661A"/>
    <w:rsid w:val="00247319"/>
    <w:rsid w:val="0024799E"/>
    <w:rsid w:val="00247EE7"/>
    <w:rsid w:val="00252D48"/>
    <w:rsid w:val="00253C0F"/>
    <w:rsid w:val="002558C1"/>
    <w:rsid w:val="00255B30"/>
    <w:rsid w:val="00261A17"/>
    <w:rsid w:val="0027099B"/>
    <w:rsid w:val="00271465"/>
    <w:rsid w:val="00275385"/>
    <w:rsid w:val="0028207A"/>
    <w:rsid w:val="00282918"/>
    <w:rsid w:val="00285412"/>
    <w:rsid w:val="00291407"/>
    <w:rsid w:val="00291640"/>
    <w:rsid w:val="00295A5D"/>
    <w:rsid w:val="002A1407"/>
    <w:rsid w:val="002A16D4"/>
    <w:rsid w:val="002A230C"/>
    <w:rsid w:val="002A66B0"/>
    <w:rsid w:val="002B2299"/>
    <w:rsid w:val="002B4845"/>
    <w:rsid w:val="002B48B4"/>
    <w:rsid w:val="002C2FE9"/>
    <w:rsid w:val="002C43BD"/>
    <w:rsid w:val="002C5568"/>
    <w:rsid w:val="002D0E59"/>
    <w:rsid w:val="002E02A1"/>
    <w:rsid w:val="002E42AC"/>
    <w:rsid w:val="002E4E4C"/>
    <w:rsid w:val="002F3E4F"/>
    <w:rsid w:val="00302ADD"/>
    <w:rsid w:val="00304771"/>
    <w:rsid w:val="0030495D"/>
    <w:rsid w:val="003052D4"/>
    <w:rsid w:val="00306C5B"/>
    <w:rsid w:val="00307B34"/>
    <w:rsid w:val="003103E0"/>
    <w:rsid w:val="00314F9F"/>
    <w:rsid w:val="003209D6"/>
    <w:rsid w:val="00321205"/>
    <w:rsid w:val="00321924"/>
    <w:rsid w:val="0032656E"/>
    <w:rsid w:val="00327D4E"/>
    <w:rsid w:val="00332190"/>
    <w:rsid w:val="003421E1"/>
    <w:rsid w:val="00343182"/>
    <w:rsid w:val="0034335E"/>
    <w:rsid w:val="00344668"/>
    <w:rsid w:val="003462D9"/>
    <w:rsid w:val="00360C86"/>
    <w:rsid w:val="00360FBC"/>
    <w:rsid w:val="00362E90"/>
    <w:rsid w:val="00364FA0"/>
    <w:rsid w:val="003657F3"/>
    <w:rsid w:val="00366591"/>
    <w:rsid w:val="00371826"/>
    <w:rsid w:val="00373504"/>
    <w:rsid w:val="0038123E"/>
    <w:rsid w:val="003818DC"/>
    <w:rsid w:val="00382C5B"/>
    <w:rsid w:val="00384327"/>
    <w:rsid w:val="00385D98"/>
    <w:rsid w:val="003A2B4D"/>
    <w:rsid w:val="003A2B5E"/>
    <w:rsid w:val="003A2D12"/>
    <w:rsid w:val="003A478C"/>
    <w:rsid w:val="003A5525"/>
    <w:rsid w:val="003A6B38"/>
    <w:rsid w:val="003B461F"/>
    <w:rsid w:val="003B5A32"/>
    <w:rsid w:val="003B6B31"/>
    <w:rsid w:val="003B7AFA"/>
    <w:rsid w:val="003C3490"/>
    <w:rsid w:val="003C6550"/>
    <w:rsid w:val="003C7E62"/>
    <w:rsid w:val="003D6920"/>
    <w:rsid w:val="003E3F1E"/>
    <w:rsid w:val="003E48F2"/>
    <w:rsid w:val="003E4C91"/>
    <w:rsid w:val="003E5DB7"/>
    <w:rsid w:val="003E62A5"/>
    <w:rsid w:val="003F313C"/>
    <w:rsid w:val="003F37FC"/>
    <w:rsid w:val="003F4B2C"/>
    <w:rsid w:val="003F551C"/>
    <w:rsid w:val="003F62B0"/>
    <w:rsid w:val="003F72ED"/>
    <w:rsid w:val="003F7D23"/>
    <w:rsid w:val="00400DF4"/>
    <w:rsid w:val="0040550D"/>
    <w:rsid w:val="004069FF"/>
    <w:rsid w:val="00407510"/>
    <w:rsid w:val="00407C13"/>
    <w:rsid w:val="0041041D"/>
    <w:rsid w:val="00410638"/>
    <w:rsid w:val="00410694"/>
    <w:rsid w:val="0041501E"/>
    <w:rsid w:val="004159C3"/>
    <w:rsid w:val="00416EB7"/>
    <w:rsid w:val="00432A58"/>
    <w:rsid w:val="00434617"/>
    <w:rsid w:val="00440900"/>
    <w:rsid w:val="00441BF6"/>
    <w:rsid w:val="00443556"/>
    <w:rsid w:val="004441A0"/>
    <w:rsid w:val="004455BA"/>
    <w:rsid w:val="00446D77"/>
    <w:rsid w:val="0045078A"/>
    <w:rsid w:val="0045086D"/>
    <w:rsid w:val="00451504"/>
    <w:rsid w:val="004557A9"/>
    <w:rsid w:val="00456339"/>
    <w:rsid w:val="004607BF"/>
    <w:rsid w:val="00460FB3"/>
    <w:rsid w:val="0046627E"/>
    <w:rsid w:val="00476240"/>
    <w:rsid w:val="00476439"/>
    <w:rsid w:val="0047735C"/>
    <w:rsid w:val="004776BC"/>
    <w:rsid w:val="0048139F"/>
    <w:rsid w:val="00481E40"/>
    <w:rsid w:val="00484ECE"/>
    <w:rsid w:val="00485567"/>
    <w:rsid w:val="004915CB"/>
    <w:rsid w:val="004924DC"/>
    <w:rsid w:val="004963C7"/>
    <w:rsid w:val="004976EF"/>
    <w:rsid w:val="004A14E4"/>
    <w:rsid w:val="004A3212"/>
    <w:rsid w:val="004A5494"/>
    <w:rsid w:val="004A61C5"/>
    <w:rsid w:val="004A77DF"/>
    <w:rsid w:val="004B1417"/>
    <w:rsid w:val="004B55B7"/>
    <w:rsid w:val="004B5A60"/>
    <w:rsid w:val="004B6468"/>
    <w:rsid w:val="004B7125"/>
    <w:rsid w:val="004C384C"/>
    <w:rsid w:val="004C3867"/>
    <w:rsid w:val="004C456F"/>
    <w:rsid w:val="004C4CD0"/>
    <w:rsid w:val="004C5B81"/>
    <w:rsid w:val="004C6092"/>
    <w:rsid w:val="004C70DC"/>
    <w:rsid w:val="004D0211"/>
    <w:rsid w:val="004D0794"/>
    <w:rsid w:val="004D5C93"/>
    <w:rsid w:val="004E1288"/>
    <w:rsid w:val="004E7C6B"/>
    <w:rsid w:val="004F06F5"/>
    <w:rsid w:val="004F16B2"/>
    <w:rsid w:val="004F2C1B"/>
    <w:rsid w:val="004F33A0"/>
    <w:rsid w:val="005040A8"/>
    <w:rsid w:val="00504EE1"/>
    <w:rsid w:val="0050689D"/>
    <w:rsid w:val="005108C0"/>
    <w:rsid w:val="00511873"/>
    <w:rsid w:val="00511DE3"/>
    <w:rsid w:val="00512A2F"/>
    <w:rsid w:val="00513B7E"/>
    <w:rsid w:val="00515684"/>
    <w:rsid w:val="00515C74"/>
    <w:rsid w:val="00516086"/>
    <w:rsid w:val="0051713B"/>
    <w:rsid w:val="0052007E"/>
    <w:rsid w:val="0052337A"/>
    <w:rsid w:val="00525137"/>
    <w:rsid w:val="005251DD"/>
    <w:rsid w:val="00532CE7"/>
    <w:rsid w:val="00532E62"/>
    <w:rsid w:val="0053324C"/>
    <w:rsid w:val="00534A28"/>
    <w:rsid w:val="00541508"/>
    <w:rsid w:val="00543498"/>
    <w:rsid w:val="00545512"/>
    <w:rsid w:val="00553016"/>
    <w:rsid w:val="0055599F"/>
    <w:rsid w:val="00556995"/>
    <w:rsid w:val="00556D68"/>
    <w:rsid w:val="00563EB8"/>
    <w:rsid w:val="005647BF"/>
    <w:rsid w:val="0056486D"/>
    <w:rsid w:val="00564AF1"/>
    <w:rsid w:val="0057364B"/>
    <w:rsid w:val="00574773"/>
    <w:rsid w:val="0058308D"/>
    <w:rsid w:val="00583FFD"/>
    <w:rsid w:val="00591099"/>
    <w:rsid w:val="005911BE"/>
    <w:rsid w:val="00593152"/>
    <w:rsid w:val="00596010"/>
    <w:rsid w:val="005A10F2"/>
    <w:rsid w:val="005A21E0"/>
    <w:rsid w:val="005A28FF"/>
    <w:rsid w:val="005A3DF8"/>
    <w:rsid w:val="005A5113"/>
    <w:rsid w:val="005A5549"/>
    <w:rsid w:val="005A7038"/>
    <w:rsid w:val="005B121D"/>
    <w:rsid w:val="005B3361"/>
    <w:rsid w:val="005C06ED"/>
    <w:rsid w:val="005C2609"/>
    <w:rsid w:val="005C6CF0"/>
    <w:rsid w:val="005D0D46"/>
    <w:rsid w:val="005D5802"/>
    <w:rsid w:val="005D7119"/>
    <w:rsid w:val="005D7890"/>
    <w:rsid w:val="005E705E"/>
    <w:rsid w:val="005E7C78"/>
    <w:rsid w:val="005F18C5"/>
    <w:rsid w:val="005F3EB1"/>
    <w:rsid w:val="005F46D8"/>
    <w:rsid w:val="005F5469"/>
    <w:rsid w:val="00603FF5"/>
    <w:rsid w:val="00604307"/>
    <w:rsid w:val="0060487F"/>
    <w:rsid w:val="00604EAD"/>
    <w:rsid w:val="006104FB"/>
    <w:rsid w:val="00612A2F"/>
    <w:rsid w:val="006165E5"/>
    <w:rsid w:val="00616E05"/>
    <w:rsid w:val="00622275"/>
    <w:rsid w:val="00624093"/>
    <w:rsid w:val="00625F8F"/>
    <w:rsid w:val="006350D5"/>
    <w:rsid w:val="006404A7"/>
    <w:rsid w:val="006451E4"/>
    <w:rsid w:val="00645B33"/>
    <w:rsid w:val="006516CB"/>
    <w:rsid w:val="00656FC8"/>
    <w:rsid w:val="00657E87"/>
    <w:rsid w:val="00664803"/>
    <w:rsid w:val="0066504F"/>
    <w:rsid w:val="00665BA4"/>
    <w:rsid w:val="00667AF2"/>
    <w:rsid w:val="006710C9"/>
    <w:rsid w:val="006712EC"/>
    <w:rsid w:val="0067229E"/>
    <w:rsid w:val="006741AC"/>
    <w:rsid w:val="00674D89"/>
    <w:rsid w:val="00675E37"/>
    <w:rsid w:val="0068174E"/>
    <w:rsid w:val="00681DCE"/>
    <w:rsid w:val="0068260E"/>
    <w:rsid w:val="0068697A"/>
    <w:rsid w:val="00693FEC"/>
    <w:rsid w:val="00695BEF"/>
    <w:rsid w:val="006977F6"/>
    <w:rsid w:val="00697A13"/>
    <w:rsid w:val="006A109C"/>
    <w:rsid w:val="006A2056"/>
    <w:rsid w:val="006B0F92"/>
    <w:rsid w:val="006B173A"/>
    <w:rsid w:val="006B344A"/>
    <w:rsid w:val="006B759B"/>
    <w:rsid w:val="006B78D8"/>
    <w:rsid w:val="006C113F"/>
    <w:rsid w:val="006C123E"/>
    <w:rsid w:val="006C1752"/>
    <w:rsid w:val="006C4460"/>
    <w:rsid w:val="006C4ED6"/>
    <w:rsid w:val="006C56D4"/>
    <w:rsid w:val="006C6924"/>
    <w:rsid w:val="006C7CA6"/>
    <w:rsid w:val="006D3E8A"/>
    <w:rsid w:val="006D61F6"/>
    <w:rsid w:val="006E279A"/>
    <w:rsid w:val="006E313B"/>
    <w:rsid w:val="006E4254"/>
    <w:rsid w:val="006E7227"/>
    <w:rsid w:val="006F438E"/>
    <w:rsid w:val="006F5416"/>
    <w:rsid w:val="006F7076"/>
    <w:rsid w:val="00705242"/>
    <w:rsid w:val="00706AD4"/>
    <w:rsid w:val="00707150"/>
    <w:rsid w:val="00710078"/>
    <w:rsid w:val="007140BE"/>
    <w:rsid w:val="007143B4"/>
    <w:rsid w:val="007211F5"/>
    <w:rsid w:val="00723946"/>
    <w:rsid w:val="007240E2"/>
    <w:rsid w:val="00725BB5"/>
    <w:rsid w:val="00730517"/>
    <w:rsid w:val="00730AE8"/>
    <w:rsid w:val="00730F1B"/>
    <w:rsid w:val="00733628"/>
    <w:rsid w:val="007342AC"/>
    <w:rsid w:val="00741493"/>
    <w:rsid w:val="00743C34"/>
    <w:rsid w:val="007457F6"/>
    <w:rsid w:val="00752180"/>
    <w:rsid w:val="00753CAB"/>
    <w:rsid w:val="00755202"/>
    <w:rsid w:val="00755D3A"/>
    <w:rsid w:val="007578D3"/>
    <w:rsid w:val="007609C6"/>
    <w:rsid w:val="00760EA4"/>
    <w:rsid w:val="0076175D"/>
    <w:rsid w:val="00763B85"/>
    <w:rsid w:val="00764744"/>
    <w:rsid w:val="0076521E"/>
    <w:rsid w:val="00765C12"/>
    <w:rsid w:val="007661E9"/>
    <w:rsid w:val="00773220"/>
    <w:rsid w:val="00776169"/>
    <w:rsid w:val="00776527"/>
    <w:rsid w:val="00776EAB"/>
    <w:rsid w:val="00780EF1"/>
    <w:rsid w:val="00782AD8"/>
    <w:rsid w:val="00790711"/>
    <w:rsid w:val="00790764"/>
    <w:rsid w:val="0079124F"/>
    <w:rsid w:val="0079453C"/>
    <w:rsid w:val="00794677"/>
    <w:rsid w:val="00795928"/>
    <w:rsid w:val="00797445"/>
    <w:rsid w:val="007A3861"/>
    <w:rsid w:val="007A4577"/>
    <w:rsid w:val="007A516D"/>
    <w:rsid w:val="007B6689"/>
    <w:rsid w:val="007C6BBD"/>
    <w:rsid w:val="007D293C"/>
    <w:rsid w:val="007D40DF"/>
    <w:rsid w:val="007E29B4"/>
    <w:rsid w:val="007E435A"/>
    <w:rsid w:val="007E7E61"/>
    <w:rsid w:val="007E7FCE"/>
    <w:rsid w:val="007F0845"/>
    <w:rsid w:val="007F708D"/>
    <w:rsid w:val="00800216"/>
    <w:rsid w:val="00801E13"/>
    <w:rsid w:val="00807365"/>
    <w:rsid w:val="00807C82"/>
    <w:rsid w:val="00810C82"/>
    <w:rsid w:val="00811E1D"/>
    <w:rsid w:val="00814B15"/>
    <w:rsid w:val="00816905"/>
    <w:rsid w:val="00821777"/>
    <w:rsid w:val="00821C44"/>
    <w:rsid w:val="00821FF6"/>
    <w:rsid w:val="00822574"/>
    <w:rsid w:val="00825C4D"/>
    <w:rsid w:val="008304D1"/>
    <w:rsid w:val="0083143E"/>
    <w:rsid w:val="00831CDE"/>
    <w:rsid w:val="00834304"/>
    <w:rsid w:val="00834FAA"/>
    <w:rsid w:val="0083516C"/>
    <w:rsid w:val="00836086"/>
    <w:rsid w:val="00846121"/>
    <w:rsid w:val="008462A8"/>
    <w:rsid w:val="0084708F"/>
    <w:rsid w:val="008477C8"/>
    <w:rsid w:val="00847963"/>
    <w:rsid w:val="00850815"/>
    <w:rsid w:val="0085114D"/>
    <w:rsid w:val="00852217"/>
    <w:rsid w:val="00853B8D"/>
    <w:rsid w:val="00854F24"/>
    <w:rsid w:val="00855408"/>
    <w:rsid w:val="00855712"/>
    <w:rsid w:val="00856D65"/>
    <w:rsid w:val="00861B41"/>
    <w:rsid w:val="00861BE3"/>
    <w:rsid w:val="00863434"/>
    <w:rsid w:val="00865E4C"/>
    <w:rsid w:val="008701E4"/>
    <w:rsid w:val="00871069"/>
    <w:rsid w:val="00875A32"/>
    <w:rsid w:val="00876086"/>
    <w:rsid w:val="008825B0"/>
    <w:rsid w:val="00884AD6"/>
    <w:rsid w:val="008873D4"/>
    <w:rsid w:val="0089126C"/>
    <w:rsid w:val="0089296D"/>
    <w:rsid w:val="00893E85"/>
    <w:rsid w:val="00894031"/>
    <w:rsid w:val="00895508"/>
    <w:rsid w:val="008A6CB4"/>
    <w:rsid w:val="008B542E"/>
    <w:rsid w:val="008B5CF6"/>
    <w:rsid w:val="008B76AB"/>
    <w:rsid w:val="008B7C02"/>
    <w:rsid w:val="008B7D2B"/>
    <w:rsid w:val="008C0049"/>
    <w:rsid w:val="008C0E88"/>
    <w:rsid w:val="008C1968"/>
    <w:rsid w:val="008C53CB"/>
    <w:rsid w:val="008C6FD4"/>
    <w:rsid w:val="008D1BA1"/>
    <w:rsid w:val="008D1E6A"/>
    <w:rsid w:val="008D2A16"/>
    <w:rsid w:val="008D6B35"/>
    <w:rsid w:val="008E163D"/>
    <w:rsid w:val="008E2C57"/>
    <w:rsid w:val="008E31FF"/>
    <w:rsid w:val="008E6F06"/>
    <w:rsid w:val="008E7FC9"/>
    <w:rsid w:val="008F029B"/>
    <w:rsid w:val="008F3FC9"/>
    <w:rsid w:val="008F585B"/>
    <w:rsid w:val="009003A8"/>
    <w:rsid w:val="00901518"/>
    <w:rsid w:val="00902500"/>
    <w:rsid w:val="00902EFF"/>
    <w:rsid w:val="00906401"/>
    <w:rsid w:val="0091155E"/>
    <w:rsid w:val="00912A92"/>
    <w:rsid w:val="0091728D"/>
    <w:rsid w:val="0092180B"/>
    <w:rsid w:val="00921F14"/>
    <w:rsid w:val="009231A3"/>
    <w:rsid w:val="00924AC8"/>
    <w:rsid w:val="0092597A"/>
    <w:rsid w:val="00925E75"/>
    <w:rsid w:val="00930FB1"/>
    <w:rsid w:val="0093139F"/>
    <w:rsid w:val="00932443"/>
    <w:rsid w:val="00937AE2"/>
    <w:rsid w:val="00943853"/>
    <w:rsid w:val="0094427A"/>
    <w:rsid w:val="00945245"/>
    <w:rsid w:val="009452D0"/>
    <w:rsid w:val="00956572"/>
    <w:rsid w:val="00957309"/>
    <w:rsid w:val="0095759C"/>
    <w:rsid w:val="00961532"/>
    <w:rsid w:val="0096774F"/>
    <w:rsid w:val="00967E76"/>
    <w:rsid w:val="009721DB"/>
    <w:rsid w:val="0097239B"/>
    <w:rsid w:val="00974923"/>
    <w:rsid w:val="009808F7"/>
    <w:rsid w:val="00980D3D"/>
    <w:rsid w:val="00981FFA"/>
    <w:rsid w:val="009855E1"/>
    <w:rsid w:val="00987A30"/>
    <w:rsid w:val="00992CF3"/>
    <w:rsid w:val="00994868"/>
    <w:rsid w:val="0099574A"/>
    <w:rsid w:val="009968D6"/>
    <w:rsid w:val="009A1CAB"/>
    <w:rsid w:val="009A60D1"/>
    <w:rsid w:val="009B6FD3"/>
    <w:rsid w:val="009C1750"/>
    <w:rsid w:val="009C2E29"/>
    <w:rsid w:val="009C554B"/>
    <w:rsid w:val="009C719E"/>
    <w:rsid w:val="009C7A10"/>
    <w:rsid w:val="009D1120"/>
    <w:rsid w:val="009D3ACD"/>
    <w:rsid w:val="009E5273"/>
    <w:rsid w:val="009E5DDB"/>
    <w:rsid w:val="009E7F05"/>
    <w:rsid w:val="009F46B7"/>
    <w:rsid w:val="009F4CA7"/>
    <w:rsid w:val="009F791A"/>
    <w:rsid w:val="00A04CEF"/>
    <w:rsid w:val="00A10D66"/>
    <w:rsid w:val="00A14114"/>
    <w:rsid w:val="00A1537C"/>
    <w:rsid w:val="00A16413"/>
    <w:rsid w:val="00A16E1D"/>
    <w:rsid w:val="00A17D5B"/>
    <w:rsid w:val="00A17EB2"/>
    <w:rsid w:val="00A206E5"/>
    <w:rsid w:val="00A20CC0"/>
    <w:rsid w:val="00A23447"/>
    <w:rsid w:val="00A23E43"/>
    <w:rsid w:val="00A25216"/>
    <w:rsid w:val="00A30F65"/>
    <w:rsid w:val="00A33549"/>
    <w:rsid w:val="00A33A89"/>
    <w:rsid w:val="00A40EAC"/>
    <w:rsid w:val="00A40EDD"/>
    <w:rsid w:val="00A418BC"/>
    <w:rsid w:val="00A4206C"/>
    <w:rsid w:val="00A46DE0"/>
    <w:rsid w:val="00A472EB"/>
    <w:rsid w:val="00A47FCA"/>
    <w:rsid w:val="00A50D73"/>
    <w:rsid w:val="00A52CAD"/>
    <w:rsid w:val="00A53FC7"/>
    <w:rsid w:val="00A62CE1"/>
    <w:rsid w:val="00A668A3"/>
    <w:rsid w:val="00A6741E"/>
    <w:rsid w:val="00A754EA"/>
    <w:rsid w:val="00A75E40"/>
    <w:rsid w:val="00A770F4"/>
    <w:rsid w:val="00A77D1D"/>
    <w:rsid w:val="00A84A6A"/>
    <w:rsid w:val="00A857C0"/>
    <w:rsid w:val="00A90FED"/>
    <w:rsid w:val="00AA2996"/>
    <w:rsid w:val="00AA2A70"/>
    <w:rsid w:val="00AA2DA1"/>
    <w:rsid w:val="00AA4B30"/>
    <w:rsid w:val="00AA52BF"/>
    <w:rsid w:val="00AA559A"/>
    <w:rsid w:val="00AB2AF1"/>
    <w:rsid w:val="00AB535B"/>
    <w:rsid w:val="00AC45BD"/>
    <w:rsid w:val="00AC5791"/>
    <w:rsid w:val="00AD168E"/>
    <w:rsid w:val="00AD306C"/>
    <w:rsid w:val="00AD4F16"/>
    <w:rsid w:val="00AD5323"/>
    <w:rsid w:val="00AD68C4"/>
    <w:rsid w:val="00AE09B3"/>
    <w:rsid w:val="00AE0ED3"/>
    <w:rsid w:val="00AE1A2E"/>
    <w:rsid w:val="00AE1A83"/>
    <w:rsid w:val="00AE31A7"/>
    <w:rsid w:val="00AF1DE9"/>
    <w:rsid w:val="00AF6128"/>
    <w:rsid w:val="00B00913"/>
    <w:rsid w:val="00B01593"/>
    <w:rsid w:val="00B01CF3"/>
    <w:rsid w:val="00B023F2"/>
    <w:rsid w:val="00B04705"/>
    <w:rsid w:val="00B04E70"/>
    <w:rsid w:val="00B07BBB"/>
    <w:rsid w:val="00B10A4D"/>
    <w:rsid w:val="00B14BC1"/>
    <w:rsid w:val="00B17E71"/>
    <w:rsid w:val="00B17FDE"/>
    <w:rsid w:val="00B2379C"/>
    <w:rsid w:val="00B25189"/>
    <w:rsid w:val="00B2687D"/>
    <w:rsid w:val="00B26897"/>
    <w:rsid w:val="00B32DDB"/>
    <w:rsid w:val="00B34528"/>
    <w:rsid w:val="00B34CC9"/>
    <w:rsid w:val="00B402FC"/>
    <w:rsid w:val="00B439DA"/>
    <w:rsid w:val="00B46604"/>
    <w:rsid w:val="00B50624"/>
    <w:rsid w:val="00B530CD"/>
    <w:rsid w:val="00B55F5E"/>
    <w:rsid w:val="00B5752E"/>
    <w:rsid w:val="00B63A11"/>
    <w:rsid w:val="00B63B6A"/>
    <w:rsid w:val="00B64C24"/>
    <w:rsid w:val="00B6608F"/>
    <w:rsid w:val="00B67768"/>
    <w:rsid w:val="00B679FB"/>
    <w:rsid w:val="00B71EF7"/>
    <w:rsid w:val="00B7665A"/>
    <w:rsid w:val="00B76D1E"/>
    <w:rsid w:val="00B8028A"/>
    <w:rsid w:val="00B80EC6"/>
    <w:rsid w:val="00B84CF6"/>
    <w:rsid w:val="00B92D1D"/>
    <w:rsid w:val="00B938C5"/>
    <w:rsid w:val="00B95940"/>
    <w:rsid w:val="00BA37EA"/>
    <w:rsid w:val="00BA5256"/>
    <w:rsid w:val="00BA6C2B"/>
    <w:rsid w:val="00BB22F6"/>
    <w:rsid w:val="00BB46F3"/>
    <w:rsid w:val="00BB4CB1"/>
    <w:rsid w:val="00BB4F98"/>
    <w:rsid w:val="00BB73ED"/>
    <w:rsid w:val="00BC5C12"/>
    <w:rsid w:val="00BC7154"/>
    <w:rsid w:val="00BC731E"/>
    <w:rsid w:val="00BD366B"/>
    <w:rsid w:val="00BD6D50"/>
    <w:rsid w:val="00BE18B9"/>
    <w:rsid w:val="00BE2495"/>
    <w:rsid w:val="00BF1578"/>
    <w:rsid w:val="00BF3B1D"/>
    <w:rsid w:val="00BF71A0"/>
    <w:rsid w:val="00BF723F"/>
    <w:rsid w:val="00C21F94"/>
    <w:rsid w:val="00C27913"/>
    <w:rsid w:val="00C27E4F"/>
    <w:rsid w:val="00C325AE"/>
    <w:rsid w:val="00C32964"/>
    <w:rsid w:val="00C33B68"/>
    <w:rsid w:val="00C36A79"/>
    <w:rsid w:val="00C401D2"/>
    <w:rsid w:val="00C405D4"/>
    <w:rsid w:val="00C4431F"/>
    <w:rsid w:val="00C4513B"/>
    <w:rsid w:val="00C5390B"/>
    <w:rsid w:val="00C53E5D"/>
    <w:rsid w:val="00C54141"/>
    <w:rsid w:val="00C5418A"/>
    <w:rsid w:val="00C54697"/>
    <w:rsid w:val="00C65535"/>
    <w:rsid w:val="00C66B0D"/>
    <w:rsid w:val="00C71E85"/>
    <w:rsid w:val="00C72884"/>
    <w:rsid w:val="00C73885"/>
    <w:rsid w:val="00C747B1"/>
    <w:rsid w:val="00C82191"/>
    <w:rsid w:val="00C83134"/>
    <w:rsid w:val="00C85545"/>
    <w:rsid w:val="00C9003C"/>
    <w:rsid w:val="00C90CF4"/>
    <w:rsid w:val="00C92EB6"/>
    <w:rsid w:val="00C93389"/>
    <w:rsid w:val="00C96040"/>
    <w:rsid w:val="00CA0914"/>
    <w:rsid w:val="00CA6AB4"/>
    <w:rsid w:val="00CA7BE7"/>
    <w:rsid w:val="00CB4930"/>
    <w:rsid w:val="00CC0E87"/>
    <w:rsid w:val="00CC2E7D"/>
    <w:rsid w:val="00CD10A5"/>
    <w:rsid w:val="00CD2076"/>
    <w:rsid w:val="00CD29B5"/>
    <w:rsid w:val="00CD6331"/>
    <w:rsid w:val="00CD7AFB"/>
    <w:rsid w:val="00CE670B"/>
    <w:rsid w:val="00CF322D"/>
    <w:rsid w:val="00CF39C9"/>
    <w:rsid w:val="00CF4908"/>
    <w:rsid w:val="00CF51EC"/>
    <w:rsid w:val="00CF59E5"/>
    <w:rsid w:val="00CF73AE"/>
    <w:rsid w:val="00D040DD"/>
    <w:rsid w:val="00D075BE"/>
    <w:rsid w:val="00D13986"/>
    <w:rsid w:val="00D21D83"/>
    <w:rsid w:val="00D235B7"/>
    <w:rsid w:val="00D23C02"/>
    <w:rsid w:val="00D25F28"/>
    <w:rsid w:val="00D26071"/>
    <w:rsid w:val="00D27973"/>
    <w:rsid w:val="00D35E1A"/>
    <w:rsid w:val="00D37C1E"/>
    <w:rsid w:val="00D40B2B"/>
    <w:rsid w:val="00D40F7C"/>
    <w:rsid w:val="00D417B7"/>
    <w:rsid w:val="00D42211"/>
    <w:rsid w:val="00D42756"/>
    <w:rsid w:val="00D50F46"/>
    <w:rsid w:val="00D567C6"/>
    <w:rsid w:val="00D57677"/>
    <w:rsid w:val="00D61DF8"/>
    <w:rsid w:val="00D66223"/>
    <w:rsid w:val="00D674D7"/>
    <w:rsid w:val="00D71625"/>
    <w:rsid w:val="00D751DA"/>
    <w:rsid w:val="00D8084C"/>
    <w:rsid w:val="00D915EA"/>
    <w:rsid w:val="00D96855"/>
    <w:rsid w:val="00DA47A8"/>
    <w:rsid w:val="00DA48C1"/>
    <w:rsid w:val="00DA7C0C"/>
    <w:rsid w:val="00DB08A9"/>
    <w:rsid w:val="00DB2EC8"/>
    <w:rsid w:val="00DB5AF8"/>
    <w:rsid w:val="00DB5FC0"/>
    <w:rsid w:val="00DB6566"/>
    <w:rsid w:val="00DC1B9B"/>
    <w:rsid w:val="00DC1E84"/>
    <w:rsid w:val="00DC40D2"/>
    <w:rsid w:val="00DC48F1"/>
    <w:rsid w:val="00DC5B3B"/>
    <w:rsid w:val="00DD129F"/>
    <w:rsid w:val="00DD4EFE"/>
    <w:rsid w:val="00DE02BD"/>
    <w:rsid w:val="00DE5DBA"/>
    <w:rsid w:val="00DF42FF"/>
    <w:rsid w:val="00DF5908"/>
    <w:rsid w:val="00E01C0E"/>
    <w:rsid w:val="00E03F9A"/>
    <w:rsid w:val="00E0465E"/>
    <w:rsid w:val="00E04694"/>
    <w:rsid w:val="00E063CE"/>
    <w:rsid w:val="00E12B1E"/>
    <w:rsid w:val="00E17262"/>
    <w:rsid w:val="00E253A2"/>
    <w:rsid w:val="00E314B9"/>
    <w:rsid w:val="00E329EF"/>
    <w:rsid w:val="00E3309D"/>
    <w:rsid w:val="00E409C2"/>
    <w:rsid w:val="00E43C1C"/>
    <w:rsid w:val="00E45931"/>
    <w:rsid w:val="00E47EBA"/>
    <w:rsid w:val="00E50156"/>
    <w:rsid w:val="00E51643"/>
    <w:rsid w:val="00E53470"/>
    <w:rsid w:val="00E53874"/>
    <w:rsid w:val="00E539F6"/>
    <w:rsid w:val="00E54E39"/>
    <w:rsid w:val="00E55091"/>
    <w:rsid w:val="00E6519D"/>
    <w:rsid w:val="00E67696"/>
    <w:rsid w:val="00E71654"/>
    <w:rsid w:val="00E71A58"/>
    <w:rsid w:val="00E72A7A"/>
    <w:rsid w:val="00E75C94"/>
    <w:rsid w:val="00E849A6"/>
    <w:rsid w:val="00E91024"/>
    <w:rsid w:val="00E920F4"/>
    <w:rsid w:val="00E93820"/>
    <w:rsid w:val="00E94A86"/>
    <w:rsid w:val="00E96143"/>
    <w:rsid w:val="00EA038B"/>
    <w:rsid w:val="00EA0987"/>
    <w:rsid w:val="00EA0C68"/>
    <w:rsid w:val="00EA32BC"/>
    <w:rsid w:val="00EA4302"/>
    <w:rsid w:val="00EA6C97"/>
    <w:rsid w:val="00EA7407"/>
    <w:rsid w:val="00EB39C7"/>
    <w:rsid w:val="00EB3D8F"/>
    <w:rsid w:val="00EB4511"/>
    <w:rsid w:val="00EC03D7"/>
    <w:rsid w:val="00ED62C6"/>
    <w:rsid w:val="00ED64C1"/>
    <w:rsid w:val="00EE0E68"/>
    <w:rsid w:val="00EE3446"/>
    <w:rsid w:val="00EE3E78"/>
    <w:rsid w:val="00EE4B1B"/>
    <w:rsid w:val="00EE7F19"/>
    <w:rsid w:val="00EF150D"/>
    <w:rsid w:val="00EF1F5A"/>
    <w:rsid w:val="00EF47BF"/>
    <w:rsid w:val="00EF6DB3"/>
    <w:rsid w:val="00F04811"/>
    <w:rsid w:val="00F0488C"/>
    <w:rsid w:val="00F10F11"/>
    <w:rsid w:val="00F15AAA"/>
    <w:rsid w:val="00F15BEF"/>
    <w:rsid w:val="00F17E83"/>
    <w:rsid w:val="00F24407"/>
    <w:rsid w:val="00F24931"/>
    <w:rsid w:val="00F24FAA"/>
    <w:rsid w:val="00F252A0"/>
    <w:rsid w:val="00F3364D"/>
    <w:rsid w:val="00F437CC"/>
    <w:rsid w:val="00F43E29"/>
    <w:rsid w:val="00F44537"/>
    <w:rsid w:val="00F44B6A"/>
    <w:rsid w:val="00F47067"/>
    <w:rsid w:val="00F50FC3"/>
    <w:rsid w:val="00F5188A"/>
    <w:rsid w:val="00F52106"/>
    <w:rsid w:val="00F525EB"/>
    <w:rsid w:val="00F63DDE"/>
    <w:rsid w:val="00F63FB7"/>
    <w:rsid w:val="00F6421B"/>
    <w:rsid w:val="00F649D2"/>
    <w:rsid w:val="00F6602B"/>
    <w:rsid w:val="00F66643"/>
    <w:rsid w:val="00F66FD9"/>
    <w:rsid w:val="00F67C4E"/>
    <w:rsid w:val="00F70D20"/>
    <w:rsid w:val="00F73A0C"/>
    <w:rsid w:val="00F756DB"/>
    <w:rsid w:val="00F84E7D"/>
    <w:rsid w:val="00F85066"/>
    <w:rsid w:val="00F87A4D"/>
    <w:rsid w:val="00F90035"/>
    <w:rsid w:val="00F9785E"/>
    <w:rsid w:val="00FA5D4D"/>
    <w:rsid w:val="00FA60AD"/>
    <w:rsid w:val="00FA7115"/>
    <w:rsid w:val="00FB0EE2"/>
    <w:rsid w:val="00FB4423"/>
    <w:rsid w:val="00FB542E"/>
    <w:rsid w:val="00FB6631"/>
    <w:rsid w:val="00FC0E5F"/>
    <w:rsid w:val="00FC1A95"/>
    <w:rsid w:val="00FC56DE"/>
    <w:rsid w:val="00FC6700"/>
    <w:rsid w:val="00FC684B"/>
    <w:rsid w:val="00FD3265"/>
    <w:rsid w:val="00FD5F92"/>
    <w:rsid w:val="00FD66F9"/>
    <w:rsid w:val="00FD78F8"/>
    <w:rsid w:val="00FE2F78"/>
    <w:rsid w:val="00FF4082"/>
    <w:rsid w:val="00FF7090"/>
    <w:rsid w:val="00FF7B96"/>
    <w:rsid w:val="010E6CF6"/>
    <w:rsid w:val="0274CEEB"/>
    <w:rsid w:val="11D0C0D9"/>
    <w:rsid w:val="1C7F89FF"/>
    <w:rsid w:val="304DB734"/>
    <w:rsid w:val="30D0B3BE"/>
    <w:rsid w:val="52CC52E2"/>
    <w:rsid w:val="55C2456F"/>
    <w:rsid w:val="614CA75B"/>
    <w:rsid w:val="6B2670A5"/>
    <w:rsid w:val="6E1EAC99"/>
    <w:rsid w:val="7BDB84E4"/>
    <w:rsid w:val="7DB22EB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ecf4dd,#eaecee,#fcec0a,#fcecdb,#f1daf5"/>
    </o:shapedefaults>
    <o:shapelayout v:ext="edit">
      <o:idmap v:ext="edit" data="2"/>
    </o:shapelayout>
  </w:shapeDefaults>
  <w:decimalSymbol w:val=","/>
  <w:listSeparator w:val=";"/>
  <w14:docId w14:val="21432897"/>
  <w15:docId w15:val="{3A7C6927-7F52-4209-ABA9-A0ACA86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4FA0"/>
    <w:pPr>
      <w:spacing w:after="240" w:line="276" w:lineRule="auto"/>
      <w:jc w:val="both"/>
    </w:pPr>
    <w:rPr>
      <w:rFonts w:ascii="Arial" w:eastAsia="Times New Roman" w:hAnsi="Arial"/>
      <w:szCs w:val="24"/>
      <w:lang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tabs>
        <w:tab w:val="num" w:pos="360"/>
      </w:tabs>
      <w:spacing w:before="200" w:after="0"/>
      <w:ind w:left="0" w:firstLine="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tabs>
        <w:tab w:val="num" w:pos="360"/>
      </w:tabs>
      <w:spacing w:before="200" w:after="0"/>
      <w:ind w:left="0" w:firstLine="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tabs>
        <w:tab w:val="num" w:pos="36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tabs>
        <w:tab w:val="num" w:pos="360"/>
      </w:tabs>
      <w:spacing w:before="200" w:after="0"/>
      <w:ind w:left="0" w:firstLine="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tabs>
        <w:tab w:val="num" w:pos="360"/>
      </w:tabs>
      <w:spacing w:before="240" w:after="60"/>
      <w:ind w:left="0" w:firstLine="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link w:val="OdstavecseseznamemChar"/>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styleId="Odkaznakoment">
    <w:name w:val="annotation reference"/>
    <w:basedOn w:val="Standardnpsmoodstavce"/>
    <w:uiPriority w:val="99"/>
    <w:semiHidden/>
    <w:unhideWhenUsed/>
    <w:rsid w:val="00545512"/>
    <w:rPr>
      <w:sz w:val="16"/>
      <w:szCs w:val="16"/>
    </w:rPr>
  </w:style>
  <w:style w:type="paragraph" w:styleId="Textkomente">
    <w:name w:val="annotation text"/>
    <w:basedOn w:val="Normln"/>
    <w:link w:val="TextkomenteChar"/>
    <w:uiPriority w:val="99"/>
    <w:unhideWhenUsed/>
    <w:rsid w:val="00545512"/>
    <w:pPr>
      <w:spacing w:line="240" w:lineRule="auto"/>
    </w:pPr>
    <w:rPr>
      <w:szCs w:val="20"/>
    </w:rPr>
  </w:style>
  <w:style w:type="character" w:customStyle="1" w:styleId="TextkomenteChar">
    <w:name w:val="Text komentáře Char"/>
    <w:basedOn w:val="Standardnpsmoodstavce"/>
    <w:link w:val="Textkomente"/>
    <w:uiPriority w:val="99"/>
    <w:rsid w:val="00545512"/>
    <w:rPr>
      <w:rFonts w:ascii="Arial" w:eastAsia="Times New Roman" w:hAnsi="Arial"/>
      <w:lang w:eastAsia="cs-CZ"/>
    </w:rPr>
  </w:style>
  <w:style w:type="paragraph" w:styleId="Pedmtkomente">
    <w:name w:val="annotation subject"/>
    <w:basedOn w:val="Textkomente"/>
    <w:next w:val="Textkomente"/>
    <w:link w:val="PedmtkomenteChar"/>
    <w:uiPriority w:val="99"/>
    <w:semiHidden/>
    <w:unhideWhenUsed/>
    <w:rsid w:val="00545512"/>
    <w:rPr>
      <w:b/>
      <w:bCs/>
    </w:rPr>
  </w:style>
  <w:style w:type="character" w:customStyle="1" w:styleId="PedmtkomenteChar">
    <w:name w:val="Předmět komentáře Char"/>
    <w:basedOn w:val="TextkomenteChar"/>
    <w:link w:val="Pedmtkomente"/>
    <w:uiPriority w:val="99"/>
    <w:semiHidden/>
    <w:rsid w:val="00545512"/>
    <w:rPr>
      <w:rFonts w:ascii="Arial" w:eastAsia="Times New Roman" w:hAnsi="Arial"/>
      <w:b/>
      <w:bCs/>
      <w:lang w:eastAsia="cs-CZ"/>
    </w:rPr>
  </w:style>
  <w:style w:type="paragraph" w:styleId="Rozloendokumentu">
    <w:name w:val="Document Map"/>
    <w:basedOn w:val="Normln"/>
    <w:link w:val="RozloendokumentuChar"/>
    <w:uiPriority w:val="99"/>
    <w:semiHidden/>
    <w:rsid w:val="00545512"/>
    <w:pPr>
      <w:spacing w:after="0" w:line="288" w:lineRule="auto"/>
      <w:jc w:val="left"/>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545512"/>
    <w:rPr>
      <w:rFonts w:ascii="Tahoma" w:hAnsi="Tahoma" w:cs="Tahoma"/>
      <w:sz w:val="16"/>
      <w:szCs w:val="16"/>
      <w:lang w:eastAsia="cs-CZ"/>
    </w:rPr>
  </w:style>
  <w:style w:type="paragraph" w:customStyle="1" w:styleId="Nadpis12">
    <w:name w:val="Nadpis 12"/>
    <w:basedOn w:val="Normln"/>
    <w:uiPriority w:val="9"/>
    <w:qFormat/>
    <w:rsid w:val="00545512"/>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545512"/>
  </w:style>
  <w:style w:type="paragraph" w:styleId="Revize">
    <w:name w:val="Revision"/>
    <w:hidden/>
    <w:uiPriority w:val="99"/>
    <w:semiHidden/>
    <w:rsid w:val="00545512"/>
    <w:rPr>
      <w:rFonts w:ascii="Arial" w:eastAsia="Times New Roman" w:hAnsi="Arial"/>
      <w:szCs w:val="24"/>
      <w:lang w:eastAsia="cs-CZ"/>
    </w:rPr>
  </w:style>
  <w:style w:type="character" w:customStyle="1" w:styleId="odkaz-style-wrapper">
    <w:name w:val="odkaz-style-wrapper"/>
    <w:basedOn w:val="Standardnpsmoodstavce"/>
    <w:rsid w:val="00545512"/>
  </w:style>
  <w:style w:type="character" w:customStyle="1" w:styleId="tabulka">
    <w:name w:val="tabulka"/>
    <w:basedOn w:val="Standardnpsmoodstavce"/>
    <w:rsid w:val="00545512"/>
  </w:style>
  <w:style w:type="paragraph" w:customStyle="1" w:styleId="Default">
    <w:name w:val="Default"/>
    <w:rsid w:val="00545512"/>
    <w:pPr>
      <w:autoSpaceDE w:val="0"/>
      <w:autoSpaceDN w:val="0"/>
      <w:adjustRightInd w:val="0"/>
    </w:pPr>
    <w:rPr>
      <w:rFonts w:cs="Calibri"/>
      <w:color w:val="000000"/>
      <w:sz w:val="24"/>
      <w:szCs w:val="24"/>
    </w:rPr>
  </w:style>
  <w:style w:type="paragraph" w:styleId="Normlnweb">
    <w:name w:val="Normal (Web)"/>
    <w:basedOn w:val="Normln"/>
    <w:uiPriority w:val="99"/>
    <w:semiHidden/>
    <w:unhideWhenUsed/>
    <w:rsid w:val="00545512"/>
    <w:pPr>
      <w:spacing w:before="100" w:beforeAutospacing="1" w:after="100" w:afterAutospacing="1" w:line="240" w:lineRule="auto"/>
      <w:jc w:val="left"/>
    </w:pPr>
    <w:rPr>
      <w:rFonts w:ascii="Times New Roman" w:hAnsi="Times New Roman"/>
      <w:sz w:val="24"/>
    </w:rPr>
  </w:style>
  <w:style w:type="paragraph" w:styleId="FormtovanvHTML">
    <w:name w:val="HTML Preformatted"/>
    <w:basedOn w:val="Normln"/>
    <w:link w:val="FormtovanvHTMLChar"/>
    <w:uiPriority w:val="99"/>
    <w:semiHidden/>
    <w:unhideWhenUsed/>
    <w:rsid w:val="0054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545512"/>
    <w:rPr>
      <w:rFonts w:ascii="Courier New" w:eastAsia="Times New Roman" w:hAnsi="Courier New" w:cs="Courier New"/>
      <w:lang w:eastAsia="cs-CZ"/>
    </w:rPr>
  </w:style>
  <w:style w:type="paragraph" w:customStyle="1" w:styleId="cay">
    <w:name w:val="c_ay"/>
    <w:basedOn w:val="Normln"/>
    <w:rsid w:val="00545512"/>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545512"/>
  </w:style>
  <w:style w:type="character" w:styleId="Sledovanodkaz">
    <w:name w:val="FollowedHyperlink"/>
    <w:basedOn w:val="Standardnpsmoodstavce"/>
    <w:uiPriority w:val="99"/>
    <w:semiHidden/>
    <w:unhideWhenUsed/>
    <w:rsid w:val="00545512"/>
    <w:rPr>
      <w:color w:val="800080" w:themeColor="followedHyperlink"/>
      <w:u w:val="single"/>
    </w:rPr>
  </w:style>
  <w:style w:type="character" w:customStyle="1" w:styleId="cfu">
    <w:name w:val="c_fu"/>
    <w:basedOn w:val="Standardnpsmoodstavce"/>
    <w:rsid w:val="00BF3B1D"/>
  </w:style>
  <w:style w:type="character" w:customStyle="1" w:styleId="OdstavecseseznamemChar">
    <w:name w:val="Odstavec se seznamem Char"/>
    <w:basedOn w:val="Standardnpsmoodstavce"/>
    <w:link w:val="Odstavecseseznamem"/>
    <w:uiPriority w:val="34"/>
    <w:rsid w:val="00CF59E5"/>
    <w:rPr>
      <w:rFonts w:ascii="Arial" w:eastAsia="Times New Roman" w:hAnsi="Arial"/>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6344914">
      <w:bodyDiv w:val="1"/>
      <w:marLeft w:val="0"/>
      <w:marRight w:val="0"/>
      <w:marTop w:val="0"/>
      <w:marBottom w:val="0"/>
      <w:divBdr>
        <w:top w:val="none" w:sz="0" w:space="0" w:color="auto"/>
        <w:left w:val="none" w:sz="0" w:space="0" w:color="auto"/>
        <w:bottom w:val="none" w:sz="0" w:space="0" w:color="auto"/>
        <w:right w:val="none" w:sz="0" w:space="0" w:color="auto"/>
      </w:divBdr>
    </w:div>
    <w:div w:id="11051791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73370128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66721734">
      <w:bodyDiv w:val="1"/>
      <w:marLeft w:val="0"/>
      <w:marRight w:val="0"/>
      <w:marTop w:val="0"/>
      <w:marBottom w:val="0"/>
      <w:divBdr>
        <w:top w:val="none" w:sz="0" w:space="0" w:color="auto"/>
        <w:left w:val="none" w:sz="0" w:space="0" w:color="auto"/>
        <w:bottom w:val="none" w:sz="0" w:space="0" w:color="auto"/>
        <w:right w:val="none" w:sz="0" w:space="0" w:color="auto"/>
      </w:divBdr>
    </w:div>
    <w:div w:id="1639457441">
      <w:bodyDiv w:val="1"/>
      <w:marLeft w:val="0"/>
      <w:marRight w:val="0"/>
      <w:marTop w:val="0"/>
      <w:marBottom w:val="0"/>
      <w:divBdr>
        <w:top w:val="none" w:sz="0" w:space="0" w:color="auto"/>
        <w:left w:val="none" w:sz="0" w:space="0" w:color="auto"/>
        <w:bottom w:val="none" w:sz="0" w:space="0" w:color="auto"/>
        <w:right w:val="none" w:sz="0" w:space="0" w:color="auto"/>
      </w:divBdr>
    </w:div>
    <w:div w:id="1716924412">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06206753">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https://czsocz-my.sharepoint.com/personal/karolina_zabojnikova_czso_cz/Documents/Dokumenty/Anal&#253;za/Q/2025Q3/Makroanal&#253;za%20grafy.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3/Makroanal&#253;za%20graf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3/Makroanal&#253;za%20graf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8324257007767645E-2"/>
          <c:y val="2.3046636085626952E-2"/>
          <c:w val="0.92008633063154344"/>
          <c:h val="0.74192840256671611"/>
        </c:manualLayout>
      </c:layout>
      <c:barChart>
        <c:barDir val="col"/>
        <c:grouping val="clustered"/>
        <c:varyColors val="0"/>
        <c:ser>
          <c:idx val="0"/>
          <c:order val="0"/>
          <c:tx>
            <c:strRef>
              <c:f>'souhrnná výkonnost 1'!$C$4</c:f>
              <c:strCache>
                <c:ptCount val="1"/>
                <c:pt idx="0">
                  <c:v>ČR meziroční změna</c:v>
                </c:pt>
              </c:strCache>
            </c:strRef>
          </c:tx>
          <c:spPr>
            <a:solidFill>
              <a:srgbClr val="85898E"/>
            </a:solidFill>
            <a:ln>
              <a:noFill/>
            </a:ln>
          </c:spPr>
          <c:invertIfNegative val="0"/>
          <c:cat>
            <c:multiLvlStrRef>
              <c:f>'souhrnná výkonnost 1'!$A$13:$B$35</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'souhrnná výkonnost 1'!$C$13:$C$35</c:f>
              <c:numCache>
                <c:formatCode>0.0</c:formatCode>
                <c:ptCount val="23"/>
                <c:pt idx="0">
                  <c:v>-1.5351861916054617</c:v>
                </c:pt>
                <c:pt idx="1">
                  <c:v>-10.559587702388853</c:v>
                </c:pt>
                <c:pt idx="2">
                  <c:v>-4.6694083752601188</c:v>
                </c:pt>
                <c:pt idx="3">
                  <c:v>-4.5192273145153194</c:v>
                </c:pt>
                <c:pt idx="4">
                  <c:v>-1.2664124847114806</c:v>
                </c:pt>
                <c:pt idx="5">
                  <c:v>9.7297062446547216</c:v>
                </c:pt>
                <c:pt idx="6">
                  <c:v>3.9961916951869227</c:v>
                </c:pt>
                <c:pt idx="7">
                  <c:v>3.9239124588274592</c:v>
                </c:pt>
                <c:pt idx="8">
                  <c:v>4.8491281313959291</c:v>
                </c:pt>
                <c:pt idx="9">
                  <c:v>3.6598190972935782</c:v>
                </c:pt>
                <c:pt idx="10">
                  <c:v>2.0291799214766684</c:v>
                </c:pt>
                <c:pt idx="11">
                  <c:v>0.95170963681438536</c:v>
                </c:pt>
                <c:pt idx="12">
                  <c:v>0.26248598087539676</c:v>
                </c:pt>
                <c:pt idx="13">
                  <c:v>0.21777400207922426</c:v>
                </c:pt>
                <c:pt idx="14">
                  <c:v>-0.2818883582691285</c:v>
                </c:pt>
                <c:pt idx="15">
                  <c:v>0.48633188147042006</c:v>
                </c:pt>
                <c:pt idx="16">
                  <c:v>0.48211384634807075</c:v>
                </c:pt>
                <c:pt idx="17">
                  <c:v>0.52357852260544746</c:v>
                </c:pt>
                <c:pt idx="18">
                  <c:v>1.5047596211287271</c:v>
                </c:pt>
                <c:pt idx="19">
                  <c:v>1.9258216207161354</c:v>
                </c:pt>
                <c:pt idx="20">
                  <c:v>2.4302679637632849</c:v>
                </c:pt>
                <c:pt idx="21">
                  <c:v>2.5535054966905761</c:v>
                </c:pt>
                <c:pt idx="22">
                  <c:v>2.7542043391978694</c:v>
                </c:pt>
              </c:numCache>
            </c:numRef>
          </c:val>
          <c:extLst>
            <c:ext xmlns:c16="http://schemas.microsoft.com/office/drawing/2014/chart" uri="{C3380CC4-5D6E-409C-BE32-E72D297353CC}">
              <c16:uniqueId val="{00000000-9A12-467E-BC1E-5EB55AC72332}"/>
            </c:ext>
          </c:extLst>
        </c:ser>
        <c:ser>
          <c:idx val="1"/>
          <c:order val="1"/>
          <c:tx>
            <c:strRef>
              <c:f>'souhrnná výkonnost 1'!$D$4</c:f>
              <c:strCache>
                <c:ptCount val="1"/>
                <c:pt idx="0">
                  <c:v>EU27 meziroční změna</c:v>
                </c:pt>
              </c:strCache>
            </c:strRef>
          </c:tx>
          <c:spPr>
            <a:solidFill>
              <a:srgbClr val="B8BBC0"/>
            </a:solidFill>
            <a:ln>
              <a:noFill/>
            </a:ln>
          </c:spPr>
          <c:invertIfNegative val="0"/>
          <c:cat>
            <c:multiLvlStrRef>
              <c:f>'souhrnná výkonnost 1'!$A$13:$B$35</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'souhrnná výkonnost 1'!$D$13:$D$35</c:f>
              <c:numCache>
                <c:formatCode>#\ ##0.##########</c:formatCode>
                <c:ptCount val="23"/>
                <c:pt idx="0">
                  <c:v>-2.2000000000000002</c:v>
                </c:pt>
                <c:pt idx="1">
                  <c:v>-13.1</c:v>
                </c:pt>
                <c:pt idx="2">
                  <c:v>-3.9</c:v>
                </c:pt>
                <c:pt idx="3">
                  <c:v>-3.5</c:v>
                </c:pt>
                <c:pt idx="4">
                  <c:v>0.3</c:v>
                </c:pt>
                <c:pt idx="5">
                  <c:v>14.7</c:v>
                </c:pt>
                <c:pt idx="6">
                  <c:v>5.3</c:v>
                </c:pt>
                <c:pt idx="7">
                  <c:v>5.8</c:v>
                </c:pt>
                <c:pt idx="8">
                  <c:v>5.6</c:v>
                </c:pt>
                <c:pt idx="9">
                  <c:v>4.2</c:v>
                </c:pt>
                <c:pt idx="10">
                  <c:v>2.9</c:v>
                </c:pt>
                <c:pt idx="11">
                  <c:v>1.8</c:v>
                </c:pt>
                <c:pt idx="12">
                  <c:v>1.2</c:v>
                </c:pt>
                <c:pt idx="13">
                  <c:v>0.5</c:v>
                </c:pt>
                <c:pt idx="14">
                  <c:v>0.1</c:v>
                </c:pt>
                <c:pt idx="15">
                  <c:v>0.4</c:v>
                </c:pt>
                <c:pt idx="16">
                  <c:v>0.6</c:v>
                </c:pt>
                <c:pt idx="17">
                  <c:v>0.8</c:v>
                </c:pt>
                <c:pt idx="18">
                  <c:v>1.1000000000000001</c:v>
                </c:pt>
                <c:pt idx="19">
                  <c:v>1.5</c:v>
                </c:pt>
                <c:pt idx="20">
                  <c:v>1.7</c:v>
                </c:pt>
                <c:pt idx="21">
                  <c:v>1.7</c:v>
                </c:pt>
                <c:pt idx="22">
                  <c:v>1.6</c:v>
                </c:pt>
              </c:numCache>
            </c:numRef>
          </c:val>
          <c:extLst>
            <c:ext xmlns:c16="http://schemas.microsoft.com/office/drawing/2014/chart" uri="{C3380CC4-5D6E-409C-BE32-E72D297353CC}">
              <c16:uniqueId val="{00000001-9A12-467E-BC1E-5EB55AC72332}"/>
            </c:ext>
          </c:extLst>
        </c:ser>
        <c:dLbls>
          <c:showLegendKey val="0"/>
          <c:showVal val="0"/>
          <c:showCatName val="0"/>
          <c:showSerName val="0"/>
          <c:showPercent val="0"/>
          <c:showBubbleSize val="0"/>
        </c:dLbls>
        <c:gapWidth val="100"/>
        <c:axId val="267753344"/>
        <c:axId val="267767808"/>
      </c:barChart>
      <c:lineChart>
        <c:grouping val="standard"/>
        <c:varyColors val="0"/>
        <c:ser>
          <c:idx val="2"/>
          <c:order val="2"/>
          <c:tx>
            <c:strRef>
              <c:f>'souhrnná výkonnost 1'!$E$4</c:f>
              <c:strCache>
                <c:ptCount val="1"/>
                <c:pt idx="0">
                  <c:v>ČR mezičtvrtletní změna</c:v>
                </c:pt>
              </c:strCache>
            </c:strRef>
          </c:tx>
          <c:spPr>
            <a:ln w="19050">
              <a:noFill/>
            </a:ln>
          </c:spPr>
          <c:marker>
            <c:symbol val="dash"/>
            <c:size val="8"/>
            <c:spPr>
              <a:solidFill>
                <a:srgbClr val="009CB5"/>
              </a:solidFill>
              <a:ln>
                <a:noFill/>
              </a:ln>
            </c:spPr>
          </c:marker>
          <c:cat>
            <c:multiLvlStrRef>
              <c:f>'souhrnná výkonnost 1'!$A$13:$B$35</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'souhrnná výkonnost 1'!$E$13:$E$35</c:f>
              <c:numCache>
                <c:formatCode>0.0</c:formatCode>
                <c:ptCount val="23"/>
                <c:pt idx="0">
                  <c:v>-3.2943412602672453</c:v>
                </c:pt>
                <c:pt idx="1">
                  <c:v>-8.7133959463388635</c:v>
                </c:pt>
                <c:pt idx="2">
                  <c:v>7.3327293273359544</c:v>
                </c:pt>
                <c:pt idx="3">
                  <c:v>0.76850445129137768</c:v>
                </c:pt>
                <c:pt idx="4">
                  <c:v>2.0267802636908527E-4</c:v>
                </c:pt>
                <c:pt idx="5">
                  <c:v>1.4533402357052267</c:v>
                </c:pt>
                <c:pt idx="6">
                  <c:v>1.724459823175593</c:v>
                </c:pt>
                <c:pt idx="7">
                  <c:v>0.69846851601238313</c:v>
                </c:pt>
                <c:pt idx="8">
                  <c:v>0.89048627675430225</c:v>
                </c:pt>
                <c:pt idx="9">
                  <c:v>0.30254979774397839</c:v>
                </c:pt>
                <c:pt idx="10">
                  <c:v>0.12426515979501573</c:v>
                </c:pt>
                <c:pt idx="11">
                  <c:v>-0.36494890653776224</c:v>
                </c:pt>
                <c:pt idx="12">
                  <c:v>0.20168060866517123</c:v>
                </c:pt>
                <c:pt idx="13">
                  <c:v>0.25781995251938383</c:v>
                </c:pt>
                <c:pt idx="14">
                  <c:v>-0.37493098735598096</c:v>
                </c:pt>
                <c:pt idx="15">
                  <c:v>0.4026314414784764</c:v>
                </c:pt>
                <c:pt idx="16">
                  <c:v>0.19747452212368444</c:v>
                </c:pt>
                <c:pt idx="17">
                  <c:v>0.29919207226758715</c:v>
                </c:pt>
                <c:pt idx="18">
                  <c:v>0.59748002398004019</c:v>
                </c:pt>
                <c:pt idx="19">
                  <c:v>0.81912159343178814</c:v>
                </c:pt>
                <c:pt idx="20">
                  <c:v>0.69336701336433748</c:v>
                </c:pt>
                <c:pt idx="21">
                  <c:v>0.41986563127809973</c:v>
                </c:pt>
                <c:pt idx="22">
                  <c:v>0.79435089350494081</c:v>
                </c:pt>
              </c:numCache>
            </c:numRef>
          </c:val>
          <c:smooth val="0"/>
          <c:extLst>
            <c:ext xmlns:c16="http://schemas.microsoft.com/office/drawing/2014/chart" uri="{C3380CC4-5D6E-409C-BE32-E72D297353CC}">
              <c16:uniqueId val="{00000002-9A12-467E-BC1E-5EB55AC72332}"/>
            </c:ext>
          </c:extLst>
        </c:ser>
        <c:ser>
          <c:idx val="3"/>
          <c:order val="3"/>
          <c:tx>
            <c:strRef>
              <c:f>'souhrnná výkonnost 1'!$F$4</c:f>
              <c:strCache>
                <c:ptCount val="1"/>
                <c:pt idx="0">
                  <c:v>EU27 mezičtvrtletní změna</c:v>
                </c:pt>
              </c:strCache>
            </c:strRef>
          </c:tx>
          <c:spPr>
            <a:ln w="19050">
              <a:noFill/>
            </a:ln>
          </c:spPr>
          <c:marker>
            <c:symbol val="dash"/>
            <c:size val="8"/>
            <c:spPr>
              <a:solidFill>
                <a:srgbClr val="BC5B80"/>
              </a:solidFill>
              <a:ln>
                <a:noFill/>
              </a:ln>
            </c:spPr>
          </c:marker>
          <c:cat>
            <c:multiLvlStrRef>
              <c:f>'souhrnná výkonnost 1'!$A$13:$B$35</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'souhrnná výkonnost 1'!$F$13:$F$35</c:f>
              <c:numCache>
                <c:formatCode>#\ ##0.##########</c:formatCode>
                <c:ptCount val="23"/>
                <c:pt idx="0">
                  <c:v>-2.9</c:v>
                </c:pt>
                <c:pt idx="1">
                  <c:v>-10.8</c:v>
                </c:pt>
                <c:pt idx="2">
                  <c:v>10.8</c:v>
                </c:pt>
                <c:pt idx="3">
                  <c:v>0.5</c:v>
                </c:pt>
                <c:pt idx="4">
                  <c:v>0.9</c:v>
                </c:pt>
                <c:pt idx="5">
                  <c:v>2.1</c:v>
                </c:pt>
                <c:pt idx="6">
                  <c:v>1.7</c:v>
                </c:pt>
                <c:pt idx="7" formatCode="#\ ##0.0">
                  <c:v>1</c:v>
                </c:pt>
                <c:pt idx="8">
                  <c:v>0.7</c:v>
                </c:pt>
                <c:pt idx="9">
                  <c:v>0.8</c:v>
                </c:pt>
                <c:pt idx="10">
                  <c:v>0.4</c:v>
                </c:pt>
                <c:pt idx="11">
                  <c:v>-0.2</c:v>
                </c:pt>
                <c:pt idx="12">
                  <c:v>0.1</c:v>
                </c:pt>
                <c:pt idx="13">
                  <c:v>0.1</c:v>
                </c:pt>
                <c:pt idx="14">
                  <c:v>0.1</c:v>
                </c:pt>
                <c:pt idx="15">
                  <c:v>0.1</c:v>
                </c:pt>
                <c:pt idx="16">
                  <c:v>0.3</c:v>
                </c:pt>
                <c:pt idx="17">
                  <c:v>0.3</c:v>
                </c:pt>
                <c:pt idx="18">
                  <c:v>0.4</c:v>
                </c:pt>
                <c:pt idx="19">
                  <c:v>0.5</c:v>
                </c:pt>
                <c:pt idx="20">
                  <c:v>0.5</c:v>
                </c:pt>
                <c:pt idx="21">
                  <c:v>0.3</c:v>
                </c:pt>
                <c:pt idx="22">
                  <c:v>0.4</c:v>
                </c:pt>
              </c:numCache>
            </c:numRef>
          </c:val>
          <c:smooth val="0"/>
          <c:extLst>
            <c:ext xmlns:c16="http://schemas.microsoft.com/office/drawing/2014/chart" uri="{C3380CC4-5D6E-409C-BE32-E72D297353CC}">
              <c16:uniqueId val="{00000003-9A12-467E-BC1E-5EB55AC72332}"/>
            </c:ext>
          </c:extLst>
        </c:ser>
        <c:dLbls>
          <c:showLegendKey val="0"/>
          <c:showVal val="0"/>
          <c:showCatName val="0"/>
          <c:showSerName val="0"/>
          <c:showPercent val="0"/>
          <c:showBubbleSize val="0"/>
        </c:dLbls>
        <c:marker val="1"/>
        <c:smooth val="0"/>
        <c:axId val="267753344"/>
        <c:axId val="267767808"/>
      </c:lineChart>
      <c:catAx>
        <c:axId val="267753344"/>
        <c:scaling>
          <c:orientation val="minMax"/>
        </c:scaling>
        <c:delete val="0"/>
        <c:axPos val="b"/>
        <c:numFmt formatCode="General" sourceLinked="0"/>
        <c:majorTickMark val="out"/>
        <c:minorTickMark val="none"/>
        <c:tickLblPos val="low"/>
        <c:spPr>
          <a:ln>
            <a:solidFill>
              <a:schemeClr val="tx1"/>
            </a:solidFill>
          </a:ln>
        </c:spPr>
        <c:txPr>
          <a:bodyPr rot="0" vert="horz"/>
          <a:lstStyle/>
          <a:p>
            <a:pPr>
              <a:defRPr/>
            </a:pPr>
            <a:endParaRPr lang="cs-CZ"/>
          </a:p>
        </c:txPr>
        <c:crossAx val="267767808"/>
        <c:crosses val="autoZero"/>
        <c:auto val="1"/>
        <c:lblAlgn val="ctr"/>
        <c:lblOffset val="100"/>
        <c:noMultiLvlLbl val="0"/>
      </c:catAx>
      <c:valAx>
        <c:axId val="267767808"/>
        <c:scaling>
          <c:orientation val="minMax"/>
          <c:max val="15"/>
          <c:min val="-15"/>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267753344"/>
        <c:crosses val="autoZero"/>
        <c:crossBetween val="between"/>
        <c:majorUnit val="3"/>
      </c:valAx>
      <c:spPr>
        <a:ln>
          <a:solidFill>
            <a:schemeClr val="tx1"/>
          </a:solidFill>
        </a:ln>
      </c:spPr>
    </c:plotArea>
    <c:legend>
      <c:legendPos val="b"/>
      <c:layout>
        <c:manualLayout>
          <c:xMode val="edge"/>
          <c:yMode val="edge"/>
          <c:x val="5.8431906450523471E-2"/>
          <c:y val="0.89437255125717996"/>
          <c:w val="0.91838441404930771"/>
          <c:h val="9.0301755758791014E-2"/>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629137115839245E-2"/>
          <c:y val="2.8458510079622041E-2"/>
          <c:w val="0.93688386524822698"/>
          <c:h val="0.67476668918158278"/>
        </c:manualLayout>
      </c:layout>
      <c:barChart>
        <c:barDir val="col"/>
        <c:grouping val="stacked"/>
        <c:varyColors val="0"/>
        <c:ser>
          <c:idx val="1"/>
          <c:order val="1"/>
          <c:tx>
            <c:strRef>
              <c:f>'souhrnná výkonnost 3'!$F$5</c:f>
              <c:strCache>
                <c:ptCount val="1"/>
                <c:pt idx="0">
                  <c:v>Bilance zahraničního obchodu</c:v>
                </c:pt>
              </c:strCache>
            </c:strRef>
          </c:tx>
          <c:spPr>
            <a:solidFill>
              <a:srgbClr val="86BF5E"/>
            </a:solidFill>
            <a:ln>
              <a:noFill/>
            </a:ln>
          </c:spPr>
          <c:invertIfNegative val="0"/>
          <c:cat>
            <c:multiLvlStrRef>
              <c:f>'souhrnná výkonnost 3'!$A$14:$B$36</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'souhrnná výkonnost 3'!$F$14:$F$36</c:f>
              <c:numCache>
                <c:formatCode>#\ ##0.0</c:formatCode>
                <c:ptCount val="23"/>
                <c:pt idx="0">
                  <c:v>-1.5220098818172303</c:v>
                </c:pt>
                <c:pt idx="1">
                  <c:v>-8.6080644896923371</c:v>
                </c:pt>
                <c:pt idx="2">
                  <c:v>-0.87113777913486379</c:v>
                </c:pt>
                <c:pt idx="3">
                  <c:v>1.614021737138305</c:v>
                </c:pt>
                <c:pt idx="4">
                  <c:v>1.00806823267428</c:v>
                </c:pt>
                <c:pt idx="5">
                  <c:v>6.0445409199098634</c:v>
                </c:pt>
                <c:pt idx="6">
                  <c:v>-3.6147534072472292</c:v>
                </c:pt>
                <c:pt idx="7">
                  <c:v>-3.6138200235464661</c:v>
                </c:pt>
                <c:pt idx="8">
                  <c:v>-1.7829602338092709</c:v>
                </c:pt>
                <c:pt idx="9">
                  <c:v>-0.36779214215191103</c:v>
                </c:pt>
                <c:pt idx="10">
                  <c:v>3.4250247402899241</c:v>
                </c:pt>
                <c:pt idx="11">
                  <c:v>1.5571662732257714</c:v>
                </c:pt>
                <c:pt idx="12">
                  <c:v>1.389081636710952</c:v>
                </c:pt>
                <c:pt idx="13">
                  <c:v>2.0848251500495598</c:v>
                </c:pt>
                <c:pt idx="14">
                  <c:v>-6.9193170333818277E-2</c:v>
                </c:pt>
                <c:pt idx="15">
                  <c:v>1.9371733646297469</c:v>
                </c:pt>
                <c:pt idx="16">
                  <c:v>1.3566299152857297</c:v>
                </c:pt>
                <c:pt idx="17">
                  <c:v>0.54602858563363244</c:v>
                </c:pt>
                <c:pt idx="18">
                  <c:v>0.68971375614340791</c:v>
                </c:pt>
                <c:pt idx="19">
                  <c:v>-1.0023313701804393</c:v>
                </c:pt>
                <c:pt idx="20">
                  <c:v>0.13872680633877588</c:v>
                </c:pt>
                <c:pt idx="21">
                  <c:v>-0.36108854384444955</c:v>
                </c:pt>
                <c:pt idx="22">
                  <c:v>0.40671424320941152</c:v>
                </c:pt>
              </c:numCache>
            </c:numRef>
          </c:val>
          <c:extLst>
            <c:ext xmlns:c16="http://schemas.microsoft.com/office/drawing/2014/chart" uri="{C3380CC4-5D6E-409C-BE32-E72D297353CC}">
              <c16:uniqueId val="{00000000-07CC-4C26-A986-92614B8AD19D}"/>
            </c:ext>
          </c:extLst>
        </c:ser>
        <c:ser>
          <c:idx val="2"/>
          <c:order val="2"/>
          <c:tx>
            <c:strRef>
              <c:f>'souhrnná výkonnost 3'!$H$5</c:f>
              <c:strCache>
                <c:ptCount val="1"/>
                <c:pt idx="0">
                  <c:v>Změna zásob</c:v>
                </c:pt>
              </c:strCache>
            </c:strRef>
          </c:tx>
          <c:spPr>
            <a:solidFill>
              <a:srgbClr val="D8A7B7"/>
            </a:solidFill>
            <a:ln>
              <a:noFill/>
            </a:ln>
          </c:spPr>
          <c:invertIfNegative val="0"/>
          <c:cat>
            <c:multiLvlStrRef>
              <c:f>'souhrnná výkonnost 3'!$A$14:$B$36</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'souhrnná výkonnost 3'!$H$14:$H$36</c:f>
              <c:numCache>
                <c:formatCode>#\ ##0.0</c:formatCode>
                <c:ptCount val="23"/>
                <c:pt idx="0">
                  <c:v>-0.41142612595158018</c:v>
                </c:pt>
                <c:pt idx="1">
                  <c:v>0.47087204680237044</c:v>
                </c:pt>
                <c:pt idx="2">
                  <c:v>-1.2262407779150233</c:v>
                </c:pt>
                <c:pt idx="3">
                  <c:v>-2.1516080620905655</c:v>
                </c:pt>
                <c:pt idx="4">
                  <c:v>0.31270763257798917</c:v>
                </c:pt>
                <c:pt idx="5">
                  <c:v>0.61650741218595939</c:v>
                </c:pt>
                <c:pt idx="6">
                  <c:v>2.6077548225619727</c:v>
                </c:pt>
                <c:pt idx="7">
                  <c:v>1.4587483911788564</c:v>
                </c:pt>
                <c:pt idx="8">
                  <c:v>0.7370032046500693</c:v>
                </c:pt>
                <c:pt idx="9">
                  <c:v>1.6997333429922492</c:v>
                </c:pt>
                <c:pt idx="10">
                  <c:v>-0.76175295397537413</c:v>
                </c:pt>
                <c:pt idx="11">
                  <c:v>0.95369117492959898</c:v>
                </c:pt>
                <c:pt idx="12">
                  <c:v>0.47915445264561807</c:v>
                </c:pt>
                <c:pt idx="13">
                  <c:v>-1.4971510065677742</c:v>
                </c:pt>
                <c:pt idx="14">
                  <c:v>-0.50712143488440276</c:v>
                </c:pt>
                <c:pt idx="15">
                  <c:v>-3.4417223821981748</c:v>
                </c:pt>
                <c:pt idx="16">
                  <c:v>-2.7609785748590339</c:v>
                </c:pt>
                <c:pt idx="17">
                  <c:v>-0.70906748137120368</c:v>
                </c:pt>
                <c:pt idx="18">
                  <c:v>0.15842144716124845</c:v>
                </c:pt>
                <c:pt idx="19">
                  <c:v>2.6112529021083422</c:v>
                </c:pt>
                <c:pt idx="20">
                  <c:v>1.7990934747486789</c:v>
                </c:pt>
                <c:pt idx="21">
                  <c:v>1.1496073175536998</c:v>
                </c:pt>
                <c:pt idx="22">
                  <c:v>0.44993122574043221</c:v>
                </c:pt>
              </c:numCache>
            </c:numRef>
          </c:val>
          <c:extLst>
            <c:ext xmlns:c16="http://schemas.microsoft.com/office/drawing/2014/chart" uri="{C3380CC4-5D6E-409C-BE32-E72D297353CC}">
              <c16:uniqueId val="{00000001-07CC-4C26-A986-92614B8AD19D}"/>
            </c:ext>
          </c:extLst>
        </c:ser>
        <c:ser>
          <c:idx val="3"/>
          <c:order val="3"/>
          <c:tx>
            <c:strRef>
              <c:f>'souhrnná výkonnost 3'!$G$5</c:f>
              <c:strCache>
                <c:ptCount val="1"/>
                <c:pt idx="0">
                  <c:v>Tvorba hrubého fixního kapitálu</c:v>
                </c:pt>
              </c:strCache>
            </c:strRef>
          </c:tx>
          <c:spPr>
            <a:solidFill>
              <a:srgbClr val="BC5B80"/>
            </a:solidFill>
            <a:ln>
              <a:noFill/>
            </a:ln>
          </c:spPr>
          <c:invertIfNegative val="0"/>
          <c:cat>
            <c:multiLvlStrRef>
              <c:f>'souhrnná výkonnost 3'!$A$14:$B$36</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'souhrnná výkonnost 3'!$G$14:$G$36</c:f>
              <c:numCache>
                <c:formatCode>#\ ##0.0</c:formatCode>
                <c:ptCount val="23"/>
                <c:pt idx="0">
                  <c:v>-0.26700598408244552</c:v>
                </c:pt>
                <c:pt idx="1">
                  <c:v>0.17117214561128005</c:v>
                </c:pt>
                <c:pt idx="2">
                  <c:v>-1.0835608783889494</c:v>
                </c:pt>
                <c:pt idx="3">
                  <c:v>-1.2503151391513465</c:v>
                </c:pt>
                <c:pt idx="4">
                  <c:v>0.19329716710704048</c:v>
                </c:pt>
                <c:pt idx="5">
                  <c:v>4.4129877412921126E-2</c:v>
                </c:pt>
                <c:pt idx="6">
                  <c:v>1.9442632515958205</c:v>
                </c:pt>
                <c:pt idx="7">
                  <c:v>2.0044020268363827</c:v>
                </c:pt>
                <c:pt idx="8">
                  <c:v>2.0518449819968736</c:v>
                </c:pt>
                <c:pt idx="9">
                  <c:v>1.4499382287130853</c:v>
                </c:pt>
                <c:pt idx="10">
                  <c:v>0.92691645618860796</c:v>
                </c:pt>
                <c:pt idx="11">
                  <c:v>0.8739358711392371</c:v>
                </c:pt>
                <c:pt idx="12">
                  <c:v>0.34095431774632395</c:v>
                </c:pt>
                <c:pt idx="13">
                  <c:v>0.87661322433525268</c:v>
                </c:pt>
                <c:pt idx="14">
                  <c:v>0.8151154367611948</c:v>
                </c:pt>
                <c:pt idx="15">
                  <c:v>0.96102158219447764</c:v>
                </c:pt>
                <c:pt idx="16">
                  <c:v>0.28328760345871717</c:v>
                </c:pt>
                <c:pt idx="17">
                  <c:v>-0.48652069401857884</c:v>
                </c:pt>
                <c:pt idx="18">
                  <c:v>-0.87586387503576413</c:v>
                </c:pt>
                <c:pt idx="19">
                  <c:v>-1.3280742726126789</c:v>
                </c:pt>
                <c:pt idx="20">
                  <c:v>-0.64667286543730662</c:v>
                </c:pt>
                <c:pt idx="21">
                  <c:v>-9.1187035197037667E-3</c:v>
                </c:pt>
                <c:pt idx="22">
                  <c:v>0.32789629535072379</c:v>
                </c:pt>
              </c:numCache>
            </c:numRef>
          </c:val>
          <c:extLst>
            <c:ext xmlns:c16="http://schemas.microsoft.com/office/drawing/2014/chart" uri="{C3380CC4-5D6E-409C-BE32-E72D297353CC}">
              <c16:uniqueId val="{00000002-07CC-4C26-A986-92614B8AD19D}"/>
            </c:ext>
          </c:extLst>
        </c:ser>
        <c:ser>
          <c:idx val="5"/>
          <c:order val="4"/>
          <c:tx>
            <c:strRef>
              <c:f>'souhrnná výkonnost 3'!$D$5</c:f>
              <c:strCache>
                <c:ptCount val="1"/>
                <c:pt idx="0">
                  <c:v>Výdaje na konečnou spotřebu domácností (vč. nezisk. inst.)</c:v>
                </c:pt>
              </c:strCache>
            </c:strRef>
          </c:tx>
          <c:spPr>
            <a:solidFill>
              <a:srgbClr val="009CB5"/>
            </a:solidFill>
            <a:ln>
              <a:noFill/>
            </a:ln>
          </c:spPr>
          <c:invertIfNegative val="0"/>
          <c:cat>
            <c:multiLvlStrRef>
              <c:f>'souhrnná výkonnost 3'!$A$14:$B$36</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'souhrnná výkonnost 3'!$D$14:$D$36</c:f>
              <c:numCache>
                <c:formatCode>#\ ##0.0</c:formatCode>
                <c:ptCount val="23"/>
                <c:pt idx="0">
                  <c:v>-0.20652462785548492</c:v>
                </c:pt>
                <c:pt idx="1">
                  <c:v>-3.1846278495284714</c:v>
                </c:pt>
                <c:pt idx="2">
                  <c:v>-1.7932936482460928</c:v>
                </c:pt>
                <c:pt idx="3">
                  <c:v>-4.1601529367988528</c:v>
                </c:pt>
                <c:pt idx="4">
                  <c:v>-2.7114582495040898</c:v>
                </c:pt>
                <c:pt idx="5">
                  <c:v>3.0643008969551713</c:v>
                </c:pt>
                <c:pt idx="6">
                  <c:v>1.9670161927809442</c:v>
                </c:pt>
                <c:pt idx="7">
                  <c:v>3.8180993600086053</c:v>
                </c:pt>
                <c:pt idx="8">
                  <c:v>3.31386782283117</c:v>
                </c:pt>
                <c:pt idx="9">
                  <c:v>0.16881001369198514</c:v>
                </c:pt>
                <c:pt idx="10">
                  <c:v>-1.3101813511687193</c:v>
                </c:pt>
                <c:pt idx="11">
                  <c:v>-2.089708487125038</c:v>
                </c:pt>
                <c:pt idx="12">
                  <c:v>-2.6013321896959831</c:v>
                </c:pt>
                <c:pt idx="13">
                  <c:v>-1.7057384010523833</c:v>
                </c:pt>
                <c:pt idx="14">
                  <c:v>-1.1009050834144585</c:v>
                </c:pt>
                <c:pt idx="15">
                  <c:v>0.28178742175377886</c:v>
                </c:pt>
                <c:pt idx="16">
                  <c:v>1.0133792463119431</c:v>
                </c:pt>
                <c:pt idx="17">
                  <c:v>0.32164940763592303</c:v>
                </c:pt>
                <c:pt idx="18">
                  <c:v>0.74012599190963368</c:v>
                </c:pt>
                <c:pt idx="19">
                  <c:v>0.97150047080534707</c:v>
                </c:pt>
                <c:pt idx="20">
                  <c:v>0.75216117302107799</c:v>
                </c:pt>
                <c:pt idx="21">
                  <c:v>1.2469634928861857</c:v>
                </c:pt>
                <c:pt idx="22">
                  <c:v>1.1704454551270658</c:v>
                </c:pt>
              </c:numCache>
            </c:numRef>
          </c:val>
          <c:extLst>
            <c:ext xmlns:c16="http://schemas.microsoft.com/office/drawing/2014/chart" uri="{C3380CC4-5D6E-409C-BE32-E72D297353CC}">
              <c16:uniqueId val="{00000003-07CC-4C26-A986-92614B8AD19D}"/>
            </c:ext>
          </c:extLst>
        </c:ser>
        <c:ser>
          <c:idx val="4"/>
          <c:order val="5"/>
          <c:tx>
            <c:strRef>
              <c:f>'souhrnná výkonnost 3'!$E$5</c:f>
              <c:strCache>
                <c:ptCount val="1"/>
                <c:pt idx="0">
                  <c:v>Výdaje na konečnou spotřebu vládních institucí</c:v>
                </c:pt>
              </c:strCache>
            </c:strRef>
          </c:tx>
          <c:spPr>
            <a:solidFill>
              <a:srgbClr val="9FC9D7"/>
            </a:solidFill>
            <a:ln>
              <a:noFill/>
            </a:ln>
          </c:spPr>
          <c:invertIfNegative val="0"/>
          <c:cat>
            <c:multiLvlStrRef>
              <c:f>'souhrnná výkonnost 3'!$A$14:$B$36</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'souhrnná výkonnost 3'!$E$14:$E$36</c:f>
              <c:numCache>
                <c:formatCode>#\ ##0.0</c:formatCode>
                <c:ptCount val="23"/>
                <c:pt idx="0">
                  <c:v>0.86512840343977537</c:v>
                </c:pt>
                <c:pt idx="1">
                  <c:v>0.57364238954899127</c:v>
                </c:pt>
                <c:pt idx="2">
                  <c:v>0.30782450653884724</c:v>
                </c:pt>
                <c:pt idx="3">
                  <c:v>1.4124984433188399</c:v>
                </c:pt>
                <c:pt idx="4">
                  <c:v>-0.11329209027996652</c:v>
                </c:pt>
                <c:pt idx="5">
                  <c:v>-7.0904860317901872E-2</c:v>
                </c:pt>
                <c:pt idx="6">
                  <c:v>0.99024135484615394</c:v>
                </c:pt>
                <c:pt idx="7">
                  <c:v>8.7306640760843102E-2</c:v>
                </c:pt>
                <c:pt idx="8">
                  <c:v>0.39862222919793239</c:v>
                </c:pt>
                <c:pt idx="9">
                  <c:v>0.55855858849053874</c:v>
                </c:pt>
                <c:pt idx="10">
                  <c:v>-0.333976366812193</c:v>
                </c:pt>
                <c:pt idx="11">
                  <c:v>-0.31055874129171235</c:v>
                </c:pt>
                <c:pt idx="12">
                  <c:v>0.59888687487615944</c:v>
                </c:pt>
                <c:pt idx="13">
                  <c:v>0.46547224810803889</c:v>
                </c:pt>
                <c:pt idx="14">
                  <c:v>0.57996402837612049</c:v>
                </c:pt>
                <c:pt idx="15">
                  <c:v>0.62077939777900504</c:v>
                </c:pt>
                <c:pt idx="16">
                  <c:v>0.50937845938335147</c:v>
                </c:pt>
                <c:pt idx="17">
                  <c:v>0.72524269041861322</c:v>
                </c:pt>
                <c:pt idx="18">
                  <c:v>0.65639152463964856</c:v>
                </c:pt>
                <c:pt idx="19">
                  <c:v>0.611281221419816</c:v>
                </c:pt>
                <c:pt idx="20">
                  <c:v>0.35879246248386504</c:v>
                </c:pt>
                <c:pt idx="21">
                  <c:v>0.49049260238004133</c:v>
                </c:pt>
                <c:pt idx="22">
                  <c:v>0.3695294013491498</c:v>
                </c:pt>
              </c:numCache>
            </c:numRef>
          </c:val>
          <c:extLst>
            <c:ext xmlns:c16="http://schemas.microsoft.com/office/drawing/2014/chart" uri="{C3380CC4-5D6E-409C-BE32-E72D297353CC}">
              <c16:uniqueId val="{00000004-07CC-4C26-A986-92614B8AD19D}"/>
            </c:ext>
          </c:extLst>
        </c:ser>
        <c:dLbls>
          <c:showLegendKey val="0"/>
          <c:showVal val="0"/>
          <c:showCatName val="0"/>
          <c:showSerName val="0"/>
          <c:showPercent val="0"/>
          <c:showBubbleSize val="0"/>
        </c:dLbls>
        <c:gapWidth val="90"/>
        <c:overlap val="100"/>
        <c:axId val="267591040"/>
        <c:axId val="267605120"/>
      </c:barChart>
      <c:lineChart>
        <c:grouping val="standard"/>
        <c:varyColors val="0"/>
        <c:ser>
          <c:idx val="0"/>
          <c:order val="0"/>
          <c:tx>
            <c:strRef>
              <c:f>'souhrnná výkonnost 3'!$C$5</c:f>
              <c:strCache>
                <c:ptCount val="1"/>
                <c:pt idx="0">
                  <c:v>HDP</c:v>
                </c:pt>
              </c:strCache>
            </c:strRef>
          </c:tx>
          <c:spPr>
            <a:ln>
              <a:solidFill>
                <a:schemeClr val="tx1"/>
              </a:solidFill>
            </a:ln>
          </c:spPr>
          <c:marker>
            <c:symbol val="none"/>
          </c:marker>
          <c:cat>
            <c:multiLvlStrRef>
              <c:f>'souhrnná výkonnost 3'!$A$14:$B$36</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'souhrnná výkonnost 3'!$C$14:$C$36</c:f>
              <c:numCache>
                <c:formatCode>#\ ##0.0</c:formatCode>
                <c:ptCount val="23"/>
                <c:pt idx="0">
                  <c:v>-1.5351860152398018</c:v>
                </c:pt>
                <c:pt idx="1">
                  <c:v>-10.559588208597859</c:v>
                </c:pt>
                <c:pt idx="2">
                  <c:v>-4.6693672774553789</c:v>
                </c:pt>
                <c:pt idx="3">
                  <c:v>-4.5192220435162938</c:v>
                </c:pt>
                <c:pt idx="4">
                  <c:v>-1.2664242830816619</c:v>
                </c:pt>
                <c:pt idx="5">
                  <c:v>9.7297344586924766</c:v>
                </c:pt>
                <c:pt idx="6">
                  <c:v>3.996179947304455</c:v>
                </c:pt>
                <c:pt idx="7">
                  <c:v>3.9239119810993373</c:v>
                </c:pt>
                <c:pt idx="8">
                  <c:v>4.8491184646536567</c:v>
                </c:pt>
                <c:pt idx="9">
                  <c:v>3.6598013831556528</c:v>
                </c:pt>
                <c:pt idx="10">
                  <c:v>2.0291770951442913</c:v>
                </c:pt>
                <c:pt idx="11">
                  <c:v>0.95170578002515072</c:v>
                </c:pt>
                <c:pt idx="12">
                  <c:v>0.26249013974401691</c:v>
                </c:pt>
                <c:pt idx="13">
                  <c:v>0.21779356784705328</c:v>
                </c:pt>
                <c:pt idx="14">
                  <c:v>-0.28185838328641921</c:v>
                </c:pt>
                <c:pt idx="15">
                  <c:v>0.48630488598595889</c:v>
                </c:pt>
                <c:pt idx="16">
                  <c:v>0.48212007155818526</c:v>
                </c:pt>
                <c:pt idx="17">
                  <c:v>0.52360239986030876</c:v>
                </c:pt>
                <c:pt idx="18">
                  <c:v>1.504754678124371</c:v>
                </c:pt>
                <c:pt idx="19">
                  <c:v>1.9258312020460409</c:v>
                </c:pt>
                <c:pt idx="20">
                  <c:v>2.430238486773888</c:v>
                </c:pt>
                <c:pt idx="21">
                  <c:v>2.5534776539689403</c:v>
                </c:pt>
                <c:pt idx="22">
                  <c:v>2.7541647983232735</c:v>
                </c:pt>
              </c:numCache>
            </c:numRef>
          </c:val>
          <c:smooth val="0"/>
          <c:extLst>
            <c:ext xmlns:c16="http://schemas.microsoft.com/office/drawing/2014/chart" uri="{C3380CC4-5D6E-409C-BE32-E72D297353CC}">
              <c16:uniqueId val="{00000005-07CC-4C26-A986-92614B8AD19D}"/>
            </c:ext>
          </c:extLst>
        </c:ser>
        <c:dLbls>
          <c:showLegendKey val="0"/>
          <c:showVal val="0"/>
          <c:showCatName val="0"/>
          <c:showSerName val="0"/>
          <c:showPercent val="0"/>
          <c:showBubbleSize val="0"/>
        </c:dLbls>
        <c:marker val="1"/>
        <c:smooth val="0"/>
        <c:axId val="267591040"/>
        <c:axId val="267605120"/>
      </c:lineChart>
      <c:catAx>
        <c:axId val="267591040"/>
        <c:scaling>
          <c:orientation val="minMax"/>
        </c:scaling>
        <c:delete val="0"/>
        <c:axPos val="b"/>
        <c:numFmt formatCode="General" sourceLinked="1"/>
        <c:majorTickMark val="out"/>
        <c:minorTickMark val="none"/>
        <c:tickLblPos val="low"/>
        <c:spPr>
          <a:ln>
            <a:solidFill>
              <a:schemeClr val="tx1"/>
            </a:solidFill>
          </a:ln>
        </c:spPr>
        <c:txPr>
          <a:bodyPr rot="0" vert="horz"/>
          <a:lstStyle/>
          <a:p>
            <a:pPr>
              <a:defRPr/>
            </a:pPr>
            <a:endParaRPr lang="cs-CZ"/>
          </a:p>
        </c:txPr>
        <c:crossAx val="267605120"/>
        <c:crosses val="autoZero"/>
        <c:auto val="1"/>
        <c:lblAlgn val="ctr"/>
        <c:lblOffset val="100"/>
        <c:noMultiLvlLbl val="0"/>
      </c:catAx>
      <c:valAx>
        <c:axId val="267605120"/>
        <c:scaling>
          <c:orientation val="minMax"/>
          <c:max val="10"/>
          <c:min val="-12"/>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267591040"/>
        <c:crosses val="autoZero"/>
        <c:crossBetween val="between"/>
        <c:majorUnit val="2"/>
      </c:valAx>
      <c:spPr>
        <a:ln>
          <a:solidFill>
            <a:schemeClr val="tx1"/>
          </a:solidFill>
        </a:ln>
      </c:spPr>
    </c:plotArea>
    <c:legend>
      <c:legendPos val="b"/>
      <c:layout>
        <c:manualLayout>
          <c:xMode val="edge"/>
          <c:yMode val="edge"/>
          <c:x val="4.7571766295170556E-2"/>
          <c:y val="0.81445992344928519"/>
          <c:w val="0.94432624113475194"/>
          <c:h val="0.17481734774287963"/>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126857480580882E-2"/>
          <c:y val="2.9499886988623526E-2"/>
          <c:w val="0.9260266801756164"/>
          <c:h val="0.63445260610154264"/>
        </c:manualLayout>
      </c:layout>
      <c:barChart>
        <c:barDir val="col"/>
        <c:grouping val="stacked"/>
        <c:varyColors val="0"/>
        <c:ser>
          <c:idx val="4"/>
          <c:order val="0"/>
          <c:tx>
            <c:strRef>
              <c:f>'souhrnná výkonnost 4'!$C$5</c:f>
              <c:strCache>
                <c:ptCount val="1"/>
                <c:pt idx="0">
                  <c:v>Zemědělství, lesnictví a rybářství</c:v>
                </c:pt>
              </c:strCache>
            </c:strRef>
          </c:tx>
          <c:spPr>
            <a:solidFill>
              <a:srgbClr val="86BF5E"/>
            </a:solidFill>
            <a:ln>
              <a:noFill/>
            </a:ln>
          </c:spPr>
          <c:invertIfNegative val="0"/>
          <c:val>
            <c:numRef>
              <c:f>'souhrnná výkonnost 4'!$C$14:$C$36</c:f>
              <c:numCache>
                <c:formatCode>#\ ##0.0</c:formatCode>
                <c:ptCount val="23"/>
                <c:pt idx="0">
                  <c:v>0.20474410757490741</c:v>
                </c:pt>
                <c:pt idx="1">
                  <c:v>0.18193909338973391</c:v>
                </c:pt>
                <c:pt idx="2">
                  <c:v>0.12986799571839833</c:v>
                </c:pt>
                <c:pt idx="3">
                  <c:v>6.0774672253045774E-2</c:v>
                </c:pt>
                <c:pt idx="4">
                  <c:v>-0.21896810900573507</c:v>
                </c:pt>
                <c:pt idx="5">
                  <c:v>-0.35546246774022089</c:v>
                </c:pt>
                <c:pt idx="6">
                  <c:v>-0.31345773827216172</c:v>
                </c:pt>
                <c:pt idx="7">
                  <c:v>-0.28221462677607811</c:v>
                </c:pt>
                <c:pt idx="8">
                  <c:v>-2.7607081723218754E-2</c:v>
                </c:pt>
                <c:pt idx="9">
                  <c:v>8.8416510484459823E-2</c:v>
                </c:pt>
                <c:pt idx="10">
                  <c:v>0.11003669694477575</c:v>
                </c:pt>
                <c:pt idx="11">
                  <c:v>-7.1734601521123695E-2</c:v>
                </c:pt>
                <c:pt idx="12">
                  <c:v>0.55251546503756477</c:v>
                </c:pt>
                <c:pt idx="13">
                  <c:v>0.43246198901845179</c:v>
                </c:pt>
                <c:pt idx="14">
                  <c:v>0.26031798923309352</c:v>
                </c:pt>
                <c:pt idx="15">
                  <c:v>0.57187060565368231</c:v>
                </c:pt>
                <c:pt idx="16">
                  <c:v>-9.7569089028578901E-2</c:v>
                </c:pt>
                <c:pt idx="17">
                  <c:v>1.1218079485012565E-2</c:v>
                </c:pt>
                <c:pt idx="18">
                  <c:v>0.1569950804337002</c:v>
                </c:pt>
                <c:pt idx="19">
                  <c:v>3.3983416918654107E-2</c:v>
                </c:pt>
                <c:pt idx="20">
                  <c:v>3.6195216982179486E-2</c:v>
                </c:pt>
                <c:pt idx="21">
                  <c:v>3.7516055287721346E-2</c:v>
                </c:pt>
                <c:pt idx="22">
                  <c:v>7.055936205383076E-2</c:v>
                </c:pt>
              </c:numCache>
            </c:numRef>
          </c:val>
          <c:extLst>
            <c:ext xmlns:c16="http://schemas.microsoft.com/office/drawing/2014/chart" uri="{C3380CC4-5D6E-409C-BE32-E72D297353CC}">
              <c16:uniqueId val="{00000000-270D-4214-9F4F-4143B8965E57}"/>
            </c:ext>
          </c:extLst>
        </c:ser>
        <c:ser>
          <c:idx val="3"/>
          <c:order val="1"/>
          <c:tx>
            <c:strRef>
              <c:f>'souhrnná výkonnost 4'!$D$5</c:f>
              <c:strCache>
                <c:ptCount val="1"/>
                <c:pt idx="0">
                  <c:v>Zpracovatelský průmysl (CZ-NACE C)</c:v>
                </c:pt>
              </c:strCache>
            </c:strRef>
          </c:tx>
          <c:spPr>
            <a:solidFill>
              <a:srgbClr val="009CB5"/>
            </a:solidFill>
            <a:ln>
              <a:noFill/>
            </a:ln>
          </c:spPr>
          <c:invertIfNegative val="0"/>
          <c:val>
            <c:numRef>
              <c:f>'souhrnná výkonnost 4'!$D$14:$D$36</c:f>
              <c:numCache>
                <c:formatCode>#\ ##0.0</c:formatCode>
                <c:ptCount val="23"/>
                <c:pt idx="0">
                  <c:v>-0.99913036972300806</c:v>
                </c:pt>
                <c:pt idx="1">
                  <c:v>-5.8646555137341574</c:v>
                </c:pt>
                <c:pt idx="2">
                  <c:v>-2.1534841805298068</c:v>
                </c:pt>
                <c:pt idx="3">
                  <c:v>-1.5540721517892744</c:v>
                </c:pt>
                <c:pt idx="4">
                  <c:v>-0.79750382840225398</c:v>
                </c:pt>
                <c:pt idx="5">
                  <c:v>3.9909379237888789</c:v>
                </c:pt>
                <c:pt idx="6">
                  <c:v>-0.74858711455149796</c:v>
                </c:pt>
                <c:pt idx="7">
                  <c:v>-0.90527326488749837</c:v>
                </c:pt>
                <c:pt idx="8">
                  <c:v>0.68544605235729006</c:v>
                </c:pt>
                <c:pt idx="9">
                  <c:v>1.6014259985527444</c:v>
                </c:pt>
                <c:pt idx="10">
                  <c:v>2.2123375450016312</c:v>
                </c:pt>
                <c:pt idx="11">
                  <c:v>2.6313203520667794</c:v>
                </c:pt>
                <c:pt idx="12">
                  <c:v>1.6312980907507209</c:v>
                </c:pt>
                <c:pt idx="13">
                  <c:v>1.105966757109025</c:v>
                </c:pt>
                <c:pt idx="14">
                  <c:v>0.58899302624669825</c:v>
                </c:pt>
                <c:pt idx="15">
                  <c:v>0.50026396716330868</c:v>
                </c:pt>
                <c:pt idx="16">
                  <c:v>-0.92066643320344466</c:v>
                </c:pt>
                <c:pt idx="17">
                  <c:v>-1.2534937691766057</c:v>
                </c:pt>
                <c:pt idx="18">
                  <c:v>-0.65492488985599151</c:v>
                </c:pt>
                <c:pt idx="19">
                  <c:v>-0.94186846830821414</c:v>
                </c:pt>
                <c:pt idx="20">
                  <c:v>0.15561546598089532</c:v>
                </c:pt>
                <c:pt idx="21">
                  <c:v>0.4081848247486794</c:v>
                </c:pt>
                <c:pt idx="22">
                  <c:v>7.0168258821054597E-2</c:v>
                </c:pt>
              </c:numCache>
            </c:numRef>
          </c:val>
          <c:extLst>
            <c:ext xmlns:c16="http://schemas.microsoft.com/office/drawing/2014/chart" uri="{C3380CC4-5D6E-409C-BE32-E72D297353CC}">
              <c16:uniqueId val="{00000001-270D-4214-9F4F-4143B8965E57}"/>
            </c:ext>
          </c:extLst>
        </c:ser>
        <c:ser>
          <c:idx val="2"/>
          <c:order val="2"/>
          <c:tx>
            <c:strRef>
              <c:f>'souhrnná výkonnost 4'!$E$5</c:f>
              <c:strCache>
                <c:ptCount val="1"/>
                <c:pt idx="0">
                  <c:v>Ostatní průmyslová odvětví (CZ-NACE B, D, E)</c:v>
                </c:pt>
              </c:strCache>
            </c:strRef>
          </c:tx>
          <c:spPr>
            <a:solidFill>
              <a:srgbClr val="9FC9D7"/>
            </a:solidFill>
            <a:ln>
              <a:noFill/>
            </a:ln>
          </c:spPr>
          <c:invertIfNegative val="0"/>
          <c:val>
            <c:numRef>
              <c:f>'souhrnná výkonnost 4'!$E$14:$E$36</c:f>
              <c:numCache>
                <c:formatCode>#\ ##0.0</c:formatCode>
                <c:ptCount val="23"/>
                <c:pt idx="0">
                  <c:v>-0.19031586783510557</c:v>
                </c:pt>
                <c:pt idx="1">
                  <c:v>-0.24885055868865447</c:v>
                </c:pt>
                <c:pt idx="2">
                  <c:v>-6.8100757785281907E-2</c:v>
                </c:pt>
                <c:pt idx="3">
                  <c:v>8.6873524737786978E-2</c:v>
                </c:pt>
                <c:pt idx="4">
                  <c:v>0.37090166603725971</c:v>
                </c:pt>
                <c:pt idx="5">
                  <c:v>0.43449287266447101</c:v>
                </c:pt>
                <c:pt idx="6">
                  <c:v>0.30466221362414897</c:v>
                </c:pt>
                <c:pt idx="7">
                  <c:v>1.7094673925321713E-2</c:v>
                </c:pt>
                <c:pt idx="8">
                  <c:v>-0.49498548983118773</c:v>
                </c:pt>
                <c:pt idx="9">
                  <c:v>-0.36703909153071357</c:v>
                </c:pt>
                <c:pt idx="10">
                  <c:v>-0.58289817942589317</c:v>
                </c:pt>
                <c:pt idx="11">
                  <c:v>-0.85284564576950173</c:v>
                </c:pt>
                <c:pt idx="12">
                  <c:v>-0.72089004231394793</c:v>
                </c:pt>
                <c:pt idx="13">
                  <c:v>-0.9587984772254694</c:v>
                </c:pt>
                <c:pt idx="14">
                  <c:v>-0.86317511484719223</c:v>
                </c:pt>
                <c:pt idx="15">
                  <c:v>-0.50223553688522504</c:v>
                </c:pt>
                <c:pt idx="16">
                  <c:v>-7.6857207059448207E-2</c:v>
                </c:pt>
                <c:pt idx="17">
                  <c:v>0.14119539956076999</c:v>
                </c:pt>
                <c:pt idx="18">
                  <c:v>0.24509868949284519</c:v>
                </c:pt>
                <c:pt idx="19">
                  <c:v>0.14324413714995343</c:v>
                </c:pt>
                <c:pt idx="20">
                  <c:v>0.157622857743417</c:v>
                </c:pt>
                <c:pt idx="21">
                  <c:v>0.13985851931839105</c:v>
                </c:pt>
                <c:pt idx="22">
                  <c:v>4.7926394395019875E-2</c:v>
                </c:pt>
              </c:numCache>
            </c:numRef>
          </c:val>
          <c:extLst>
            <c:ext xmlns:c16="http://schemas.microsoft.com/office/drawing/2014/chart" uri="{C3380CC4-5D6E-409C-BE32-E72D297353CC}">
              <c16:uniqueId val="{00000002-270D-4214-9F4F-4143B8965E57}"/>
            </c:ext>
          </c:extLst>
        </c:ser>
        <c:ser>
          <c:idx val="1"/>
          <c:order val="3"/>
          <c:tx>
            <c:strRef>
              <c:f>'souhrnná výkonnost 4'!$F$5</c:f>
              <c:strCache>
                <c:ptCount val="1"/>
                <c:pt idx="0">
                  <c:v>Stavebnictví</c:v>
                </c:pt>
              </c:strCache>
            </c:strRef>
          </c:tx>
          <c:spPr>
            <a:solidFill>
              <a:srgbClr val="174F70"/>
            </a:solidFill>
            <a:ln>
              <a:noFill/>
            </a:ln>
          </c:spPr>
          <c:invertIfNegative val="0"/>
          <c:val>
            <c:numRef>
              <c:f>'souhrnná výkonnost 4'!$F$14:$F$36</c:f>
              <c:numCache>
                <c:formatCode>#\ ##0.0</c:formatCode>
                <c:ptCount val="23"/>
                <c:pt idx="0">
                  <c:v>-0.30166772298617284</c:v>
                </c:pt>
                <c:pt idx="1">
                  <c:v>-0.48053456061289057</c:v>
                </c:pt>
                <c:pt idx="2">
                  <c:v>-0.45378387986882363</c:v>
                </c:pt>
                <c:pt idx="3">
                  <c:v>-0.43586476428987242</c:v>
                </c:pt>
                <c:pt idx="4">
                  <c:v>-0.33833459958051637</c:v>
                </c:pt>
                <c:pt idx="5">
                  <c:v>-6.4883402484855884E-2</c:v>
                </c:pt>
                <c:pt idx="6">
                  <c:v>-5.6735775192007655E-2</c:v>
                </c:pt>
                <c:pt idx="7">
                  <c:v>-0.11209281400825521</c:v>
                </c:pt>
                <c:pt idx="8">
                  <c:v>-0.10546033608204923</c:v>
                </c:pt>
                <c:pt idx="9">
                  <c:v>-0.29054660345106559</c:v>
                </c:pt>
                <c:pt idx="10">
                  <c:v>-0.451821017159387</c:v>
                </c:pt>
                <c:pt idx="11">
                  <c:v>-0.32901397344166938</c:v>
                </c:pt>
                <c:pt idx="12">
                  <c:v>-0.13840591105504113</c:v>
                </c:pt>
                <c:pt idx="13">
                  <c:v>-1.2903984714601602E-2</c:v>
                </c:pt>
                <c:pt idx="14">
                  <c:v>0.1616031723963629</c:v>
                </c:pt>
                <c:pt idx="15">
                  <c:v>3.5760466298751591E-2</c:v>
                </c:pt>
                <c:pt idx="16">
                  <c:v>2.2189303764065537E-2</c:v>
                </c:pt>
                <c:pt idx="17">
                  <c:v>1.0531551519348183E-2</c:v>
                </c:pt>
                <c:pt idx="18">
                  <c:v>1.0153227655329503E-2</c:v>
                </c:pt>
                <c:pt idx="19">
                  <c:v>0.11448042101487287</c:v>
                </c:pt>
                <c:pt idx="20">
                  <c:v>0.22696637357852872</c:v>
                </c:pt>
                <c:pt idx="21">
                  <c:v>0.33085696533710401</c:v>
                </c:pt>
                <c:pt idx="22">
                  <c:v>0.5376538009450138</c:v>
                </c:pt>
              </c:numCache>
            </c:numRef>
          </c:val>
          <c:extLst>
            <c:ext xmlns:c16="http://schemas.microsoft.com/office/drawing/2014/chart" uri="{C3380CC4-5D6E-409C-BE32-E72D297353CC}">
              <c16:uniqueId val="{00000003-270D-4214-9F4F-4143B8965E57}"/>
            </c:ext>
          </c:extLst>
        </c:ser>
        <c:ser>
          <c:idx val="0"/>
          <c:order val="4"/>
          <c:tx>
            <c:strRef>
              <c:f>'souhrnná výkonnost 4'!$G$5</c:f>
              <c:strCache>
                <c:ptCount val="1"/>
                <c:pt idx="0">
                  <c:v>Služby (CZ-NACE G až U)</c:v>
                </c:pt>
              </c:strCache>
            </c:strRef>
          </c:tx>
          <c:spPr>
            <a:solidFill>
              <a:srgbClr val="BC5B80"/>
            </a:solidFill>
            <a:ln>
              <a:noFill/>
            </a:ln>
          </c:spPr>
          <c:invertIfNegative val="0"/>
          <c:val>
            <c:numRef>
              <c:f>'souhrnná výkonnost 4'!$G$14:$G$36</c:f>
              <c:numCache>
                <c:formatCode>#\ ##0.0</c:formatCode>
                <c:ptCount val="23"/>
                <c:pt idx="0">
                  <c:v>7.093155569492321E-2</c:v>
                </c:pt>
                <c:pt idx="1">
                  <c:v>-4.3045407242818117</c:v>
                </c:pt>
                <c:pt idx="2">
                  <c:v>-1.7237030445478896</c:v>
                </c:pt>
                <c:pt idx="3">
                  <c:v>-2.2257304528365829</c:v>
                </c:pt>
                <c:pt idx="4">
                  <c:v>-0.13287358134730987</c:v>
                </c:pt>
                <c:pt idx="5">
                  <c:v>6.0094667700580624</c:v>
                </c:pt>
                <c:pt idx="6">
                  <c:v>4.4583427477661246</c:v>
                </c:pt>
                <c:pt idx="7">
                  <c:v>4.7441380023749824</c:v>
                </c:pt>
                <c:pt idx="8">
                  <c:v>4.2794753272124808</c:v>
                </c:pt>
                <c:pt idx="9">
                  <c:v>2.6644708506253814</c:v>
                </c:pt>
                <c:pt idx="10">
                  <c:v>0.75291420064175929</c:v>
                </c:pt>
                <c:pt idx="11">
                  <c:v>0.24070555003152422</c:v>
                </c:pt>
                <c:pt idx="12">
                  <c:v>0.21267121835186337</c:v>
                </c:pt>
                <c:pt idx="13">
                  <c:v>9.5064594177366207E-2</c:v>
                </c:pt>
                <c:pt idx="14">
                  <c:v>0.17753332068364941</c:v>
                </c:pt>
                <c:pt idx="15">
                  <c:v>-0.33669513337032031</c:v>
                </c:pt>
                <c:pt idx="16">
                  <c:v>0.51250147083950537</c:v>
                </c:pt>
                <c:pt idx="17">
                  <c:v>1.0790462557093636</c:v>
                </c:pt>
                <c:pt idx="18">
                  <c:v>1.2752999783754857</c:v>
                </c:pt>
                <c:pt idx="19">
                  <c:v>2.0270255746275438</c:v>
                </c:pt>
                <c:pt idx="20">
                  <c:v>2.0777783256656903</c:v>
                </c:pt>
                <c:pt idx="21">
                  <c:v>1.8139979100179566</c:v>
                </c:pt>
                <c:pt idx="22">
                  <c:v>2.1070695679129181</c:v>
                </c:pt>
              </c:numCache>
            </c:numRef>
          </c:val>
          <c:extLst>
            <c:ext xmlns:c16="http://schemas.microsoft.com/office/drawing/2014/chart" uri="{C3380CC4-5D6E-409C-BE32-E72D297353CC}">
              <c16:uniqueId val="{00000004-270D-4214-9F4F-4143B8965E57}"/>
            </c:ext>
          </c:extLst>
        </c:ser>
        <c:dLbls>
          <c:showLegendKey val="0"/>
          <c:showVal val="0"/>
          <c:showCatName val="0"/>
          <c:showSerName val="0"/>
          <c:showPercent val="0"/>
          <c:showBubbleSize val="0"/>
        </c:dLbls>
        <c:gapWidth val="70"/>
        <c:overlap val="100"/>
        <c:axId val="269005952"/>
        <c:axId val="269007488"/>
      </c:barChart>
      <c:lineChart>
        <c:grouping val="standard"/>
        <c:varyColors val="0"/>
        <c:ser>
          <c:idx val="5"/>
          <c:order val="5"/>
          <c:tx>
            <c:strRef>
              <c:f>'souhrnná výkonnost 4'!$H$5</c:f>
              <c:strCache>
                <c:ptCount val="1"/>
                <c:pt idx="0">
                  <c:v>Hrubá přidaná hodnota celkem</c:v>
                </c:pt>
              </c:strCache>
            </c:strRef>
          </c:tx>
          <c:spPr>
            <a:ln w="19050">
              <a:solidFill>
                <a:prstClr val="black"/>
              </a:solidFill>
            </a:ln>
          </c:spPr>
          <c:marker>
            <c:symbol val="none"/>
          </c:marker>
          <c:cat>
            <c:multiLvlStrRef>
              <c:f>'souhrnná výkonnost 4'!$A$14:$B$36</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'souhrnná výkonnost 4'!$H$14:$H$36</c:f>
              <c:numCache>
                <c:formatCode>#\ ##0.0</c:formatCode>
                <c:ptCount val="23"/>
                <c:pt idx="0">
                  <c:v>-1.2153058513710135</c:v>
                </c:pt>
                <c:pt idx="1">
                  <c:v>-10.716443173048049</c:v>
                </c:pt>
                <c:pt idx="2">
                  <c:v>-4.2693530438049407</c:v>
                </c:pt>
                <c:pt idx="3">
                  <c:v>-4.0682252377118857</c:v>
                </c:pt>
                <c:pt idx="4">
                  <c:v>-1.1167681102123339</c:v>
                </c:pt>
                <c:pt idx="5">
                  <c:v>10.014414773055606</c:v>
                </c:pt>
                <c:pt idx="6">
                  <c:v>3.6442422755888657</c:v>
                </c:pt>
                <c:pt idx="7">
                  <c:v>3.4619136451914159</c:v>
                </c:pt>
                <c:pt idx="8">
                  <c:v>4.3369045569128275</c:v>
                </c:pt>
                <c:pt idx="9">
                  <c:v>3.6967487112593602</c:v>
                </c:pt>
                <c:pt idx="10">
                  <c:v>2.0405324001032739</c:v>
                </c:pt>
                <c:pt idx="11">
                  <c:v>1.6183474426606779</c:v>
                </c:pt>
                <c:pt idx="12">
                  <c:v>1.5370994075002642</c:v>
                </c:pt>
                <c:pt idx="13">
                  <c:v>0.66174660015900599</c:v>
                </c:pt>
                <c:pt idx="14">
                  <c:v>0.32525261895825963</c:v>
                </c:pt>
                <c:pt idx="15">
                  <c:v>0.26916645993897248</c:v>
                </c:pt>
                <c:pt idx="16">
                  <c:v>-0.56044020436465303</c:v>
                </c:pt>
                <c:pt idx="17">
                  <c:v>-1.1462151138246668E-2</c:v>
                </c:pt>
                <c:pt idx="18">
                  <c:v>1.0326285689467483</c:v>
                </c:pt>
                <c:pt idx="19">
                  <c:v>1.3768145822136546</c:v>
                </c:pt>
                <c:pt idx="20">
                  <c:v>2.6542601028985331</c:v>
                </c:pt>
                <c:pt idx="21">
                  <c:v>2.730331769455745</c:v>
                </c:pt>
                <c:pt idx="22">
                  <c:v>2.8334637995982774</c:v>
                </c:pt>
              </c:numCache>
            </c:numRef>
          </c:val>
          <c:smooth val="0"/>
          <c:extLst>
            <c:ext xmlns:c16="http://schemas.microsoft.com/office/drawing/2014/chart" uri="{C3380CC4-5D6E-409C-BE32-E72D297353CC}">
              <c16:uniqueId val="{00000005-270D-4214-9F4F-4143B8965E57}"/>
            </c:ext>
          </c:extLst>
        </c:ser>
        <c:dLbls>
          <c:showLegendKey val="0"/>
          <c:showVal val="0"/>
          <c:showCatName val="0"/>
          <c:showSerName val="0"/>
          <c:showPercent val="0"/>
          <c:showBubbleSize val="0"/>
        </c:dLbls>
        <c:marker val="1"/>
        <c:smooth val="0"/>
        <c:axId val="269005952"/>
        <c:axId val="269007488"/>
      </c:lineChart>
      <c:catAx>
        <c:axId val="269005952"/>
        <c:scaling>
          <c:orientation val="minMax"/>
        </c:scaling>
        <c:delete val="0"/>
        <c:axPos val="b"/>
        <c:majorTickMark val="out"/>
        <c:minorTickMark val="none"/>
        <c:tickLblPos val="low"/>
        <c:spPr>
          <a:ln>
            <a:solidFill>
              <a:schemeClr val="tx1"/>
            </a:solidFill>
          </a:ln>
        </c:spPr>
        <c:txPr>
          <a:bodyPr rot="0" vert="horz"/>
          <a:lstStyle/>
          <a:p>
            <a:pPr>
              <a:defRPr/>
            </a:pPr>
            <a:endParaRPr lang="cs-CZ"/>
          </a:p>
        </c:txPr>
        <c:crossAx val="269007488"/>
        <c:crosses val="autoZero"/>
        <c:auto val="1"/>
        <c:lblAlgn val="ctr"/>
        <c:lblOffset val="100"/>
        <c:noMultiLvlLbl val="0"/>
      </c:catAx>
      <c:valAx>
        <c:axId val="269007488"/>
        <c:scaling>
          <c:orientation val="minMax"/>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269005952"/>
        <c:crosses val="autoZero"/>
        <c:crossBetween val="between"/>
        <c:majorUnit val="2"/>
      </c:valAx>
      <c:spPr>
        <a:ln>
          <a:solidFill>
            <a:schemeClr val="tx1"/>
          </a:solidFill>
        </a:ln>
      </c:spPr>
    </c:plotArea>
    <c:legend>
      <c:legendPos val="b"/>
      <c:layout>
        <c:manualLayout>
          <c:xMode val="edge"/>
          <c:yMode val="edge"/>
          <c:x val="5.4144292468760548E-2"/>
          <c:y val="0.79016604750647301"/>
          <c:w val="0.92386482607227283"/>
          <c:h val="0.19462484520994944"/>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0204C7C21F48A488F44995C5F8FB06D" ma:contentTypeVersion="11" ma:contentTypeDescription="Vytvoří nový dokument" ma:contentTypeScope="" ma:versionID="1df8c39b067b5d25b5f5e865a8e6deb3">
  <xsd:schema xmlns:xsd="http://www.w3.org/2001/XMLSchema" xmlns:xs="http://www.w3.org/2001/XMLSchema" xmlns:p="http://schemas.microsoft.com/office/2006/metadata/properties" xmlns:ns3="b8c0c86d-151e-4fca-b0d5-747e6692fa1d" targetNamespace="http://schemas.microsoft.com/office/2006/metadata/properties" ma:root="true" ma:fieldsID="0a1e36cc980726b26aea9439dfb6e5b7" ns3:_="">
    <xsd:import namespace="b8c0c86d-151e-4fca-b0d5-747e6692fa1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0c86d-151e-4fca-b0d5-747e6692f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08513-78FC-4939-82F8-E0A4971F101B}">
  <ds:schemaRefs>
    <ds:schemaRef ds:uri="http://schemas.openxmlformats.org/officeDocument/2006/bibliography"/>
  </ds:schemaRefs>
</ds:datastoreItem>
</file>

<file path=customXml/itemProps2.xml><?xml version="1.0" encoding="utf-8"?>
<ds:datastoreItem xmlns:ds="http://schemas.openxmlformats.org/officeDocument/2006/customXml" ds:itemID="{DFA8A1E1-1E99-4B4F-B9B5-70567730AA3A}">
  <ds:schemaRefs>
    <ds:schemaRef ds:uri="http://schemas.microsoft.com/sharepoint/v3/contenttype/forms"/>
  </ds:schemaRefs>
</ds:datastoreItem>
</file>

<file path=customXml/itemProps3.xml><?xml version="1.0" encoding="utf-8"?>
<ds:datastoreItem xmlns:ds="http://schemas.openxmlformats.org/officeDocument/2006/customXml" ds:itemID="{1E7681AD-41B0-431A-9D34-CF6700A12F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BC6B78-CD4F-4CCE-9179-CFFE2F383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0c86d-151e-4fca-b0d5-747e6692f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4</Pages>
  <Words>1518</Words>
  <Characters>8958</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119</cp:revision>
  <cp:lastPrinted>2014-07-17T14:07:00Z</cp:lastPrinted>
  <dcterms:created xsi:type="dcterms:W3CDTF">2025-09-16T11:02:00Z</dcterms:created>
  <dcterms:modified xsi:type="dcterms:W3CDTF">2025-12-16T10:44:00Z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0x01010070204C7C21F48A488F44995C5F8FB06D</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