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5D" w:rsidRPr="002545FB" w:rsidRDefault="004B325D">
      <w:pPr>
        <w:pStyle w:val="Nadpis1"/>
        <w:rPr>
          <w:sz w:val="24"/>
          <w:szCs w:val="24"/>
          <w:lang w:val="en-GB"/>
        </w:rPr>
      </w:pPr>
      <w:r w:rsidRPr="002545FB">
        <w:rPr>
          <w:sz w:val="24"/>
          <w:szCs w:val="24"/>
          <w:lang w:val="en-GB"/>
        </w:rPr>
        <w:t xml:space="preserve">1. </w:t>
      </w:r>
      <w:r w:rsidR="00DB0A86" w:rsidRPr="002545FB">
        <w:rPr>
          <w:sz w:val="24"/>
          <w:szCs w:val="24"/>
          <w:lang w:val="en-GB"/>
        </w:rPr>
        <w:t xml:space="preserve">Purpose of the </w:t>
      </w:r>
      <w:r w:rsidRPr="002545FB">
        <w:rPr>
          <w:sz w:val="24"/>
          <w:szCs w:val="24"/>
          <w:lang w:val="en-GB"/>
        </w:rPr>
        <w:t>statistic</w:t>
      </w:r>
      <w:r w:rsidR="00DB0A86" w:rsidRPr="002545FB">
        <w:rPr>
          <w:sz w:val="24"/>
          <w:szCs w:val="24"/>
          <w:lang w:val="en-GB"/>
        </w:rPr>
        <w:t xml:space="preserve">al </w:t>
      </w:r>
      <w:r w:rsidR="007F69FC" w:rsidRPr="002545FB">
        <w:rPr>
          <w:sz w:val="24"/>
          <w:szCs w:val="24"/>
          <w:lang w:val="en-GB"/>
        </w:rPr>
        <w:t>system</w:t>
      </w:r>
      <w:r w:rsidRPr="002545FB">
        <w:rPr>
          <w:sz w:val="24"/>
          <w:szCs w:val="24"/>
          <w:lang w:val="en-GB"/>
        </w:rPr>
        <w:t xml:space="preserve"> </w:t>
      </w:r>
      <w:r w:rsidR="007E0CB7" w:rsidRPr="002545FB">
        <w:rPr>
          <w:sz w:val="24"/>
          <w:szCs w:val="24"/>
          <w:lang w:val="en-GB"/>
        </w:rPr>
        <w:t xml:space="preserve">of </w:t>
      </w:r>
      <w:r w:rsidR="007F69FC" w:rsidRPr="002545FB">
        <w:rPr>
          <w:sz w:val="24"/>
          <w:szCs w:val="24"/>
          <w:lang w:val="en-GB"/>
        </w:rPr>
        <w:t>“</w:t>
      </w:r>
      <w:r w:rsidR="00291D03" w:rsidRPr="002545FB">
        <w:rPr>
          <w:sz w:val="24"/>
          <w:szCs w:val="24"/>
          <w:lang w:val="en-GB"/>
        </w:rPr>
        <w:t>Real Estate Prices</w:t>
      </w:r>
      <w:r w:rsidR="007F69FC" w:rsidRPr="002545FB">
        <w:rPr>
          <w:sz w:val="24"/>
          <w:szCs w:val="24"/>
          <w:lang w:val="en-GB"/>
        </w:rPr>
        <w:t>”</w:t>
      </w:r>
      <w:r w:rsidRPr="002545FB">
        <w:rPr>
          <w:sz w:val="24"/>
          <w:szCs w:val="24"/>
          <w:lang w:val="en-GB"/>
        </w:rPr>
        <w:t xml:space="preserve">, </w:t>
      </w:r>
      <w:r w:rsidR="007F69FC" w:rsidRPr="002545FB">
        <w:rPr>
          <w:sz w:val="24"/>
          <w:szCs w:val="24"/>
          <w:lang w:val="en-GB"/>
        </w:rPr>
        <w:t xml:space="preserve">the </w:t>
      </w:r>
      <w:r w:rsidRPr="002545FB">
        <w:rPr>
          <w:sz w:val="24"/>
          <w:szCs w:val="24"/>
          <w:lang w:val="en-GB"/>
        </w:rPr>
        <w:t>publi</w:t>
      </w:r>
      <w:r w:rsidR="007F69FC" w:rsidRPr="002545FB">
        <w:rPr>
          <w:sz w:val="24"/>
          <w:szCs w:val="24"/>
          <w:lang w:val="en-GB"/>
        </w:rPr>
        <w:t>c</w:t>
      </w:r>
      <w:r w:rsidRPr="002545FB">
        <w:rPr>
          <w:sz w:val="24"/>
          <w:szCs w:val="24"/>
          <w:lang w:val="en-GB"/>
        </w:rPr>
        <w:t>a</w:t>
      </w:r>
      <w:r w:rsidR="007F69FC" w:rsidRPr="002545FB">
        <w:rPr>
          <w:sz w:val="24"/>
          <w:szCs w:val="24"/>
          <w:lang w:val="en-GB"/>
        </w:rPr>
        <w:t>tion objective</w:t>
      </w:r>
    </w:p>
    <w:p w:rsidR="004B325D" w:rsidRPr="002545FB" w:rsidRDefault="007F69FC">
      <w:pPr>
        <w:pStyle w:val="Zkladntextodsazen2"/>
        <w:ind w:firstLine="0"/>
        <w:rPr>
          <w:sz w:val="24"/>
        </w:rPr>
      </w:pPr>
      <w:r w:rsidRPr="002545FB">
        <w:rPr>
          <w:sz w:val="24"/>
          <w:lang w:val="en-GB"/>
        </w:rPr>
        <w:t>Since</w:t>
      </w:r>
      <w:r w:rsidR="004B325D" w:rsidRPr="002545FB">
        <w:rPr>
          <w:sz w:val="24"/>
          <w:lang w:val="en-GB"/>
        </w:rPr>
        <w:t xml:space="preserve"> 1997 </w:t>
      </w:r>
      <w:r w:rsidRPr="002545FB">
        <w:rPr>
          <w:sz w:val="24"/>
          <w:lang w:val="en-GB"/>
        </w:rPr>
        <w:t>the Ministry of Finance of the CR and the Czech Statistical Office have been cooperating on the formation of a system for the monitoring of real estate price</w:t>
      </w:r>
      <w:r w:rsidR="00060DFC" w:rsidRPr="002545FB">
        <w:rPr>
          <w:sz w:val="24"/>
          <w:lang w:val="en-GB"/>
        </w:rPr>
        <w:t>s in the Czech Republic.</w:t>
      </w:r>
    </w:p>
    <w:p w:rsidR="004B325D" w:rsidRPr="002545FB" w:rsidRDefault="00F02128">
      <w:pPr>
        <w:pStyle w:val="Zkladntextodsazen3"/>
        <w:ind w:firstLine="0"/>
        <w:rPr>
          <w:sz w:val="24"/>
          <w:lang w:val="en-GB"/>
        </w:rPr>
      </w:pPr>
      <w:r w:rsidRPr="002545FB">
        <w:rPr>
          <w:sz w:val="24"/>
          <w:lang w:val="en-GB"/>
        </w:rPr>
        <w:t>The purpose of the system being is to provide information on the distribution of the price level by real estate type, location, and by other decisive factors as well as development in this distribution in time. The system purpose is not to replace so-called price maps</w:t>
      </w:r>
      <w:r w:rsidR="004B325D" w:rsidRPr="002545FB">
        <w:rPr>
          <w:sz w:val="24"/>
          <w:lang w:val="en-GB"/>
        </w:rPr>
        <w:t xml:space="preserve">, </w:t>
      </w:r>
      <w:r w:rsidRPr="002545FB">
        <w:rPr>
          <w:sz w:val="24"/>
          <w:lang w:val="en-GB"/>
        </w:rPr>
        <w:t xml:space="preserve">which local authorities form for their purposes yet to provide global information at the macroeconomic level. </w:t>
      </w:r>
    </w:p>
    <w:p w:rsidR="004B325D" w:rsidRPr="002545FB" w:rsidRDefault="004B325D">
      <w:pPr>
        <w:rPr>
          <w:sz w:val="24"/>
          <w:lang w:val="en-GB"/>
        </w:rPr>
      </w:pPr>
      <w:r w:rsidRPr="002545FB">
        <w:rPr>
          <w:sz w:val="24"/>
          <w:lang w:val="en-GB"/>
        </w:rPr>
        <w:t>T</w:t>
      </w:r>
      <w:r w:rsidR="00F02128" w:rsidRPr="002545FB">
        <w:rPr>
          <w:sz w:val="24"/>
          <w:lang w:val="en-GB"/>
        </w:rPr>
        <w:t xml:space="preserve">his publication also does not strive to present </w:t>
      </w:r>
      <w:r w:rsidR="007D1CAD" w:rsidRPr="002545FB">
        <w:rPr>
          <w:sz w:val="24"/>
          <w:lang w:val="en-GB"/>
        </w:rPr>
        <w:t>such</w:t>
      </w:r>
      <w:r w:rsidR="00F02128" w:rsidRPr="002545FB">
        <w:rPr>
          <w:sz w:val="24"/>
          <w:lang w:val="en-GB"/>
        </w:rPr>
        <w:t xml:space="preserve"> system in its full</w:t>
      </w:r>
      <w:r w:rsidRPr="002545FB">
        <w:rPr>
          <w:sz w:val="24"/>
          <w:lang w:val="en-GB"/>
        </w:rPr>
        <w:t xml:space="preserve">. </w:t>
      </w:r>
      <w:r w:rsidR="00F02128" w:rsidRPr="002545FB">
        <w:rPr>
          <w:sz w:val="24"/>
          <w:lang w:val="en-GB"/>
        </w:rPr>
        <w:t xml:space="preserve">Besides </w:t>
      </w:r>
      <w:r w:rsidR="0092283E" w:rsidRPr="002545FB">
        <w:rPr>
          <w:sz w:val="24"/>
          <w:lang w:val="en-GB"/>
        </w:rPr>
        <w:t xml:space="preserve">the providing of information </w:t>
      </w:r>
      <w:r w:rsidRPr="002545FB">
        <w:rPr>
          <w:sz w:val="24"/>
          <w:lang w:val="en-GB"/>
        </w:rPr>
        <w:t>o</w:t>
      </w:r>
      <w:r w:rsidR="0092283E" w:rsidRPr="002545FB">
        <w:rPr>
          <w:sz w:val="24"/>
          <w:lang w:val="en-GB"/>
        </w:rPr>
        <w:t xml:space="preserve">n </w:t>
      </w:r>
      <w:r w:rsidR="007D1CAD" w:rsidRPr="002545FB">
        <w:rPr>
          <w:sz w:val="24"/>
          <w:lang w:val="en-GB"/>
        </w:rPr>
        <w:t xml:space="preserve">the </w:t>
      </w:r>
      <w:r w:rsidR="0092283E" w:rsidRPr="002545FB">
        <w:rPr>
          <w:sz w:val="24"/>
          <w:lang w:val="en-GB"/>
        </w:rPr>
        <w:t>real estate prices dependence on various determining factors</w:t>
      </w:r>
      <w:r w:rsidR="007D1CAD" w:rsidRPr="002545FB">
        <w:rPr>
          <w:sz w:val="24"/>
          <w:lang w:val="en-GB"/>
        </w:rPr>
        <w:t>,</w:t>
      </w:r>
      <w:r w:rsidR="0092283E" w:rsidRPr="002545FB">
        <w:rPr>
          <w:sz w:val="24"/>
          <w:lang w:val="en-GB"/>
        </w:rPr>
        <w:t xml:space="preserve"> it also presents reasons for the selection of such factors in the given data source</w:t>
      </w:r>
      <w:r w:rsidRPr="002545FB">
        <w:rPr>
          <w:sz w:val="24"/>
          <w:lang w:val="en-GB"/>
        </w:rPr>
        <w:t xml:space="preserve">. </w:t>
      </w:r>
      <w:r w:rsidR="0092283E" w:rsidRPr="002545FB">
        <w:rPr>
          <w:sz w:val="24"/>
          <w:lang w:val="en-GB"/>
        </w:rPr>
        <w:t xml:space="preserve">One of the </w:t>
      </w:r>
      <w:r w:rsidR="007D1CAD" w:rsidRPr="002545FB">
        <w:rPr>
          <w:sz w:val="24"/>
          <w:lang w:val="en-GB"/>
        </w:rPr>
        <w:t>objectives</w:t>
      </w:r>
      <w:r w:rsidR="0092283E" w:rsidRPr="002545FB">
        <w:rPr>
          <w:sz w:val="24"/>
          <w:lang w:val="en-GB"/>
        </w:rPr>
        <w:t xml:space="preserve"> is to find the maximum information content of the current data status. The </w:t>
      </w:r>
      <w:r w:rsidRPr="002545FB">
        <w:rPr>
          <w:sz w:val="24"/>
          <w:lang w:val="en-GB"/>
        </w:rPr>
        <w:t>Publi</w:t>
      </w:r>
      <w:r w:rsidR="0092283E" w:rsidRPr="002545FB">
        <w:rPr>
          <w:sz w:val="24"/>
          <w:lang w:val="en-GB"/>
        </w:rPr>
        <w:t xml:space="preserve">cation follows to another one of “Prices of </w:t>
      </w:r>
      <w:r w:rsidR="007E0CB7" w:rsidRPr="002545FB">
        <w:rPr>
          <w:sz w:val="24"/>
          <w:lang w:val="en-GB"/>
        </w:rPr>
        <w:t xml:space="preserve">Types of Real Estate Monitored </w:t>
      </w:r>
      <w:r w:rsidR="0092283E" w:rsidRPr="002545FB">
        <w:rPr>
          <w:sz w:val="24"/>
          <w:lang w:val="en-GB"/>
        </w:rPr>
        <w:t>in</w:t>
      </w:r>
      <w:r w:rsidRPr="002545FB">
        <w:rPr>
          <w:sz w:val="24"/>
          <w:lang w:val="en-GB"/>
        </w:rPr>
        <w:t> </w:t>
      </w:r>
      <w:r w:rsidR="00C821C7" w:rsidRPr="002545FB">
        <w:rPr>
          <w:sz w:val="24"/>
          <w:lang w:val="en-GB"/>
        </w:rPr>
        <w:t>201</w:t>
      </w:r>
      <w:r w:rsidR="00D56798" w:rsidRPr="002545FB">
        <w:rPr>
          <w:sz w:val="24"/>
          <w:lang w:val="en-GB"/>
        </w:rPr>
        <w:t>3</w:t>
      </w:r>
      <w:r w:rsidR="003C2003" w:rsidRPr="002545FB">
        <w:rPr>
          <w:sz w:val="24"/>
          <w:lang w:val="en-GB"/>
        </w:rPr>
        <w:t xml:space="preserve"> </w:t>
      </w:r>
      <w:r w:rsidR="00760EA2" w:rsidRPr="002545FB">
        <w:rPr>
          <w:sz w:val="24"/>
          <w:lang w:val="en-GB"/>
        </w:rPr>
        <w:t>–</w:t>
      </w:r>
      <w:r w:rsidRPr="002545FB">
        <w:rPr>
          <w:sz w:val="24"/>
          <w:lang w:val="en-GB"/>
        </w:rPr>
        <w:t> </w:t>
      </w:r>
      <w:r w:rsidR="00683468" w:rsidRPr="002545FB">
        <w:rPr>
          <w:sz w:val="24"/>
          <w:lang w:val="en-GB"/>
        </w:rPr>
        <w:t>201</w:t>
      </w:r>
      <w:r w:rsidR="00D56798" w:rsidRPr="002545FB">
        <w:rPr>
          <w:sz w:val="24"/>
          <w:lang w:val="en-GB"/>
        </w:rPr>
        <w:t>5</w:t>
      </w:r>
      <w:r w:rsidR="0092283E" w:rsidRPr="002545FB">
        <w:rPr>
          <w:sz w:val="24"/>
          <w:lang w:val="en-GB"/>
        </w:rPr>
        <w:t>”</w:t>
      </w:r>
      <w:r w:rsidRPr="002545FB">
        <w:rPr>
          <w:sz w:val="24"/>
          <w:lang w:val="en-GB"/>
        </w:rPr>
        <w:t xml:space="preserve">. </w:t>
      </w:r>
    </w:p>
    <w:p w:rsidR="004B325D" w:rsidRPr="002545FB" w:rsidRDefault="004B325D">
      <w:pPr>
        <w:pStyle w:val="Nadpis1"/>
        <w:rPr>
          <w:sz w:val="24"/>
          <w:szCs w:val="24"/>
          <w:lang w:val="en-GB"/>
        </w:rPr>
      </w:pPr>
      <w:r w:rsidRPr="002545FB">
        <w:rPr>
          <w:sz w:val="24"/>
          <w:szCs w:val="24"/>
          <w:lang w:val="en-GB"/>
        </w:rPr>
        <w:t xml:space="preserve">2. </w:t>
      </w:r>
      <w:r w:rsidR="007F69FC" w:rsidRPr="002545FB">
        <w:rPr>
          <w:sz w:val="24"/>
          <w:szCs w:val="24"/>
          <w:lang w:val="en-GB"/>
        </w:rPr>
        <w:t>Data sources</w:t>
      </w:r>
      <w:r w:rsidRPr="002545FB">
        <w:rPr>
          <w:sz w:val="24"/>
          <w:szCs w:val="24"/>
          <w:lang w:val="en-GB"/>
        </w:rPr>
        <w:t xml:space="preserve">, </w:t>
      </w:r>
      <w:r w:rsidR="007F69FC" w:rsidRPr="002545FB">
        <w:rPr>
          <w:sz w:val="24"/>
          <w:szCs w:val="24"/>
          <w:lang w:val="en-GB"/>
        </w:rPr>
        <w:t>frequency</w:t>
      </w:r>
    </w:p>
    <w:p w:rsidR="004B325D" w:rsidRPr="002545FB" w:rsidRDefault="00E05337">
      <w:pPr>
        <w:rPr>
          <w:sz w:val="24"/>
          <w:lang w:val="en-GB"/>
        </w:rPr>
      </w:pPr>
      <w:r w:rsidRPr="002545FB">
        <w:rPr>
          <w:sz w:val="24"/>
          <w:lang w:val="en-GB"/>
        </w:rPr>
        <w:t xml:space="preserve">The statement for </w:t>
      </w:r>
      <w:r w:rsidR="00A40A69" w:rsidRPr="002545FB">
        <w:rPr>
          <w:sz w:val="24"/>
          <w:lang w:val="en-GB"/>
        </w:rPr>
        <w:t xml:space="preserve">stamp duty land </w:t>
      </w:r>
      <w:r w:rsidRPr="002545FB">
        <w:rPr>
          <w:sz w:val="24"/>
          <w:lang w:val="en-GB"/>
        </w:rPr>
        <w:t xml:space="preserve">tax </w:t>
      </w:r>
      <w:r w:rsidR="00A40A69" w:rsidRPr="002545FB">
        <w:rPr>
          <w:sz w:val="24"/>
          <w:lang w:val="en-GB"/>
        </w:rPr>
        <w:t xml:space="preserve">(SDLT) </w:t>
      </w:r>
      <w:r w:rsidRPr="002545FB">
        <w:rPr>
          <w:sz w:val="24"/>
          <w:lang w:val="en-GB"/>
        </w:rPr>
        <w:t>is the data source here</w:t>
      </w:r>
      <w:r w:rsidR="004B325D" w:rsidRPr="002545FB">
        <w:rPr>
          <w:sz w:val="24"/>
          <w:lang w:val="en-GB"/>
        </w:rPr>
        <w:t>. T</w:t>
      </w:r>
      <w:r w:rsidR="00786657" w:rsidRPr="002545FB">
        <w:rPr>
          <w:sz w:val="24"/>
          <w:lang w:val="en-GB"/>
        </w:rPr>
        <w:t xml:space="preserve">he CZSO shall receive these data encrypted once per month. The data have been collected since February </w:t>
      </w:r>
      <w:r w:rsidR="004B325D" w:rsidRPr="002545FB">
        <w:rPr>
          <w:sz w:val="24"/>
          <w:lang w:val="en-GB"/>
        </w:rPr>
        <w:t xml:space="preserve">1999. </w:t>
      </w:r>
      <w:r w:rsidR="00786657" w:rsidRPr="002545FB">
        <w:rPr>
          <w:sz w:val="24"/>
          <w:lang w:val="en-GB"/>
        </w:rPr>
        <w:t xml:space="preserve">They are delayed by </w:t>
      </w:r>
      <w:r w:rsidR="000044F3" w:rsidRPr="002545FB">
        <w:rPr>
          <w:sz w:val="24"/>
          <w:lang w:val="en-GB"/>
        </w:rPr>
        <w:t>7</w:t>
      </w:r>
      <w:r w:rsidR="00786657" w:rsidRPr="002545FB">
        <w:rPr>
          <w:sz w:val="24"/>
          <w:lang w:val="en-GB"/>
        </w:rPr>
        <w:t xml:space="preserve"> months</w:t>
      </w:r>
      <w:r w:rsidR="002D15AE" w:rsidRPr="002545FB">
        <w:rPr>
          <w:sz w:val="24"/>
          <w:lang w:val="en-GB"/>
        </w:rPr>
        <w:t>,</w:t>
      </w:r>
      <w:r w:rsidR="00786657" w:rsidRPr="002545FB">
        <w:rPr>
          <w:sz w:val="24"/>
          <w:lang w:val="en-GB"/>
        </w:rPr>
        <w:t xml:space="preserve"> on average</w:t>
      </w:r>
      <w:r w:rsidR="002D15AE" w:rsidRPr="002545FB">
        <w:rPr>
          <w:sz w:val="24"/>
          <w:lang w:val="en-GB"/>
        </w:rPr>
        <w:t>,</w:t>
      </w:r>
      <w:r w:rsidR="00786657" w:rsidRPr="002545FB">
        <w:rPr>
          <w:sz w:val="24"/>
          <w:lang w:val="en-GB"/>
        </w:rPr>
        <w:t xml:space="preserve"> after the date of sale or submission of </w:t>
      </w:r>
      <w:r w:rsidR="002D15AE" w:rsidRPr="002545FB">
        <w:rPr>
          <w:sz w:val="24"/>
          <w:lang w:val="en-GB"/>
        </w:rPr>
        <w:t>the SDLT form</w:t>
      </w:r>
      <w:r w:rsidR="004B325D" w:rsidRPr="002545FB">
        <w:rPr>
          <w:sz w:val="24"/>
          <w:lang w:val="en-GB"/>
        </w:rPr>
        <w:t xml:space="preserve">. </w:t>
      </w:r>
      <w:r w:rsidR="00786657" w:rsidRPr="002545FB">
        <w:rPr>
          <w:sz w:val="24"/>
          <w:lang w:val="en-GB"/>
        </w:rPr>
        <w:t xml:space="preserve">The database of price information was established at Internal Revenue Offices by the processing of data from submitted </w:t>
      </w:r>
      <w:r w:rsidR="002D15AE" w:rsidRPr="002545FB">
        <w:rPr>
          <w:sz w:val="24"/>
          <w:lang w:val="en-GB"/>
        </w:rPr>
        <w:t>SDLT</w:t>
      </w:r>
      <w:r w:rsidR="00786657" w:rsidRPr="002545FB">
        <w:rPr>
          <w:sz w:val="24"/>
          <w:lang w:val="en-GB"/>
        </w:rPr>
        <w:t xml:space="preserve"> forms in 1998 </w:t>
      </w:r>
      <w:r w:rsidR="004B325D" w:rsidRPr="002545FB">
        <w:rPr>
          <w:sz w:val="24"/>
          <w:lang w:val="en-GB"/>
        </w:rPr>
        <w:t>(</w:t>
      </w:r>
      <w:r w:rsidR="00786657" w:rsidRPr="002545FB">
        <w:rPr>
          <w:sz w:val="24"/>
          <w:lang w:val="en-GB"/>
        </w:rPr>
        <w:t>according to the Decree No</w:t>
      </w:r>
      <w:r w:rsidR="004B325D" w:rsidRPr="002545FB">
        <w:rPr>
          <w:sz w:val="24"/>
          <w:lang w:val="en-GB"/>
        </w:rPr>
        <w:t>. 279/1997 Sb.).</w:t>
      </w:r>
    </w:p>
    <w:p w:rsidR="004B325D" w:rsidRPr="002545FB" w:rsidRDefault="00786657">
      <w:pPr>
        <w:rPr>
          <w:sz w:val="24"/>
          <w:lang w:val="en-GB"/>
        </w:rPr>
      </w:pPr>
      <w:r w:rsidRPr="002545FB">
        <w:rPr>
          <w:sz w:val="24"/>
          <w:lang w:val="en-GB"/>
        </w:rPr>
        <w:t xml:space="preserve">The main advantage of this </w:t>
      </w:r>
      <w:r w:rsidR="004B325D" w:rsidRPr="002545FB">
        <w:rPr>
          <w:sz w:val="24"/>
          <w:lang w:val="en-GB"/>
        </w:rPr>
        <w:t>administrativ</w:t>
      </w:r>
      <w:r w:rsidRPr="002545FB">
        <w:rPr>
          <w:sz w:val="24"/>
          <w:lang w:val="en-GB"/>
        </w:rPr>
        <w:t xml:space="preserve">e source is it </w:t>
      </w:r>
      <w:r w:rsidR="00FE023B" w:rsidRPr="002545FB">
        <w:rPr>
          <w:sz w:val="24"/>
          <w:lang w:val="en-GB"/>
        </w:rPr>
        <w:t xml:space="preserve">is </w:t>
      </w:r>
      <w:r w:rsidRPr="002545FB">
        <w:rPr>
          <w:sz w:val="24"/>
          <w:lang w:val="en-GB"/>
        </w:rPr>
        <w:t>based on real, actually paid prices</w:t>
      </w:r>
      <w:r w:rsidR="00FE023B" w:rsidRPr="002545FB">
        <w:rPr>
          <w:sz w:val="24"/>
          <w:lang w:val="en-GB"/>
        </w:rPr>
        <w:t xml:space="preserve"> (admitted in SDLT returns)</w:t>
      </w:r>
      <w:r w:rsidR="004B325D" w:rsidRPr="002545FB">
        <w:rPr>
          <w:sz w:val="24"/>
          <w:lang w:val="en-GB"/>
        </w:rPr>
        <w:t xml:space="preserve">. </w:t>
      </w:r>
      <w:r w:rsidRPr="002545FB">
        <w:rPr>
          <w:sz w:val="24"/>
          <w:lang w:val="en-GB"/>
        </w:rPr>
        <w:t xml:space="preserve">It is </w:t>
      </w:r>
      <w:r w:rsidR="00FF15AA" w:rsidRPr="002545FB">
        <w:rPr>
          <w:sz w:val="24"/>
          <w:lang w:val="en-GB"/>
        </w:rPr>
        <w:t xml:space="preserve">a </w:t>
      </w:r>
      <w:r w:rsidRPr="002545FB">
        <w:rPr>
          <w:sz w:val="24"/>
          <w:lang w:val="en-GB"/>
        </w:rPr>
        <w:t xml:space="preserve">nationwide and regular data flow on prices of transactions on the </w:t>
      </w:r>
      <w:r w:rsidR="000305B5" w:rsidRPr="002545FB">
        <w:rPr>
          <w:sz w:val="24"/>
          <w:lang w:val="en-GB"/>
        </w:rPr>
        <w:t>real</w:t>
      </w:r>
      <w:r w:rsidRPr="002545FB">
        <w:rPr>
          <w:sz w:val="24"/>
          <w:lang w:val="en-GB"/>
        </w:rPr>
        <w:t xml:space="preserve"> estate market. </w:t>
      </w:r>
    </w:p>
    <w:p w:rsidR="004B325D" w:rsidRPr="002545FB" w:rsidRDefault="000D3402">
      <w:pPr>
        <w:rPr>
          <w:sz w:val="24"/>
          <w:lang w:val="en-GB"/>
        </w:rPr>
      </w:pPr>
      <w:r w:rsidRPr="002545FB">
        <w:rPr>
          <w:sz w:val="24"/>
          <w:lang w:val="en-GB"/>
        </w:rPr>
        <w:t xml:space="preserve">Internal Revenue Offices enter into the database selected data on </w:t>
      </w:r>
      <w:r w:rsidR="00FF15AA" w:rsidRPr="002545FB">
        <w:rPr>
          <w:sz w:val="24"/>
          <w:lang w:val="en-GB"/>
        </w:rPr>
        <w:t xml:space="preserve">sales of </w:t>
      </w:r>
      <w:r w:rsidRPr="002545FB">
        <w:rPr>
          <w:sz w:val="24"/>
          <w:lang w:val="en-GB"/>
        </w:rPr>
        <w:t xml:space="preserve">real estate </w:t>
      </w:r>
      <w:r w:rsidR="00FF15AA" w:rsidRPr="002545FB">
        <w:rPr>
          <w:sz w:val="24"/>
          <w:lang w:val="en-GB"/>
        </w:rPr>
        <w:t xml:space="preserve">from SDLT forms </w:t>
      </w:r>
      <w:r w:rsidRPr="002545FB">
        <w:rPr>
          <w:sz w:val="24"/>
          <w:lang w:val="en-GB"/>
        </w:rPr>
        <w:t xml:space="preserve">and the files created are then supplied to the CZSO. These are </w:t>
      </w:r>
      <w:r w:rsidR="00FF15AA" w:rsidRPr="002545FB">
        <w:rPr>
          <w:sz w:val="24"/>
          <w:lang w:val="en-GB"/>
        </w:rPr>
        <w:t xml:space="preserve">types of </w:t>
      </w:r>
      <w:r w:rsidRPr="002545FB">
        <w:rPr>
          <w:sz w:val="24"/>
          <w:lang w:val="en-GB"/>
        </w:rPr>
        <w:t>real estate as follows</w:t>
      </w:r>
      <w:r w:rsidR="004B325D" w:rsidRPr="002545FB">
        <w:rPr>
          <w:sz w:val="24"/>
          <w:lang w:val="en-GB"/>
        </w:rPr>
        <w:t>: bu</w:t>
      </w:r>
      <w:r w:rsidRPr="002545FB">
        <w:rPr>
          <w:sz w:val="24"/>
          <w:lang w:val="en-GB"/>
        </w:rPr>
        <w:t>ildings and halls</w:t>
      </w:r>
      <w:r w:rsidR="004B325D" w:rsidRPr="002545FB">
        <w:rPr>
          <w:sz w:val="24"/>
          <w:lang w:val="en-GB"/>
        </w:rPr>
        <w:t xml:space="preserve">, </w:t>
      </w:r>
      <w:r w:rsidRPr="002545FB">
        <w:rPr>
          <w:sz w:val="24"/>
          <w:lang w:val="en-GB"/>
        </w:rPr>
        <w:t>family houses</w:t>
      </w:r>
      <w:r w:rsidR="004B325D" w:rsidRPr="002545FB">
        <w:rPr>
          <w:sz w:val="24"/>
          <w:lang w:val="en-GB"/>
        </w:rPr>
        <w:t xml:space="preserve">, </w:t>
      </w:r>
      <w:r w:rsidRPr="002545FB">
        <w:rPr>
          <w:sz w:val="24"/>
          <w:lang w:val="en-GB"/>
        </w:rPr>
        <w:t>recreational cottages and houses</w:t>
      </w:r>
      <w:r w:rsidR="004B325D" w:rsidRPr="002545FB">
        <w:rPr>
          <w:sz w:val="24"/>
          <w:lang w:val="en-GB"/>
        </w:rPr>
        <w:t>, re</w:t>
      </w:r>
      <w:r w:rsidRPr="002545FB">
        <w:rPr>
          <w:sz w:val="24"/>
          <w:lang w:val="en-GB"/>
        </w:rPr>
        <w:t xml:space="preserve">creational </w:t>
      </w:r>
      <w:r w:rsidR="00FF15AA" w:rsidRPr="002545FB">
        <w:rPr>
          <w:sz w:val="24"/>
          <w:lang w:val="en-GB"/>
        </w:rPr>
        <w:t xml:space="preserve">chalets </w:t>
      </w:r>
      <w:r w:rsidRPr="002545FB">
        <w:rPr>
          <w:sz w:val="24"/>
          <w:lang w:val="en-GB"/>
        </w:rPr>
        <w:t>and garden huts</w:t>
      </w:r>
      <w:r w:rsidR="004B325D" w:rsidRPr="002545FB">
        <w:rPr>
          <w:sz w:val="24"/>
          <w:lang w:val="en-GB"/>
        </w:rPr>
        <w:t>, gar</w:t>
      </w:r>
      <w:r w:rsidRPr="002545FB">
        <w:rPr>
          <w:sz w:val="24"/>
          <w:lang w:val="en-GB"/>
        </w:rPr>
        <w:t>ages</w:t>
      </w:r>
      <w:r w:rsidR="004B325D" w:rsidRPr="002545FB">
        <w:rPr>
          <w:sz w:val="24"/>
          <w:lang w:val="en-GB"/>
        </w:rPr>
        <w:t xml:space="preserve">, </w:t>
      </w:r>
      <w:r w:rsidRPr="002545FB">
        <w:rPr>
          <w:sz w:val="24"/>
          <w:lang w:val="en-GB"/>
        </w:rPr>
        <w:t>wells</w:t>
      </w:r>
      <w:r w:rsidR="004B325D" w:rsidRPr="002545FB">
        <w:rPr>
          <w:sz w:val="24"/>
          <w:lang w:val="en-GB"/>
        </w:rPr>
        <w:t xml:space="preserve">, </w:t>
      </w:r>
      <w:r w:rsidRPr="002545FB">
        <w:rPr>
          <w:sz w:val="24"/>
          <w:lang w:val="en-GB"/>
        </w:rPr>
        <w:t>flats and non-dwelling areas</w:t>
      </w:r>
      <w:r w:rsidR="004B325D" w:rsidRPr="002545FB">
        <w:rPr>
          <w:sz w:val="24"/>
          <w:lang w:val="en-GB"/>
        </w:rPr>
        <w:t xml:space="preserve">, </w:t>
      </w:r>
      <w:r w:rsidR="00FF15AA" w:rsidRPr="002545FB">
        <w:rPr>
          <w:sz w:val="24"/>
          <w:lang w:val="en-GB"/>
        </w:rPr>
        <w:t xml:space="preserve">construction </w:t>
      </w:r>
      <w:r w:rsidRPr="002545FB">
        <w:rPr>
          <w:sz w:val="24"/>
          <w:lang w:val="en-GB"/>
        </w:rPr>
        <w:t>plots</w:t>
      </w:r>
      <w:r w:rsidR="004B325D" w:rsidRPr="002545FB">
        <w:rPr>
          <w:sz w:val="24"/>
          <w:lang w:val="en-GB"/>
        </w:rPr>
        <w:t xml:space="preserve">, </w:t>
      </w:r>
      <w:r w:rsidRPr="002545FB">
        <w:rPr>
          <w:sz w:val="24"/>
          <w:lang w:val="en-GB"/>
        </w:rPr>
        <w:t xml:space="preserve">agricultural </w:t>
      </w:r>
      <w:r w:rsidR="00FF15AA" w:rsidRPr="002545FB">
        <w:rPr>
          <w:sz w:val="24"/>
          <w:lang w:val="en-GB"/>
        </w:rPr>
        <w:t>land</w:t>
      </w:r>
      <w:r w:rsidR="004B325D" w:rsidRPr="002545FB">
        <w:rPr>
          <w:sz w:val="24"/>
          <w:lang w:val="en-GB"/>
        </w:rPr>
        <w:t xml:space="preserve">, </w:t>
      </w:r>
      <w:r w:rsidRPr="002545FB">
        <w:rPr>
          <w:sz w:val="24"/>
          <w:lang w:val="en-GB"/>
        </w:rPr>
        <w:t xml:space="preserve">forests </w:t>
      </w:r>
      <w:r w:rsidR="00FF15AA" w:rsidRPr="002545FB">
        <w:rPr>
          <w:sz w:val="24"/>
          <w:lang w:val="en-GB"/>
        </w:rPr>
        <w:t>land</w:t>
      </w:r>
      <w:r w:rsidR="004B325D" w:rsidRPr="002545FB">
        <w:rPr>
          <w:sz w:val="24"/>
          <w:lang w:val="en-GB"/>
        </w:rPr>
        <w:t xml:space="preserve">, </w:t>
      </w:r>
      <w:r w:rsidRPr="002545FB">
        <w:rPr>
          <w:sz w:val="24"/>
          <w:lang w:val="en-GB"/>
        </w:rPr>
        <w:t>other p</w:t>
      </w:r>
      <w:r w:rsidR="00FF15AA" w:rsidRPr="002545FB">
        <w:rPr>
          <w:sz w:val="24"/>
          <w:lang w:val="en-GB"/>
        </w:rPr>
        <w:t>l</w:t>
      </w:r>
      <w:r w:rsidRPr="002545FB">
        <w:rPr>
          <w:sz w:val="24"/>
          <w:lang w:val="en-GB"/>
        </w:rPr>
        <w:t>ots</w:t>
      </w:r>
      <w:r w:rsidR="00FF15AA" w:rsidRPr="002545FB">
        <w:rPr>
          <w:sz w:val="24"/>
          <w:lang w:val="en-GB"/>
        </w:rPr>
        <w:t xml:space="preserve"> and land</w:t>
      </w:r>
      <w:r w:rsidR="004B325D" w:rsidRPr="002545FB">
        <w:rPr>
          <w:sz w:val="24"/>
          <w:lang w:val="en-GB"/>
        </w:rPr>
        <w:t xml:space="preserve">, </w:t>
      </w:r>
      <w:r w:rsidRPr="002545FB">
        <w:rPr>
          <w:sz w:val="24"/>
          <w:lang w:val="en-GB"/>
        </w:rPr>
        <w:t>and forest stands</w:t>
      </w:r>
      <w:r w:rsidR="004B325D" w:rsidRPr="002545FB">
        <w:rPr>
          <w:sz w:val="24"/>
          <w:lang w:val="en-GB"/>
        </w:rPr>
        <w:t>.</w:t>
      </w:r>
    </w:p>
    <w:p w:rsidR="004B325D" w:rsidRPr="002545FB" w:rsidRDefault="004B325D">
      <w:pPr>
        <w:pStyle w:val="Nadpis1"/>
        <w:rPr>
          <w:sz w:val="24"/>
          <w:szCs w:val="24"/>
          <w:lang w:val="en-GB"/>
        </w:rPr>
      </w:pPr>
      <w:r w:rsidRPr="002545FB">
        <w:rPr>
          <w:sz w:val="24"/>
          <w:szCs w:val="24"/>
          <w:lang w:val="en-GB"/>
        </w:rPr>
        <w:t xml:space="preserve">3. </w:t>
      </w:r>
      <w:r w:rsidR="000D4CB9" w:rsidRPr="002545FB">
        <w:rPr>
          <w:sz w:val="24"/>
          <w:szCs w:val="24"/>
          <w:lang w:val="en-GB"/>
        </w:rPr>
        <w:t xml:space="preserve">Variables </w:t>
      </w:r>
      <w:r w:rsidR="007F69FC" w:rsidRPr="002545FB">
        <w:rPr>
          <w:sz w:val="24"/>
          <w:szCs w:val="24"/>
          <w:lang w:val="en-GB"/>
        </w:rPr>
        <w:t>monitored and derived, homogeneity</w:t>
      </w:r>
    </w:p>
    <w:p w:rsidR="004B325D" w:rsidRPr="002545FB" w:rsidRDefault="000D3402">
      <w:pPr>
        <w:rPr>
          <w:sz w:val="24"/>
          <w:lang w:val="en-GB"/>
        </w:rPr>
      </w:pPr>
      <w:r w:rsidRPr="002545FB">
        <w:rPr>
          <w:sz w:val="24"/>
          <w:lang w:val="en-GB"/>
        </w:rPr>
        <w:t xml:space="preserve">Each </w:t>
      </w:r>
      <w:r w:rsidR="00FF15AA" w:rsidRPr="002545FB">
        <w:rPr>
          <w:sz w:val="24"/>
          <w:lang w:val="en-GB"/>
        </w:rPr>
        <w:t xml:space="preserve">(complete) </w:t>
      </w:r>
      <w:r w:rsidRPr="002545FB">
        <w:rPr>
          <w:sz w:val="24"/>
          <w:lang w:val="en-GB"/>
        </w:rPr>
        <w:t xml:space="preserve">real </w:t>
      </w:r>
      <w:r w:rsidR="000D4CB9" w:rsidRPr="002545FB">
        <w:rPr>
          <w:sz w:val="24"/>
          <w:lang w:val="en-GB"/>
        </w:rPr>
        <w:t>e</w:t>
      </w:r>
      <w:r w:rsidRPr="002545FB">
        <w:rPr>
          <w:sz w:val="24"/>
          <w:lang w:val="en-GB"/>
        </w:rPr>
        <w:t>state</w:t>
      </w:r>
      <w:r w:rsidR="004B325D" w:rsidRPr="002545FB">
        <w:rPr>
          <w:sz w:val="24"/>
          <w:lang w:val="en-GB"/>
        </w:rPr>
        <w:t xml:space="preserve"> </w:t>
      </w:r>
      <w:r w:rsidRPr="002545FB">
        <w:rPr>
          <w:sz w:val="24"/>
          <w:lang w:val="en-GB"/>
        </w:rPr>
        <w:t xml:space="preserve">sold is usually formed of partial real estates of various types </w:t>
      </w:r>
      <w:r w:rsidR="004B325D" w:rsidRPr="002545FB">
        <w:rPr>
          <w:sz w:val="24"/>
          <w:lang w:val="en-GB"/>
        </w:rPr>
        <w:t>(</w:t>
      </w:r>
      <w:r w:rsidRPr="002545FB">
        <w:rPr>
          <w:sz w:val="24"/>
          <w:lang w:val="en-GB"/>
        </w:rPr>
        <w:t>e.g</w:t>
      </w:r>
      <w:r w:rsidR="004B325D" w:rsidRPr="002545FB">
        <w:rPr>
          <w:sz w:val="24"/>
          <w:lang w:val="en-GB"/>
        </w:rPr>
        <w:t>. bu</w:t>
      </w:r>
      <w:r w:rsidRPr="002545FB">
        <w:rPr>
          <w:sz w:val="24"/>
          <w:lang w:val="en-GB"/>
        </w:rPr>
        <w:t xml:space="preserve">ildings and </w:t>
      </w:r>
      <w:r w:rsidR="00FF15AA" w:rsidRPr="002545FB">
        <w:rPr>
          <w:sz w:val="24"/>
          <w:lang w:val="en-GB"/>
        </w:rPr>
        <w:t xml:space="preserve">construction </w:t>
      </w:r>
      <w:r w:rsidRPr="002545FB">
        <w:rPr>
          <w:sz w:val="24"/>
          <w:lang w:val="en-GB"/>
        </w:rPr>
        <w:t>plots</w:t>
      </w:r>
      <w:r w:rsidR="004B325D" w:rsidRPr="002545FB">
        <w:rPr>
          <w:rFonts w:ascii="Times New" w:hAnsi="Times New"/>
          <w:sz w:val="24"/>
          <w:lang w:val="en-GB"/>
        </w:rPr>
        <w:t>).</w:t>
      </w:r>
      <w:r w:rsidR="004B325D" w:rsidRPr="002545FB">
        <w:rPr>
          <w:sz w:val="24"/>
          <w:lang w:val="en-GB"/>
        </w:rPr>
        <w:t xml:space="preserve"> </w:t>
      </w:r>
      <w:r w:rsidRPr="002545FB">
        <w:rPr>
          <w:sz w:val="24"/>
          <w:lang w:val="en-GB"/>
        </w:rPr>
        <w:t xml:space="preserve">Location is reflected in the </w:t>
      </w:r>
      <w:r w:rsidR="00AF2D11" w:rsidRPr="002545FB">
        <w:rPr>
          <w:sz w:val="24"/>
          <w:lang w:val="en-GB"/>
        </w:rPr>
        <w:t>appraisal value</w:t>
      </w:r>
      <w:r w:rsidRPr="002545FB">
        <w:rPr>
          <w:sz w:val="24"/>
          <w:lang w:val="en-GB"/>
        </w:rPr>
        <w:t xml:space="preserve"> as calculated by the </w:t>
      </w:r>
      <w:r w:rsidR="00AF2D11" w:rsidRPr="002545FB">
        <w:rPr>
          <w:sz w:val="24"/>
          <w:lang w:val="en-GB"/>
        </w:rPr>
        <w:t xml:space="preserve">valuation surveyor </w:t>
      </w:r>
      <w:r w:rsidRPr="002545FB">
        <w:rPr>
          <w:sz w:val="24"/>
          <w:lang w:val="en-GB"/>
        </w:rPr>
        <w:t>according to the decree</w:t>
      </w:r>
      <w:r w:rsidR="00AF2D11" w:rsidRPr="002545FB">
        <w:rPr>
          <w:sz w:val="24"/>
          <w:lang w:val="en-GB"/>
        </w:rPr>
        <w:t xml:space="preserve"> on property valuation</w:t>
      </w:r>
      <w:r w:rsidRPr="002545FB">
        <w:rPr>
          <w:sz w:val="24"/>
          <w:lang w:val="en-GB"/>
        </w:rPr>
        <w:t xml:space="preserve">. The </w:t>
      </w:r>
      <w:r w:rsidR="00AF2D11" w:rsidRPr="002545FB">
        <w:rPr>
          <w:sz w:val="24"/>
          <w:lang w:val="en-GB"/>
        </w:rPr>
        <w:t xml:space="preserve">appraisal value </w:t>
      </w:r>
      <w:r w:rsidRPr="002545FB">
        <w:rPr>
          <w:sz w:val="24"/>
          <w:lang w:val="en-GB"/>
        </w:rPr>
        <w:t xml:space="preserve">of the whole, complete real estate is a sum of </w:t>
      </w:r>
      <w:r w:rsidR="00AF2D11" w:rsidRPr="002545FB">
        <w:rPr>
          <w:sz w:val="24"/>
          <w:lang w:val="en-GB"/>
        </w:rPr>
        <w:t xml:space="preserve">appraisal values </w:t>
      </w:r>
      <w:r w:rsidRPr="002545FB">
        <w:rPr>
          <w:sz w:val="24"/>
          <w:lang w:val="en-GB"/>
        </w:rPr>
        <w:t>of partial real estates. The purchas</w:t>
      </w:r>
      <w:r w:rsidR="00AF2D11" w:rsidRPr="002545FB">
        <w:rPr>
          <w:sz w:val="24"/>
          <w:lang w:val="en-GB"/>
        </w:rPr>
        <w:t>e</w:t>
      </w:r>
      <w:r w:rsidRPr="002545FB">
        <w:rPr>
          <w:sz w:val="24"/>
          <w:lang w:val="en-GB"/>
        </w:rPr>
        <w:t xml:space="preserve"> price of a complete real estate is the recorded price</w:t>
      </w:r>
      <w:r w:rsidR="00AF2D11" w:rsidRPr="002545FB">
        <w:rPr>
          <w:sz w:val="24"/>
          <w:lang w:val="en-GB"/>
        </w:rPr>
        <w:t>,</w:t>
      </w:r>
      <w:r w:rsidRPr="002545FB">
        <w:rPr>
          <w:sz w:val="24"/>
          <w:lang w:val="en-GB"/>
        </w:rPr>
        <w:t xml:space="preserve"> which the real estate was sold for. The purchas</w:t>
      </w:r>
      <w:r w:rsidR="00AF2D11" w:rsidRPr="002545FB">
        <w:rPr>
          <w:sz w:val="24"/>
          <w:lang w:val="en-GB"/>
        </w:rPr>
        <w:t>e</w:t>
      </w:r>
      <w:r w:rsidRPr="002545FB">
        <w:rPr>
          <w:sz w:val="24"/>
          <w:lang w:val="en-GB"/>
        </w:rPr>
        <w:t xml:space="preserve"> price of a partial real estate is subsequently derived proportionally to the portion of the </w:t>
      </w:r>
      <w:r w:rsidR="00AF2D11" w:rsidRPr="002545FB">
        <w:rPr>
          <w:sz w:val="24"/>
          <w:lang w:val="en-GB"/>
        </w:rPr>
        <w:t>appraisal value</w:t>
      </w:r>
      <w:r w:rsidRPr="002545FB">
        <w:rPr>
          <w:sz w:val="24"/>
          <w:lang w:val="en-GB"/>
        </w:rPr>
        <w:t xml:space="preserve"> of the partial real estate of the total a</w:t>
      </w:r>
      <w:r w:rsidR="00AF2D11" w:rsidRPr="002545FB">
        <w:rPr>
          <w:sz w:val="24"/>
          <w:lang w:val="en-GB"/>
        </w:rPr>
        <w:t>ppraisal value</w:t>
      </w:r>
      <w:r w:rsidR="004B325D" w:rsidRPr="002545FB">
        <w:rPr>
          <w:sz w:val="24"/>
          <w:lang w:val="en-GB"/>
        </w:rPr>
        <w:t>.</w:t>
      </w:r>
      <w:r w:rsidR="004B325D" w:rsidRPr="002545FB">
        <w:rPr>
          <w:rFonts w:ascii="Times New" w:hAnsi="Times New"/>
          <w:sz w:val="24"/>
          <w:lang w:val="en-GB"/>
        </w:rPr>
        <w:t xml:space="preserve"> </w:t>
      </w:r>
      <w:r w:rsidRPr="002545FB">
        <w:rPr>
          <w:rFonts w:ascii="Times New" w:hAnsi="Times New"/>
          <w:sz w:val="24"/>
          <w:lang w:val="en-GB"/>
        </w:rPr>
        <w:t xml:space="preserve">The unit price </w:t>
      </w:r>
      <w:r w:rsidR="004B325D" w:rsidRPr="002545FB">
        <w:rPr>
          <w:sz w:val="24"/>
          <w:lang w:val="en-GB"/>
        </w:rPr>
        <w:t>(</w:t>
      </w:r>
      <w:r w:rsidRPr="002545FB">
        <w:rPr>
          <w:sz w:val="24"/>
          <w:lang w:val="en-GB"/>
        </w:rPr>
        <w:t>a</w:t>
      </w:r>
      <w:r w:rsidR="00AF2D11" w:rsidRPr="002545FB">
        <w:rPr>
          <w:sz w:val="24"/>
          <w:lang w:val="en-GB"/>
        </w:rPr>
        <w:t xml:space="preserve">ppraisal value </w:t>
      </w:r>
      <w:r w:rsidRPr="002545FB">
        <w:rPr>
          <w:sz w:val="24"/>
          <w:lang w:val="en-GB"/>
        </w:rPr>
        <w:t>or purchas</w:t>
      </w:r>
      <w:r w:rsidR="00AF2D11" w:rsidRPr="002545FB">
        <w:rPr>
          <w:sz w:val="24"/>
          <w:lang w:val="en-GB"/>
        </w:rPr>
        <w:t>e price</w:t>
      </w:r>
      <w:r w:rsidR="004B325D" w:rsidRPr="002545FB">
        <w:rPr>
          <w:sz w:val="24"/>
          <w:lang w:val="en-GB"/>
        </w:rPr>
        <w:t xml:space="preserve">) </w:t>
      </w:r>
      <w:r w:rsidRPr="002545FB">
        <w:rPr>
          <w:sz w:val="24"/>
          <w:lang w:val="en-GB"/>
        </w:rPr>
        <w:t xml:space="preserve">is the appropriate price for one measuring unit of the corresponding type of real estate </w:t>
      </w:r>
      <w:r w:rsidR="004B325D" w:rsidRPr="002545FB">
        <w:rPr>
          <w:sz w:val="24"/>
          <w:lang w:val="en-GB"/>
        </w:rPr>
        <w:t>(</w:t>
      </w:r>
      <w:r w:rsidRPr="002545FB">
        <w:rPr>
          <w:sz w:val="24"/>
          <w:lang w:val="en-GB"/>
        </w:rPr>
        <w:t>for</w:t>
      </w:r>
      <w:r w:rsidR="004B325D" w:rsidRPr="002545FB">
        <w:rPr>
          <w:sz w:val="24"/>
          <w:lang w:val="en-GB"/>
        </w:rPr>
        <w:t xml:space="preserve"> 1 m</w:t>
      </w:r>
      <w:r w:rsidR="004B325D" w:rsidRPr="002545FB">
        <w:rPr>
          <w:sz w:val="24"/>
          <w:vertAlign w:val="superscript"/>
          <w:lang w:val="en-GB"/>
        </w:rPr>
        <w:t>2</w:t>
      </w:r>
      <w:r w:rsidRPr="002545FB">
        <w:rPr>
          <w:sz w:val="24"/>
          <w:lang w:val="en-GB"/>
        </w:rPr>
        <w:t xml:space="preserve"> or </w:t>
      </w:r>
      <w:r w:rsidR="004B325D" w:rsidRPr="002545FB">
        <w:rPr>
          <w:sz w:val="24"/>
          <w:lang w:val="en-GB"/>
        </w:rPr>
        <w:t>1 m</w:t>
      </w:r>
      <w:r w:rsidR="004B325D" w:rsidRPr="002545FB">
        <w:rPr>
          <w:sz w:val="24"/>
          <w:vertAlign w:val="superscript"/>
          <w:lang w:val="en-GB"/>
        </w:rPr>
        <w:t>3</w:t>
      </w:r>
      <w:r w:rsidRPr="002545FB">
        <w:rPr>
          <w:sz w:val="24"/>
          <w:lang w:val="en-GB"/>
        </w:rPr>
        <w:t>, etc</w:t>
      </w:r>
      <w:r w:rsidR="004B325D" w:rsidRPr="002545FB">
        <w:rPr>
          <w:sz w:val="24"/>
          <w:lang w:val="en-GB"/>
        </w:rPr>
        <w:t>.).</w:t>
      </w:r>
    </w:p>
    <w:p w:rsidR="000710B6" w:rsidRPr="002545FB" w:rsidRDefault="000710B6" w:rsidP="00222165">
      <w:pPr>
        <w:rPr>
          <w:sz w:val="24"/>
          <w:lang w:val="en-GB"/>
        </w:rPr>
      </w:pPr>
      <w:r w:rsidRPr="002545FB">
        <w:rPr>
          <w:sz w:val="24"/>
          <w:lang w:val="en-GB"/>
        </w:rPr>
        <w:lastRenderedPageBreak/>
        <w:t>Starting from 2014 an expert assessment is no more mandatory for the sale of</w:t>
      </w:r>
      <w:r w:rsidR="00D35CED" w:rsidRPr="002545FB">
        <w:rPr>
          <w:sz w:val="24"/>
          <w:lang w:val="en-GB"/>
        </w:rPr>
        <w:t xml:space="preserve"> a</w:t>
      </w:r>
      <w:r w:rsidRPr="002545FB">
        <w:rPr>
          <w:sz w:val="24"/>
          <w:lang w:val="en-GB"/>
        </w:rPr>
        <w:t xml:space="preserve"> real estate resulting into lower share of the appraisal values within the available data. At the same time </w:t>
      </w:r>
      <w:proofErr w:type="spellStart"/>
      <w:r w:rsidRPr="002545FB">
        <w:rPr>
          <w:rStyle w:val="hps"/>
          <w:sz w:val="24"/>
        </w:rPr>
        <w:t>the</w:t>
      </w:r>
      <w:proofErr w:type="spellEnd"/>
      <w:r w:rsidRPr="002545FB">
        <w:rPr>
          <w:rStyle w:val="hps"/>
          <w:sz w:val="24"/>
        </w:rPr>
        <w:t xml:space="preserve"> </w:t>
      </w:r>
      <w:proofErr w:type="spellStart"/>
      <w:r w:rsidRPr="002545FB">
        <w:rPr>
          <w:rStyle w:val="hps"/>
          <w:sz w:val="24"/>
        </w:rPr>
        <w:t>valuation</w:t>
      </w:r>
      <w:proofErr w:type="spellEnd"/>
      <w:r w:rsidRPr="002545FB">
        <w:rPr>
          <w:rStyle w:val="hps"/>
          <w:sz w:val="24"/>
        </w:rPr>
        <w:t xml:space="preserve"> </w:t>
      </w:r>
      <w:proofErr w:type="spellStart"/>
      <w:r w:rsidRPr="002545FB">
        <w:rPr>
          <w:rStyle w:val="hps"/>
          <w:sz w:val="24"/>
        </w:rPr>
        <w:t>rules</w:t>
      </w:r>
      <w:proofErr w:type="spellEnd"/>
      <w:r w:rsidRPr="002545FB">
        <w:rPr>
          <w:rStyle w:val="hps"/>
          <w:sz w:val="24"/>
        </w:rPr>
        <w:t xml:space="preserve"> </w:t>
      </w:r>
      <w:proofErr w:type="spellStart"/>
      <w:r w:rsidRPr="002545FB">
        <w:rPr>
          <w:rStyle w:val="hps"/>
          <w:sz w:val="24"/>
        </w:rPr>
        <w:t>were</w:t>
      </w:r>
      <w:proofErr w:type="spellEnd"/>
      <w:r w:rsidRPr="002545FB">
        <w:rPr>
          <w:rStyle w:val="hps"/>
          <w:sz w:val="24"/>
        </w:rPr>
        <w:t xml:space="preserve"> </w:t>
      </w:r>
      <w:proofErr w:type="spellStart"/>
      <w:r w:rsidRPr="002545FB">
        <w:rPr>
          <w:rStyle w:val="hps"/>
          <w:sz w:val="24"/>
        </w:rPr>
        <w:t>slightly</w:t>
      </w:r>
      <w:proofErr w:type="spellEnd"/>
      <w:r w:rsidRPr="002545FB">
        <w:rPr>
          <w:rStyle w:val="hps"/>
          <w:sz w:val="24"/>
        </w:rPr>
        <w:t xml:space="preserve"> </w:t>
      </w:r>
      <w:proofErr w:type="spellStart"/>
      <w:r w:rsidRPr="002545FB">
        <w:rPr>
          <w:rStyle w:val="hps"/>
          <w:sz w:val="24"/>
        </w:rPr>
        <w:t>modified</w:t>
      </w:r>
      <w:proofErr w:type="spellEnd"/>
      <w:r w:rsidRPr="002545FB">
        <w:rPr>
          <w:rStyle w:val="hps"/>
          <w:sz w:val="24"/>
        </w:rPr>
        <w:t>.</w:t>
      </w:r>
    </w:p>
    <w:p w:rsidR="004B325D" w:rsidRPr="002545FB" w:rsidRDefault="005703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w:hAnsi="Times New"/>
          <w:sz w:val="24"/>
          <w:lang w:val="en-GB"/>
        </w:rPr>
      </w:pPr>
      <w:r w:rsidRPr="002545FB">
        <w:rPr>
          <w:rFonts w:ascii="Times New" w:hAnsi="Times New"/>
          <w:sz w:val="24"/>
          <w:lang w:val="en-GB"/>
        </w:rPr>
        <w:t xml:space="preserve">The basic task is to determine the average unit price of a certain type of real estate in the area or </w:t>
      </w:r>
      <w:r w:rsidR="001B7638" w:rsidRPr="002545FB">
        <w:rPr>
          <w:rFonts w:ascii="Times New" w:hAnsi="Times New"/>
          <w:sz w:val="24"/>
          <w:lang w:val="en-GB"/>
        </w:rPr>
        <w:t>band</w:t>
      </w:r>
      <w:r w:rsidRPr="002545FB">
        <w:rPr>
          <w:rFonts w:ascii="Times New" w:hAnsi="Times New"/>
          <w:sz w:val="24"/>
          <w:lang w:val="en-GB"/>
        </w:rPr>
        <w:t xml:space="preserve"> limited by parameters set </w:t>
      </w:r>
      <w:r w:rsidR="004B325D" w:rsidRPr="002545FB">
        <w:rPr>
          <w:rFonts w:ascii="Times New" w:hAnsi="Times New"/>
          <w:sz w:val="24"/>
          <w:lang w:val="en-GB"/>
        </w:rPr>
        <w:t>(</w:t>
      </w:r>
      <w:r w:rsidRPr="002545FB">
        <w:rPr>
          <w:rFonts w:ascii="Times New" w:hAnsi="Times New"/>
          <w:sz w:val="24"/>
          <w:lang w:val="en-GB"/>
        </w:rPr>
        <w:t xml:space="preserve">for instance, </w:t>
      </w:r>
      <w:r w:rsidR="004B325D" w:rsidRPr="002545FB">
        <w:rPr>
          <w:rFonts w:ascii="Times New" w:hAnsi="Times New"/>
          <w:sz w:val="24"/>
          <w:lang w:val="en-GB"/>
        </w:rPr>
        <w:t xml:space="preserve">region, </w:t>
      </w:r>
      <w:r w:rsidRPr="002545FB">
        <w:rPr>
          <w:rFonts w:ascii="Times New" w:hAnsi="Times New"/>
          <w:sz w:val="24"/>
          <w:lang w:val="en-GB"/>
        </w:rPr>
        <w:t>extent</w:t>
      </w:r>
      <w:r w:rsidR="00FA5764" w:rsidRPr="002545FB">
        <w:rPr>
          <w:rFonts w:ascii="Times New" w:hAnsi="Times New"/>
          <w:sz w:val="24"/>
          <w:lang w:val="en-GB"/>
        </w:rPr>
        <w:t xml:space="preserve"> of wear</w:t>
      </w:r>
      <w:r w:rsidRPr="002545FB">
        <w:rPr>
          <w:rFonts w:ascii="Times New" w:hAnsi="Times New"/>
          <w:sz w:val="24"/>
          <w:lang w:val="en-GB"/>
        </w:rPr>
        <w:t>, etc</w:t>
      </w:r>
      <w:r w:rsidR="00F918E2" w:rsidRPr="002545FB">
        <w:rPr>
          <w:rFonts w:ascii="Times New" w:hAnsi="Times New"/>
          <w:sz w:val="24"/>
          <w:lang w:val="en-GB"/>
        </w:rPr>
        <w:t>.</w:t>
      </w:r>
      <w:r w:rsidR="004B325D" w:rsidRPr="002545FB">
        <w:rPr>
          <w:rFonts w:ascii="Times New" w:hAnsi="Times New"/>
          <w:sz w:val="24"/>
          <w:lang w:val="en-GB"/>
        </w:rPr>
        <w:t>).</w:t>
      </w:r>
      <w:r w:rsidR="004B325D" w:rsidRPr="002545FB">
        <w:rPr>
          <w:sz w:val="24"/>
          <w:lang w:val="en-GB"/>
        </w:rPr>
        <w:t xml:space="preserve"> </w:t>
      </w:r>
      <w:r w:rsidRPr="002545FB">
        <w:rPr>
          <w:sz w:val="24"/>
          <w:lang w:val="en-GB"/>
        </w:rPr>
        <w:t xml:space="preserve">For this purpose all sales of complete real estates in this area or </w:t>
      </w:r>
      <w:r w:rsidR="00075610" w:rsidRPr="002545FB">
        <w:rPr>
          <w:sz w:val="24"/>
          <w:lang w:val="en-GB"/>
        </w:rPr>
        <w:t>band</w:t>
      </w:r>
      <w:r w:rsidRPr="002545FB">
        <w:rPr>
          <w:sz w:val="24"/>
          <w:lang w:val="en-GB"/>
        </w:rPr>
        <w:t xml:space="preserve">, which contain a partial real estate of the </w:t>
      </w:r>
      <w:r w:rsidR="00075610" w:rsidRPr="002545FB">
        <w:rPr>
          <w:sz w:val="24"/>
          <w:lang w:val="en-GB"/>
        </w:rPr>
        <w:t>surveyed</w:t>
      </w:r>
      <w:r w:rsidRPr="002545FB">
        <w:rPr>
          <w:sz w:val="24"/>
          <w:lang w:val="en-GB"/>
        </w:rPr>
        <w:t xml:space="preserve"> type, are searched. Rules for the suitable sampling of real estates in the area or </w:t>
      </w:r>
      <w:r w:rsidR="00075610" w:rsidRPr="002545FB">
        <w:rPr>
          <w:sz w:val="24"/>
          <w:lang w:val="en-GB"/>
        </w:rPr>
        <w:t>band</w:t>
      </w:r>
      <w:r w:rsidRPr="002545FB">
        <w:rPr>
          <w:sz w:val="24"/>
          <w:lang w:val="en-GB"/>
        </w:rPr>
        <w:t xml:space="preserve"> </w:t>
      </w:r>
      <w:r w:rsidR="00075610" w:rsidRPr="002545FB">
        <w:rPr>
          <w:sz w:val="24"/>
          <w:lang w:val="en-GB"/>
        </w:rPr>
        <w:t>surveye</w:t>
      </w:r>
      <w:r w:rsidRPr="002545FB">
        <w:rPr>
          <w:sz w:val="24"/>
          <w:lang w:val="en-GB"/>
        </w:rPr>
        <w:t>d require homogeneity is defined as a portion</w:t>
      </w:r>
      <w:r w:rsidR="004B325D" w:rsidRPr="002545FB">
        <w:rPr>
          <w:rFonts w:ascii="Times New" w:hAnsi="Times New"/>
          <w:sz w:val="24"/>
          <w:lang w:val="en-GB"/>
        </w:rPr>
        <w:t xml:space="preserve"> </w:t>
      </w:r>
      <w:r w:rsidRPr="002545FB">
        <w:rPr>
          <w:rFonts w:ascii="Times New" w:hAnsi="Times New"/>
          <w:sz w:val="24"/>
          <w:lang w:val="en-GB"/>
        </w:rPr>
        <w:t xml:space="preserve">(percentage) of the </w:t>
      </w:r>
      <w:r w:rsidR="00FA5764" w:rsidRPr="002545FB">
        <w:rPr>
          <w:rFonts w:ascii="Times New" w:hAnsi="Times New"/>
          <w:sz w:val="24"/>
          <w:lang w:val="en-GB"/>
        </w:rPr>
        <w:t>value</w:t>
      </w:r>
      <w:r w:rsidRPr="002545FB">
        <w:rPr>
          <w:rFonts w:ascii="Times New" w:hAnsi="Times New"/>
          <w:sz w:val="24"/>
          <w:lang w:val="en-GB"/>
        </w:rPr>
        <w:t xml:space="preserve"> of a partial real estate of the </w:t>
      </w:r>
      <w:r w:rsidR="00075610" w:rsidRPr="002545FB">
        <w:rPr>
          <w:sz w:val="24"/>
          <w:lang w:val="en-GB"/>
        </w:rPr>
        <w:t xml:space="preserve">surveyed </w:t>
      </w:r>
      <w:r w:rsidRPr="002545FB">
        <w:rPr>
          <w:rFonts w:ascii="Times New" w:hAnsi="Times New"/>
          <w:sz w:val="24"/>
          <w:lang w:val="en-GB"/>
        </w:rPr>
        <w:t>type in the whole sale of the given complete real estate.</w:t>
      </w:r>
      <w:r w:rsidR="004B325D" w:rsidRPr="002545FB">
        <w:rPr>
          <w:rFonts w:ascii="Times New" w:hAnsi="Times New"/>
          <w:sz w:val="24"/>
          <w:lang w:val="en-GB"/>
        </w:rPr>
        <w:t xml:space="preserve"> </w:t>
      </w:r>
    </w:p>
    <w:p w:rsidR="004B325D" w:rsidRPr="002545FB" w:rsidRDefault="005703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w:hAnsi="Times New"/>
          <w:sz w:val="24"/>
          <w:lang w:val="en-GB"/>
        </w:rPr>
      </w:pPr>
      <w:r w:rsidRPr="002545FB">
        <w:rPr>
          <w:rFonts w:ascii="Times New" w:hAnsi="Times New"/>
          <w:sz w:val="24"/>
          <w:lang w:val="en-GB"/>
        </w:rPr>
        <w:t xml:space="preserve">The selection of real </w:t>
      </w:r>
      <w:proofErr w:type="spellStart"/>
      <w:r w:rsidRPr="002545FB">
        <w:rPr>
          <w:rFonts w:ascii="Times New" w:hAnsi="Times New"/>
          <w:sz w:val="24"/>
          <w:lang w:val="en-GB"/>
        </w:rPr>
        <w:t>estates</w:t>
      </w:r>
      <w:proofErr w:type="spellEnd"/>
      <w:r w:rsidRPr="002545FB">
        <w:rPr>
          <w:rFonts w:ascii="Times New" w:hAnsi="Times New"/>
          <w:sz w:val="24"/>
          <w:lang w:val="en-GB"/>
        </w:rPr>
        <w:t xml:space="preserve"> for the determination of the average purchas</w:t>
      </w:r>
      <w:r w:rsidR="00FA5764" w:rsidRPr="002545FB">
        <w:rPr>
          <w:rFonts w:ascii="Times New" w:hAnsi="Times New"/>
          <w:sz w:val="24"/>
          <w:lang w:val="en-GB"/>
        </w:rPr>
        <w:t>e</w:t>
      </w:r>
      <w:r w:rsidRPr="002545FB">
        <w:rPr>
          <w:rFonts w:ascii="Times New" w:hAnsi="Times New"/>
          <w:sz w:val="24"/>
          <w:lang w:val="en-GB"/>
        </w:rPr>
        <w:t xml:space="preserve"> unit price of a certain type of real estate shall be carried out in three steps. First, only those complete real </w:t>
      </w:r>
      <w:proofErr w:type="spellStart"/>
      <w:r w:rsidRPr="002545FB">
        <w:rPr>
          <w:rFonts w:ascii="Times New" w:hAnsi="Times New"/>
          <w:sz w:val="24"/>
          <w:lang w:val="en-GB"/>
        </w:rPr>
        <w:t>estates</w:t>
      </w:r>
      <w:proofErr w:type="spellEnd"/>
      <w:r w:rsidRPr="002545FB">
        <w:rPr>
          <w:rFonts w:ascii="Times New" w:hAnsi="Times New"/>
          <w:sz w:val="24"/>
          <w:lang w:val="en-GB"/>
        </w:rPr>
        <w:t xml:space="preserve"> are selected</w:t>
      </w:r>
      <w:r w:rsidR="00FA5764" w:rsidRPr="002545FB">
        <w:rPr>
          <w:rFonts w:ascii="Times New" w:hAnsi="Times New"/>
          <w:sz w:val="24"/>
          <w:lang w:val="en-GB"/>
        </w:rPr>
        <w:t>,</w:t>
      </w:r>
      <w:r w:rsidRPr="002545FB">
        <w:rPr>
          <w:rFonts w:ascii="Times New" w:hAnsi="Times New"/>
          <w:sz w:val="24"/>
          <w:lang w:val="en-GB"/>
        </w:rPr>
        <w:t xml:space="preserve"> </w:t>
      </w:r>
      <w:r w:rsidR="000D4CB9" w:rsidRPr="002545FB">
        <w:rPr>
          <w:rFonts w:ascii="Times New" w:hAnsi="Times New"/>
          <w:sz w:val="24"/>
          <w:lang w:val="en-GB"/>
        </w:rPr>
        <w:t xml:space="preserve">for </w:t>
      </w:r>
      <w:r w:rsidRPr="002545FB">
        <w:rPr>
          <w:rFonts w:ascii="Times New" w:hAnsi="Times New"/>
          <w:sz w:val="24"/>
          <w:lang w:val="en-GB"/>
        </w:rPr>
        <w:t>which purchas</w:t>
      </w:r>
      <w:r w:rsidR="00FA5764" w:rsidRPr="002545FB">
        <w:rPr>
          <w:rFonts w:ascii="Times New" w:hAnsi="Times New"/>
          <w:sz w:val="24"/>
          <w:lang w:val="en-GB"/>
        </w:rPr>
        <w:t>e</w:t>
      </w:r>
      <w:r w:rsidRPr="002545FB">
        <w:rPr>
          <w:rFonts w:ascii="Times New" w:hAnsi="Times New"/>
          <w:sz w:val="24"/>
          <w:lang w:val="en-GB"/>
        </w:rPr>
        <w:t xml:space="preserve"> </w:t>
      </w:r>
      <w:r w:rsidR="00FA5764" w:rsidRPr="002545FB">
        <w:rPr>
          <w:rFonts w:ascii="Times New" w:hAnsi="Times New"/>
          <w:sz w:val="24"/>
          <w:lang w:val="en-GB"/>
        </w:rPr>
        <w:t xml:space="preserve">price </w:t>
      </w:r>
      <w:r w:rsidRPr="002545FB">
        <w:rPr>
          <w:rFonts w:ascii="Times New" w:hAnsi="Times New"/>
          <w:sz w:val="24"/>
          <w:lang w:val="en-GB"/>
        </w:rPr>
        <w:t xml:space="preserve">and </w:t>
      </w:r>
      <w:r w:rsidR="00FA5764" w:rsidRPr="002545FB">
        <w:rPr>
          <w:sz w:val="24"/>
          <w:lang w:val="en-GB"/>
        </w:rPr>
        <w:t xml:space="preserve">appraisal </w:t>
      </w:r>
      <w:r w:rsidR="00FA5764" w:rsidRPr="002545FB">
        <w:rPr>
          <w:rFonts w:ascii="Times New" w:hAnsi="Times New"/>
          <w:sz w:val="24"/>
          <w:lang w:val="en-GB"/>
        </w:rPr>
        <w:t xml:space="preserve">value </w:t>
      </w:r>
      <w:r w:rsidRPr="002545FB">
        <w:rPr>
          <w:rFonts w:ascii="Times New" w:hAnsi="Times New"/>
          <w:sz w:val="24"/>
          <w:lang w:val="en-GB"/>
        </w:rPr>
        <w:t xml:space="preserve">are not extremely different. </w:t>
      </w:r>
      <w:r w:rsidR="00263CB0" w:rsidRPr="002545FB">
        <w:rPr>
          <w:rFonts w:ascii="Times New" w:hAnsi="Times New"/>
          <w:sz w:val="24"/>
          <w:lang w:val="en-GB"/>
        </w:rPr>
        <w:t>In the second step</w:t>
      </w:r>
      <w:r w:rsidR="00FA5764" w:rsidRPr="002545FB">
        <w:rPr>
          <w:rFonts w:ascii="Times New" w:hAnsi="Times New"/>
          <w:sz w:val="24"/>
          <w:lang w:val="en-GB"/>
        </w:rPr>
        <w:t>,</w:t>
      </w:r>
      <w:r w:rsidR="00263CB0" w:rsidRPr="002545FB">
        <w:rPr>
          <w:rFonts w:ascii="Times New" w:hAnsi="Times New"/>
          <w:sz w:val="24"/>
          <w:lang w:val="en-GB"/>
        </w:rPr>
        <w:t xml:space="preserve"> only those complete real </w:t>
      </w:r>
      <w:proofErr w:type="spellStart"/>
      <w:r w:rsidR="00263CB0" w:rsidRPr="002545FB">
        <w:rPr>
          <w:rFonts w:ascii="Times New" w:hAnsi="Times New"/>
          <w:sz w:val="24"/>
          <w:lang w:val="en-GB"/>
        </w:rPr>
        <w:t>estates</w:t>
      </w:r>
      <w:proofErr w:type="spellEnd"/>
      <w:r w:rsidR="00263CB0" w:rsidRPr="002545FB">
        <w:rPr>
          <w:rFonts w:ascii="Times New" w:hAnsi="Times New"/>
          <w:sz w:val="24"/>
          <w:lang w:val="en-GB"/>
        </w:rPr>
        <w:t xml:space="preserve"> are taken out of this set</w:t>
      </w:r>
      <w:r w:rsidR="00FA5764" w:rsidRPr="002545FB">
        <w:rPr>
          <w:rFonts w:ascii="Times New" w:hAnsi="Times New"/>
          <w:sz w:val="24"/>
          <w:lang w:val="en-GB"/>
        </w:rPr>
        <w:t>,</w:t>
      </w:r>
      <w:r w:rsidR="00263CB0" w:rsidRPr="002545FB">
        <w:rPr>
          <w:rFonts w:ascii="Times New" w:hAnsi="Times New"/>
          <w:sz w:val="24"/>
          <w:lang w:val="en-GB"/>
        </w:rPr>
        <w:t xml:space="preserve"> for which homogeneity of the type </w:t>
      </w:r>
      <w:r w:rsidR="00FA5764" w:rsidRPr="002545FB">
        <w:rPr>
          <w:rFonts w:ascii="Times New" w:hAnsi="Times New"/>
          <w:sz w:val="24"/>
          <w:lang w:val="en-GB"/>
        </w:rPr>
        <w:t>surveyed</w:t>
      </w:r>
      <w:r w:rsidR="00263CB0" w:rsidRPr="002545FB">
        <w:rPr>
          <w:rFonts w:ascii="Times New" w:hAnsi="Times New"/>
          <w:sz w:val="24"/>
          <w:lang w:val="en-GB"/>
        </w:rPr>
        <w:t xml:space="preserve"> is higher than a fixed limit for this type of real estate</w:t>
      </w:r>
      <w:r w:rsidR="004B325D" w:rsidRPr="002545FB">
        <w:rPr>
          <w:sz w:val="24"/>
          <w:lang w:val="en-GB"/>
        </w:rPr>
        <w:t xml:space="preserve">. </w:t>
      </w:r>
      <w:r w:rsidR="00263CB0" w:rsidRPr="002545FB">
        <w:rPr>
          <w:sz w:val="24"/>
          <w:lang w:val="en-GB"/>
        </w:rPr>
        <w:t>In the third step</w:t>
      </w:r>
      <w:r w:rsidR="00FA5764" w:rsidRPr="002545FB">
        <w:rPr>
          <w:sz w:val="24"/>
          <w:lang w:val="en-GB"/>
        </w:rPr>
        <w:t>,</w:t>
      </w:r>
      <w:r w:rsidR="00263CB0" w:rsidRPr="002545FB">
        <w:rPr>
          <w:sz w:val="24"/>
          <w:lang w:val="en-GB"/>
        </w:rPr>
        <w:t xml:space="preserve"> improbable extremes, mostly generated by errors in data entering, are eradicated from the remaining data</w:t>
      </w:r>
      <w:r w:rsidR="004B325D" w:rsidRPr="002545FB">
        <w:rPr>
          <w:rFonts w:ascii="Times New" w:hAnsi="Times New"/>
          <w:sz w:val="24"/>
          <w:lang w:val="en-GB"/>
        </w:rPr>
        <w:t xml:space="preserve">. </w:t>
      </w:r>
      <w:r w:rsidR="00AD0150" w:rsidRPr="002545FB">
        <w:rPr>
          <w:rFonts w:ascii="Times New" w:hAnsi="Times New"/>
          <w:sz w:val="24"/>
          <w:lang w:val="en-GB"/>
        </w:rPr>
        <w:t>Then the arithmetic average of the remaining purchas</w:t>
      </w:r>
      <w:r w:rsidR="00FA5764" w:rsidRPr="002545FB">
        <w:rPr>
          <w:rFonts w:ascii="Times New" w:hAnsi="Times New"/>
          <w:sz w:val="24"/>
          <w:lang w:val="en-GB"/>
        </w:rPr>
        <w:t>e</w:t>
      </w:r>
      <w:r w:rsidR="00AD0150" w:rsidRPr="002545FB">
        <w:rPr>
          <w:rFonts w:ascii="Times New" w:hAnsi="Times New"/>
          <w:sz w:val="24"/>
          <w:lang w:val="en-GB"/>
        </w:rPr>
        <w:t xml:space="preserve"> unit prices of the type of real estate </w:t>
      </w:r>
      <w:r w:rsidR="00FA5764" w:rsidRPr="002545FB">
        <w:rPr>
          <w:rFonts w:ascii="Times New" w:hAnsi="Times New"/>
          <w:sz w:val="24"/>
          <w:lang w:val="en-GB"/>
        </w:rPr>
        <w:t>survey</w:t>
      </w:r>
      <w:r w:rsidR="00AD0150" w:rsidRPr="002545FB">
        <w:rPr>
          <w:rFonts w:ascii="Times New" w:hAnsi="Times New"/>
          <w:sz w:val="24"/>
          <w:lang w:val="en-GB"/>
        </w:rPr>
        <w:t>ed in the given area is taken as the average purchas</w:t>
      </w:r>
      <w:r w:rsidR="00FA5764" w:rsidRPr="002545FB">
        <w:rPr>
          <w:rFonts w:ascii="Times New" w:hAnsi="Times New"/>
          <w:sz w:val="24"/>
          <w:lang w:val="en-GB"/>
        </w:rPr>
        <w:t>e</w:t>
      </w:r>
      <w:r w:rsidR="00AD0150" w:rsidRPr="002545FB">
        <w:rPr>
          <w:rFonts w:ascii="Times New" w:hAnsi="Times New"/>
          <w:sz w:val="24"/>
          <w:lang w:val="en-GB"/>
        </w:rPr>
        <w:t xml:space="preserve"> unit price of the given type of real estate in the area. </w:t>
      </w:r>
    </w:p>
    <w:p w:rsidR="004B325D" w:rsidRPr="002545FB" w:rsidRDefault="004B32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w:hAnsi="Times New"/>
          <w:sz w:val="24"/>
          <w:lang w:val="en-GB"/>
        </w:rPr>
      </w:pPr>
    </w:p>
    <w:p w:rsidR="004B325D" w:rsidRPr="002545FB" w:rsidRDefault="004B325D">
      <w:pPr>
        <w:pStyle w:val="Nadpis1"/>
        <w:rPr>
          <w:sz w:val="24"/>
          <w:szCs w:val="24"/>
          <w:lang w:val="en-GB"/>
        </w:rPr>
      </w:pPr>
      <w:r w:rsidRPr="002545FB">
        <w:rPr>
          <w:sz w:val="24"/>
          <w:szCs w:val="24"/>
          <w:lang w:val="en-GB"/>
        </w:rPr>
        <w:t xml:space="preserve">4. </w:t>
      </w:r>
      <w:r w:rsidR="000C5166" w:rsidRPr="002545FB">
        <w:rPr>
          <w:sz w:val="24"/>
          <w:szCs w:val="24"/>
          <w:lang w:val="en-GB"/>
        </w:rPr>
        <w:t xml:space="preserve">Explaining and explained </w:t>
      </w:r>
      <w:r w:rsidR="000D4CB9" w:rsidRPr="002545FB">
        <w:rPr>
          <w:sz w:val="24"/>
          <w:szCs w:val="24"/>
          <w:lang w:val="en-GB"/>
        </w:rPr>
        <w:t>variables</w:t>
      </w:r>
      <w:r w:rsidRPr="002545FB">
        <w:rPr>
          <w:sz w:val="24"/>
          <w:szCs w:val="24"/>
          <w:lang w:val="en-GB"/>
        </w:rPr>
        <w:t xml:space="preserve">, </w:t>
      </w:r>
      <w:r w:rsidR="00570339" w:rsidRPr="002545FB">
        <w:rPr>
          <w:sz w:val="24"/>
          <w:szCs w:val="24"/>
          <w:lang w:val="en-GB"/>
        </w:rPr>
        <w:t>basic principles and their determination</w:t>
      </w:r>
    </w:p>
    <w:p w:rsidR="004B325D" w:rsidRPr="002545FB" w:rsidRDefault="0037179A">
      <w:pPr>
        <w:rPr>
          <w:sz w:val="24"/>
          <w:lang w:val="en-GB"/>
        </w:rPr>
      </w:pPr>
      <w:r w:rsidRPr="002545FB">
        <w:rPr>
          <w:sz w:val="24"/>
          <w:lang w:val="en-GB"/>
        </w:rPr>
        <w:t xml:space="preserve">The priority explained variable in tables, which consists the </w:t>
      </w:r>
      <w:r w:rsidR="000C5166" w:rsidRPr="002545FB">
        <w:rPr>
          <w:sz w:val="24"/>
          <w:lang w:val="en-GB"/>
        </w:rPr>
        <w:t>subject matter</w:t>
      </w:r>
      <w:r w:rsidRPr="002545FB">
        <w:rPr>
          <w:sz w:val="24"/>
          <w:lang w:val="en-GB"/>
        </w:rPr>
        <w:t xml:space="preserve"> of this publication</w:t>
      </w:r>
      <w:r w:rsidR="004B325D" w:rsidRPr="002545FB">
        <w:rPr>
          <w:sz w:val="24"/>
          <w:lang w:val="en-GB"/>
        </w:rPr>
        <w:t xml:space="preserve">, </w:t>
      </w:r>
      <w:r w:rsidRPr="002545FB">
        <w:rPr>
          <w:sz w:val="24"/>
          <w:lang w:val="en-GB"/>
        </w:rPr>
        <w:t>is the average purchas</w:t>
      </w:r>
      <w:r w:rsidR="000C5166" w:rsidRPr="002545FB">
        <w:rPr>
          <w:sz w:val="24"/>
          <w:lang w:val="en-GB"/>
        </w:rPr>
        <w:t>e</w:t>
      </w:r>
      <w:r w:rsidRPr="002545FB">
        <w:rPr>
          <w:sz w:val="24"/>
          <w:lang w:val="en-GB"/>
        </w:rPr>
        <w:t xml:space="preserve"> unit price. Then as a derivative, the price index</w:t>
      </w:r>
      <w:r w:rsidR="000C5166" w:rsidRPr="002545FB">
        <w:rPr>
          <w:sz w:val="24"/>
          <w:lang w:val="en-GB"/>
        </w:rPr>
        <w:t>,</w:t>
      </w:r>
      <w:r w:rsidRPr="002545FB">
        <w:rPr>
          <w:sz w:val="24"/>
          <w:lang w:val="en-GB"/>
        </w:rPr>
        <w:t xml:space="preserve"> which is the ratio of two such average prices for two different time periods. The subset of data, which are available in the aforementioned data sources</w:t>
      </w:r>
      <w:r w:rsidR="000305B5" w:rsidRPr="002545FB">
        <w:rPr>
          <w:sz w:val="24"/>
          <w:lang w:val="en-GB"/>
        </w:rPr>
        <w:t>,</w:t>
      </w:r>
      <w:r w:rsidRPr="002545FB">
        <w:rPr>
          <w:sz w:val="24"/>
          <w:lang w:val="en-GB"/>
        </w:rPr>
        <w:t xml:space="preserve"> shall be selected as </w:t>
      </w:r>
      <w:r w:rsidR="000C5166" w:rsidRPr="002545FB">
        <w:rPr>
          <w:sz w:val="24"/>
          <w:lang w:val="en-GB"/>
        </w:rPr>
        <w:t xml:space="preserve">explaining </w:t>
      </w:r>
      <w:r w:rsidRPr="002545FB">
        <w:rPr>
          <w:sz w:val="24"/>
          <w:lang w:val="en-GB"/>
        </w:rPr>
        <w:t>variables</w:t>
      </w:r>
      <w:r w:rsidR="000305B5" w:rsidRPr="002545FB">
        <w:rPr>
          <w:sz w:val="24"/>
          <w:lang w:val="en-GB"/>
        </w:rPr>
        <w:t>.</w:t>
      </w:r>
      <w:r w:rsidRPr="002545FB">
        <w:rPr>
          <w:sz w:val="24"/>
          <w:lang w:val="en-GB"/>
        </w:rPr>
        <w:t xml:space="preserve"> </w:t>
      </w:r>
      <w:r w:rsidR="000305B5" w:rsidRPr="002545FB">
        <w:rPr>
          <w:sz w:val="24"/>
          <w:lang w:val="en-GB"/>
        </w:rPr>
        <w:t>The determining factors shall be clearly territory and time aspect as a priority user’s request for the real estate price statistics</w:t>
      </w:r>
      <w:r w:rsidR="004B325D" w:rsidRPr="002545FB">
        <w:rPr>
          <w:sz w:val="24"/>
          <w:lang w:val="en-GB"/>
        </w:rPr>
        <w:t xml:space="preserve">. </w:t>
      </w:r>
      <w:r w:rsidR="000305B5" w:rsidRPr="002545FB">
        <w:rPr>
          <w:sz w:val="24"/>
          <w:lang w:val="en-GB"/>
        </w:rPr>
        <w:t xml:space="preserve">Territorial breakdown inside the publication corresponds to the state as at </w:t>
      </w:r>
      <w:r w:rsidR="00C11D1A" w:rsidRPr="002545FB">
        <w:rPr>
          <w:sz w:val="24"/>
          <w:lang w:val="en-GB"/>
        </w:rPr>
        <w:t>1</w:t>
      </w:r>
      <w:r w:rsidR="00272B50" w:rsidRPr="002545FB">
        <w:rPr>
          <w:sz w:val="24"/>
          <w:vertAlign w:val="superscript"/>
          <w:lang w:val="en-GB"/>
        </w:rPr>
        <w:t>st</w:t>
      </w:r>
      <w:r w:rsidR="000305B5" w:rsidRPr="002545FB">
        <w:rPr>
          <w:sz w:val="24"/>
          <w:lang w:val="en-GB"/>
        </w:rPr>
        <w:t xml:space="preserve"> January</w:t>
      </w:r>
      <w:r w:rsidR="00B27425" w:rsidRPr="002545FB">
        <w:rPr>
          <w:sz w:val="24"/>
          <w:lang w:val="en-GB"/>
        </w:rPr>
        <w:t xml:space="preserve"> </w:t>
      </w:r>
      <w:r w:rsidR="00683468" w:rsidRPr="002545FB">
        <w:rPr>
          <w:sz w:val="24"/>
          <w:lang w:val="en-GB"/>
        </w:rPr>
        <w:t>201</w:t>
      </w:r>
      <w:r w:rsidR="00D56798" w:rsidRPr="002545FB">
        <w:rPr>
          <w:sz w:val="24"/>
          <w:lang w:val="en-GB"/>
        </w:rPr>
        <w:t>7</w:t>
      </w:r>
      <w:r w:rsidR="004B325D" w:rsidRPr="002545FB">
        <w:rPr>
          <w:sz w:val="24"/>
          <w:lang w:val="en-GB"/>
        </w:rPr>
        <w:t>.</w:t>
      </w:r>
    </w:p>
    <w:p w:rsidR="004B325D" w:rsidRPr="002545FB" w:rsidRDefault="00D37749">
      <w:pPr>
        <w:rPr>
          <w:sz w:val="24"/>
          <w:lang w:val="en-GB"/>
        </w:rPr>
      </w:pPr>
      <w:r w:rsidRPr="002545FB">
        <w:rPr>
          <w:sz w:val="24"/>
          <w:lang w:val="en-GB"/>
        </w:rPr>
        <w:t xml:space="preserve">Further </w:t>
      </w:r>
      <w:r w:rsidR="00933E0E" w:rsidRPr="002545FB">
        <w:rPr>
          <w:sz w:val="24"/>
          <w:lang w:val="en-GB"/>
        </w:rPr>
        <w:t xml:space="preserve">explaining </w:t>
      </w:r>
      <w:r w:rsidRPr="002545FB">
        <w:rPr>
          <w:sz w:val="24"/>
          <w:lang w:val="en-GB"/>
        </w:rPr>
        <w:t xml:space="preserve">determining factors must meet the condition that </w:t>
      </w:r>
      <w:r w:rsidR="000305B5" w:rsidRPr="002545FB">
        <w:rPr>
          <w:sz w:val="24"/>
          <w:lang w:val="en-GB"/>
        </w:rPr>
        <w:t>there is a statistically prov</w:t>
      </w:r>
      <w:r w:rsidR="00933E0E" w:rsidRPr="002545FB">
        <w:rPr>
          <w:sz w:val="24"/>
          <w:lang w:val="en-GB"/>
        </w:rPr>
        <w:t>able</w:t>
      </w:r>
      <w:r w:rsidR="000305B5" w:rsidRPr="002545FB">
        <w:rPr>
          <w:sz w:val="24"/>
          <w:lang w:val="en-GB"/>
        </w:rPr>
        <w:t xml:space="preserve"> dependence of the explained variable on these factors and</w:t>
      </w:r>
      <w:r w:rsidR="00933E0E" w:rsidRPr="002545FB">
        <w:rPr>
          <w:sz w:val="24"/>
          <w:lang w:val="en-GB"/>
        </w:rPr>
        <w:t>,</w:t>
      </w:r>
      <w:r w:rsidR="000305B5" w:rsidRPr="002545FB">
        <w:rPr>
          <w:sz w:val="24"/>
          <w:lang w:val="en-GB"/>
        </w:rPr>
        <w:t xml:space="preserve"> simultaneously</w:t>
      </w:r>
      <w:r w:rsidR="00933E0E" w:rsidRPr="002545FB">
        <w:rPr>
          <w:sz w:val="24"/>
          <w:lang w:val="en-GB"/>
        </w:rPr>
        <w:t>,</w:t>
      </w:r>
      <w:r w:rsidR="000305B5" w:rsidRPr="002545FB">
        <w:rPr>
          <w:sz w:val="24"/>
          <w:lang w:val="en-GB"/>
        </w:rPr>
        <w:t xml:space="preserve"> the factors should be mutually independent, as much as possible.</w:t>
      </w:r>
    </w:p>
    <w:p w:rsidR="004B325D" w:rsidRPr="002545FB" w:rsidRDefault="000305B5">
      <w:pPr>
        <w:pStyle w:val="Zkladntext3"/>
        <w:tabs>
          <w:tab w:val="clear" w:pos="0"/>
          <w:tab w:val="clear" w:pos="1440"/>
          <w:tab w:val="clear" w:pos="2880"/>
        </w:tabs>
        <w:rPr>
          <w:sz w:val="24"/>
          <w:lang w:val="en-GB"/>
        </w:rPr>
      </w:pPr>
      <w:r w:rsidRPr="002545FB">
        <w:rPr>
          <w:sz w:val="24"/>
          <w:lang w:val="en-GB"/>
        </w:rPr>
        <w:t xml:space="preserve">The </w:t>
      </w:r>
      <w:r w:rsidR="00933E0E" w:rsidRPr="002545FB">
        <w:rPr>
          <w:sz w:val="24"/>
          <w:lang w:val="en-GB"/>
        </w:rPr>
        <w:t xml:space="preserve">extent of </w:t>
      </w:r>
      <w:r w:rsidRPr="002545FB">
        <w:rPr>
          <w:sz w:val="24"/>
          <w:lang w:val="en-GB"/>
        </w:rPr>
        <w:t>wear (expressed as percentage - data from the assessor) was selected from e</w:t>
      </w:r>
      <w:r w:rsidR="00933E0E" w:rsidRPr="002545FB">
        <w:rPr>
          <w:sz w:val="24"/>
          <w:lang w:val="en-GB"/>
        </w:rPr>
        <w:t xml:space="preserve">xplaining </w:t>
      </w:r>
      <w:r w:rsidRPr="002545FB">
        <w:rPr>
          <w:sz w:val="24"/>
          <w:lang w:val="en-GB"/>
        </w:rPr>
        <w:t xml:space="preserve">factors available. The dependence of the average sales unit price on the </w:t>
      </w:r>
      <w:r w:rsidR="00933E0E" w:rsidRPr="002545FB">
        <w:rPr>
          <w:sz w:val="24"/>
          <w:lang w:val="en-GB"/>
        </w:rPr>
        <w:t xml:space="preserve">extent of </w:t>
      </w:r>
      <w:r w:rsidRPr="002545FB">
        <w:rPr>
          <w:sz w:val="24"/>
          <w:lang w:val="en-GB"/>
        </w:rPr>
        <w:t>wear is very conclusive. Other e</w:t>
      </w:r>
      <w:r w:rsidR="00933E0E" w:rsidRPr="002545FB">
        <w:rPr>
          <w:sz w:val="24"/>
          <w:lang w:val="en-GB"/>
        </w:rPr>
        <w:t xml:space="preserve">xplaining </w:t>
      </w:r>
      <w:r w:rsidRPr="002545FB">
        <w:rPr>
          <w:sz w:val="24"/>
          <w:lang w:val="en-GB"/>
        </w:rPr>
        <w:t>factor applied, which is virtually independent on all of the previously mentioned</w:t>
      </w:r>
      <w:r w:rsidR="00933E0E" w:rsidRPr="002545FB">
        <w:rPr>
          <w:sz w:val="24"/>
          <w:lang w:val="en-GB"/>
        </w:rPr>
        <w:t>,</w:t>
      </w:r>
      <w:r w:rsidRPr="002545FB">
        <w:rPr>
          <w:sz w:val="24"/>
          <w:lang w:val="en-GB"/>
        </w:rPr>
        <w:t xml:space="preserve"> is the size of municipality </w:t>
      </w:r>
      <w:r w:rsidR="004B325D" w:rsidRPr="002545FB">
        <w:rPr>
          <w:sz w:val="24"/>
          <w:lang w:val="en-GB"/>
        </w:rPr>
        <w:t>(</w:t>
      </w:r>
      <w:r w:rsidR="003C2003" w:rsidRPr="002545FB">
        <w:rPr>
          <w:sz w:val="24"/>
          <w:lang w:val="en-GB"/>
        </w:rPr>
        <w:t xml:space="preserve">according to </w:t>
      </w:r>
      <w:r w:rsidRPr="002545FB">
        <w:rPr>
          <w:sz w:val="24"/>
          <w:lang w:val="en-GB"/>
        </w:rPr>
        <w:t xml:space="preserve">population </w:t>
      </w:r>
      <w:r w:rsidR="003C2003" w:rsidRPr="002545FB">
        <w:rPr>
          <w:sz w:val="24"/>
          <w:lang w:val="en-GB"/>
        </w:rPr>
        <w:t>of 1 January 2013</w:t>
      </w:r>
      <w:r w:rsidR="004B325D" w:rsidRPr="002545FB">
        <w:rPr>
          <w:sz w:val="24"/>
          <w:lang w:val="en-GB"/>
        </w:rPr>
        <w:t>)</w:t>
      </w:r>
      <w:r w:rsidRPr="002545FB">
        <w:rPr>
          <w:sz w:val="24"/>
          <w:lang w:val="en-GB"/>
        </w:rPr>
        <w:t xml:space="preserve"> where the real estate </w:t>
      </w:r>
      <w:r w:rsidR="00933E0E" w:rsidRPr="002545FB">
        <w:rPr>
          <w:sz w:val="24"/>
          <w:lang w:val="en-GB"/>
        </w:rPr>
        <w:t>survey</w:t>
      </w:r>
      <w:r w:rsidRPr="002545FB">
        <w:rPr>
          <w:sz w:val="24"/>
          <w:lang w:val="en-GB"/>
        </w:rPr>
        <w:t>ed is located</w:t>
      </w:r>
      <w:r w:rsidR="004B325D" w:rsidRPr="002545FB">
        <w:rPr>
          <w:sz w:val="24"/>
          <w:lang w:val="en-GB"/>
        </w:rPr>
        <w:t>.</w:t>
      </w:r>
    </w:p>
    <w:p w:rsidR="004B325D" w:rsidRPr="002545FB" w:rsidRDefault="004B325D">
      <w:pPr>
        <w:pStyle w:val="Nadpis1"/>
        <w:rPr>
          <w:sz w:val="24"/>
          <w:szCs w:val="24"/>
          <w:lang w:val="en-GB"/>
        </w:rPr>
      </w:pPr>
      <w:r w:rsidRPr="002545FB">
        <w:rPr>
          <w:sz w:val="24"/>
          <w:szCs w:val="24"/>
          <w:lang w:val="en-GB"/>
        </w:rPr>
        <w:t xml:space="preserve">5. </w:t>
      </w:r>
      <w:r w:rsidR="00AD0150" w:rsidRPr="002545FB">
        <w:rPr>
          <w:sz w:val="24"/>
          <w:szCs w:val="24"/>
          <w:lang w:val="en-GB"/>
        </w:rPr>
        <w:t xml:space="preserve">Selection of types of real estates </w:t>
      </w:r>
    </w:p>
    <w:p w:rsidR="004B325D" w:rsidRPr="002545FB" w:rsidRDefault="00D714A6">
      <w:pPr>
        <w:rPr>
          <w:sz w:val="24"/>
          <w:lang w:val="en-GB"/>
        </w:rPr>
      </w:pPr>
      <w:r w:rsidRPr="002545FB">
        <w:rPr>
          <w:sz w:val="24"/>
          <w:lang w:val="en-GB"/>
        </w:rPr>
        <w:t xml:space="preserve">For this publication merely those real </w:t>
      </w:r>
      <w:proofErr w:type="spellStart"/>
      <w:r w:rsidRPr="002545FB">
        <w:rPr>
          <w:sz w:val="24"/>
          <w:lang w:val="en-GB"/>
        </w:rPr>
        <w:t>estates</w:t>
      </w:r>
      <w:proofErr w:type="spellEnd"/>
      <w:r w:rsidRPr="002545FB">
        <w:rPr>
          <w:sz w:val="24"/>
          <w:lang w:val="en-GB"/>
        </w:rPr>
        <w:t xml:space="preserve"> </w:t>
      </w:r>
      <w:r w:rsidR="00D37083" w:rsidRPr="002545FB">
        <w:rPr>
          <w:sz w:val="24"/>
          <w:lang w:val="en-GB"/>
        </w:rPr>
        <w:t>available</w:t>
      </w:r>
      <w:r w:rsidRPr="002545FB">
        <w:rPr>
          <w:sz w:val="24"/>
          <w:lang w:val="en-GB"/>
        </w:rPr>
        <w:t xml:space="preserve"> in the source database were selected, for which there are enough number of price data classified by various combinations of e</w:t>
      </w:r>
      <w:r w:rsidR="00D37083" w:rsidRPr="002545FB">
        <w:rPr>
          <w:sz w:val="24"/>
          <w:lang w:val="en-GB"/>
        </w:rPr>
        <w:t>xplaining</w:t>
      </w:r>
      <w:r w:rsidRPr="002545FB">
        <w:rPr>
          <w:sz w:val="24"/>
          <w:lang w:val="en-GB"/>
        </w:rPr>
        <w:t xml:space="preserve"> factors determined above. Moreover, the aforementioned limiting effect of homogeneity for certain types of real estate shall be taken into account.</w:t>
      </w:r>
      <w:r w:rsidR="004B325D" w:rsidRPr="002545FB">
        <w:rPr>
          <w:sz w:val="24"/>
          <w:lang w:val="en-GB"/>
        </w:rPr>
        <w:t xml:space="preserve"> </w:t>
      </w:r>
      <w:r w:rsidRPr="002545FB">
        <w:rPr>
          <w:sz w:val="24"/>
          <w:lang w:val="en-GB"/>
        </w:rPr>
        <w:t>For instance</w:t>
      </w:r>
      <w:r w:rsidR="00D37083" w:rsidRPr="002545FB">
        <w:rPr>
          <w:sz w:val="24"/>
          <w:lang w:val="en-GB"/>
        </w:rPr>
        <w:t>,</w:t>
      </w:r>
      <w:r w:rsidRPr="002545FB">
        <w:rPr>
          <w:sz w:val="24"/>
          <w:lang w:val="en-GB"/>
        </w:rPr>
        <w:t xml:space="preserve"> various types of </w:t>
      </w:r>
      <w:r w:rsidR="00D37083" w:rsidRPr="002545FB">
        <w:rPr>
          <w:sz w:val="24"/>
          <w:lang w:val="en-GB"/>
        </w:rPr>
        <w:t>land/</w:t>
      </w:r>
      <w:r w:rsidRPr="002545FB">
        <w:rPr>
          <w:sz w:val="24"/>
          <w:lang w:val="en-GB"/>
        </w:rPr>
        <w:t xml:space="preserve">plots </w:t>
      </w:r>
      <w:r w:rsidR="00D37083" w:rsidRPr="002545FB">
        <w:rPr>
          <w:sz w:val="24"/>
          <w:lang w:val="en-GB"/>
        </w:rPr>
        <w:t>form</w:t>
      </w:r>
      <w:r w:rsidRPr="002545FB">
        <w:rPr>
          <w:sz w:val="24"/>
          <w:lang w:val="en-GB"/>
        </w:rPr>
        <w:t xml:space="preserve"> mostly minority portions of prices in the sale of the complete real estate. Their prices are then more or less determined by other type of real estate</w:t>
      </w:r>
      <w:r w:rsidR="00D37083" w:rsidRPr="002545FB">
        <w:rPr>
          <w:sz w:val="24"/>
          <w:lang w:val="en-GB"/>
        </w:rPr>
        <w:t>,</w:t>
      </w:r>
      <w:r w:rsidRPr="002545FB">
        <w:rPr>
          <w:sz w:val="24"/>
          <w:lang w:val="en-GB"/>
        </w:rPr>
        <w:t xml:space="preserve"> which they </w:t>
      </w:r>
      <w:r w:rsidRPr="002545FB">
        <w:rPr>
          <w:sz w:val="24"/>
          <w:lang w:val="en-GB"/>
        </w:rPr>
        <w:lastRenderedPageBreak/>
        <w:t>are sold with</w:t>
      </w:r>
      <w:r w:rsidR="004B325D" w:rsidRPr="002545FB">
        <w:rPr>
          <w:sz w:val="24"/>
          <w:lang w:val="en-GB"/>
        </w:rPr>
        <w:t xml:space="preserve">, </w:t>
      </w:r>
      <w:r w:rsidRPr="002545FB">
        <w:rPr>
          <w:sz w:val="24"/>
          <w:lang w:val="en-GB"/>
        </w:rPr>
        <w:t>as a family house or a building, for example</w:t>
      </w:r>
      <w:r w:rsidR="004B325D" w:rsidRPr="002545FB">
        <w:rPr>
          <w:sz w:val="24"/>
          <w:lang w:val="en-GB"/>
        </w:rPr>
        <w:t xml:space="preserve">. </w:t>
      </w:r>
      <w:r w:rsidRPr="002545FB">
        <w:rPr>
          <w:sz w:val="24"/>
          <w:lang w:val="en-GB"/>
        </w:rPr>
        <w:t xml:space="preserve">The applicable number of price data for such plots is then substantially reduced. </w:t>
      </w:r>
    </w:p>
    <w:p w:rsidR="004B325D" w:rsidRPr="002545FB" w:rsidRDefault="0037179A">
      <w:pPr>
        <w:rPr>
          <w:sz w:val="24"/>
          <w:lang w:val="en-GB"/>
        </w:rPr>
      </w:pPr>
      <w:r w:rsidRPr="002545FB">
        <w:rPr>
          <w:sz w:val="24"/>
          <w:lang w:val="en-GB"/>
        </w:rPr>
        <w:t xml:space="preserve">Therefore solely </w:t>
      </w:r>
      <w:r w:rsidR="000D4CB9" w:rsidRPr="002545FB">
        <w:rPr>
          <w:sz w:val="24"/>
          <w:lang w:val="en-GB"/>
        </w:rPr>
        <w:t>those</w:t>
      </w:r>
      <w:r w:rsidRPr="002545FB">
        <w:rPr>
          <w:sz w:val="24"/>
          <w:lang w:val="en-GB"/>
        </w:rPr>
        <w:t xml:space="preserve"> types of real estate</w:t>
      </w:r>
      <w:r w:rsidR="005E19C2" w:rsidRPr="002545FB">
        <w:rPr>
          <w:sz w:val="24"/>
          <w:lang w:val="en-GB"/>
        </w:rPr>
        <w:t>,</w:t>
      </w:r>
      <w:r w:rsidRPr="002545FB">
        <w:rPr>
          <w:sz w:val="24"/>
          <w:lang w:val="en-GB"/>
        </w:rPr>
        <w:t xml:space="preserve"> </w:t>
      </w:r>
      <w:r w:rsidR="000D4CB9" w:rsidRPr="002545FB">
        <w:rPr>
          <w:sz w:val="24"/>
          <w:lang w:val="en-GB"/>
        </w:rPr>
        <w:t>where</w:t>
      </w:r>
      <w:r w:rsidRPr="002545FB">
        <w:rPr>
          <w:sz w:val="24"/>
          <w:lang w:val="en-GB"/>
        </w:rPr>
        <w:t xml:space="preserve"> </w:t>
      </w:r>
      <w:r w:rsidR="005E19C2" w:rsidRPr="002545FB">
        <w:rPr>
          <w:sz w:val="24"/>
          <w:lang w:val="en-GB"/>
        </w:rPr>
        <w:t xml:space="preserve">a </w:t>
      </w:r>
      <w:r w:rsidRPr="002545FB">
        <w:rPr>
          <w:sz w:val="24"/>
          <w:lang w:val="en-GB"/>
        </w:rPr>
        <w:t>relatively sufficient number of price data having homogeneity higher than the required limit</w:t>
      </w:r>
      <w:r w:rsidR="005E19C2" w:rsidRPr="002545FB">
        <w:rPr>
          <w:sz w:val="24"/>
          <w:lang w:val="en-GB"/>
        </w:rPr>
        <w:t xml:space="preserve">, were selected </w:t>
      </w:r>
      <w:r w:rsidRPr="002545FB">
        <w:rPr>
          <w:sz w:val="24"/>
          <w:lang w:val="en-GB"/>
        </w:rPr>
        <w:t>for this publication</w:t>
      </w:r>
      <w:r w:rsidR="005E19C2" w:rsidRPr="002545FB">
        <w:rPr>
          <w:sz w:val="24"/>
          <w:lang w:val="en-GB"/>
        </w:rPr>
        <w:t xml:space="preserve"> as follows</w:t>
      </w:r>
      <w:r w:rsidR="004B325D" w:rsidRPr="002545FB">
        <w:rPr>
          <w:sz w:val="24"/>
          <w:lang w:val="en-GB"/>
        </w:rPr>
        <w:t>:</w:t>
      </w:r>
    </w:p>
    <w:p w:rsidR="004B325D" w:rsidRPr="002545FB" w:rsidRDefault="004B325D">
      <w:pPr>
        <w:rPr>
          <w:sz w:val="18"/>
          <w:lang w:val="en-GB"/>
        </w:rPr>
      </w:pPr>
    </w:p>
    <w:tbl>
      <w:tblPr>
        <w:tblW w:w="0" w:type="auto"/>
        <w:jc w:val="center"/>
        <w:tblCellSpacing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600"/>
        <w:gridCol w:w="2690"/>
        <w:gridCol w:w="1415"/>
        <w:gridCol w:w="1478"/>
      </w:tblGrid>
      <w:tr w:rsidR="004B325D" w:rsidRPr="002545FB">
        <w:trPr>
          <w:trHeight w:val="227"/>
          <w:tblCellSpacing w:w="11" w:type="dxa"/>
          <w:jc w:val="center"/>
        </w:trPr>
        <w:tc>
          <w:tcPr>
            <w:tcW w:w="0" w:type="auto"/>
            <w:vAlign w:val="center"/>
          </w:tcPr>
          <w:p w:rsidR="004B325D" w:rsidRPr="002545FB" w:rsidRDefault="007F69FC">
            <w:pPr>
              <w:jc w:val="center"/>
              <w:rPr>
                <w:sz w:val="17"/>
                <w:lang w:val="en-GB"/>
              </w:rPr>
            </w:pPr>
            <w:r w:rsidRPr="002545FB">
              <w:rPr>
                <w:sz w:val="17"/>
                <w:lang w:val="en-GB"/>
              </w:rPr>
              <w:t>Order</w:t>
            </w:r>
          </w:p>
        </w:tc>
        <w:tc>
          <w:tcPr>
            <w:tcW w:w="0" w:type="auto"/>
            <w:vAlign w:val="center"/>
          </w:tcPr>
          <w:p w:rsidR="004B325D" w:rsidRPr="002545FB" w:rsidRDefault="007F69FC" w:rsidP="007F69FC">
            <w:pPr>
              <w:jc w:val="left"/>
              <w:rPr>
                <w:sz w:val="17"/>
                <w:lang w:val="en-GB"/>
              </w:rPr>
            </w:pPr>
            <w:r w:rsidRPr="002545FB">
              <w:rPr>
                <w:sz w:val="17"/>
                <w:lang w:val="en-GB"/>
              </w:rPr>
              <w:t>Type of real estate</w:t>
            </w:r>
          </w:p>
        </w:tc>
        <w:tc>
          <w:tcPr>
            <w:tcW w:w="0" w:type="auto"/>
            <w:vAlign w:val="center"/>
          </w:tcPr>
          <w:p w:rsidR="004B325D" w:rsidRPr="002545FB" w:rsidRDefault="00453EC8" w:rsidP="00453EC8">
            <w:pPr>
              <w:jc w:val="center"/>
              <w:rPr>
                <w:sz w:val="17"/>
                <w:lang w:val="en-GB"/>
              </w:rPr>
            </w:pPr>
            <w:r w:rsidRPr="002545FB">
              <w:rPr>
                <w:sz w:val="17"/>
                <w:lang w:val="en-GB"/>
              </w:rPr>
              <w:t xml:space="preserve">Band of </w:t>
            </w:r>
            <w:r w:rsidRPr="002545FB">
              <w:rPr>
                <w:sz w:val="17"/>
                <w:lang w:val="en-GB"/>
              </w:rPr>
              <w:br/>
              <w:t xml:space="preserve">the extent </w:t>
            </w:r>
            <w:r w:rsidR="005E19C2" w:rsidRPr="002545FB">
              <w:rPr>
                <w:sz w:val="17"/>
                <w:lang w:val="en-GB"/>
              </w:rPr>
              <w:t>of w</w:t>
            </w:r>
            <w:r w:rsidR="00263CB0" w:rsidRPr="002545FB">
              <w:rPr>
                <w:sz w:val="17"/>
                <w:lang w:val="en-GB"/>
              </w:rPr>
              <w:t xml:space="preserve">ear </w:t>
            </w:r>
          </w:p>
        </w:tc>
        <w:tc>
          <w:tcPr>
            <w:tcW w:w="0" w:type="auto"/>
            <w:vAlign w:val="center"/>
          </w:tcPr>
          <w:p w:rsidR="004B325D" w:rsidRPr="002545FB" w:rsidRDefault="004B325D" w:rsidP="007F69FC">
            <w:pPr>
              <w:jc w:val="center"/>
              <w:rPr>
                <w:sz w:val="17"/>
                <w:lang w:val="en-GB"/>
              </w:rPr>
            </w:pPr>
            <w:r w:rsidRPr="002545FB">
              <w:rPr>
                <w:sz w:val="17"/>
                <w:lang w:val="en-GB"/>
              </w:rPr>
              <w:t>Minim</w:t>
            </w:r>
            <w:r w:rsidR="007F69FC" w:rsidRPr="002545FB">
              <w:rPr>
                <w:sz w:val="17"/>
                <w:lang w:val="en-GB"/>
              </w:rPr>
              <w:t xml:space="preserve">um value of </w:t>
            </w:r>
            <w:r w:rsidR="00453EC8" w:rsidRPr="002545FB">
              <w:rPr>
                <w:sz w:val="17"/>
                <w:lang w:val="en-GB"/>
              </w:rPr>
              <w:br/>
            </w:r>
            <w:r w:rsidR="007F69FC" w:rsidRPr="002545FB">
              <w:rPr>
                <w:sz w:val="17"/>
                <w:lang w:val="en-GB"/>
              </w:rPr>
              <w:t>homogeneity</w:t>
            </w:r>
          </w:p>
        </w:tc>
      </w:tr>
      <w:tr w:rsidR="004B325D" w:rsidRPr="002545FB">
        <w:trPr>
          <w:cantSplit/>
          <w:trHeight w:val="227"/>
          <w:tblCellSpacing w:w="11" w:type="dxa"/>
          <w:jc w:val="center"/>
        </w:trPr>
        <w:tc>
          <w:tcPr>
            <w:tcW w:w="0" w:type="auto"/>
            <w:vMerge w:val="restart"/>
            <w:vAlign w:val="center"/>
          </w:tcPr>
          <w:p w:rsidR="004B325D" w:rsidRPr="002545FB" w:rsidRDefault="004B325D">
            <w:pPr>
              <w:jc w:val="center"/>
              <w:rPr>
                <w:sz w:val="17"/>
                <w:lang w:val="en-GB"/>
              </w:rPr>
            </w:pPr>
            <w:r w:rsidRPr="002545FB">
              <w:rPr>
                <w:sz w:val="17"/>
                <w:lang w:val="en-GB"/>
              </w:rPr>
              <w:t>1.</w:t>
            </w:r>
          </w:p>
        </w:tc>
        <w:tc>
          <w:tcPr>
            <w:tcW w:w="0" w:type="auto"/>
            <w:vMerge w:val="restart"/>
            <w:vAlign w:val="center"/>
          </w:tcPr>
          <w:p w:rsidR="004B325D" w:rsidRPr="002545FB" w:rsidRDefault="004B325D" w:rsidP="000D4CB9">
            <w:pPr>
              <w:jc w:val="left"/>
              <w:rPr>
                <w:sz w:val="17"/>
                <w:lang w:val="en-GB"/>
              </w:rPr>
            </w:pPr>
            <w:r w:rsidRPr="002545FB">
              <w:rPr>
                <w:sz w:val="17"/>
                <w:lang w:val="en-GB"/>
              </w:rPr>
              <w:t xml:space="preserve">RD – </w:t>
            </w:r>
            <w:r w:rsidR="007F69FC" w:rsidRPr="002545FB">
              <w:rPr>
                <w:sz w:val="17"/>
                <w:lang w:val="en-GB"/>
              </w:rPr>
              <w:t>single-dwelling family houses</w:t>
            </w:r>
            <w:r w:rsidRPr="002545FB">
              <w:rPr>
                <w:sz w:val="17"/>
                <w:lang w:val="en-GB"/>
              </w:rPr>
              <w:t xml:space="preserve">, </w:t>
            </w:r>
          </w:p>
        </w:tc>
        <w:tc>
          <w:tcPr>
            <w:tcW w:w="0" w:type="auto"/>
            <w:vAlign w:val="center"/>
          </w:tcPr>
          <w:p w:rsidR="004B325D" w:rsidRPr="002545FB" w:rsidRDefault="004B325D">
            <w:pPr>
              <w:jc w:val="center"/>
              <w:rPr>
                <w:sz w:val="17"/>
                <w:lang w:val="en-GB"/>
              </w:rPr>
            </w:pPr>
            <w:r w:rsidRPr="002545FB">
              <w:rPr>
                <w:sz w:val="17"/>
                <w:lang w:val="en-GB"/>
              </w:rPr>
              <w:sym w:font="Symbol" w:char="F0E1"/>
            </w:r>
            <w:r w:rsidRPr="002545FB">
              <w:rPr>
                <w:sz w:val="17"/>
                <w:lang w:val="en-GB"/>
              </w:rPr>
              <w:t>0; 10</w:t>
            </w:r>
            <w:r w:rsidRPr="002545FB">
              <w:rPr>
                <w:sz w:val="17"/>
                <w:lang w:val="en-GB"/>
              </w:rPr>
              <w:sym w:font="Symbol" w:char="F0F1"/>
            </w:r>
          </w:p>
        </w:tc>
        <w:tc>
          <w:tcPr>
            <w:tcW w:w="0" w:type="auto"/>
            <w:vAlign w:val="center"/>
          </w:tcPr>
          <w:p w:rsidR="004B325D" w:rsidRPr="002545FB" w:rsidRDefault="004B325D" w:rsidP="007F69FC">
            <w:pPr>
              <w:jc w:val="center"/>
              <w:rPr>
                <w:sz w:val="17"/>
                <w:lang w:val="en-GB"/>
              </w:rPr>
            </w:pPr>
            <w:r w:rsidRPr="002545FB">
              <w:rPr>
                <w:sz w:val="17"/>
                <w:lang w:val="en-GB"/>
              </w:rPr>
              <w:t>60%</w:t>
            </w:r>
          </w:p>
        </w:tc>
      </w:tr>
      <w:tr w:rsidR="004B325D" w:rsidRPr="002545FB">
        <w:trPr>
          <w:cantSplit/>
          <w:trHeight w:val="227"/>
          <w:tblCellSpacing w:w="11" w:type="dxa"/>
          <w:jc w:val="center"/>
        </w:trPr>
        <w:tc>
          <w:tcPr>
            <w:tcW w:w="0" w:type="auto"/>
            <w:vMerge/>
            <w:vAlign w:val="center"/>
          </w:tcPr>
          <w:p w:rsidR="004B325D" w:rsidRPr="002545FB" w:rsidRDefault="004B325D">
            <w:pPr>
              <w:jc w:val="center"/>
              <w:rPr>
                <w:sz w:val="17"/>
                <w:lang w:val="en-GB"/>
              </w:rPr>
            </w:pPr>
          </w:p>
        </w:tc>
        <w:tc>
          <w:tcPr>
            <w:tcW w:w="0" w:type="auto"/>
            <w:vMerge/>
            <w:vAlign w:val="center"/>
          </w:tcPr>
          <w:p w:rsidR="004B325D" w:rsidRPr="002545FB" w:rsidRDefault="004B325D">
            <w:pPr>
              <w:jc w:val="left"/>
              <w:rPr>
                <w:sz w:val="17"/>
                <w:lang w:val="en-GB"/>
              </w:rPr>
            </w:pPr>
          </w:p>
        </w:tc>
        <w:tc>
          <w:tcPr>
            <w:tcW w:w="0" w:type="auto"/>
            <w:vAlign w:val="center"/>
          </w:tcPr>
          <w:p w:rsidR="004B325D" w:rsidRPr="002545FB" w:rsidRDefault="00C001EF">
            <w:pPr>
              <w:jc w:val="center"/>
              <w:rPr>
                <w:sz w:val="17"/>
                <w:lang w:val="en-GB"/>
              </w:rPr>
            </w:pPr>
            <w:r w:rsidRPr="002545FB">
              <w:rPr>
                <w:sz w:val="17"/>
                <w:lang w:val="en-GB"/>
              </w:rPr>
              <w:t>(10; 50</w:t>
            </w:r>
            <w:r w:rsidR="004B325D" w:rsidRPr="002545FB">
              <w:rPr>
                <w:sz w:val="17"/>
                <w:lang w:val="en-GB"/>
              </w:rPr>
              <w:sym w:font="Symbol" w:char="F0F1"/>
            </w:r>
          </w:p>
        </w:tc>
        <w:tc>
          <w:tcPr>
            <w:tcW w:w="0" w:type="auto"/>
            <w:vAlign w:val="center"/>
          </w:tcPr>
          <w:p w:rsidR="004B325D" w:rsidRPr="002545FB" w:rsidRDefault="004B325D" w:rsidP="007F69FC">
            <w:pPr>
              <w:jc w:val="center"/>
              <w:rPr>
                <w:sz w:val="17"/>
                <w:lang w:val="en-GB"/>
              </w:rPr>
            </w:pPr>
            <w:r w:rsidRPr="002545FB">
              <w:rPr>
                <w:sz w:val="17"/>
                <w:lang w:val="en-GB"/>
              </w:rPr>
              <w:t>60%</w:t>
            </w:r>
          </w:p>
        </w:tc>
      </w:tr>
      <w:tr w:rsidR="004B325D" w:rsidRPr="002545FB">
        <w:trPr>
          <w:cantSplit/>
          <w:trHeight w:val="227"/>
          <w:tblCellSpacing w:w="11" w:type="dxa"/>
          <w:jc w:val="center"/>
        </w:trPr>
        <w:tc>
          <w:tcPr>
            <w:tcW w:w="0" w:type="auto"/>
            <w:vMerge/>
            <w:vAlign w:val="center"/>
          </w:tcPr>
          <w:p w:rsidR="004B325D" w:rsidRPr="002545FB" w:rsidRDefault="004B325D">
            <w:pPr>
              <w:jc w:val="center"/>
              <w:rPr>
                <w:sz w:val="17"/>
                <w:lang w:val="en-GB"/>
              </w:rPr>
            </w:pPr>
          </w:p>
        </w:tc>
        <w:tc>
          <w:tcPr>
            <w:tcW w:w="0" w:type="auto"/>
            <w:vMerge/>
            <w:vAlign w:val="center"/>
          </w:tcPr>
          <w:p w:rsidR="004B325D" w:rsidRPr="002545FB" w:rsidRDefault="004B325D">
            <w:pPr>
              <w:jc w:val="left"/>
              <w:rPr>
                <w:sz w:val="17"/>
                <w:lang w:val="en-GB"/>
              </w:rPr>
            </w:pPr>
          </w:p>
        </w:tc>
        <w:tc>
          <w:tcPr>
            <w:tcW w:w="0" w:type="auto"/>
            <w:vAlign w:val="center"/>
          </w:tcPr>
          <w:p w:rsidR="004B325D" w:rsidRPr="002545FB" w:rsidRDefault="00C001EF">
            <w:pPr>
              <w:jc w:val="center"/>
              <w:rPr>
                <w:sz w:val="17"/>
                <w:lang w:val="en-GB"/>
              </w:rPr>
            </w:pPr>
            <w:r w:rsidRPr="002545FB">
              <w:rPr>
                <w:sz w:val="17"/>
                <w:lang w:val="en-GB"/>
              </w:rPr>
              <w:t>(50</w:t>
            </w:r>
            <w:r w:rsidR="004B325D" w:rsidRPr="002545FB">
              <w:rPr>
                <w:sz w:val="17"/>
                <w:lang w:val="en-GB"/>
              </w:rPr>
              <w:t>; 75</w:t>
            </w:r>
            <w:r w:rsidR="004B325D" w:rsidRPr="002545FB">
              <w:rPr>
                <w:sz w:val="17"/>
                <w:lang w:val="en-GB"/>
              </w:rPr>
              <w:sym w:font="Symbol" w:char="F0F1"/>
            </w:r>
          </w:p>
        </w:tc>
        <w:tc>
          <w:tcPr>
            <w:tcW w:w="0" w:type="auto"/>
            <w:vAlign w:val="center"/>
          </w:tcPr>
          <w:p w:rsidR="004B325D" w:rsidRPr="002545FB" w:rsidRDefault="004B325D" w:rsidP="007F69FC">
            <w:pPr>
              <w:jc w:val="center"/>
              <w:rPr>
                <w:sz w:val="17"/>
                <w:lang w:val="en-GB"/>
              </w:rPr>
            </w:pPr>
            <w:r w:rsidRPr="002545FB">
              <w:rPr>
                <w:sz w:val="17"/>
                <w:lang w:val="en-GB"/>
              </w:rPr>
              <w:t>70%</w:t>
            </w:r>
          </w:p>
        </w:tc>
      </w:tr>
      <w:tr w:rsidR="004B325D" w:rsidRPr="002545FB">
        <w:trPr>
          <w:cantSplit/>
          <w:trHeight w:val="227"/>
          <w:tblCellSpacing w:w="11" w:type="dxa"/>
          <w:jc w:val="center"/>
        </w:trPr>
        <w:tc>
          <w:tcPr>
            <w:tcW w:w="0" w:type="auto"/>
            <w:vMerge/>
            <w:vAlign w:val="center"/>
          </w:tcPr>
          <w:p w:rsidR="004B325D" w:rsidRPr="002545FB" w:rsidRDefault="004B325D">
            <w:pPr>
              <w:jc w:val="center"/>
              <w:rPr>
                <w:sz w:val="17"/>
                <w:lang w:val="en-GB"/>
              </w:rPr>
            </w:pPr>
          </w:p>
        </w:tc>
        <w:tc>
          <w:tcPr>
            <w:tcW w:w="0" w:type="auto"/>
            <w:vMerge/>
            <w:vAlign w:val="center"/>
          </w:tcPr>
          <w:p w:rsidR="004B325D" w:rsidRPr="002545FB" w:rsidRDefault="004B325D">
            <w:pPr>
              <w:jc w:val="left"/>
              <w:rPr>
                <w:sz w:val="17"/>
                <w:lang w:val="en-GB"/>
              </w:rPr>
            </w:pPr>
          </w:p>
        </w:tc>
        <w:tc>
          <w:tcPr>
            <w:tcW w:w="0" w:type="auto"/>
            <w:vAlign w:val="center"/>
          </w:tcPr>
          <w:p w:rsidR="004B325D" w:rsidRPr="002545FB" w:rsidRDefault="004B325D">
            <w:pPr>
              <w:jc w:val="center"/>
              <w:rPr>
                <w:sz w:val="17"/>
                <w:lang w:val="en-GB"/>
              </w:rPr>
            </w:pPr>
            <w:r w:rsidRPr="002545FB">
              <w:rPr>
                <w:sz w:val="17"/>
                <w:lang w:val="en-GB"/>
              </w:rPr>
              <w:t>(75; 100</w:t>
            </w:r>
            <w:r w:rsidRPr="002545FB">
              <w:rPr>
                <w:sz w:val="17"/>
                <w:lang w:val="en-GB"/>
              </w:rPr>
              <w:sym w:font="Symbol" w:char="F0F1"/>
            </w:r>
          </w:p>
        </w:tc>
        <w:tc>
          <w:tcPr>
            <w:tcW w:w="0" w:type="auto"/>
            <w:vAlign w:val="center"/>
          </w:tcPr>
          <w:p w:rsidR="004B325D" w:rsidRPr="002545FB" w:rsidRDefault="004B325D" w:rsidP="007F69FC">
            <w:pPr>
              <w:jc w:val="center"/>
              <w:rPr>
                <w:sz w:val="17"/>
                <w:lang w:val="en-GB"/>
              </w:rPr>
            </w:pPr>
            <w:r w:rsidRPr="002545FB">
              <w:rPr>
                <w:sz w:val="17"/>
                <w:lang w:val="en-GB"/>
              </w:rPr>
              <w:t>75%</w:t>
            </w:r>
          </w:p>
        </w:tc>
      </w:tr>
      <w:tr w:rsidR="004B325D" w:rsidRPr="002545FB">
        <w:trPr>
          <w:trHeight w:val="227"/>
          <w:tblCellSpacing w:w="11" w:type="dxa"/>
          <w:jc w:val="center"/>
        </w:trPr>
        <w:tc>
          <w:tcPr>
            <w:tcW w:w="0" w:type="auto"/>
            <w:vAlign w:val="center"/>
          </w:tcPr>
          <w:p w:rsidR="004B325D" w:rsidRPr="002545FB" w:rsidRDefault="004B325D">
            <w:pPr>
              <w:jc w:val="center"/>
              <w:rPr>
                <w:sz w:val="17"/>
                <w:lang w:val="en-GB"/>
              </w:rPr>
            </w:pPr>
            <w:r w:rsidRPr="002545FB">
              <w:rPr>
                <w:sz w:val="17"/>
                <w:lang w:val="en-GB"/>
              </w:rPr>
              <w:t>2.</w:t>
            </w:r>
          </w:p>
        </w:tc>
        <w:tc>
          <w:tcPr>
            <w:tcW w:w="0" w:type="auto"/>
            <w:vAlign w:val="center"/>
          </w:tcPr>
          <w:p w:rsidR="004B325D" w:rsidRPr="002545FB" w:rsidRDefault="004B325D" w:rsidP="007F69FC">
            <w:pPr>
              <w:jc w:val="left"/>
              <w:rPr>
                <w:sz w:val="17"/>
                <w:lang w:val="en-GB"/>
              </w:rPr>
            </w:pPr>
            <w:r w:rsidRPr="002545FB">
              <w:rPr>
                <w:sz w:val="17"/>
                <w:lang w:val="en-GB"/>
              </w:rPr>
              <w:t xml:space="preserve">BY – </w:t>
            </w:r>
            <w:r w:rsidR="007F69FC" w:rsidRPr="002545FB">
              <w:rPr>
                <w:sz w:val="17"/>
                <w:lang w:val="en-GB"/>
              </w:rPr>
              <w:t>dwellings (flats)</w:t>
            </w:r>
          </w:p>
        </w:tc>
        <w:tc>
          <w:tcPr>
            <w:tcW w:w="0" w:type="auto"/>
            <w:vAlign w:val="center"/>
          </w:tcPr>
          <w:p w:rsidR="004B325D" w:rsidRPr="002545FB" w:rsidRDefault="004B325D">
            <w:pPr>
              <w:jc w:val="center"/>
              <w:rPr>
                <w:sz w:val="17"/>
                <w:lang w:val="en-GB"/>
              </w:rPr>
            </w:pPr>
            <w:r w:rsidRPr="002545FB">
              <w:rPr>
                <w:sz w:val="17"/>
                <w:lang w:val="en-GB"/>
              </w:rPr>
              <w:sym w:font="Symbol" w:char="F0E1"/>
            </w:r>
            <w:r w:rsidRPr="002545FB">
              <w:rPr>
                <w:sz w:val="17"/>
                <w:lang w:val="en-GB"/>
              </w:rPr>
              <w:t>0; 100</w:t>
            </w:r>
            <w:r w:rsidRPr="002545FB">
              <w:rPr>
                <w:sz w:val="17"/>
                <w:lang w:val="en-GB"/>
              </w:rPr>
              <w:sym w:font="Symbol" w:char="F0F1"/>
            </w:r>
          </w:p>
        </w:tc>
        <w:tc>
          <w:tcPr>
            <w:tcW w:w="0" w:type="auto"/>
            <w:vAlign w:val="center"/>
          </w:tcPr>
          <w:p w:rsidR="004B325D" w:rsidRPr="002545FB" w:rsidRDefault="004B325D" w:rsidP="007F69FC">
            <w:pPr>
              <w:jc w:val="center"/>
              <w:rPr>
                <w:sz w:val="17"/>
                <w:lang w:val="en-GB"/>
              </w:rPr>
            </w:pPr>
            <w:r w:rsidRPr="002545FB">
              <w:rPr>
                <w:sz w:val="17"/>
                <w:lang w:val="en-GB"/>
              </w:rPr>
              <w:t>70%</w:t>
            </w:r>
          </w:p>
        </w:tc>
      </w:tr>
      <w:tr w:rsidR="004B325D" w:rsidRPr="002545FB">
        <w:trPr>
          <w:trHeight w:val="227"/>
          <w:tblCellSpacing w:w="11" w:type="dxa"/>
          <w:jc w:val="center"/>
        </w:trPr>
        <w:tc>
          <w:tcPr>
            <w:tcW w:w="0" w:type="auto"/>
            <w:vAlign w:val="center"/>
          </w:tcPr>
          <w:p w:rsidR="004B325D" w:rsidRPr="002545FB" w:rsidRDefault="004B325D">
            <w:pPr>
              <w:jc w:val="center"/>
              <w:rPr>
                <w:sz w:val="17"/>
                <w:lang w:val="en-GB"/>
              </w:rPr>
            </w:pPr>
            <w:r w:rsidRPr="002545FB">
              <w:rPr>
                <w:sz w:val="17"/>
                <w:lang w:val="en-GB"/>
              </w:rPr>
              <w:t>3.</w:t>
            </w:r>
          </w:p>
        </w:tc>
        <w:tc>
          <w:tcPr>
            <w:tcW w:w="0" w:type="auto"/>
            <w:vAlign w:val="center"/>
          </w:tcPr>
          <w:p w:rsidR="004B325D" w:rsidRPr="002545FB" w:rsidRDefault="003C2003" w:rsidP="007F69FC">
            <w:pPr>
              <w:jc w:val="left"/>
              <w:rPr>
                <w:sz w:val="17"/>
                <w:lang w:val="en-GB"/>
              </w:rPr>
            </w:pPr>
            <w:r w:rsidRPr="002545FB">
              <w:rPr>
                <w:sz w:val="17"/>
                <w:lang w:val="en-GB"/>
              </w:rPr>
              <w:t xml:space="preserve">DO </w:t>
            </w:r>
            <w:r w:rsidR="004B325D" w:rsidRPr="002545FB">
              <w:rPr>
                <w:sz w:val="17"/>
                <w:lang w:val="en-GB"/>
              </w:rPr>
              <w:t xml:space="preserve">– </w:t>
            </w:r>
            <w:r w:rsidR="007F69FC" w:rsidRPr="002545FB">
              <w:rPr>
                <w:sz w:val="17"/>
                <w:lang w:val="en-GB"/>
              </w:rPr>
              <w:t xml:space="preserve">multi-dwelling buildings </w:t>
            </w:r>
          </w:p>
        </w:tc>
        <w:tc>
          <w:tcPr>
            <w:tcW w:w="0" w:type="auto"/>
            <w:vAlign w:val="center"/>
          </w:tcPr>
          <w:p w:rsidR="004B325D" w:rsidRPr="002545FB" w:rsidRDefault="004B325D">
            <w:pPr>
              <w:jc w:val="center"/>
              <w:rPr>
                <w:sz w:val="17"/>
                <w:lang w:val="en-GB"/>
              </w:rPr>
            </w:pPr>
            <w:r w:rsidRPr="002545FB">
              <w:rPr>
                <w:sz w:val="17"/>
                <w:lang w:val="en-GB"/>
              </w:rPr>
              <w:sym w:font="Symbol" w:char="F0E1"/>
            </w:r>
            <w:r w:rsidRPr="002545FB">
              <w:rPr>
                <w:sz w:val="17"/>
                <w:lang w:val="en-GB"/>
              </w:rPr>
              <w:t>0; 100</w:t>
            </w:r>
            <w:r w:rsidRPr="002545FB">
              <w:rPr>
                <w:sz w:val="17"/>
                <w:lang w:val="en-GB"/>
              </w:rPr>
              <w:sym w:font="Symbol" w:char="F0F1"/>
            </w:r>
          </w:p>
        </w:tc>
        <w:tc>
          <w:tcPr>
            <w:tcW w:w="0" w:type="auto"/>
            <w:vAlign w:val="center"/>
          </w:tcPr>
          <w:p w:rsidR="004B325D" w:rsidRPr="002545FB" w:rsidRDefault="004B325D" w:rsidP="007F69FC">
            <w:pPr>
              <w:jc w:val="center"/>
              <w:rPr>
                <w:sz w:val="17"/>
                <w:lang w:val="en-GB"/>
              </w:rPr>
            </w:pPr>
            <w:r w:rsidRPr="002545FB">
              <w:rPr>
                <w:sz w:val="17"/>
                <w:lang w:val="en-GB"/>
              </w:rPr>
              <w:t>40%</w:t>
            </w:r>
          </w:p>
        </w:tc>
      </w:tr>
      <w:tr w:rsidR="004B325D" w:rsidRPr="002545FB">
        <w:trPr>
          <w:trHeight w:val="227"/>
          <w:tblCellSpacing w:w="11" w:type="dxa"/>
          <w:jc w:val="center"/>
        </w:trPr>
        <w:tc>
          <w:tcPr>
            <w:tcW w:w="0" w:type="auto"/>
            <w:vAlign w:val="center"/>
          </w:tcPr>
          <w:p w:rsidR="004B325D" w:rsidRPr="002545FB" w:rsidRDefault="00241F65">
            <w:pPr>
              <w:jc w:val="center"/>
              <w:rPr>
                <w:sz w:val="17"/>
                <w:lang w:val="en-GB"/>
              </w:rPr>
            </w:pPr>
            <w:r w:rsidRPr="002545FB">
              <w:rPr>
                <w:sz w:val="17"/>
                <w:lang w:val="en-GB"/>
              </w:rPr>
              <w:t>4</w:t>
            </w:r>
            <w:r w:rsidR="004B325D" w:rsidRPr="002545FB">
              <w:rPr>
                <w:sz w:val="17"/>
                <w:lang w:val="en-GB"/>
              </w:rPr>
              <w:t>.</w:t>
            </w:r>
          </w:p>
        </w:tc>
        <w:tc>
          <w:tcPr>
            <w:tcW w:w="0" w:type="auto"/>
            <w:vAlign w:val="center"/>
          </w:tcPr>
          <w:p w:rsidR="004B325D" w:rsidRPr="002545FB" w:rsidRDefault="004B325D" w:rsidP="007F69FC">
            <w:pPr>
              <w:jc w:val="left"/>
              <w:rPr>
                <w:sz w:val="17"/>
                <w:lang w:val="en-GB"/>
              </w:rPr>
            </w:pPr>
            <w:r w:rsidRPr="002545FB">
              <w:rPr>
                <w:sz w:val="17"/>
                <w:lang w:val="en-GB"/>
              </w:rPr>
              <w:t xml:space="preserve">SP – </w:t>
            </w:r>
            <w:r w:rsidR="007F69FC" w:rsidRPr="002545FB">
              <w:rPr>
                <w:sz w:val="17"/>
                <w:lang w:val="en-GB"/>
              </w:rPr>
              <w:t xml:space="preserve">construction plots </w:t>
            </w:r>
          </w:p>
        </w:tc>
        <w:tc>
          <w:tcPr>
            <w:tcW w:w="0" w:type="auto"/>
            <w:vAlign w:val="center"/>
          </w:tcPr>
          <w:p w:rsidR="004B325D" w:rsidRPr="002545FB" w:rsidRDefault="004B325D">
            <w:pPr>
              <w:jc w:val="center"/>
              <w:rPr>
                <w:sz w:val="17"/>
                <w:lang w:val="en-GB"/>
              </w:rPr>
            </w:pPr>
            <w:r w:rsidRPr="002545FB">
              <w:rPr>
                <w:sz w:val="17"/>
                <w:lang w:val="en-GB"/>
              </w:rPr>
              <w:t>X</w:t>
            </w:r>
          </w:p>
        </w:tc>
        <w:tc>
          <w:tcPr>
            <w:tcW w:w="0" w:type="auto"/>
            <w:vAlign w:val="center"/>
          </w:tcPr>
          <w:p w:rsidR="004B325D" w:rsidRPr="002545FB" w:rsidRDefault="004B325D" w:rsidP="007F69FC">
            <w:pPr>
              <w:jc w:val="center"/>
              <w:rPr>
                <w:sz w:val="17"/>
                <w:lang w:val="en-GB"/>
              </w:rPr>
            </w:pPr>
            <w:r w:rsidRPr="002545FB">
              <w:rPr>
                <w:sz w:val="17"/>
                <w:lang w:val="en-GB"/>
              </w:rPr>
              <w:t>10%</w:t>
            </w:r>
          </w:p>
        </w:tc>
      </w:tr>
    </w:tbl>
    <w:p w:rsidR="004B325D" w:rsidRPr="002545FB" w:rsidRDefault="004B325D">
      <w:pPr>
        <w:rPr>
          <w:sz w:val="24"/>
          <w:lang w:val="en-GB"/>
        </w:rPr>
      </w:pPr>
    </w:p>
    <w:p w:rsidR="004B325D" w:rsidRPr="002545FB" w:rsidRDefault="00D43E4F">
      <w:pPr>
        <w:pStyle w:val="Nadpis1"/>
        <w:rPr>
          <w:sz w:val="24"/>
          <w:szCs w:val="24"/>
          <w:lang w:val="en-GB"/>
        </w:rPr>
      </w:pPr>
      <w:r w:rsidRPr="002545FB">
        <w:rPr>
          <w:sz w:val="24"/>
          <w:szCs w:val="24"/>
          <w:lang w:val="en-GB"/>
        </w:rPr>
        <w:t>6</w:t>
      </w:r>
      <w:r w:rsidR="004B325D" w:rsidRPr="002545FB">
        <w:rPr>
          <w:sz w:val="24"/>
          <w:szCs w:val="24"/>
          <w:lang w:val="en-GB"/>
        </w:rPr>
        <w:t xml:space="preserve">. </w:t>
      </w:r>
      <w:r w:rsidR="00263CB0" w:rsidRPr="002545FB">
        <w:rPr>
          <w:sz w:val="24"/>
          <w:szCs w:val="24"/>
          <w:lang w:val="en-GB"/>
        </w:rPr>
        <w:t xml:space="preserve">Determination of </w:t>
      </w:r>
      <w:r w:rsidR="001866E1" w:rsidRPr="002545FB">
        <w:rPr>
          <w:sz w:val="24"/>
          <w:szCs w:val="24"/>
          <w:lang w:val="en-GB"/>
        </w:rPr>
        <w:t xml:space="preserve">bands of the extent of </w:t>
      </w:r>
      <w:r w:rsidR="00263CB0" w:rsidRPr="002545FB">
        <w:rPr>
          <w:sz w:val="24"/>
          <w:szCs w:val="24"/>
          <w:lang w:val="en-GB"/>
        </w:rPr>
        <w:t>wear</w:t>
      </w:r>
      <w:r w:rsidR="004B325D" w:rsidRPr="002545FB">
        <w:rPr>
          <w:sz w:val="24"/>
          <w:szCs w:val="24"/>
          <w:lang w:val="en-GB"/>
        </w:rPr>
        <w:t xml:space="preserve"> </w:t>
      </w:r>
    </w:p>
    <w:p w:rsidR="004B325D" w:rsidRPr="002545FB" w:rsidRDefault="001866E1">
      <w:pPr>
        <w:pStyle w:val="Zkladntext3"/>
        <w:tabs>
          <w:tab w:val="clear" w:pos="1440"/>
          <w:tab w:val="clear" w:pos="2880"/>
        </w:tabs>
        <w:rPr>
          <w:sz w:val="24"/>
          <w:lang w:val="en-GB"/>
        </w:rPr>
      </w:pPr>
      <w:r w:rsidRPr="002545FB">
        <w:rPr>
          <w:sz w:val="24"/>
          <w:lang w:val="en-GB"/>
        </w:rPr>
        <w:t>Bands of the extent of wear</w:t>
      </w:r>
      <w:r w:rsidR="00BB6A53" w:rsidRPr="002545FB">
        <w:rPr>
          <w:sz w:val="24"/>
          <w:lang w:val="en-GB"/>
        </w:rPr>
        <w:t xml:space="preserve"> </w:t>
      </w:r>
      <w:r w:rsidR="00563899" w:rsidRPr="002545FB">
        <w:rPr>
          <w:sz w:val="24"/>
          <w:lang w:val="en-GB"/>
        </w:rPr>
        <w:t xml:space="preserve">had to be determined in order to compile the real estate classification by </w:t>
      </w:r>
      <w:r w:rsidRPr="002545FB">
        <w:rPr>
          <w:sz w:val="24"/>
          <w:lang w:val="en-GB"/>
        </w:rPr>
        <w:t xml:space="preserve">the extent of </w:t>
      </w:r>
      <w:r w:rsidR="00563899" w:rsidRPr="002545FB">
        <w:rPr>
          <w:sz w:val="24"/>
          <w:lang w:val="en-GB"/>
        </w:rPr>
        <w:t>wear</w:t>
      </w:r>
      <w:r w:rsidR="004B325D" w:rsidRPr="002545FB">
        <w:rPr>
          <w:sz w:val="24"/>
          <w:lang w:val="en-GB"/>
        </w:rPr>
        <w:t xml:space="preserve">. </w:t>
      </w:r>
      <w:r w:rsidR="00563899" w:rsidRPr="002545FB">
        <w:rPr>
          <w:sz w:val="24"/>
          <w:lang w:val="en-GB"/>
        </w:rPr>
        <w:t xml:space="preserve">Besides the breakdown into groups </w:t>
      </w:r>
      <w:r w:rsidR="00C23685" w:rsidRPr="002545FB">
        <w:rPr>
          <w:sz w:val="24"/>
          <w:lang w:val="en-GB"/>
        </w:rPr>
        <w:t>by</w:t>
      </w:r>
      <w:r w:rsidR="00563899" w:rsidRPr="002545FB">
        <w:rPr>
          <w:sz w:val="24"/>
          <w:lang w:val="en-GB"/>
        </w:rPr>
        <w:t xml:space="preserve"> </w:t>
      </w:r>
      <w:r w:rsidR="009F3C2C" w:rsidRPr="002545FB">
        <w:rPr>
          <w:sz w:val="24"/>
          <w:lang w:val="en-GB"/>
        </w:rPr>
        <w:t>10</w:t>
      </w:r>
      <w:r w:rsidR="004B325D" w:rsidRPr="002545FB">
        <w:rPr>
          <w:sz w:val="24"/>
          <w:lang w:val="en-GB"/>
        </w:rPr>
        <w:t>%</w:t>
      </w:r>
      <w:r w:rsidR="00563899" w:rsidRPr="002545FB">
        <w:rPr>
          <w:sz w:val="24"/>
          <w:lang w:val="en-GB"/>
        </w:rPr>
        <w:t xml:space="preserve"> each</w:t>
      </w:r>
      <w:r w:rsidR="004B325D" w:rsidRPr="002545FB">
        <w:rPr>
          <w:sz w:val="24"/>
          <w:lang w:val="en-GB"/>
        </w:rPr>
        <w:t xml:space="preserve">, </w:t>
      </w:r>
      <w:r w:rsidR="00563899" w:rsidRPr="002545FB">
        <w:rPr>
          <w:sz w:val="24"/>
          <w:lang w:val="en-GB"/>
        </w:rPr>
        <w:t>which is</w:t>
      </w:r>
      <w:r w:rsidR="00C23685" w:rsidRPr="002545FB">
        <w:rPr>
          <w:sz w:val="24"/>
          <w:lang w:val="en-GB"/>
        </w:rPr>
        <w:t>,</w:t>
      </w:r>
      <w:r w:rsidR="00563899" w:rsidRPr="002545FB">
        <w:rPr>
          <w:sz w:val="24"/>
          <w:lang w:val="en-GB"/>
        </w:rPr>
        <w:t xml:space="preserve"> however</w:t>
      </w:r>
      <w:r w:rsidR="00C23685" w:rsidRPr="002545FB">
        <w:rPr>
          <w:sz w:val="24"/>
          <w:lang w:val="en-GB"/>
        </w:rPr>
        <w:t>,</w:t>
      </w:r>
      <w:r w:rsidR="00563899" w:rsidRPr="002545FB">
        <w:rPr>
          <w:sz w:val="24"/>
          <w:lang w:val="en-GB"/>
        </w:rPr>
        <w:t xml:space="preserve"> too fine if combined with </w:t>
      </w:r>
      <w:r w:rsidR="00C23685" w:rsidRPr="002545FB">
        <w:rPr>
          <w:sz w:val="24"/>
          <w:lang w:val="en-GB"/>
        </w:rPr>
        <w:t xml:space="preserve">a </w:t>
      </w:r>
      <w:r w:rsidR="00563899" w:rsidRPr="002545FB">
        <w:rPr>
          <w:sz w:val="24"/>
          <w:lang w:val="en-GB"/>
        </w:rPr>
        <w:t xml:space="preserve">breakdown by other factors and thus cause the population is </w:t>
      </w:r>
      <w:r w:rsidR="00C23685" w:rsidRPr="002545FB">
        <w:rPr>
          <w:sz w:val="24"/>
          <w:lang w:val="en-GB"/>
        </w:rPr>
        <w:t>too disintegrated</w:t>
      </w:r>
      <w:r w:rsidR="004B325D" w:rsidRPr="002545FB">
        <w:rPr>
          <w:sz w:val="24"/>
          <w:lang w:val="en-GB"/>
        </w:rPr>
        <w:t xml:space="preserve">, </w:t>
      </w:r>
      <w:r w:rsidR="00563899" w:rsidRPr="002545FB">
        <w:rPr>
          <w:sz w:val="24"/>
          <w:lang w:val="en-GB"/>
        </w:rPr>
        <w:t xml:space="preserve">specific wider </w:t>
      </w:r>
      <w:r w:rsidR="00C23685" w:rsidRPr="002545FB">
        <w:rPr>
          <w:sz w:val="24"/>
          <w:lang w:val="en-GB"/>
        </w:rPr>
        <w:t>bands</w:t>
      </w:r>
      <w:r w:rsidR="00563899" w:rsidRPr="002545FB">
        <w:rPr>
          <w:sz w:val="24"/>
          <w:lang w:val="en-GB"/>
        </w:rPr>
        <w:t xml:space="preserve"> were determined for each type of real estate. The determination was based on the trend of average unit price of the given real estate type depending on its </w:t>
      </w:r>
      <w:r w:rsidR="00C23685" w:rsidRPr="002545FB">
        <w:rPr>
          <w:sz w:val="24"/>
          <w:lang w:val="en-GB"/>
        </w:rPr>
        <w:t xml:space="preserve">extent of </w:t>
      </w:r>
      <w:r w:rsidR="00563899" w:rsidRPr="002545FB">
        <w:rPr>
          <w:sz w:val="24"/>
          <w:lang w:val="en-GB"/>
        </w:rPr>
        <w:t>wear.</w:t>
      </w:r>
      <w:r w:rsidR="004B325D" w:rsidRPr="002545FB">
        <w:rPr>
          <w:sz w:val="24"/>
          <w:lang w:val="en-GB"/>
        </w:rPr>
        <w:t xml:space="preserve"> </w:t>
      </w:r>
      <w:r w:rsidR="00563899" w:rsidRPr="002545FB">
        <w:rPr>
          <w:sz w:val="24"/>
          <w:lang w:val="en-GB"/>
        </w:rPr>
        <w:t xml:space="preserve">The groups were established the way </w:t>
      </w:r>
      <w:r w:rsidR="0045753E" w:rsidRPr="002545FB">
        <w:rPr>
          <w:sz w:val="24"/>
          <w:lang w:val="en-GB"/>
        </w:rPr>
        <w:t xml:space="preserve">that </w:t>
      </w:r>
      <w:r w:rsidR="00563899" w:rsidRPr="002545FB">
        <w:rPr>
          <w:sz w:val="24"/>
          <w:lang w:val="en-GB"/>
        </w:rPr>
        <w:t xml:space="preserve">differences of unit prices inside </w:t>
      </w:r>
      <w:r w:rsidR="00C23685" w:rsidRPr="002545FB">
        <w:rPr>
          <w:sz w:val="24"/>
          <w:lang w:val="en-GB"/>
        </w:rPr>
        <w:t>a</w:t>
      </w:r>
      <w:r w:rsidR="00563899" w:rsidRPr="002545FB">
        <w:rPr>
          <w:sz w:val="24"/>
          <w:lang w:val="en-GB"/>
        </w:rPr>
        <w:t xml:space="preserve">re relatively low, differences among the groups </w:t>
      </w:r>
      <w:r w:rsidR="00C23685" w:rsidRPr="002545FB">
        <w:rPr>
          <w:sz w:val="24"/>
          <w:lang w:val="en-GB"/>
        </w:rPr>
        <w:t xml:space="preserve">are </w:t>
      </w:r>
      <w:r w:rsidR="00563899" w:rsidRPr="002545FB">
        <w:rPr>
          <w:sz w:val="24"/>
          <w:lang w:val="en-GB"/>
        </w:rPr>
        <w:t xml:space="preserve">high, and none of the groups </w:t>
      </w:r>
      <w:r w:rsidR="00C23685" w:rsidRPr="002545FB">
        <w:rPr>
          <w:sz w:val="24"/>
          <w:lang w:val="en-GB"/>
        </w:rPr>
        <w:t>i</w:t>
      </w:r>
      <w:r w:rsidR="00563899" w:rsidRPr="002545FB">
        <w:rPr>
          <w:sz w:val="24"/>
          <w:lang w:val="en-GB"/>
        </w:rPr>
        <w:t xml:space="preserve">s too large or too small. This process resulted in the following </w:t>
      </w:r>
      <w:r w:rsidR="00C23685" w:rsidRPr="002545FB">
        <w:rPr>
          <w:sz w:val="24"/>
          <w:lang w:val="en-GB"/>
        </w:rPr>
        <w:t xml:space="preserve">bands of the extent of </w:t>
      </w:r>
      <w:r w:rsidR="00563899" w:rsidRPr="002545FB">
        <w:rPr>
          <w:sz w:val="24"/>
          <w:lang w:val="en-GB"/>
        </w:rPr>
        <w:t>wear (as percentage) used in majority of analyses as well in tables published</w:t>
      </w:r>
      <w:r w:rsidR="004B325D" w:rsidRPr="002545FB">
        <w:rPr>
          <w:sz w:val="24"/>
          <w:lang w:val="en-GB"/>
        </w:rPr>
        <w:t>:</w:t>
      </w:r>
    </w:p>
    <w:p w:rsidR="004B325D" w:rsidRPr="002545FB" w:rsidRDefault="004B325D">
      <w:pPr>
        <w:tabs>
          <w:tab w:val="num" w:pos="0"/>
        </w:tabs>
        <w:rPr>
          <w:sz w:val="18"/>
          <w:lang w:val="en-GB"/>
        </w:rPr>
      </w:pPr>
    </w:p>
    <w:tbl>
      <w:tblPr>
        <w:tblW w:w="0" w:type="auto"/>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45"/>
        <w:gridCol w:w="903"/>
        <w:gridCol w:w="903"/>
        <w:gridCol w:w="903"/>
        <w:gridCol w:w="903"/>
      </w:tblGrid>
      <w:tr w:rsidR="004B325D" w:rsidRPr="002545FB">
        <w:trPr>
          <w:cantSplit/>
          <w:trHeight w:val="284"/>
          <w:tblCellSpacing w:w="11" w:type="dxa"/>
          <w:jc w:val="center"/>
        </w:trPr>
        <w:tc>
          <w:tcPr>
            <w:tcW w:w="3112" w:type="dxa"/>
            <w:vMerge w:val="restart"/>
            <w:vAlign w:val="center"/>
          </w:tcPr>
          <w:p w:rsidR="004B325D" w:rsidRPr="002545FB" w:rsidRDefault="00263CB0" w:rsidP="00263CB0">
            <w:pPr>
              <w:tabs>
                <w:tab w:val="num" w:pos="0"/>
              </w:tabs>
              <w:jc w:val="left"/>
              <w:rPr>
                <w:sz w:val="17"/>
                <w:lang w:val="en-GB"/>
              </w:rPr>
            </w:pPr>
            <w:r w:rsidRPr="002545FB">
              <w:rPr>
                <w:sz w:val="17"/>
                <w:lang w:val="en-GB"/>
              </w:rPr>
              <w:t>Type of real estate</w:t>
            </w:r>
          </w:p>
        </w:tc>
        <w:tc>
          <w:tcPr>
            <w:tcW w:w="3579" w:type="dxa"/>
            <w:gridSpan w:val="4"/>
            <w:noWrap/>
            <w:vAlign w:val="center"/>
          </w:tcPr>
          <w:p w:rsidR="004B325D" w:rsidRPr="002545FB" w:rsidRDefault="00C23685" w:rsidP="00C23685">
            <w:pPr>
              <w:tabs>
                <w:tab w:val="num" w:pos="0"/>
              </w:tabs>
              <w:jc w:val="center"/>
              <w:rPr>
                <w:sz w:val="17"/>
                <w:lang w:val="en-GB"/>
              </w:rPr>
            </w:pPr>
            <w:r w:rsidRPr="002545FB">
              <w:rPr>
                <w:sz w:val="17"/>
                <w:lang w:val="en-GB"/>
              </w:rPr>
              <w:t>Band of the extent of w</w:t>
            </w:r>
            <w:r w:rsidR="00263CB0" w:rsidRPr="002545FB">
              <w:rPr>
                <w:sz w:val="17"/>
                <w:lang w:val="en-GB"/>
              </w:rPr>
              <w:t>ear</w:t>
            </w:r>
          </w:p>
        </w:tc>
      </w:tr>
      <w:tr w:rsidR="004B325D" w:rsidRPr="002545FB">
        <w:trPr>
          <w:cantSplit/>
          <w:trHeight w:val="284"/>
          <w:tblCellSpacing w:w="11" w:type="dxa"/>
          <w:jc w:val="center"/>
        </w:trPr>
        <w:tc>
          <w:tcPr>
            <w:tcW w:w="3112" w:type="dxa"/>
            <w:vMerge/>
            <w:vAlign w:val="center"/>
          </w:tcPr>
          <w:p w:rsidR="004B325D" w:rsidRPr="002545FB" w:rsidRDefault="004B325D">
            <w:pPr>
              <w:tabs>
                <w:tab w:val="num" w:pos="0"/>
              </w:tabs>
              <w:jc w:val="left"/>
              <w:rPr>
                <w:sz w:val="17"/>
                <w:lang w:val="en-GB"/>
              </w:rPr>
            </w:pPr>
          </w:p>
        </w:tc>
        <w:tc>
          <w:tcPr>
            <w:tcW w:w="881" w:type="dxa"/>
            <w:noWrap/>
            <w:vAlign w:val="center"/>
          </w:tcPr>
          <w:p w:rsidR="004B325D" w:rsidRPr="002545FB" w:rsidRDefault="004B325D">
            <w:pPr>
              <w:tabs>
                <w:tab w:val="num" w:pos="0"/>
              </w:tabs>
              <w:jc w:val="center"/>
              <w:rPr>
                <w:sz w:val="17"/>
                <w:lang w:val="en-GB"/>
              </w:rPr>
            </w:pPr>
            <w:r w:rsidRPr="002545FB">
              <w:rPr>
                <w:sz w:val="17"/>
                <w:lang w:val="en-GB"/>
              </w:rPr>
              <w:t>1</w:t>
            </w:r>
          </w:p>
        </w:tc>
        <w:tc>
          <w:tcPr>
            <w:tcW w:w="881" w:type="dxa"/>
            <w:vAlign w:val="center"/>
          </w:tcPr>
          <w:p w:rsidR="004B325D" w:rsidRPr="002545FB" w:rsidRDefault="004B325D">
            <w:pPr>
              <w:tabs>
                <w:tab w:val="num" w:pos="0"/>
              </w:tabs>
              <w:jc w:val="center"/>
              <w:rPr>
                <w:sz w:val="17"/>
                <w:lang w:val="en-GB"/>
              </w:rPr>
            </w:pPr>
            <w:r w:rsidRPr="002545FB">
              <w:rPr>
                <w:sz w:val="17"/>
                <w:lang w:val="en-GB"/>
              </w:rPr>
              <w:t>2</w:t>
            </w:r>
          </w:p>
        </w:tc>
        <w:tc>
          <w:tcPr>
            <w:tcW w:w="881" w:type="dxa"/>
            <w:vAlign w:val="center"/>
          </w:tcPr>
          <w:p w:rsidR="004B325D" w:rsidRPr="002545FB" w:rsidRDefault="004B325D">
            <w:pPr>
              <w:tabs>
                <w:tab w:val="num" w:pos="0"/>
              </w:tabs>
              <w:jc w:val="center"/>
              <w:rPr>
                <w:sz w:val="17"/>
                <w:lang w:val="en-GB"/>
              </w:rPr>
            </w:pPr>
            <w:r w:rsidRPr="002545FB">
              <w:rPr>
                <w:sz w:val="17"/>
                <w:lang w:val="en-GB"/>
              </w:rPr>
              <w:t>3</w:t>
            </w:r>
          </w:p>
        </w:tc>
        <w:tc>
          <w:tcPr>
            <w:tcW w:w="870" w:type="dxa"/>
            <w:vAlign w:val="center"/>
          </w:tcPr>
          <w:p w:rsidR="004B325D" w:rsidRPr="002545FB" w:rsidRDefault="004B325D">
            <w:pPr>
              <w:tabs>
                <w:tab w:val="num" w:pos="0"/>
              </w:tabs>
              <w:jc w:val="center"/>
              <w:rPr>
                <w:sz w:val="17"/>
                <w:lang w:val="en-GB"/>
              </w:rPr>
            </w:pPr>
            <w:r w:rsidRPr="002545FB">
              <w:rPr>
                <w:sz w:val="17"/>
                <w:lang w:val="en-GB"/>
              </w:rPr>
              <w:t>4</w:t>
            </w:r>
          </w:p>
        </w:tc>
      </w:tr>
      <w:tr w:rsidR="004B325D" w:rsidRPr="002545FB">
        <w:trPr>
          <w:trHeight w:val="284"/>
          <w:tblCellSpacing w:w="11" w:type="dxa"/>
          <w:jc w:val="center"/>
        </w:trPr>
        <w:tc>
          <w:tcPr>
            <w:tcW w:w="3112" w:type="dxa"/>
            <w:vAlign w:val="center"/>
          </w:tcPr>
          <w:p w:rsidR="004B325D" w:rsidRPr="002545FB" w:rsidRDefault="004B325D" w:rsidP="00263CB0">
            <w:pPr>
              <w:tabs>
                <w:tab w:val="num" w:pos="0"/>
              </w:tabs>
              <w:jc w:val="left"/>
              <w:rPr>
                <w:sz w:val="17"/>
                <w:lang w:val="en-GB"/>
              </w:rPr>
            </w:pPr>
            <w:r w:rsidRPr="002545FB">
              <w:rPr>
                <w:sz w:val="17"/>
                <w:lang w:val="en-GB"/>
              </w:rPr>
              <w:t xml:space="preserve">RD – </w:t>
            </w:r>
            <w:r w:rsidR="00263CB0" w:rsidRPr="002545FB">
              <w:rPr>
                <w:sz w:val="17"/>
                <w:lang w:val="en-GB"/>
              </w:rPr>
              <w:t>family houses</w:t>
            </w:r>
          </w:p>
        </w:tc>
        <w:tc>
          <w:tcPr>
            <w:tcW w:w="881" w:type="dxa"/>
            <w:noWrap/>
            <w:vAlign w:val="center"/>
          </w:tcPr>
          <w:p w:rsidR="004B325D" w:rsidRPr="002545FB" w:rsidRDefault="004B325D">
            <w:pPr>
              <w:tabs>
                <w:tab w:val="num" w:pos="0"/>
              </w:tabs>
              <w:jc w:val="center"/>
              <w:rPr>
                <w:sz w:val="17"/>
                <w:lang w:val="en-GB"/>
              </w:rPr>
            </w:pPr>
            <w:r w:rsidRPr="002545FB">
              <w:rPr>
                <w:sz w:val="17"/>
                <w:lang w:val="en-GB"/>
              </w:rPr>
              <w:sym w:font="Symbol" w:char="F0E1"/>
            </w:r>
            <w:r w:rsidRPr="002545FB">
              <w:rPr>
                <w:sz w:val="17"/>
                <w:lang w:val="en-GB"/>
              </w:rPr>
              <w:t>0; 10</w:t>
            </w:r>
            <w:r w:rsidRPr="002545FB">
              <w:rPr>
                <w:sz w:val="17"/>
                <w:lang w:val="en-GB"/>
              </w:rPr>
              <w:sym w:font="Symbol" w:char="F0F1"/>
            </w:r>
          </w:p>
        </w:tc>
        <w:tc>
          <w:tcPr>
            <w:tcW w:w="881" w:type="dxa"/>
            <w:noWrap/>
            <w:vAlign w:val="center"/>
          </w:tcPr>
          <w:p w:rsidR="004B325D" w:rsidRPr="002545FB" w:rsidRDefault="004B325D">
            <w:pPr>
              <w:tabs>
                <w:tab w:val="num" w:pos="0"/>
              </w:tabs>
              <w:jc w:val="center"/>
              <w:rPr>
                <w:sz w:val="17"/>
                <w:lang w:val="en-GB"/>
              </w:rPr>
            </w:pPr>
            <w:r w:rsidRPr="002545FB">
              <w:rPr>
                <w:sz w:val="17"/>
                <w:lang w:val="en-GB"/>
              </w:rPr>
              <w:t>(10; 50</w:t>
            </w:r>
            <w:r w:rsidRPr="002545FB">
              <w:rPr>
                <w:sz w:val="17"/>
                <w:lang w:val="en-GB"/>
              </w:rPr>
              <w:sym w:font="Symbol" w:char="F0F1"/>
            </w:r>
          </w:p>
        </w:tc>
        <w:tc>
          <w:tcPr>
            <w:tcW w:w="881" w:type="dxa"/>
            <w:noWrap/>
            <w:vAlign w:val="center"/>
          </w:tcPr>
          <w:p w:rsidR="004B325D" w:rsidRPr="002545FB" w:rsidRDefault="004B325D">
            <w:pPr>
              <w:tabs>
                <w:tab w:val="num" w:pos="0"/>
              </w:tabs>
              <w:jc w:val="center"/>
              <w:rPr>
                <w:sz w:val="17"/>
                <w:lang w:val="en-GB"/>
              </w:rPr>
            </w:pPr>
            <w:r w:rsidRPr="002545FB">
              <w:rPr>
                <w:sz w:val="17"/>
                <w:lang w:val="en-GB"/>
              </w:rPr>
              <w:t>(50; 75</w:t>
            </w:r>
            <w:r w:rsidRPr="002545FB">
              <w:rPr>
                <w:sz w:val="17"/>
                <w:lang w:val="en-GB"/>
              </w:rPr>
              <w:sym w:font="Symbol" w:char="F0F1"/>
            </w:r>
          </w:p>
        </w:tc>
        <w:tc>
          <w:tcPr>
            <w:tcW w:w="870" w:type="dxa"/>
            <w:noWrap/>
            <w:vAlign w:val="center"/>
          </w:tcPr>
          <w:p w:rsidR="004B325D" w:rsidRPr="002545FB" w:rsidRDefault="004B325D">
            <w:pPr>
              <w:tabs>
                <w:tab w:val="num" w:pos="0"/>
              </w:tabs>
              <w:jc w:val="center"/>
              <w:rPr>
                <w:sz w:val="17"/>
                <w:lang w:val="en-GB"/>
              </w:rPr>
            </w:pPr>
            <w:r w:rsidRPr="002545FB">
              <w:rPr>
                <w:sz w:val="17"/>
                <w:lang w:val="en-GB"/>
              </w:rPr>
              <w:t>(75; 100</w:t>
            </w:r>
            <w:r w:rsidRPr="002545FB">
              <w:rPr>
                <w:sz w:val="17"/>
                <w:lang w:val="en-GB"/>
              </w:rPr>
              <w:sym w:font="Symbol" w:char="F0F1"/>
            </w:r>
          </w:p>
        </w:tc>
      </w:tr>
      <w:tr w:rsidR="004B325D" w:rsidRPr="002545FB">
        <w:trPr>
          <w:trHeight w:val="284"/>
          <w:tblCellSpacing w:w="11" w:type="dxa"/>
          <w:jc w:val="center"/>
        </w:trPr>
        <w:tc>
          <w:tcPr>
            <w:tcW w:w="3112" w:type="dxa"/>
            <w:vAlign w:val="center"/>
          </w:tcPr>
          <w:p w:rsidR="004B325D" w:rsidRPr="002545FB" w:rsidRDefault="004B325D" w:rsidP="00263CB0">
            <w:pPr>
              <w:tabs>
                <w:tab w:val="num" w:pos="0"/>
              </w:tabs>
              <w:jc w:val="left"/>
              <w:rPr>
                <w:sz w:val="17"/>
                <w:lang w:val="en-GB"/>
              </w:rPr>
            </w:pPr>
            <w:r w:rsidRPr="002545FB">
              <w:rPr>
                <w:sz w:val="17"/>
                <w:lang w:val="en-GB"/>
              </w:rPr>
              <w:t xml:space="preserve">BY – </w:t>
            </w:r>
            <w:r w:rsidR="00263CB0" w:rsidRPr="002545FB">
              <w:rPr>
                <w:sz w:val="17"/>
                <w:lang w:val="en-GB"/>
              </w:rPr>
              <w:t>flats</w:t>
            </w:r>
          </w:p>
        </w:tc>
        <w:tc>
          <w:tcPr>
            <w:tcW w:w="881" w:type="dxa"/>
            <w:noWrap/>
            <w:vAlign w:val="center"/>
          </w:tcPr>
          <w:p w:rsidR="004B325D" w:rsidRPr="002545FB" w:rsidRDefault="004B325D">
            <w:pPr>
              <w:tabs>
                <w:tab w:val="num" w:pos="0"/>
              </w:tabs>
              <w:jc w:val="center"/>
              <w:rPr>
                <w:sz w:val="17"/>
                <w:lang w:val="en-GB"/>
              </w:rPr>
            </w:pPr>
            <w:r w:rsidRPr="002545FB">
              <w:rPr>
                <w:sz w:val="17"/>
                <w:lang w:val="en-GB"/>
              </w:rPr>
              <w:sym w:font="Symbol" w:char="F0E1"/>
            </w:r>
            <w:r w:rsidRPr="002545FB">
              <w:rPr>
                <w:sz w:val="17"/>
                <w:lang w:val="en-GB"/>
              </w:rPr>
              <w:t>0; 5</w:t>
            </w:r>
            <w:r w:rsidRPr="002545FB">
              <w:rPr>
                <w:sz w:val="17"/>
                <w:lang w:val="en-GB"/>
              </w:rPr>
              <w:sym w:font="Symbol" w:char="F0F1"/>
            </w:r>
          </w:p>
        </w:tc>
        <w:tc>
          <w:tcPr>
            <w:tcW w:w="881" w:type="dxa"/>
            <w:noWrap/>
            <w:vAlign w:val="center"/>
          </w:tcPr>
          <w:p w:rsidR="004B325D" w:rsidRPr="002545FB" w:rsidRDefault="004B325D">
            <w:pPr>
              <w:tabs>
                <w:tab w:val="num" w:pos="0"/>
              </w:tabs>
              <w:jc w:val="center"/>
              <w:rPr>
                <w:sz w:val="17"/>
                <w:lang w:val="en-GB"/>
              </w:rPr>
            </w:pPr>
            <w:r w:rsidRPr="002545FB">
              <w:rPr>
                <w:sz w:val="17"/>
                <w:lang w:val="en-GB"/>
              </w:rPr>
              <w:t>(5; 20</w:t>
            </w:r>
            <w:r w:rsidRPr="002545FB">
              <w:rPr>
                <w:sz w:val="17"/>
                <w:lang w:val="en-GB"/>
              </w:rPr>
              <w:sym w:font="Symbol" w:char="F0F1"/>
            </w:r>
          </w:p>
        </w:tc>
        <w:tc>
          <w:tcPr>
            <w:tcW w:w="881" w:type="dxa"/>
            <w:noWrap/>
            <w:vAlign w:val="center"/>
          </w:tcPr>
          <w:p w:rsidR="004B325D" w:rsidRPr="002545FB" w:rsidRDefault="004B325D">
            <w:pPr>
              <w:tabs>
                <w:tab w:val="num" w:pos="0"/>
              </w:tabs>
              <w:jc w:val="center"/>
              <w:rPr>
                <w:sz w:val="17"/>
                <w:lang w:val="en-GB"/>
              </w:rPr>
            </w:pPr>
            <w:r w:rsidRPr="002545FB">
              <w:rPr>
                <w:sz w:val="17"/>
                <w:lang w:val="en-GB"/>
              </w:rPr>
              <w:t>(20; 45</w:t>
            </w:r>
            <w:r w:rsidRPr="002545FB">
              <w:rPr>
                <w:sz w:val="17"/>
                <w:lang w:val="en-GB"/>
              </w:rPr>
              <w:sym w:font="Symbol" w:char="F0F1"/>
            </w:r>
          </w:p>
        </w:tc>
        <w:tc>
          <w:tcPr>
            <w:tcW w:w="870" w:type="dxa"/>
            <w:noWrap/>
            <w:vAlign w:val="center"/>
          </w:tcPr>
          <w:p w:rsidR="004B325D" w:rsidRPr="002545FB" w:rsidRDefault="004B325D">
            <w:pPr>
              <w:tabs>
                <w:tab w:val="num" w:pos="0"/>
              </w:tabs>
              <w:jc w:val="center"/>
              <w:rPr>
                <w:sz w:val="17"/>
                <w:lang w:val="en-GB"/>
              </w:rPr>
            </w:pPr>
            <w:r w:rsidRPr="002545FB">
              <w:rPr>
                <w:sz w:val="17"/>
                <w:lang w:val="en-GB"/>
              </w:rPr>
              <w:t>(45; 100</w:t>
            </w:r>
            <w:r w:rsidRPr="002545FB">
              <w:rPr>
                <w:sz w:val="17"/>
                <w:lang w:val="en-GB"/>
              </w:rPr>
              <w:sym w:font="Symbol" w:char="F0F1"/>
            </w:r>
          </w:p>
        </w:tc>
      </w:tr>
      <w:tr w:rsidR="004B325D" w:rsidRPr="002545FB">
        <w:trPr>
          <w:trHeight w:val="284"/>
          <w:tblCellSpacing w:w="11" w:type="dxa"/>
          <w:jc w:val="center"/>
        </w:trPr>
        <w:tc>
          <w:tcPr>
            <w:tcW w:w="3112" w:type="dxa"/>
            <w:vAlign w:val="center"/>
          </w:tcPr>
          <w:p w:rsidR="004B325D" w:rsidRPr="002545FB" w:rsidRDefault="004B325D">
            <w:pPr>
              <w:tabs>
                <w:tab w:val="num" w:pos="0"/>
              </w:tabs>
              <w:jc w:val="left"/>
              <w:rPr>
                <w:sz w:val="17"/>
                <w:lang w:val="en-GB"/>
              </w:rPr>
            </w:pPr>
            <w:r w:rsidRPr="002545FB">
              <w:rPr>
                <w:sz w:val="17"/>
                <w:lang w:val="en-GB"/>
              </w:rPr>
              <w:t xml:space="preserve">DO – </w:t>
            </w:r>
            <w:r w:rsidR="00263CB0" w:rsidRPr="002545FB">
              <w:rPr>
                <w:sz w:val="17"/>
                <w:lang w:val="en-GB"/>
              </w:rPr>
              <w:t>multi-dwelling buildings</w:t>
            </w:r>
          </w:p>
        </w:tc>
        <w:tc>
          <w:tcPr>
            <w:tcW w:w="881" w:type="dxa"/>
            <w:noWrap/>
            <w:vAlign w:val="center"/>
          </w:tcPr>
          <w:p w:rsidR="004B325D" w:rsidRPr="002545FB" w:rsidRDefault="004B325D">
            <w:pPr>
              <w:tabs>
                <w:tab w:val="num" w:pos="0"/>
              </w:tabs>
              <w:jc w:val="center"/>
              <w:rPr>
                <w:sz w:val="17"/>
                <w:lang w:val="en-GB"/>
              </w:rPr>
            </w:pPr>
            <w:r w:rsidRPr="002545FB">
              <w:rPr>
                <w:sz w:val="17"/>
                <w:lang w:val="en-GB"/>
              </w:rPr>
              <w:sym w:font="Symbol" w:char="F0E1"/>
            </w:r>
            <w:r w:rsidRPr="002545FB">
              <w:rPr>
                <w:sz w:val="17"/>
                <w:lang w:val="en-GB"/>
              </w:rPr>
              <w:t>0; 25</w:t>
            </w:r>
            <w:r w:rsidRPr="002545FB">
              <w:rPr>
                <w:sz w:val="17"/>
                <w:lang w:val="en-GB"/>
              </w:rPr>
              <w:sym w:font="Symbol" w:char="F0F1"/>
            </w:r>
          </w:p>
        </w:tc>
        <w:tc>
          <w:tcPr>
            <w:tcW w:w="881" w:type="dxa"/>
            <w:noWrap/>
            <w:vAlign w:val="center"/>
          </w:tcPr>
          <w:p w:rsidR="004B325D" w:rsidRPr="002545FB" w:rsidRDefault="004B325D">
            <w:pPr>
              <w:tabs>
                <w:tab w:val="num" w:pos="0"/>
              </w:tabs>
              <w:jc w:val="center"/>
              <w:rPr>
                <w:sz w:val="17"/>
                <w:lang w:val="en-GB"/>
              </w:rPr>
            </w:pPr>
            <w:r w:rsidRPr="002545FB">
              <w:rPr>
                <w:sz w:val="17"/>
                <w:lang w:val="en-GB"/>
              </w:rPr>
              <w:t>(25; 65</w:t>
            </w:r>
            <w:r w:rsidRPr="002545FB">
              <w:rPr>
                <w:sz w:val="17"/>
                <w:lang w:val="en-GB"/>
              </w:rPr>
              <w:sym w:font="Symbol" w:char="F0F1"/>
            </w:r>
          </w:p>
        </w:tc>
        <w:tc>
          <w:tcPr>
            <w:tcW w:w="881" w:type="dxa"/>
            <w:noWrap/>
            <w:vAlign w:val="center"/>
          </w:tcPr>
          <w:p w:rsidR="004B325D" w:rsidRPr="002545FB" w:rsidRDefault="004B325D">
            <w:pPr>
              <w:tabs>
                <w:tab w:val="num" w:pos="0"/>
              </w:tabs>
              <w:jc w:val="center"/>
              <w:rPr>
                <w:sz w:val="17"/>
                <w:lang w:val="en-GB"/>
              </w:rPr>
            </w:pPr>
            <w:r w:rsidRPr="002545FB">
              <w:rPr>
                <w:sz w:val="17"/>
                <w:lang w:val="en-GB"/>
              </w:rPr>
              <w:t>(65; 100</w:t>
            </w:r>
            <w:r w:rsidRPr="002545FB">
              <w:rPr>
                <w:sz w:val="17"/>
                <w:lang w:val="en-GB"/>
              </w:rPr>
              <w:sym w:font="Symbol" w:char="F0F1"/>
            </w:r>
          </w:p>
        </w:tc>
        <w:tc>
          <w:tcPr>
            <w:tcW w:w="870" w:type="dxa"/>
            <w:noWrap/>
            <w:vAlign w:val="center"/>
          </w:tcPr>
          <w:p w:rsidR="004B325D" w:rsidRPr="002545FB" w:rsidRDefault="004B325D">
            <w:pPr>
              <w:tabs>
                <w:tab w:val="num" w:pos="0"/>
              </w:tabs>
              <w:jc w:val="center"/>
              <w:rPr>
                <w:sz w:val="17"/>
                <w:lang w:val="en-GB"/>
              </w:rPr>
            </w:pPr>
          </w:p>
        </w:tc>
      </w:tr>
    </w:tbl>
    <w:p w:rsidR="004B325D" w:rsidRPr="002545FB" w:rsidRDefault="004B325D">
      <w:pPr>
        <w:tabs>
          <w:tab w:val="num" w:pos="0"/>
        </w:tabs>
        <w:rPr>
          <w:sz w:val="24"/>
          <w:lang w:val="en-GB"/>
        </w:rPr>
      </w:pPr>
    </w:p>
    <w:p w:rsidR="004B325D" w:rsidRPr="002545FB" w:rsidRDefault="004B325D">
      <w:pPr>
        <w:tabs>
          <w:tab w:val="num" w:pos="0"/>
        </w:tabs>
        <w:rPr>
          <w:sz w:val="24"/>
          <w:lang w:val="en-GB"/>
        </w:rPr>
      </w:pPr>
    </w:p>
    <w:p w:rsidR="004B325D" w:rsidRPr="002545FB" w:rsidRDefault="00D43E4F">
      <w:pPr>
        <w:pStyle w:val="Nadpis1"/>
        <w:rPr>
          <w:sz w:val="24"/>
          <w:szCs w:val="24"/>
          <w:lang w:val="en-GB"/>
        </w:rPr>
      </w:pPr>
      <w:r w:rsidRPr="002545FB">
        <w:rPr>
          <w:sz w:val="24"/>
          <w:szCs w:val="24"/>
          <w:lang w:val="en-GB"/>
        </w:rPr>
        <w:lastRenderedPageBreak/>
        <w:t>7</w:t>
      </w:r>
      <w:r w:rsidR="004B325D" w:rsidRPr="002545FB">
        <w:rPr>
          <w:sz w:val="24"/>
          <w:szCs w:val="24"/>
          <w:lang w:val="en-GB"/>
        </w:rPr>
        <w:t>. Anal</w:t>
      </w:r>
      <w:r w:rsidR="00AD0150" w:rsidRPr="002545FB">
        <w:rPr>
          <w:sz w:val="24"/>
          <w:szCs w:val="24"/>
          <w:lang w:val="en-GB"/>
        </w:rPr>
        <w:t xml:space="preserve">ysis by means of </w:t>
      </w:r>
      <w:r w:rsidR="009A1061" w:rsidRPr="002545FB">
        <w:rPr>
          <w:sz w:val="24"/>
          <w:szCs w:val="24"/>
          <w:lang w:val="en-GB"/>
        </w:rPr>
        <w:t>coefficient of variation</w:t>
      </w:r>
      <w:r w:rsidR="00AD0150" w:rsidRPr="002545FB">
        <w:rPr>
          <w:sz w:val="24"/>
          <w:szCs w:val="24"/>
          <w:lang w:val="en-GB"/>
        </w:rPr>
        <w:t xml:space="preserve"> of groups by determining factor</w:t>
      </w:r>
    </w:p>
    <w:p w:rsidR="004B325D" w:rsidRPr="002545FB" w:rsidRDefault="00ED6D2E">
      <w:pPr>
        <w:tabs>
          <w:tab w:val="num" w:pos="0"/>
        </w:tabs>
        <w:rPr>
          <w:sz w:val="24"/>
          <w:lang w:val="en-GB"/>
        </w:rPr>
      </w:pPr>
      <w:r w:rsidRPr="002545FB">
        <w:rPr>
          <w:sz w:val="24"/>
          <w:lang w:val="en-GB"/>
        </w:rPr>
        <w:t xml:space="preserve">Now, knowing the respective factors determining the unit price what remains is to determine their </w:t>
      </w:r>
      <w:r w:rsidR="0045753E" w:rsidRPr="002545FB">
        <w:rPr>
          <w:sz w:val="24"/>
          <w:lang w:val="en-GB"/>
        </w:rPr>
        <w:t xml:space="preserve">optimal </w:t>
      </w:r>
      <w:r w:rsidRPr="002545FB">
        <w:rPr>
          <w:sz w:val="24"/>
          <w:lang w:val="en-GB"/>
        </w:rPr>
        <w:t xml:space="preserve">combination for the publishing tables. Subdividing the population by each factor much reduces the number of prices in each of the groups </w:t>
      </w:r>
      <w:r w:rsidR="0045753E" w:rsidRPr="002545FB">
        <w:rPr>
          <w:sz w:val="24"/>
          <w:lang w:val="en-GB"/>
        </w:rPr>
        <w:t xml:space="preserve">(cross-sections) </w:t>
      </w:r>
      <w:r w:rsidRPr="002545FB">
        <w:rPr>
          <w:sz w:val="24"/>
          <w:lang w:val="en-GB"/>
        </w:rPr>
        <w:t>formed this way. Therefore</w:t>
      </w:r>
      <w:r w:rsidR="007F0D14" w:rsidRPr="002545FB">
        <w:rPr>
          <w:sz w:val="24"/>
          <w:lang w:val="en-GB"/>
        </w:rPr>
        <w:t>,</w:t>
      </w:r>
      <w:r w:rsidRPr="002545FB">
        <w:rPr>
          <w:sz w:val="24"/>
          <w:lang w:val="en-GB"/>
        </w:rPr>
        <w:t xml:space="preserve"> effects of all the factors at the same time cannot be investigated to be able to get representative results.</w:t>
      </w:r>
      <w:r w:rsidR="004B325D" w:rsidRPr="002545FB">
        <w:rPr>
          <w:sz w:val="24"/>
          <w:lang w:val="en-GB"/>
        </w:rPr>
        <w:t xml:space="preserve"> </w:t>
      </w:r>
      <w:r w:rsidRPr="002545FB">
        <w:rPr>
          <w:sz w:val="24"/>
          <w:lang w:val="en-GB"/>
        </w:rPr>
        <w:t>Moreover</w:t>
      </w:r>
      <w:r w:rsidR="004B325D" w:rsidRPr="002545FB">
        <w:rPr>
          <w:sz w:val="24"/>
          <w:lang w:val="en-GB"/>
        </w:rPr>
        <w:t xml:space="preserve">, </w:t>
      </w:r>
      <w:r w:rsidRPr="002545FB">
        <w:rPr>
          <w:sz w:val="24"/>
          <w:lang w:val="en-GB"/>
        </w:rPr>
        <w:t>the four e</w:t>
      </w:r>
      <w:r w:rsidR="007F0D14" w:rsidRPr="002545FB">
        <w:rPr>
          <w:sz w:val="24"/>
          <w:lang w:val="en-GB"/>
        </w:rPr>
        <w:t>xplain</w:t>
      </w:r>
      <w:r w:rsidRPr="002545FB">
        <w:rPr>
          <w:sz w:val="24"/>
          <w:lang w:val="en-GB"/>
        </w:rPr>
        <w:t xml:space="preserve">ing variables established by us cannot by far explain </w:t>
      </w:r>
      <w:r w:rsidR="0045753E" w:rsidRPr="002545FB">
        <w:rPr>
          <w:sz w:val="24"/>
          <w:lang w:val="en-GB"/>
        </w:rPr>
        <w:t>the whole variability</w:t>
      </w:r>
      <w:r w:rsidRPr="002545FB">
        <w:rPr>
          <w:sz w:val="24"/>
          <w:lang w:val="en-GB"/>
        </w:rPr>
        <w:t xml:space="preserve"> of the unit price. </w:t>
      </w:r>
      <w:r w:rsidR="004B325D" w:rsidRPr="002545FB">
        <w:rPr>
          <w:sz w:val="24"/>
          <w:lang w:val="en-GB"/>
        </w:rPr>
        <w:t>T</w:t>
      </w:r>
      <w:r w:rsidRPr="002545FB">
        <w:rPr>
          <w:sz w:val="24"/>
          <w:lang w:val="en-GB"/>
        </w:rPr>
        <w:t>he</w:t>
      </w:r>
      <w:r w:rsidR="007F0D14" w:rsidRPr="002545FB">
        <w:rPr>
          <w:sz w:val="24"/>
          <w:lang w:val="en-GB"/>
        </w:rPr>
        <w:t xml:space="preserve"> unit price</w:t>
      </w:r>
      <w:r w:rsidRPr="002545FB">
        <w:rPr>
          <w:sz w:val="24"/>
          <w:lang w:val="en-GB"/>
        </w:rPr>
        <w:t xml:space="preserve"> result</w:t>
      </w:r>
      <w:r w:rsidR="007F0D14" w:rsidRPr="002545FB">
        <w:rPr>
          <w:sz w:val="24"/>
          <w:lang w:val="en-GB"/>
        </w:rPr>
        <w:t>s</w:t>
      </w:r>
      <w:r w:rsidRPr="002545FB">
        <w:rPr>
          <w:sz w:val="24"/>
          <w:lang w:val="en-GB"/>
        </w:rPr>
        <w:t xml:space="preserve"> from many other factors unknown to us. If </w:t>
      </w:r>
      <w:r w:rsidR="00367204" w:rsidRPr="002545FB">
        <w:rPr>
          <w:sz w:val="24"/>
          <w:lang w:val="en-GB"/>
        </w:rPr>
        <w:t xml:space="preserve">a sufficient number of price data remains </w:t>
      </w:r>
      <w:r w:rsidRPr="002545FB">
        <w:rPr>
          <w:sz w:val="24"/>
          <w:lang w:val="en-GB"/>
        </w:rPr>
        <w:t>in each group</w:t>
      </w:r>
      <w:r w:rsidR="0045753E" w:rsidRPr="002545FB">
        <w:rPr>
          <w:sz w:val="24"/>
          <w:lang w:val="en-GB"/>
        </w:rPr>
        <w:t xml:space="preserve"> (cross-section)</w:t>
      </w:r>
      <w:r w:rsidRPr="002545FB">
        <w:rPr>
          <w:sz w:val="24"/>
          <w:lang w:val="en-GB"/>
        </w:rPr>
        <w:t>, formed by subd</w:t>
      </w:r>
      <w:r w:rsidR="00367204" w:rsidRPr="002545FB">
        <w:rPr>
          <w:sz w:val="24"/>
          <w:lang w:val="en-GB"/>
        </w:rPr>
        <w:t>i</w:t>
      </w:r>
      <w:r w:rsidRPr="002545FB">
        <w:rPr>
          <w:sz w:val="24"/>
          <w:lang w:val="en-GB"/>
        </w:rPr>
        <w:t>vi</w:t>
      </w:r>
      <w:r w:rsidR="00367204" w:rsidRPr="002545FB">
        <w:rPr>
          <w:sz w:val="24"/>
          <w:lang w:val="en-GB"/>
        </w:rPr>
        <w:t>di</w:t>
      </w:r>
      <w:r w:rsidRPr="002545FB">
        <w:rPr>
          <w:sz w:val="24"/>
          <w:lang w:val="en-GB"/>
        </w:rPr>
        <w:t xml:space="preserve">ng of the population by the established factors, </w:t>
      </w:r>
      <w:r w:rsidR="00367204" w:rsidRPr="002545FB">
        <w:rPr>
          <w:sz w:val="24"/>
          <w:lang w:val="en-GB"/>
        </w:rPr>
        <w:t>we may hope</w:t>
      </w:r>
      <w:r w:rsidR="00622336" w:rsidRPr="002545FB">
        <w:rPr>
          <w:sz w:val="24"/>
          <w:lang w:val="en-GB"/>
        </w:rPr>
        <w:t>,</w:t>
      </w:r>
      <w:r w:rsidR="00367204" w:rsidRPr="002545FB">
        <w:rPr>
          <w:sz w:val="24"/>
          <w:lang w:val="en-GB"/>
        </w:rPr>
        <w:t xml:space="preserve"> that these effects</w:t>
      </w:r>
      <w:r w:rsidR="00622336" w:rsidRPr="002545FB">
        <w:rPr>
          <w:sz w:val="24"/>
          <w:lang w:val="en-GB"/>
        </w:rPr>
        <w:t>,</w:t>
      </w:r>
      <w:r w:rsidR="00367204" w:rsidRPr="002545FB">
        <w:rPr>
          <w:sz w:val="24"/>
          <w:lang w:val="en-GB"/>
        </w:rPr>
        <w:t xml:space="preserve"> unknown to us</w:t>
      </w:r>
      <w:r w:rsidR="00622336" w:rsidRPr="002545FB">
        <w:rPr>
          <w:sz w:val="24"/>
          <w:lang w:val="en-GB"/>
        </w:rPr>
        <w:t>,</w:t>
      </w:r>
      <w:r w:rsidR="00367204" w:rsidRPr="002545FB">
        <w:rPr>
          <w:sz w:val="24"/>
          <w:lang w:val="en-GB"/>
        </w:rPr>
        <w:t xml:space="preserve"> </w:t>
      </w:r>
      <w:r w:rsidR="00622336" w:rsidRPr="002545FB">
        <w:rPr>
          <w:sz w:val="24"/>
          <w:lang w:val="en-GB"/>
        </w:rPr>
        <w:t>will</w:t>
      </w:r>
      <w:r w:rsidR="00367204" w:rsidRPr="002545FB">
        <w:rPr>
          <w:sz w:val="24"/>
          <w:lang w:val="en-GB"/>
        </w:rPr>
        <w:t xml:space="preserve"> be </w:t>
      </w:r>
      <w:r w:rsidR="0045753E" w:rsidRPr="002545FB">
        <w:rPr>
          <w:sz w:val="24"/>
          <w:lang w:val="en-GB"/>
        </w:rPr>
        <w:t xml:space="preserve">partly </w:t>
      </w:r>
      <w:r w:rsidR="00367204" w:rsidRPr="002545FB">
        <w:rPr>
          <w:sz w:val="24"/>
          <w:lang w:val="en-GB"/>
        </w:rPr>
        <w:t xml:space="preserve">eliminated. </w:t>
      </w:r>
    </w:p>
    <w:p w:rsidR="004B325D" w:rsidRPr="002545FB" w:rsidRDefault="009D650B">
      <w:pPr>
        <w:tabs>
          <w:tab w:val="num" w:pos="0"/>
        </w:tabs>
        <w:rPr>
          <w:sz w:val="24"/>
          <w:lang w:val="en-GB"/>
        </w:rPr>
      </w:pPr>
      <w:r w:rsidRPr="002545FB">
        <w:rPr>
          <w:sz w:val="24"/>
          <w:lang w:val="en-GB"/>
        </w:rPr>
        <w:t xml:space="preserve">Our optimising procedure consists in how fast the average </w:t>
      </w:r>
      <w:r w:rsidR="009A1061" w:rsidRPr="002545FB">
        <w:rPr>
          <w:sz w:val="24"/>
          <w:lang w:val="en-GB"/>
        </w:rPr>
        <w:t>coefficient of variation</w:t>
      </w:r>
      <w:r w:rsidRPr="002545FB">
        <w:rPr>
          <w:sz w:val="24"/>
          <w:lang w:val="en-GB"/>
        </w:rPr>
        <w:t xml:space="preserve"> (the ratio of standard deviation and average) of unit prices of the group decreases following to each subsequent subdividing of the population by </w:t>
      </w:r>
      <w:r w:rsidR="00180B42" w:rsidRPr="002545FB">
        <w:rPr>
          <w:sz w:val="24"/>
          <w:lang w:val="en-GB"/>
        </w:rPr>
        <w:t xml:space="preserve">a </w:t>
      </w:r>
      <w:r w:rsidRPr="002545FB">
        <w:rPr>
          <w:sz w:val="24"/>
          <w:lang w:val="en-GB"/>
        </w:rPr>
        <w:t xml:space="preserve">further </w:t>
      </w:r>
      <w:r w:rsidR="004B325D" w:rsidRPr="002545FB">
        <w:rPr>
          <w:sz w:val="24"/>
          <w:lang w:val="en-GB"/>
        </w:rPr>
        <w:t>(n</w:t>
      </w:r>
      <w:r w:rsidRPr="002545FB">
        <w:rPr>
          <w:sz w:val="24"/>
          <w:lang w:val="en-GB"/>
        </w:rPr>
        <w:t>ewly added</w:t>
      </w:r>
      <w:r w:rsidR="004B325D" w:rsidRPr="002545FB">
        <w:rPr>
          <w:sz w:val="24"/>
          <w:lang w:val="en-GB"/>
        </w:rPr>
        <w:t xml:space="preserve">) </w:t>
      </w:r>
      <w:r w:rsidRPr="002545FB">
        <w:rPr>
          <w:sz w:val="24"/>
          <w:lang w:val="en-GB"/>
        </w:rPr>
        <w:t>e</w:t>
      </w:r>
      <w:r w:rsidR="00671E93" w:rsidRPr="002545FB">
        <w:rPr>
          <w:sz w:val="24"/>
          <w:lang w:val="en-GB"/>
        </w:rPr>
        <w:t>xplaini</w:t>
      </w:r>
      <w:r w:rsidRPr="002545FB">
        <w:rPr>
          <w:sz w:val="24"/>
          <w:lang w:val="en-GB"/>
        </w:rPr>
        <w:t>ng factor</w:t>
      </w:r>
      <w:r w:rsidR="004B325D" w:rsidRPr="002545FB">
        <w:rPr>
          <w:sz w:val="24"/>
          <w:lang w:val="en-GB"/>
        </w:rPr>
        <w:t xml:space="preserve">. </w:t>
      </w:r>
      <w:r w:rsidRPr="002545FB">
        <w:rPr>
          <w:sz w:val="24"/>
          <w:lang w:val="en-GB"/>
        </w:rPr>
        <w:t xml:space="preserve">The procedure is best depicted in the scheme of the analysis carried out </w:t>
      </w:r>
      <w:r w:rsidR="00180B42" w:rsidRPr="002545FB">
        <w:rPr>
          <w:sz w:val="24"/>
          <w:lang w:val="en-GB"/>
        </w:rPr>
        <w:t>for</w:t>
      </w:r>
      <w:r w:rsidRPr="002545FB">
        <w:rPr>
          <w:sz w:val="24"/>
          <w:lang w:val="en-GB"/>
        </w:rPr>
        <w:t xml:space="preserve"> family houses </w:t>
      </w:r>
      <w:r w:rsidR="00956F9E" w:rsidRPr="002545FB">
        <w:rPr>
          <w:sz w:val="24"/>
          <w:lang w:val="en-GB"/>
        </w:rPr>
        <w:t xml:space="preserve">(data </w:t>
      </w:r>
      <w:r w:rsidRPr="002545FB">
        <w:rPr>
          <w:sz w:val="24"/>
          <w:lang w:val="en-GB"/>
        </w:rPr>
        <w:t xml:space="preserve">for </w:t>
      </w:r>
      <w:r w:rsidR="00AA11A1" w:rsidRPr="002545FB">
        <w:rPr>
          <w:sz w:val="24"/>
          <w:lang w:val="en-GB"/>
        </w:rPr>
        <w:t>2014</w:t>
      </w:r>
      <w:r w:rsidR="004B325D" w:rsidRPr="002545FB">
        <w:rPr>
          <w:sz w:val="24"/>
          <w:lang w:val="en-GB"/>
        </w:rPr>
        <w:t>-</w:t>
      </w:r>
      <w:r w:rsidR="00683468" w:rsidRPr="002545FB">
        <w:rPr>
          <w:sz w:val="24"/>
          <w:lang w:val="en-GB"/>
        </w:rPr>
        <w:t>201</w:t>
      </w:r>
      <w:r w:rsidR="00AA11A1" w:rsidRPr="002545FB">
        <w:rPr>
          <w:sz w:val="24"/>
          <w:lang w:val="en-GB"/>
        </w:rPr>
        <w:t>6</w:t>
      </w:r>
      <w:r w:rsidR="004B325D" w:rsidRPr="002545FB">
        <w:rPr>
          <w:sz w:val="24"/>
          <w:lang w:val="en-GB"/>
        </w:rPr>
        <w:t>).</w:t>
      </w:r>
    </w:p>
    <w:p w:rsidR="004B325D" w:rsidRPr="002545FB" w:rsidRDefault="004B325D">
      <w:pPr>
        <w:tabs>
          <w:tab w:val="num" w:pos="0"/>
        </w:tabs>
        <w:rPr>
          <w:sz w:val="18"/>
          <w:lang w:val="en-GB"/>
        </w:rPr>
      </w:pPr>
    </w:p>
    <w:p w:rsidR="004B325D" w:rsidRPr="002545FB" w:rsidRDefault="006C080E">
      <w:pPr>
        <w:tabs>
          <w:tab w:val="num" w:pos="0"/>
        </w:tabs>
        <w:rPr>
          <w:sz w:val="18"/>
          <w:lang w:val="en-GB"/>
        </w:rPr>
      </w:pPr>
      <w:r w:rsidRPr="002545FB">
        <w:rPr>
          <w:color w:val="FF0000"/>
          <w:vertAlign w:val="subscript"/>
          <w:lang w:val="en-GB"/>
        </w:rPr>
        <w:object w:dxaOrig="10231"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92.1pt" o:ole="">
            <v:imagedata r:id="rId8" o:title=""/>
          </v:shape>
          <o:OLEObject Type="Embed" ProgID="PBrush" ShapeID="_x0000_i1025" DrawAspect="Content" ObjectID="_1574675037" r:id="rId9"/>
        </w:object>
      </w:r>
    </w:p>
    <w:p w:rsidR="00367204" w:rsidRPr="002545FB" w:rsidRDefault="00367204">
      <w:pPr>
        <w:tabs>
          <w:tab w:val="num" w:pos="0"/>
          <w:tab w:val="left" w:pos="1620"/>
          <w:tab w:val="left" w:pos="2828"/>
          <w:tab w:val="left" w:pos="4320"/>
          <w:tab w:val="left" w:pos="6453"/>
        </w:tabs>
        <w:rPr>
          <w:sz w:val="24"/>
          <w:lang w:val="en-GB"/>
        </w:rPr>
      </w:pPr>
    </w:p>
    <w:p w:rsidR="004B325D" w:rsidRPr="002545FB" w:rsidRDefault="009D650B">
      <w:pPr>
        <w:tabs>
          <w:tab w:val="num" w:pos="0"/>
          <w:tab w:val="left" w:pos="1620"/>
          <w:tab w:val="left" w:pos="2828"/>
          <w:tab w:val="left" w:pos="4320"/>
          <w:tab w:val="left" w:pos="6453"/>
        </w:tabs>
        <w:rPr>
          <w:sz w:val="24"/>
          <w:lang w:val="en-GB"/>
        </w:rPr>
      </w:pPr>
      <w:r w:rsidRPr="002545FB">
        <w:rPr>
          <w:sz w:val="24"/>
          <w:lang w:val="en-GB"/>
        </w:rPr>
        <w:t xml:space="preserve">The scheme </w:t>
      </w:r>
      <w:r w:rsidR="00025CBE" w:rsidRPr="002545FB">
        <w:rPr>
          <w:sz w:val="24"/>
          <w:lang w:val="en-GB"/>
        </w:rPr>
        <w:t xml:space="preserve">above </w:t>
      </w:r>
      <w:r w:rsidRPr="002545FB">
        <w:rPr>
          <w:sz w:val="24"/>
          <w:lang w:val="en-GB"/>
        </w:rPr>
        <w:t xml:space="preserve">shows, for instance, that the most effective way is to subdivide the population into four groups by </w:t>
      </w:r>
      <w:r w:rsidR="00025CBE" w:rsidRPr="002545FB">
        <w:rPr>
          <w:sz w:val="24"/>
          <w:lang w:val="en-GB"/>
        </w:rPr>
        <w:t xml:space="preserve">the extent of </w:t>
      </w:r>
      <w:r w:rsidRPr="002545FB">
        <w:rPr>
          <w:sz w:val="24"/>
          <w:lang w:val="en-GB"/>
        </w:rPr>
        <w:t>wear</w:t>
      </w:r>
      <w:r w:rsidR="004B325D" w:rsidRPr="002545FB">
        <w:rPr>
          <w:sz w:val="24"/>
          <w:lang w:val="en-GB"/>
        </w:rPr>
        <w:t xml:space="preserve">, </w:t>
      </w:r>
      <w:r w:rsidRPr="002545FB">
        <w:rPr>
          <w:sz w:val="24"/>
          <w:lang w:val="en-GB"/>
        </w:rPr>
        <w:t xml:space="preserve">because this reduces the relative </w:t>
      </w:r>
      <w:r w:rsidR="00025CBE" w:rsidRPr="002545FB">
        <w:rPr>
          <w:sz w:val="24"/>
          <w:lang w:val="en-GB"/>
        </w:rPr>
        <w:t>variance</w:t>
      </w:r>
      <w:r w:rsidRPr="002545FB">
        <w:rPr>
          <w:sz w:val="24"/>
          <w:lang w:val="en-GB"/>
        </w:rPr>
        <w:t xml:space="preserve"> of prices from </w:t>
      </w:r>
      <w:r w:rsidR="00AA11A1" w:rsidRPr="002545FB">
        <w:rPr>
          <w:sz w:val="24"/>
          <w:lang w:val="en-GB"/>
        </w:rPr>
        <w:t>69</w:t>
      </w:r>
      <w:r w:rsidR="004B03C8" w:rsidRPr="002545FB">
        <w:rPr>
          <w:sz w:val="24"/>
          <w:lang w:val="en-GB"/>
        </w:rPr>
        <w:t xml:space="preserve">% </w:t>
      </w:r>
      <w:r w:rsidRPr="002545FB">
        <w:rPr>
          <w:sz w:val="24"/>
          <w:lang w:val="en-GB"/>
        </w:rPr>
        <w:t>to</w:t>
      </w:r>
      <w:r w:rsidR="004B03C8" w:rsidRPr="002545FB">
        <w:rPr>
          <w:sz w:val="24"/>
          <w:lang w:val="en-GB"/>
        </w:rPr>
        <w:t xml:space="preserve"> </w:t>
      </w:r>
      <w:r w:rsidR="00AA11A1" w:rsidRPr="002545FB">
        <w:rPr>
          <w:sz w:val="24"/>
          <w:lang w:val="en-GB"/>
        </w:rPr>
        <w:t>54</w:t>
      </w:r>
      <w:r w:rsidR="004B325D" w:rsidRPr="002545FB">
        <w:rPr>
          <w:sz w:val="24"/>
          <w:lang w:val="en-GB"/>
        </w:rPr>
        <w:t>%</w:t>
      </w:r>
      <w:r w:rsidR="004B03C8" w:rsidRPr="002545FB">
        <w:rPr>
          <w:sz w:val="24"/>
          <w:lang w:val="en-GB"/>
        </w:rPr>
        <w:t xml:space="preserve"> a</w:t>
      </w:r>
      <w:r w:rsidRPr="002545FB">
        <w:rPr>
          <w:sz w:val="24"/>
          <w:lang w:val="en-GB"/>
        </w:rPr>
        <w:t xml:space="preserve">nd the </w:t>
      </w:r>
      <w:r w:rsidR="00025CBE" w:rsidRPr="002545FB">
        <w:rPr>
          <w:sz w:val="24"/>
          <w:lang w:val="en-GB"/>
        </w:rPr>
        <w:t xml:space="preserve">generated </w:t>
      </w:r>
      <w:r w:rsidRPr="002545FB">
        <w:rPr>
          <w:sz w:val="24"/>
          <w:lang w:val="en-GB"/>
        </w:rPr>
        <w:t xml:space="preserve">groups </w:t>
      </w:r>
      <w:r w:rsidR="0045753E" w:rsidRPr="002545FB">
        <w:rPr>
          <w:sz w:val="24"/>
          <w:lang w:val="en-GB"/>
        </w:rPr>
        <w:t>have approximately the same number of price quotations</w:t>
      </w:r>
      <w:r w:rsidRPr="002545FB">
        <w:rPr>
          <w:sz w:val="24"/>
          <w:lang w:val="en-GB"/>
        </w:rPr>
        <w:t xml:space="preserve">. The subdividing procedure must be halted in a certain moment when </w:t>
      </w:r>
      <w:r w:rsidR="00AF4C6F" w:rsidRPr="002545FB">
        <w:rPr>
          <w:sz w:val="24"/>
          <w:lang w:val="en-GB"/>
        </w:rPr>
        <w:t>the number of price data is not representative in a certain portion of the groups.</w:t>
      </w:r>
      <w:r w:rsidR="004B325D" w:rsidRPr="002545FB">
        <w:rPr>
          <w:sz w:val="24"/>
          <w:lang w:val="en-GB"/>
        </w:rPr>
        <w:t xml:space="preserve"> </w:t>
      </w:r>
      <w:r w:rsidR="00AF4C6F" w:rsidRPr="002545FB">
        <w:rPr>
          <w:sz w:val="24"/>
          <w:lang w:val="en-GB"/>
        </w:rPr>
        <w:t>The aforementioned analysis was carried out for all selected types of real estate</w:t>
      </w:r>
      <w:r w:rsidR="004B325D" w:rsidRPr="002545FB">
        <w:rPr>
          <w:sz w:val="24"/>
          <w:lang w:val="en-GB"/>
        </w:rPr>
        <w:t xml:space="preserve">, </w:t>
      </w:r>
      <w:r w:rsidR="00025CBE" w:rsidRPr="002545FB">
        <w:rPr>
          <w:sz w:val="24"/>
          <w:lang w:val="en-GB"/>
        </w:rPr>
        <w:t xml:space="preserve">while </w:t>
      </w:r>
      <w:r w:rsidR="00AF4C6F" w:rsidRPr="002545FB">
        <w:rPr>
          <w:sz w:val="24"/>
          <w:lang w:val="en-GB"/>
        </w:rPr>
        <w:t>e</w:t>
      </w:r>
      <w:r w:rsidR="00025CBE" w:rsidRPr="002545FB">
        <w:rPr>
          <w:sz w:val="24"/>
          <w:lang w:val="en-GB"/>
        </w:rPr>
        <w:t>xplaini</w:t>
      </w:r>
      <w:r w:rsidR="00AF4C6F" w:rsidRPr="002545FB">
        <w:rPr>
          <w:sz w:val="24"/>
          <w:lang w:val="en-GB"/>
        </w:rPr>
        <w:t xml:space="preserve">ng factors </w:t>
      </w:r>
      <w:r w:rsidR="004B325D" w:rsidRPr="002545FB">
        <w:rPr>
          <w:sz w:val="24"/>
          <w:lang w:val="en-GB"/>
        </w:rPr>
        <w:t>(</w:t>
      </w:r>
      <w:r w:rsidR="00AF4C6F" w:rsidRPr="002545FB">
        <w:rPr>
          <w:sz w:val="24"/>
          <w:lang w:val="en-GB"/>
        </w:rPr>
        <w:t>as the region and district for region, for example)</w:t>
      </w:r>
      <w:r w:rsidR="00025CBE" w:rsidRPr="002545FB">
        <w:rPr>
          <w:sz w:val="24"/>
          <w:lang w:val="en-GB"/>
        </w:rPr>
        <w:t xml:space="preserve"> were applied in different alternatives</w:t>
      </w:r>
      <w:r w:rsidR="004B325D" w:rsidRPr="002545FB">
        <w:rPr>
          <w:sz w:val="24"/>
          <w:lang w:val="en-GB"/>
        </w:rPr>
        <w:t xml:space="preserve">. </w:t>
      </w:r>
      <w:r w:rsidR="00AF4C6F" w:rsidRPr="002545FB">
        <w:rPr>
          <w:sz w:val="24"/>
          <w:lang w:val="en-GB"/>
        </w:rPr>
        <w:t>This resulted in an optimum decision</w:t>
      </w:r>
      <w:r w:rsidR="00025CBE" w:rsidRPr="002545FB">
        <w:rPr>
          <w:sz w:val="24"/>
          <w:lang w:val="en-GB"/>
        </w:rPr>
        <w:t>,</w:t>
      </w:r>
      <w:r w:rsidR="00AF4C6F" w:rsidRPr="002545FB">
        <w:rPr>
          <w:sz w:val="24"/>
          <w:lang w:val="en-GB"/>
        </w:rPr>
        <w:t xml:space="preserve"> which of the tables could be published. </w:t>
      </w:r>
    </w:p>
    <w:p w:rsidR="004B325D" w:rsidRPr="002545FB" w:rsidRDefault="00D43E4F">
      <w:pPr>
        <w:pStyle w:val="Nadpis1"/>
        <w:rPr>
          <w:sz w:val="24"/>
          <w:szCs w:val="24"/>
          <w:lang w:val="en-GB"/>
        </w:rPr>
      </w:pPr>
      <w:r w:rsidRPr="002545FB">
        <w:rPr>
          <w:sz w:val="24"/>
          <w:szCs w:val="24"/>
          <w:lang w:val="en-GB"/>
        </w:rPr>
        <w:t>8</w:t>
      </w:r>
      <w:r w:rsidR="004B325D" w:rsidRPr="002545FB">
        <w:rPr>
          <w:sz w:val="24"/>
          <w:szCs w:val="24"/>
          <w:lang w:val="en-GB"/>
        </w:rPr>
        <w:t xml:space="preserve">. </w:t>
      </w:r>
      <w:r w:rsidR="009D650B" w:rsidRPr="002545FB">
        <w:rPr>
          <w:sz w:val="24"/>
          <w:szCs w:val="24"/>
          <w:lang w:val="en-GB"/>
        </w:rPr>
        <w:t>Time dependence</w:t>
      </w:r>
      <w:r w:rsidR="004B325D" w:rsidRPr="002545FB">
        <w:rPr>
          <w:sz w:val="24"/>
          <w:szCs w:val="24"/>
          <w:lang w:val="en-GB"/>
        </w:rPr>
        <w:t xml:space="preserve"> </w:t>
      </w:r>
      <w:r w:rsidR="009D650B" w:rsidRPr="002545FB">
        <w:rPr>
          <w:sz w:val="24"/>
          <w:szCs w:val="24"/>
          <w:lang w:val="en-GB"/>
        </w:rPr>
        <w:t xml:space="preserve">–price </w:t>
      </w:r>
      <w:r w:rsidR="004B325D" w:rsidRPr="002545FB">
        <w:rPr>
          <w:sz w:val="24"/>
          <w:szCs w:val="24"/>
          <w:lang w:val="en-GB"/>
        </w:rPr>
        <w:t>index</w:t>
      </w:r>
    </w:p>
    <w:p w:rsidR="004B325D" w:rsidRPr="002545FB" w:rsidRDefault="00083DD3">
      <w:pPr>
        <w:tabs>
          <w:tab w:val="num" w:pos="0"/>
        </w:tabs>
        <w:rPr>
          <w:sz w:val="24"/>
          <w:lang w:val="en-GB"/>
        </w:rPr>
      </w:pPr>
      <w:r w:rsidRPr="002545FB">
        <w:rPr>
          <w:sz w:val="24"/>
          <w:lang w:val="en-GB"/>
        </w:rPr>
        <w:t xml:space="preserve">Besides the determination of the </w:t>
      </w:r>
      <w:r w:rsidR="0045753E" w:rsidRPr="002545FB">
        <w:rPr>
          <w:sz w:val="24"/>
          <w:lang w:val="en-GB"/>
        </w:rPr>
        <w:t xml:space="preserve">dependence of the </w:t>
      </w:r>
      <w:r w:rsidRPr="002545FB">
        <w:rPr>
          <w:sz w:val="24"/>
          <w:lang w:val="en-GB"/>
        </w:rPr>
        <w:t xml:space="preserve">average unit prices </w:t>
      </w:r>
      <w:r w:rsidR="0045753E" w:rsidRPr="002545FB">
        <w:rPr>
          <w:sz w:val="24"/>
          <w:lang w:val="en-GB"/>
        </w:rPr>
        <w:t>on</w:t>
      </w:r>
      <w:r w:rsidRPr="002545FB">
        <w:rPr>
          <w:sz w:val="24"/>
          <w:lang w:val="en-GB"/>
        </w:rPr>
        <w:t xml:space="preserve"> various e</w:t>
      </w:r>
      <w:r w:rsidR="005E7B6C" w:rsidRPr="002545FB">
        <w:rPr>
          <w:sz w:val="24"/>
          <w:lang w:val="en-GB"/>
        </w:rPr>
        <w:t>xplaining</w:t>
      </w:r>
      <w:r w:rsidRPr="002545FB">
        <w:rPr>
          <w:sz w:val="24"/>
          <w:lang w:val="en-GB"/>
        </w:rPr>
        <w:t xml:space="preserve"> factors</w:t>
      </w:r>
      <w:r w:rsidR="004B325D" w:rsidRPr="002545FB">
        <w:rPr>
          <w:sz w:val="24"/>
          <w:lang w:val="en-GB"/>
        </w:rPr>
        <w:t xml:space="preserve">, </w:t>
      </w:r>
      <w:r w:rsidRPr="002545FB">
        <w:rPr>
          <w:sz w:val="24"/>
          <w:lang w:val="en-GB"/>
        </w:rPr>
        <w:t xml:space="preserve">it is also important to determine the price development in time in the form of the price index. This index should be of the </w:t>
      </w:r>
      <w:proofErr w:type="spellStart"/>
      <w:r w:rsidRPr="002545FB">
        <w:rPr>
          <w:sz w:val="24"/>
          <w:lang w:val="en-GB"/>
        </w:rPr>
        <w:t>Laspeyres</w:t>
      </w:r>
      <w:proofErr w:type="spellEnd"/>
      <w:r w:rsidRPr="002545FB">
        <w:rPr>
          <w:sz w:val="24"/>
          <w:lang w:val="en-GB"/>
        </w:rPr>
        <w:t xml:space="preserve"> type with fixed base weights in order to be compatible with other price statistics. </w:t>
      </w:r>
      <w:r w:rsidR="005E7B6C" w:rsidRPr="002545FB">
        <w:rPr>
          <w:sz w:val="24"/>
          <w:lang w:val="en-GB"/>
        </w:rPr>
        <w:t>And</w:t>
      </w:r>
      <w:r w:rsidRPr="002545FB">
        <w:rPr>
          <w:sz w:val="24"/>
          <w:lang w:val="en-GB"/>
        </w:rPr>
        <w:t xml:space="preserve"> the most important is it should </w:t>
      </w:r>
      <w:r w:rsidR="00AA7879" w:rsidRPr="002545FB">
        <w:rPr>
          <w:sz w:val="24"/>
          <w:lang w:val="en-GB"/>
        </w:rPr>
        <w:t xml:space="preserve">be </w:t>
      </w:r>
      <w:r w:rsidRPr="002545FB">
        <w:rPr>
          <w:sz w:val="24"/>
          <w:lang w:val="en-GB"/>
        </w:rPr>
        <w:t xml:space="preserve">adjusted for quality changes over time that means it should </w:t>
      </w:r>
      <w:r w:rsidR="005E7B6C" w:rsidRPr="002545FB">
        <w:rPr>
          <w:sz w:val="24"/>
          <w:lang w:val="en-GB"/>
        </w:rPr>
        <w:t xml:space="preserve">be </w:t>
      </w:r>
      <w:r w:rsidRPr="002545FB">
        <w:rPr>
          <w:sz w:val="24"/>
          <w:lang w:val="en-GB"/>
        </w:rPr>
        <w:t xml:space="preserve">a pure price index. </w:t>
      </w:r>
    </w:p>
    <w:p w:rsidR="004B325D" w:rsidRPr="002545FB" w:rsidRDefault="00083DD3">
      <w:pPr>
        <w:tabs>
          <w:tab w:val="num" w:pos="0"/>
        </w:tabs>
        <w:rPr>
          <w:sz w:val="24"/>
          <w:lang w:val="en-GB"/>
        </w:rPr>
      </w:pPr>
      <w:r w:rsidRPr="002545FB">
        <w:rPr>
          <w:sz w:val="24"/>
          <w:lang w:val="en-GB"/>
        </w:rPr>
        <w:t xml:space="preserve">Because of the character of </w:t>
      </w:r>
      <w:r w:rsidR="0063379B" w:rsidRPr="002545FB">
        <w:rPr>
          <w:sz w:val="24"/>
          <w:lang w:val="en-GB"/>
        </w:rPr>
        <w:t xml:space="preserve">the </w:t>
      </w:r>
      <w:r w:rsidRPr="002545FB">
        <w:rPr>
          <w:sz w:val="24"/>
          <w:lang w:val="en-GB"/>
        </w:rPr>
        <w:t>price</w:t>
      </w:r>
      <w:r w:rsidR="0063379B" w:rsidRPr="002545FB">
        <w:rPr>
          <w:sz w:val="24"/>
          <w:lang w:val="en-GB"/>
        </w:rPr>
        <w:t xml:space="preserve"> data</w:t>
      </w:r>
      <w:r w:rsidRPr="002545FB">
        <w:rPr>
          <w:sz w:val="24"/>
          <w:lang w:val="en-GB"/>
        </w:rPr>
        <w:t xml:space="preserve"> acquired</w:t>
      </w:r>
      <w:r w:rsidR="0063379B" w:rsidRPr="002545FB">
        <w:rPr>
          <w:sz w:val="24"/>
          <w:lang w:val="en-GB"/>
        </w:rPr>
        <w:t>,</w:t>
      </w:r>
      <w:r w:rsidRPr="002545FB">
        <w:rPr>
          <w:sz w:val="24"/>
          <w:lang w:val="en-GB"/>
        </w:rPr>
        <w:t xml:space="preserve"> the </w:t>
      </w:r>
      <w:r w:rsidR="00B85D51" w:rsidRPr="002545FB">
        <w:rPr>
          <w:sz w:val="24"/>
          <w:lang w:val="en-GB"/>
        </w:rPr>
        <w:t>shortest</w:t>
      </w:r>
      <w:r w:rsidRPr="002545FB">
        <w:rPr>
          <w:sz w:val="24"/>
          <w:lang w:val="en-GB"/>
        </w:rPr>
        <w:t xml:space="preserve"> time unit is a quarter of year. Then there is a specific issue occurring for </w:t>
      </w:r>
      <w:r w:rsidR="001F47E5" w:rsidRPr="002545FB">
        <w:rPr>
          <w:sz w:val="24"/>
          <w:lang w:val="en-GB"/>
        </w:rPr>
        <w:t>construction plots</w:t>
      </w:r>
      <w:r w:rsidR="004B325D" w:rsidRPr="002545FB">
        <w:rPr>
          <w:sz w:val="24"/>
          <w:lang w:val="en-GB"/>
        </w:rPr>
        <w:t xml:space="preserve">, </w:t>
      </w:r>
      <w:r w:rsidRPr="002545FB">
        <w:rPr>
          <w:sz w:val="24"/>
          <w:lang w:val="en-GB"/>
        </w:rPr>
        <w:t>where there is enough data</w:t>
      </w:r>
      <w:r w:rsidR="004B325D" w:rsidRPr="002545FB">
        <w:rPr>
          <w:sz w:val="24"/>
          <w:lang w:val="en-GB"/>
        </w:rPr>
        <w:t xml:space="preserve">, </w:t>
      </w:r>
      <w:r w:rsidRPr="002545FB">
        <w:rPr>
          <w:sz w:val="24"/>
          <w:lang w:val="en-GB"/>
        </w:rPr>
        <w:t xml:space="preserve">yet their variability is by far the highest of all </w:t>
      </w:r>
      <w:r w:rsidR="00B85D51" w:rsidRPr="002545FB">
        <w:rPr>
          <w:sz w:val="24"/>
          <w:lang w:val="en-GB"/>
        </w:rPr>
        <w:t>four</w:t>
      </w:r>
      <w:r w:rsidR="004B325D" w:rsidRPr="002545FB">
        <w:rPr>
          <w:sz w:val="24"/>
          <w:lang w:val="en-GB"/>
        </w:rPr>
        <w:t xml:space="preserve"> typ</w:t>
      </w:r>
      <w:r w:rsidRPr="002545FB">
        <w:rPr>
          <w:sz w:val="24"/>
          <w:lang w:val="en-GB"/>
        </w:rPr>
        <w:t xml:space="preserve">es of real estate </w:t>
      </w:r>
      <w:r w:rsidR="004B325D" w:rsidRPr="002545FB">
        <w:rPr>
          <w:sz w:val="24"/>
          <w:lang w:val="en-GB"/>
        </w:rPr>
        <w:t>a</w:t>
      </w:r>
      <w:r w:rsidRPr="002545FB">
        <w:rPr>
          <w:sz w:val="24"/>
          <w:lang w:val="en-GB"/>
        </w:rPr>
        <w:t xml:space="preserve">nd the </w:t>
      </w:r>
      <w:r w:rsidR="00B85D51" w:rsidRPr="002545FB">
        <w:rPr>
          <w:sz w:val="24"/>
          <w:lang w:val="en-GB"/>
        </w:rPr>
        <w:t>survey</w:t>
      </w:r>
      <w:r w:rsidRPr="002545FB">
        <w:rPr>
          <w:sz w:val="24"/>
          <w:lang w:val="en-GB"/>
        </w:rPr>
        <w:t xml:space="preserve">ing of the plot unit price in each quarter of </w:t>
      </w:r>
      <w:r w:rsidR="00B85D51" w:rsidRPr="002545FB">
        <w:rPr>
          <w:sz w:val="24"/>
          <w:lang w:val="en-GB"/>
        </w:rPr>
        <w:t xml:space="preserve">the </w:t>
      </w:r>
      <w:r w:rsidRPr="002545FB">
        <w:rPr>
          <w:sz w:val="24"/>
          <w:lang w:val="en-GB"/>
        </w:rPr>
        <w:t xml:space="preserve">year </w:t>
      </w:r>
      <w:r w:rsidR="0063379B" w:rsidRPr="002545FB">
        <w:rPr>
          <w:sz w:val="24"/>
          <w:lang w:val="en-GB"/>
        </w:rPr>
        <w:t>keeping</w:t>
      </w:r>
      <w:r w:rsidR="00AA7879" w:rsidRPr="002545FB">
        <w:rPr>
          <w:sz w:val="24"/>
          <w:lang w:val="en-GB"/>
        </w:rPr>
        <w:t xml:space="preserve"> the same quality is </w:t>
      </w:r>
      <w:r w:rsidR="006B5812" w:rsidRPr="002545FB">
        <w:rPr>
          <w:sz w:val="24"/>
          <w:lang w:val="en-GB"/>
        </w:rPr>
        <w:t>of extreme difficulty</w:t>
      </w:r>
      <w:r w:rsidR="00AA7879" w:rsidRPr="002545FB">
        <w:rPr>
          <w:sz w:val="24"/>
          <w:lang w:val="en-GB"/>
        </w:rPr>
        <w:t>.</w:t>
      </w:r>
      <w:r w:rsidR="004B325D" w:rsidRPr="002545FB">
        <w:rPr>
          <w:sz w:val="24"/>
          <w:lang w:val="en-GB"/>
        </w:rPr>
        <w:t xml:space="preserve"> </w:t>
      </w:r>
    </w:p>
    <w:p w:rsidR="004B325D" w:rsidRPr="002545FB" w:rsidRDefault="0010252B">
      <w:pPr>
        <w:tabs>
          <w:tab w:val="num" w:pos="0"/>
        </w:tabs>
        <w:rPr>
          <w:sz w:val="24"/>
          <w:lang w:val="en-GB"/>
        </w:rPr>
      </w:pPr>
      <w:r w:rsidRPr="002545FB">
        <w:rPr>
          <w:sz w:val="24"/>
          <w:lang w:val="en-GB"/>
        </w:rPr>
        <w:lastRenderedPageBreak/>
        <w:t xml:space="preserve">In order to meet the aforementioned requirement for fixed quality of the type of real estate </w:t>
      </w:r>
      <w:r w:rsidR="006B5812" w:rsidRPr="002545FB">
        <w:rPr>
          <w:sz w:val="24"/>
          <w:lang w:val="en-GB"/>
        </w:rPr>
        <w:t>survey</w:t>
      </w:r>
      <w:r w:rsidRPr="002545FB">
        <w:rPr>
          <w:sz w:val="24"/>
          <w:lang w:val="en-GB"/>
        </w:rPr>
        <w:t xml:space="preserve">ed over time a qualitative adjustment </w:t>
      </w:r>
      <w:r w:rsidR="006B5812" w:rsidRPr="002545FB">
        <w:rPr>
          <w:sz w:val="24"/>
          <w:lang w:val="en-GB"/>
        </w:rPr>
        <w:t>shall</w:t>
      </w:r>
      <w:r w:rsidRPr="002545FB">
        <w:rPr>
          <w:sz w:val="24"/>
          <w:lang w:val="en-GB"/>
        </w:rPr>
        <w:t xml:space="preserve"> be applied. Because the index is based on </w:t>
      </w:r>
      <w:r w:rsidR="006B5812" w:rsidRPr="002545FB">
        <w:rPr>
          <w:sz w:val="24"/>
          <w:lang w:val="en-GB"/>
        </w:rPr>
        <w:t xml:space="preserve">the </w:t>
      </w:r>
      <w:r w:rsidRPr="002545FB">
        <w:rPr>
          <w:sz w:val="24"/>
          <w:lang w:val="en-GB"/>
        </w:rPr>
        <w:t>regional breakdown</w:t>
      </w:r>
      <w:r w:rsidR="00131781" w:rsidRPr="002545FB">
        <w:rPr>
          <w:sz w:val="24"/>
          <w:lang w:val="en-GB"/>
        </w:rPr>
        <w:t>,</w:t>
      </w:r>
      <w:r w:rsidRPr="002545FB">
        <w:rPr>
          <w:sz w:val="24"/>
          <w:lang w:val="en-GB"/>
        </w:rPr>
        <w:t xml:space="preserve"> that means observes the price development for all possible </w:t>
      </w:r>
      <w:r w:rsidR="0063379B" w:rsidRPr="002545FB">
        <w:rPr>
          <w:sz w:val="24"/>
          <w:lang w:val="en-GB"/>
        </w:rPr>
        <w:t>cross-</w:t>
      </w:r>
      <w:r w:rsidRPr="002545FB">
        <w:rPr>
          <w:sz w:val="24"/>
          <w:lang w:val="en-GB"/>
        </w:rPr>
        <w:t xml:space="preserve">combinations of </w:t>
      </w:r>
      <w:r w:rsidR="004B325D" w:rsidRPr="002545FB">
        <w:rPr>
          <w:sz w:val="24"/>
          <w:lang w:val="en-GB"/>
        </w:rPr>
        <w:t xml:space="preserve">region x </w:t>
      </w:r>
      <w:r w:rsidRPr="002545FB">
        <w:rPr>
          <w:sz w:val="24"/>
          <w:lang w:val="en-GB"/>
        </w:rPr>
        <w:t>size of municipality</w:t>
      </w:r>
      <w:r w:rsidR="004B325D" w:rsidRPr="002545FB">
        <w:rPr>
          <w:sz w:val="24"/>
          <w:lang w:val="en-GB"/>
        </w:rPr>
        <w:t xml:space="preserve">, </w:t>
      </w:r>
      <w:r w:rsidR="00131781" w:rsidRPr="002545FB">
        <w:rPr>
          <w:sz w:val="24"/>
          <w:lang w:val="en-GB"/>
        </w:rPr>
        <w:t>it is necessary to carry out a qualitative adjustment for differences in other known determining factors</w:t>
      </w:r>
      <w:r w:rsidR="004B325D" w:rsidRPr="002545FB">
        <w:rPr>
          <w:sz w:val="24"/>
          <w:lang w:val="en-GB"/>
        </w:rPr>
        <w:t xml:space="preserve"> (</w:t>
      </w:r>
      <w:r w:rsidR="00131781" w:rsidRPr="002545FB">
        <w:rPr>
          <w:sz w:val="24"/>
          <w:lang w:val="en-GB"/>
        </w:rPr>
        <w:t>size of real estate</w:t>
      </w:r>
      <w:r w:rsidR="004B325D" w:rsidRPr="002545FB">
        <w:rPr>
          <w:sz w:val="24"/>
          <w:lang w:val="en-GB"/>
        </w:rPr>
        <w:t xml:space="preserve">) </w:t>
      </w:r>
      <w:r w:rsidR="00131781" w:rsidRPr="002545FB">
        <w:rPr>
          <w:sz w:val="24"/>
          <w:lang w:val="en-GB"/>
        </w:rPr>
        <w:t xml:space="preserve">from one quarter of </w:t>
      </w:r>
      <w:r w:rsidR="006B5812" w:rsidRPr="002545FB">
        <w:rPr>
          <w:sz w:val="24"/>
          <w:lang w:val="en-GB"/>
        </w:rPr>
        <w:t xml:space="preserve">the </w:t>
      </w:r>
      <w:r w:rsidR="00131781" w:rsidRPr="002545FB">
        <w:rPr>
          <w:sz w:val="24"/>
          <w:lang w:val="en-GB"/>
        </w:rPr>
        <w:t xml:space="preserve">year to another. In other words the combination </w:t>
      </w:r>
      <w:r w:rsidR="004B325D" w:rsidRPr="002545FB">
        <w:rPr>
          <w:sz w:val="24"/>
          <w:lang w:val="en-GB"/>
        </w:rPr>
        <w:t xml:space="preserve">region x </w:t>
      </w:r>
      <w:r w:rsidR="00131781" w:rsidRPr="002545FB">
        <w:rPr>
          <w:sz w:val="24"/>
          <w:lang w:val="en-GB"/>
        </w:rPr>
        <w:t>size of municipality is fixed</w:t>
      </w:r>
      <w:r w:rsidR="004B325D" w:rsidRPr="002545FB">
        <w:rPr>
          <w:sz w:val="24"/>
          <w:lang w:val="en-GB"/>
        </w:rPr>
        <w:t xml:space="preserve">, </w:t>
      </w:r>
      <w:r w:rsidR="00131781" w:rsidRPr="002545FB">
        <w:rPr>
          <w:sz w:val="24"/>
          <w:lang w:val="en-GB"/>
        </w:rPr>
        <w:t xml:space="preserve">what is changed is the period </w:t>
      </w:r>
      <w:r w:rsidR="004B325D" w:rsidRPr="002545FB">
        <w:rPr>
          <w:sz w:val="24"/>
          <w:lang w:val="en-GB"/>
        </w:rPr>
        <w:t>(</w:t>
      </w:r>
      <w:r w:rsidR="00131781" w:rsidRPr="002545FB">
        <w:rPr>
          <w:sz w:val="24"/>
          <w:lang w:val="en-GB"/>
        </w:rPr>
        <w:t>in the quarter of year interval) and size of real estate must be kept constant</w:t>
      </w:r>
      <w:r w:rsidR="004B325D" w:rsidRPr="002545FB">
        <w:rPr>
          <w:sz w:val="24"/>
          <w:lang w:val="en-GB"/>
        </w:rPr>
        <w:t xml:space="preserve">. </w:t>
      </w:r>
    </w:p>
    <w:p w:rsidR="004B325D" w:rsidRPr="002545FB" w:rsidRDefault="001F47E5">
      <w:pPr>
        <w:tabs>
          <w:tab w:val="num" w:pos="0"/>
        </w:tabs>
        <w:rPr>
          <w:sz w:val="24"/>
          <w:lang w:val="en-GB"/>
        </w:rPr>
      </w:pPr>
      <w:r w:rsidRPr="002545FB">
        <w:rPr>
          <w:sz w:val="24"/>
          <w:lang w:val="en-GB"/>
        </w:rPr>
        <w:t>The method applied for family houses and flats uses regression analysis</w:t>
      </w:r>
      <w:r w:rsidR="004B325D" w:rsidRPr="002545FB">
        <w:rPr>
          <w:sz w:val="24"/>
          <w:lang w:val="en-GB"/>
        </w:rPr>
        <w:t xml:space="preserve">. </w:t>
      </w:r>
      <w:r w:rsidRPr="002545FB">
        <w:rPr>
          <w:sz w:val="24"/>
          <w:lang w:val="en-GB"/>
        </w:rPr>
        <w:t xml:space="preserve">The regression model assumes the price of the real estate </w:t>
      </w:r>
      <w:r w:rsidR="006B5812" w:rsidRPr="002545FB">
        <w:rPr>
          <w:sz w:val="24"/>
          <w:lang w:val="en-GB"/>
        </w:rPr>
        <w:t>surveye</w:t>
      </w:r>
      <w:r w:rsidRPr="002545FB">
        <w:rPr>
          <w:sz w:val="24"/>
          <w:lang w:val="en-GB"/>
        </w:rPr>
        <w:t>d depends on the period</w:t>
      </w:r>
      <w:r w:rsidR="004B325D" w:rsidRPr="002545FB">
        <w:rPr>
          <w:sz w:val="24"/>
          <w:lang w:val="en-GB"/>
        </w:rPr>
        <w:t xml:space="preserve">, </w:t>
      </w:r>
      <w:r w:rsidRPr="002545FB">
        <w:rPr>
          <w:sz w:val="24"/>
          <w:lang w:val="en-GB"/>
        </w:rPr>
        <w:t>size category of municipality</w:t>
      </w:r>
      <w:r w:rsidR="004B325D" w:rsidRPr="002545FB">
        <w:rPr>
          <w:sz w:val="24"/>
          <w:lang w:val="en-GB"/>
        </w:rPr>
        <w:t>, a</w:t>
      </w:r>
      <w:r w:rsidRPr="002545FB">
        <w:rPr>
          <w:sz w:val="24"/>
          <w:lang w:val="en-GB"/>
        </w:rPr>
        <w:t xml:space="preserve">nd </w:t>
      </w:r>
      <w:r w:rsidR="006B5812" w:rsidRPr="002545FB">
        <w:rPr>
          <w:sz w:val="24"/>
          <w:lang w:val="en-GB"/>
        </w:rPr>
        <w:t xml:space="preserve">the </w:t>
      </w:r>
      <w:r w:rsidRPr="002545FB">
        <w:rPr>
          <w:sz w:val="24"/>
          <w:lang w:val="en-GB"/>
        </w:rPr>
        <w:t>size of real estate</w:t>
      </w:r>
      <w:r w:rsidR="004B325D" w:rsidRPr="002545FB">
        <w:rPr>
          <w:sz w:val="24"/>
          <w:lang w:val="en-GB"/>
        </w:rPr>
        <w:t xml:space="preserve">. </w:t>
      </w:r>
      <w:r w:rsidRPr="002545FB">
        <w:rPr>
          <w:sz w:val="24"/>
          <w:lang w:val="en-GB"/>
        </w:rPr>
        <w:t xml:space="preserve">The whole surveyed set of the real estate </w:t>
      </w:r>
      <w:r w:rsidR="006B5812" w:rsidRPr="002545FB">
        <w:rPr>
          <w:sz w:val="24"/>
          <w:lang w:val="en-GB"/>
        </w:rPr>
        <w:t>survey</w:t>
      </w:r>
      <w:r w:rsidRPr="002545FB">
        <w:rPr>
          <w:sz w:val="24"/>
          <w:lang w:val="en-GB"/>
        </w:rPr>
        <w:t xml:space="preserve">ed </w:t>
      </w:r>
      <w:r w:rsidR="004B325D" w:rsidRPr="002545FB">
        <w:rPr>
          <w:sz w:val="24"/>
          <w:lang w:val="en-GB"/>
        </w:rPr>
        <w:t>(</w:t>
      </w:r>
      <w:r w:rsidR="006B5812" w:rsidRPr="002545FB">
        <w:rPr>
          <w:sz w:val="24"/>
          <w:lang w:val="en-GB"/>
        </w:rPr>
        <w:t>as</w:t>
      </w:r>
      <w:r w:rsidRPr="002545FB">
        <w:rPr>
          <w:sz w:val="24"/>
          <w:lang w:val="en-GB"/>
        </w:rPr>
        <w:t xml:space="preserve"> family house</w:t>
      </w:r>
      <w:r w:rsidR="006B5812" w:rsidRPr="002545FB">
        <w:rPr>
          <w:sz w:val="24"/>
          <w:lang w:val="en-GB"/>
        </w:rPr>
        <w:t>s</w:t>
      </w:r>
      <w:r w:rsidR="004B325D" w:rsidRPr="002545FB">
        <w:rPr>
          <w:sz w:val="24"/>
          <w:lang w:val="en-GB"/>
        </w:rPr>
        <w:t xml:space="preserve">, </w:t>
      </w:r>
      <w:r w:rsidRPr="002545FB">
        <w:rPr>
          <w:sz w:val="24"/>
          <w:lang w:val="en-GB"/>
        </w:rPr>
        <w:t xml:space="preserve">aggregated </w:t>
      </w:r>
      <w:r w:rsidR="004B325D" w:rsidRPr="002545FB">
        <w:rPr>
          <w:sz w:val="24"/>
          <w:lang w:val="en-GB"/>
        </w:rPr>
        <w:t xml:space="preserve">data </w:t>
      </w:r>
      <w:r w:rsidRPr="002545FB">
        <w:rPr>
          <w:sz w:val="24"/>
          <w:lang w:val="en-GB"/>
        </w:rPr>
        <w:t>for</w:t>
      </w:r>
      <w:r w:rsidR="004B325D" w:rsidRPr="002545FB">
        <w:rPr>
          <w:sz w:val="24"/>
          <w:lang w:val="en-GB"/>
        </w:rPr>
        <w:t xml:space="preserve"> 20</w:t>
      </w:r>
      <w:r w:rsidR="00F53128" w:rsidRPr="002545FB">
        <w:rPr>
          <w:sz w:val="24"/>
          <w:lang w:val="en-GB"/>
        </w:rPr>
        <w:t>1</w:t>
      </w:r>
      <w:r w:rsidR="00984EA0" w:rsidRPr="002545FB">
        <w:rPr>
          <w:sz w:val="24"/>
          <w:lang w:val="en-GB"/>
        </w:rPr>
        <w:t>3</w:t>
      </w:r>
      <w:r w:rsidR="004B325D" w:rsidRPr="002545FB">
        <w:rPr>
          <w:sz w:val="24"/>
          <w:lang w:val="en-GB"/>
        </w:rPr>
        <w:t>-20</w:t>
      </w:r>
      <w:r w:rsidR="00F53128" w:rsidRPr="002545FB">
        <w:rPr>
          <w:sz w:val="24"/>
          <w:lang w:val="en-GB"/>
        </w:rPr>
        <w:t>1</w:t>
      </w:r>
      <w:r w:rsidR="00984EA0" w:rsidRPr="002545FB">
        <w:rPr>
          <w:sz w:val="24"/>
          <w:lang w:val="en-GB"/>
        </w:rPr>
        <w:t>5</w:t>
      </w:r>
      <w:r w:rsidRPr="002545FB">
        <w:rPr>
          <w:sz w:val="24"/>
          <w:lang w:val="en-GB"/>
        </w:rPr>
        <w:t>, for instance</w:t>
      </w:r>
      <w:r w:rsidR="004B325D" w:rsidRPr="002545FB">
        <w:rPr>
          <w:sz w:val="24"/>
          <w:lang w:val="en-GB"/>
        </w:rPr>
        <w:t xml:space="preserve">) </w:t>
      </w:r>
      <w:r w:rsidRPr="002545FB">
        <w:rPr>
          <w:sz w:val="24"/>
          <w:lang w:val="en-GB"/>
        </w:rPr>
        <w:t>i</w:t>
      </w:r>
      <w:r w:rsidR="004B325D" w:rsidRPr="002545FB">
        <w:rPr>
          <w:sz w:val="24"/>
          <w:lang w:val="en-GB"/>
        </w:rPr>
        <w:t>s</w:t>
      </w:r>
      <w:r w:rsidRPr="002545FB">
        <w:rPr>
          <w:sz w:val="24"/>
          <w:lang w:val="en-GB"/>
        </w:rPr>
        <w:t xml:space="preserve"> subdivided into subgroups defined by </w:t>
      </w:r>
      <w:r w:rsidR="006B5812" w:rsidRPr="002545FB">
        <w:rPr>
          <w:sz w:val="24"/>
          <w:lang w:val="en-GB"/>
        </w:rPr>
        <w:t>a</w:t>
      </w:r>
      <w:r w:rsidRPr="002545FB">
        <w:rPr>
          <w:sz w:val="24"/>
          <w:lang w:val="en-GB"/>
        </w:rPr>
        <w:t xml:space="preserve"> </w:t>
      </w:r>
      <w:r w:rsidR="0063379B" w:rsidRPr="002545FB">
        <w:rPr>
          <w:sz w:val="24"/>
          <w:lang w:val="en-GB"/>
        </w:rPr>
        <w:t>cross-</w:t>
      </w:r>
      <w:r w:rsidRPr="002545FB">
        <w:rPr>
          <w:sz w:val="24"/>
          <w:lang w:val="en-GB"/>
        </w:rPr>
        <w:t xml:space="preserve">combination of the size of municipality and </w:t>
      </w:r>
      <w:r w:rsidR="006B5812" w:rsidRPr="002545FB">
        <w:rPr>
          <w:sz w:val="24"/>
          <w:lang w:val="en-GB"/>
        </w:rPr>
        <w:t xml:space="preserve">the extent of </w:t>
      </w:r>
      <w:r w:rsidRPr="002545FB">
        <w:rPr>
          <w:sz w:val="24"/>
          <w:lang w:val="en-GB"/>
        </w:rPr>
        <w:t xml:space="preserve">wear group. </w:t>
      </w:r>
      <w:r w:rsidR="00892B16" w:rsidRPr="002545FB">
        <w:rPr>
          <w:sz w:val="24"/>
          <w:lang w:val="en-GB"/>
        </w:rPr>
        <w:t>The</w:t>
      </w:r>
      <w:r w:rsidR="006B5812" w:rsidRPr="002545FB">
        <w:rPr>
          <w:sz w:val="24"/>
          <w:lang w:val="en-GB"/>
        </w:rPr>
        <w:t xml:space="preserve">n the </w:t>
      </w:r>
      <w:r w:rsidR="00892B16" w:rsidRPr="002545FB">
        <w:rPr>
          <w:sz w:val="24"/>
          <w:lang w:val="en-GB"/>
        </w:rPr>
        <w:t xml:space="preserve">aforementioned regression model is determined in every subgroup formed this way. It will provide a statistical dependence of the price on </w:t>
      </w:r>
      <w:r w:rsidR="006B5812" w:rsidRPr="002545FB">
        <w:rPr>
          <w:sz w:val="24"/>
          <w:lang w:val="en-GB"/>
        </w:rPr>
        <w:t xml:space="preserve">the </w:t>
      </w:r>
      <w:r w:rsidR="00892B16" w:rsidRPr="002545FB">
        <w:rPr>
          <w:sz w:val="24"/>
          <w:lang w:val="en-GB"/>
        </w:rPr>
        <w:t>“size” of the family houses in the subgroup. Then every price of the given real estate in this subgroup can be “converted” to appropriate “standard” in th</w:t>
      </w:r>
      <w:r w:rsidR="006B5812" w:rsidRPr="002545FB">
        <w:rPr>
          <w:sz w:val="24"/>
          <w:lang w:val="en-GB"/>
        </w:rPr>
        <w:t>is</w:t>
      </w:r>
      <w:r w:rsidR="00892B16" w:rsidRPr="002545FB">
        <w:rPr>
          <w:sz w:val="24"/>
          <w:lang w:val="en-GB"/>
        </w:rPr>
        <w:t xml:space="preserve"> subgroup </w:t>
      </w:r>
      <w:r w:rsidR="00DD6469" w:rsidRPr="002545FB">
        <w:rPr>
          <w:sz w:val="24"/>
          <w:lang w:val="en-GB"/>
        </w:rPr>
        <w:t>(</w:t>
      </w:r>
      <w:r w:rsidR="00892B16" w:rsidRPr="002545FB">
        <w:rPr>
          <w:sz w:val="24"/>
          <w:lang w:val="en-GB"/>
        </w:rPr>
        <w:t xml:space="preserve">i.e. one-floor house without </w:t>
      </w:r>
      <w:r w:rsidR="006B5812" w:rsidRPr="002545FB">
        <w:rPr>
          <w:sz w:val="24"/>
          <w:lang w:val="en-GB"/>
        </w:rPr>
        <w:t xml:space="preserve">a </w:t>
      </w:r>
      <w:r w:rsidR="00892B16" w:rsidRPr="002545FB">
        <w:rPr>
          <w:sz w:val="24"/>
          <w:lang w:val="en-GB"/>
        </w:rPr>
        <w:t>cellar</w:t>
      </w:r>
      <w:r w:rsidR="00DD6469" w:rsidRPr="002545FB">
        <w:rPr>
          <w:sz w:val="24"/>
          <w:lang w:val="en-GB"/>
        </w:rPr>
        <w:t>)</w:t>
      </w:r>
      <w:r w:rsidR="004B325D" w:rsidRPr="002545FB">
        <w:rPr>
          <w:sz w:val="24"/>
          <w:lang w:val="en-GB"/>
        </w:rPr>
        <w:t xml:space="preserve">, </w:t>
      </w:r>
      <w:r w:rsidR="00DB3F9F" w:rsidRPr="002545FB">
        <w:rPr>
          <w:sz w:val="24"/>
          <w:lang w:val="en-GB"/>
        </w:rPr>
        <w:t>that means to carry out the required quantitative adjustment prior the subsequent price comparison.</w:t>
      </w:r>
    </w:p>
    <w:p w:rsidR="004B325D" w:rsidRPr="002545FB" w:rsidRDefault="00DB3F9F">
      <w:pPr>
        <w:tabs>
          <w:tab w:val="num" w:pos="0"/>
        </w:tabs>
        <w:rPr>
          <w:sz w:val="24"/>
          <w:lang w:val="en-GB"/>
        </w:rPr>
      </w:pPr>
      <w:r w:rsidRPr="002545FB">
        <w:rPr>
          <w:sz w:val="24"/>
          <w:lang w:val="en-GB"/>
        </w:rPr>
        <w:t>The model applied for family houses assumes a linear dependence o</w:t>
      </w:r>
      <w:r w:rsidR="00023143" w:rsidRPr="002545FB">
        <w:rPr>
          <w:sz w:val="24"/>
          <w:lang w:val="en-GB"/>
        </w:rPr>
        <w:t>f</w:t>
      </w:r>
      <w:r w:rsidRPr="002545FB">
        <w:rPr>
          <w:sz w:val="24"/>
          <w:lang w:val="en-GB"/>
        </w:rPr>
        <w:t xml:space="preserve"> the logarithm </w:t>
      </w:r>
      <w:r w:rsidR="00B56CDC" w:rsidRPr="002545FB">
        <w:rPr>
          <w:sz w:val="24"/>
          <w:lang w:val="en-GB"/>
        </w:rPr>
        <w:t xml:space="preserve">of the unit price </w:t>
      </w:r>
      <w:r w:rsidRPr="002545FB">
        <w:rPr>
          <w:sz w:val="24"/>
          <w:lang w:val="en-GB"/>
        </w:rPr>
        <w:t>on the period</w:t>
      </w:r>
      <w:r w:rsidR="00411170" w:rsidRPr="002545FB">
        <w:rPr>
          <w:sz w:val="24"/>
          <w:lang w:val="en-GB"/>
        </w:rPr>
        <w:t>,</w:t>
      </w:r>
      <w:r w:rsidR="004B325D" w:rsidRPr="002545FB">
        <w:rPr>
          <w:sz w:val="24"/>
          <w:lang w:val="en-GB"/>
        </w:rPr>
        <w:t xml:space="preserve"> </w:t>
      </w:r>
      <w:r w:rsidRPr="002545FB">
        <w:rPr>
          <w:sz w:val="24"/>
          <w:lang w:val="en-GB"/>
        </w:rPr>
        <w:t xml:space="preserve">size category of municipality </w:t>
      </w:r>
      <w:r w:rsidR="00E746AB" w:rsidRPr="002545FB">
        <w:rPr>
          <w:sz w:val="24"/>
          <w:lang w:val="en-GB"/>
        </w:rPr>
        <w:t xml:space="preserve">and the “size” of family house </w:t>
      </w:r>
      <w:r w:rsidR="004B325D" w:rsidRPr="002545FB">
        <w:rPr>
          <w:sz w:val="24"/>
          <w:lang w:val="en-GB"/>
        </w:rPr>
        <w:t>(</w:t>
      </w:r>
      <w:r w:rsidR="009A1061" w:rsidRPr="002545FB">
        <w:rPr>
          <w:sz w:val="24"/>
          <w:lang w:val="en-GB"/>
        </w:rPr>
        <w:t xml:space="preserve">variables </w:t>
      </w:r>
      <w:r w:rsidR="00B56CDC" w:rsidRPr="002545FB">
        <w:rPr>
          <w:sz w:val="24"/>
          <w:lang w:val="en-GB"/>
        </w:rPr>
        <w:t xml:space="preserve">have </w:t>
      </w:r>
      <w:r w:rsidR="009A1061" w:rsidRPr="002545FB">
        <w:rPr>
          <w:sz w:val="24"/>
          <w:lang w:val="en-GB"/>
        </w:rPr>
        <w:t>discrete values</w:t>
      </w:r>
      <w:r w:rsidR="00777CE3" w:rsidRPr="002545FB">
        <w:rPr>
          <w:sz w:val="24"/>
          <w:lang w:val="en-GB"/>
        </w:rPr>
        <w:t>)</w:t>
      </w:r>
      <w:r w:rsidR="004B325D" w:rsidRPr="002545FB">
        <w:rPr>
          <w:sz w:val="24"/>
          <w:lang w:val="en-GB"/>
        </w:rPr>
        <w:t xml:space="preserve">. </w:t>
      </w:r>
      <w:r w:rsidR="009A1061" w:rsidRPr="002545FB">
        <w:rPr>
          <w:sz w:val="24"/>
          <w:lang w:val="en-GB"/>
        </w:rPr>
        <w:t xml:space="preserve">For flats the logarithm </w:t>
      </w:r>
      <w:r w:rsidR="00B56CDC" w:rsidRPr="002545FB">
        <w:rPr>
          <w:sz w:val="24"/>
          <w:lang w:val="en-GB"/>
        </w:rPr>
        <w:t xml:space="preserve">of the unit price </w:t>
      </w:r>
      <w:r w:rsidR="009A1061" w:rsidRPr="002545FB">
        <w:rPr>
          <w:sz w:val="24"/>
          <w:lang w:val="en-GB"/>
        </w:rPr>
        <w:t>depends on the period and the fact</w:t>
      </w:r>
      <w:r w:rsidR="004B325D" w:rsidRPr="002545FB">
        <w:rPr>
          <w:sz w:val="24"/>
          <w:lang w:val="en-GB"/>
        </w:rPr>
        <w:t xml:space="preserve">, </w:t>
      </w:r>
      <w:r w:rsidR="009A1061" w:rsidRPr="002545FB">
        <w:rPr>
          <w:sz w:val="24"/>
          <w:lang w:val="en-GB"/>
        </w:rPr>
        <w:t>if th</w:t>
      </w:r>
      <w:r w:rsidR="00023143" w:rsidRPr="002545FB">
        <w:rPr>
          <w:sz w:val="24"/>
          <w:lang w:val="en-GB"/>
        </w:rPr>
        <w:t xml:space="preserve">e respective </w:t>
      </w:r>
      <w:r w:rsidR="009A1061" w:rsidRPr="002545FB">
        <w:rPr>
          <w:sz w:val="24"/>
          <w:lang w:val="en-GB"/>
        </w:rPr>
        <w:t>flat is in a bricked o</w:t>
      </w:r>
      <w:r w:rsidR="00023143" w:rsidRPr="002545FB">
        <w:rPr>
          <w:sz w:val="24"/>
          <w:lang w:val="en-GB"/>
        </w:rPr>
        <w:t>r</w:t>
      </w:r>
      <w:r w:rsidR="009A1061" w:rsidRPr="002545FB">
        <w:rPr>
          <w:sz w:val="24"/>
          <w:lang w:val="en-GB"/>
        </w:rPr>
        <w:t xml:space="preserve"> panel multi</w:t>
      </w:r>
      <w:r w:rsidR="00491A93" w:rsidRPr="002545FB">
        <w:rPr>
          <w:sz w:val="24"/>
          <w:lang w:val="en-GB"/>
        </w:rPr>
        <w:t>-</w:t>
      </w:r>
      <w:r w:rsidR="009A1061" w:rsidRPr="002545FB">
        <w:rPr>
          <w:sz w:val="24"/>
          <w:lang w:val="en-GB"/>
        </w:rPr>
        <w:t xml:space="preserve">dwelling building </w:t>
      </w:r>
      <w:r w:rsidR="004B325D" w:rsidRPr="002545FB">
        <w:rPr>
          <w:sz w:val="24"/>
          <w:lang w:val="en-GB"/>
        </w:rPr>
        <w:t>(</w:t>
      </w:r>
      <w:r w:rsidR="009A1061" w:rsidRPr="002545FB">
        <w:rPr>
          <w:sz w:val="24"/>
          <w:lang w:val="en-GB"/>
        </w:rPr>
        <w:t xml:space="preserve">variables </w:t>
      </w:r>
      <w:r w:rsidR="00B56CDC" w:rsidRPr="002545FB">
        <w:rPr>
          <w:sz w:val="24"/>
          <w:lang w:val="en-GB"/>
        </w:rPr>
        <w:t xml:space="preserve">have </w:t>
      </w:r>
      <w:r w:rsidR="009A1061" w:rsidRPr="002545FB">
        <w:rPr>
          <w:sz w:val="24"/>
          <w:lang w:val="en-GB"/>
        </w:rPr>
        <w:t>discrete values</w:t>
      </w:r>
      <w:r w:rsidR="004B325D" w:rsidRPr="002545FB">
        <w:rPr>
          <w:sz w:val="24"/>
          <w:lang w:val="en-GB"/>
        </w:rPr>
        <w:t>)</w:t>
      </w:r>
      <w:r w:rsidR="00023143" w:rsidRPr="002545FB">
        <w:rPr>
          <w:sz w:val="24"/>
          <w:lang w:val="en-GB"/>
        </w:rPr>
        <w:t>,</w:t>
      </w:r>
      <w:r w:rsidR="004B325D" w:rsidRPr="002545FB">
        <w:rPr>
          <w:sz w:val="24"/>
          <w:lang w:val="en-GB"/>
        </w:rPr>
        <w:t xml:space="preserve"> a</w:t>
      </w:r>
      <w:r w:rsidR="009A1061" w:rsidRPr="002545FB">
        <w:rPr>
          <w:sz w:val="24"/>
          <w:lang w:val="en-GB"/>
        </w:rPr>
        <w:t xml:space="preserve">nd on its size </w:t>
      </w:r>
      <w:r w:rsidR="00AE2699" w:rsidRPr="002545FB">
        <w:rPr>
          <w:sz w:val="24"/>
          <w:lang w:val="en-GB"/>
        </w:rPr>
        <w:t>(</w:t>
      </w:r>
      <w:r w:rsidR="009A1061" w:rsidRPr="002545FB">
        <w:rPr>
          <w:sz w:val="24"/>
          <w:lang w:val="en-GB"/>
        </w:rPr>
        <w:t xml:space="preserve">variables </w:t>
      </w:r>
      <w:r w:rsidR="00B56CDC" w:rsidRPr="002545FB">
        <w:rPr>
          <w:sz w:val="24"/>
          <w:lang w:val="en-GB"/>
        </w:rPr>
        <w:t xml:space="preserve">have </w:t>
      </w:r>
      <w:r w:rsidR="009A1061" w:rsidRPr="002545FB">
        <w:rPr>
          <w:sz w:val="24"/>
          <w:lang w:val="en-GB"/>
        </w:rPr>
        <w:t>continuous values</w:t>
      </w:r>
      <w:r w:rsidR="004B325D" w:rsidRPr="002545FB">
        <w:rPr>
          <w:sz w:val="24"/>
          <w:lang w:val="en-GB"/>
        </w:rPr>
        <w:t xml:space="preserve">). </w:t>
      </w:r>
      <w:r w:rsidR="002E009B" w:rsidRPr="002545FB">
        <w:rPr>
          <w:sz w:val="24"/>
          <w:lang w:val="en-GB"/>
        </w:rPr>
        <w:t xml:space="preserve">A quadratic </w:t>
      </w:r>
      <w:proofErr w:type="gramStart"/>
      <w:r w:rsidR="002E009B" w:rsidRPr="002545FB">
        <w:rPr>
          <w:sz w:val="24"/>
          <w:lang w:val="en-GB"/>
        </w:rPr>
        <w:t>form</w:t>
      </w:r>
      <w:r w:rsidR="004B325D" w:rsidRPr="002545FB">
        <w:rPr>
          <w:sz w:val="24"/>
          <w:lang w:val="en-GB"/>
        </w:rPr>
        <w:t>,</w:t>
      </w:r>
      <w:proofErr w:type="gramEnd"/>
      <w:r w:rsidR="004B325D" w:rsidRPr="002545FB">
        <w:rPr>
          <w:sz w:val="24"/>
          <w:lang w:val="en-GB"/>
        </w:rPr>
        <w:t xml:space="preserve"> </w:t>
      </w:r>
      <w:r w:rsidR="00491A93" w:rsidRPr="002545FB">
        <w:rPr>
          <w:sz w:val="24"/>
          <w:lang w:val="en-GB"/>
        </w:rPr>
        <w:t xml:space="preserve">or any other non-linear </w:t>
      </w:r>
      <w:r w:rsidR="004B325D" w:rsidRPr="002545FB">
        <w:rPr>
          <w:sz w:val="24"/>
          <w:lang w:val="en-GB"/>
        </w:rPr>
        <w:t>form</w:t>
      </w:r>
      <w:r w:rsidR="00491A93" w:rsidRPr="002545FB">
        <w:rPr>
          <w:sz w:val="24"/>
          <w:lang w:val="en-GB"/>
        </w:rPr>
        <w:t xml:space="preserve"> of e</w:t>
      </w:r>
      <w:r w:rsidR="00156206" w:rsidRPr="002545FB">
        <w:rPr>
          <w:sz w:val="24"/>
          <w:lang w:val="en-GB"/>
        </w:rPr>
        <w:t xml:space="preserve">xplaining </w:t>
      </w:r>
      <w:r w:rsidR="00491A93" w:rsidRPr="002545FB">
        <w:rPr>
          <w:sz w:val="24"/>
          <w:lang w:val="en-GB"/>
        </w:rPr>
        <w:t xml:space="preserve">variables was excluded </w:t>
      </w:r>
      <w:r w:rsidR="00156206" w:rsidRPr="002545FB">
        <w:rPr>
          <w:sz w:val="24"/>
          <w:lang w:val="en-GB"/>
        </w:rPr>
        <w:t xml:space="preserve">for </w:t>
      </w:r>
      <w:r w:rsidR="00491A93" w:rsidRPr="002545FB">
        <w:rPr>
          <w:sz w:val="24"/>
          <w:lang w:val="en-GB"/>
        </w:rPr>
        <w:t>statistic</w:t>
      </w:r>
      <w:r w:rsidR="00156206" w:rsidRPr="002545FB">
        <w:rPr>
          <w:sz w:val="24"/>
          <w:lang w:val="en-GB"/>
        </w:rPr>
        <w:t>al reason</w:t>
      </w:r>
      <w:r w:rsidR="00491A93" w:rsidRPr="002545FB">
        <w:rPr>
          <w:sz w:val="24"/>
          <w:lang w:val="en-GB"/>
        </w:rPr>
        <w:t xml:space="preserve">s. </w:t>
      </w:r>
      <w:r w:rsidR="002E009B" w:rsidRPr="002545FB">
        <w:rPr>
          <w:sz w:val="24"/>
          <w:lang w:val="en-GB"/>
        </w:rPr>
        <w:t>The necessary calculation</w:t>
      </w:r>
      <w:r w:rsidR="00156206" w:rsidRPr="002545FB">
        <w:rPr>
          <w:sz w:val="24"/>
          <w:lang w:val="en-GB"/>
        </w:rPr>
        <w:t>s</w:t>
      </w:r>
      <w:r w:rsidR="002E009B" w:rsidRPr="002545FB">
        <w:rPr>
          <w:sz w:val="24"/>
          <w:lang w:val="en-GB"/>
        </w:rPr>
        <w:t xml:space="preserve"> were performed f</w:t>
      </w:r>
      <w:r w:rsidR="00491A93" w:rsidRPr="002545FB">
        <w:rPr>
          <w:sz w:val="24"/>
          <w:lang w:val="en-GB"/>
        </w:rPr>
        <w:t>or multi</w:t>
      </w:r>
      <w:r w:rsidR="002E009B" w:rsidRPr="002545FB">
        <w:rPr>
          <w:sz w:val="24"/>
          <w:lang w:val="en-GB"/>
        </w:rPr>
        <w:t xml:space="preserve">-dwelling buildings yet it has </w:t>
      </w:r>
      <w:r w:rsidR="00B56CDC" w:rsidRPr="002545FB">
        <w:rPr>
          <w:sz w:val="24"/>
          <w:lang w:val="en-GB"/>
        </w:rPr>
        <w:t xml:space="preserve">often </w:t>
      </w:r>
      <w:r w:rsidR="002E009B" w:rsidRPr="002545FB">
        <w:rPr>
          <w:sz w:val="24"/>
          <w:lang w:val="en-GB"/>
        </w:rPr>
        <w:t xml:space="preserve">come out that a better way to use prices </w:t>
      </w:r>
      <w:r w:rsidR="00156206" w:rsidRPr="002545FB">
        <w:rPr>
          <w:sz w:val="24"/>
          <w:lang w:val="en-GB"/>
        </w:rPr>
        <w:t xml:space="preserve">is to keep them </w:t>
      </w:r>
      <w:r w:rsidR="002E009B" w:rsidRPr="002545FB">
        <w:rPr>
          <w:sz w:val="24"/>
          <w:lang w:val="en-GB"/>
        </w:rPr>
        <w:t>not adjusted by the aforementioned method</w:t>
      </w:r>
      <w:r w:rsidR="004B325D" w:rsidRPr="002545FB">
        <w:rPr>
          <w:sz w:val="24"/>
          <w:lang w:val="en-GB"/>
        </w:rPr>
        <w:t xml:space="preserve">, </w:t>
      </w:r>
      <w:r w:rsidR="002E009B" w:rsidRPr="002545FB">
        <w:rPr>
          <w:sz w:val="24"/>
          <w:lang w:val="en-GB"/>
        </w:rPr>
        <w:t xml:space="preserve">because </w:t>
      </w:r>
      <w:r w:rsidR="004B325D" w:rsidRPr="002545FB">
        <w:rPr>
          <w:sz w:val="24"/>
          <w:lang w:val="en-GB"/>
        </w:rPr>
        <w:t>regres</w:t>
      </w:r>
      <w:r w:rsidR="002E009B" w:rsidRPr="002545FB">
        <w:rPr>
          <w:sz w:val="24"/>
          <w:lang w:val="en-GB"/>
        </w:rPr>
        <w:t>sion</w:t>
      </w:r>
      <w:r w:rsidR="004B325D" w:rsidRPr="002545FB">
        <w:rPr>
          <w:sz w:val="24"/>
          <w:lang w:val="en-GB"/>
        </w:rPr>
        <w:t xml:space="preserve"> model</w:t>
      </w:r>
      <w:r w:rsidR="002E009B" w:rsidRPr="002545FB">
        <w:rPr>
          <w:sz w:val="24"/>
          <w:lang w:val="en-GB"/>
        </w:rPr>
        <w:t xml:space="preserve">s are not </w:t>
      </w:r>
      <w:r w:rsidR="00B56CDC" w:rsidRPr="002545FB">
        <w:rPr>
          <w:sz w:val="24"/>
          <w:lang w:val="en-GB"/>
        </w:rPr>
        <w:t xml:space="preserve">always </w:t>
      </w:r>
      <w:r w:rsidR="002E009B" w:rsidRPr="002545FB">
        <w:rPr>
          <w:sz w:val="24"/>
          <w:lang w:val="en-GB"/>
        </w:rPr>
        <w:t xml:space="preserve">statistically provable and adjusted prices demonstrate </w:t>
      </w:r>
      <w:r w:rsidR="00B56CDC" w:rsidRPr="002545FB">
        <w:rPr>
          <w:sz w:val="24"/>
          <w:lang w:val="en-GB"/>
        </w:rPr>
        <w:t xml:space="preserve">often </w:t>
      </w:r>
      <w:r w:rsidR="002E009B" w:rsidRPr="002545FB">
        <w:rPr>
          <w:sz w:val="24"/>
          <w:lang w:val="en-GB"/>
        </w:rPr>
        <w:t>even higher variability than the non-adjusted ones.</w:t>
      </w:r>
    </w:p>
    <w:p w:rsidR="004B325D" w:rsidRPr="002545FB" w:rsidRDefault="00C44385">
      <w:pPr>
        <w:tabs>
          <w:tab w:val="num" w:pos="0"/>
        </w:tabs>
        <w:rPr>
          <w:sz w:val="24"/>
          <w:lang w:val="en-GB"/>
        </w:rPr>
      </w:pPr>
      <w:r w:rsidRPr="002545FB">
        <w:rPr>
          <w:sz w:val="24"/>
          <w:lang w:val="en-GB"/>
        </w:rPr>
        <w:t>A special approach is used for construction plots because analogical e</w:t>
      </w:r>
      <w:r w:rsidR="00DC17DC" w:rsidRPr="002545FB">
        <w:rPr>
          <w:sz w:val="24"/>
          <w:lang w:val="en-GB"/>
        </w:rPr>
        <w:t xml:space="preserve">xplaining </w:t>
      </w:r>
      <w:r w:rsidRPr="002545FB">
        <w:rPr>
          <w:sz w:val="24"/>
          <w:lang w:val="en-GB"/>
        </w:rPr>
        <w:t xml:space="preserve">variables are not available. The main factor </w:t>
      </w:r>
      <w:r w:rsidR="004B325D" w:rsidRPr="002545FB">
        <w:rPr>
          <w:sz w:val="24"/>
          <w:lang w:val="en-GB"/>
        </w:rPr>
        <w:t>(a</w:t>
      </w:r>
      <w:r w:rsidRPr="002545FB">
        <w:rPr>
          <w:sz w:val="24"/>
          <w:lang w:val="en-GB"/>
        </w:rPr>
        <w:t>nd in fact the only one known</w:t>
      </w:r>
      <w:r w:rsidR="004B325D" w:rsidRPr="002545FB">
        <w:rPr>
          <w:sz w:val="24"/>
          <w:lang w:val="en-GB"/>
        </w:rPr>
        <w:t xml:space="preserve">) </w:t>
      </w:r>
      <w:r w:rsidRPr="002545FB">
        <w:rPr>
          <w:sz w:val="24"/>
          <w:lang w:val="en-GB"/>
        </w:rPr>
        <w:t>is the location</w:t>
      </w:r>
      <w:r w:rsidR="004B325D" w:rsidRPr="002545FB">
        <w:rPr>
          <w:sz w:val="24"/>
          <w:lang w:val="en-GB"/>
        </w:rPr>
        <w:t xml:space="preserve">. </w:t>
      </w:r>
      <w:r w:rsidRPr="002545FB">
        <w:rPr>
          <w:sz w:val="24"/>
          <w:lang w:val="en-GB"/>
        </w:rPr>
        <w:t>The</w:t>
      </w:r>
      <w:r w:rsidR="00DC17DC" w:rsidRPr="002545FB">
        <w:rPr>
          <w:sz w:val="24"/>
          <w:lang w:val="en-GB"/>
        </w:rPr>
        <w:t>refore the</w:t>
      </w:r>
      <w:r w:rsidRPr="002545FB">
        <w:rPr>
          <w:sz w:val="24"/>
          <w:lang w:val="en-GB"/>
        </w:rPr>
        <w:t xml:space="preserve"> whole set of construction </w:t>
      </w:r>
      <w:proofErr w:type="gramStart"/>
      <w:r w:rsidRPr="002545FB">
        <w:rPr>
          <w:sz w:val="24"/>
          <w:lang w:val="en-GB"/>
        </w:rPr>
        <w:t>plot</w:t>
      </w:r>
      <w:r w:rsidR="00B56CDC" w:rsidRPr="002545FB">
        <w:rPr>
          <w:sz w:val="24"/>
          <w:lang w:val="en-GB"/>
        </w:rPr>
        <w:t>s</w:t>
      </w:r>
      <w:r w:rsidRPr="002545FB">
        <w:rPr>
          <w:sz w:val="24"/>
          <w:lang w:val="en-GB"/>
        </w:rPr>
        <w:t xml:space="preserve"> was</w:t>
      </w:r>
      <w:proofErr w:type="gramEnd"/>
      <w:r w:rsidRPr="002545FB">
        <w:rPr>
          <w:sz w:val="24"/>
          <w:lang w:val="en-GB"/>
        </w:rPr>
        <w:t xml:space="preserve"> subdivided into respective cadastral districts</w:t>
      </w:r>
      <w:r w:rsidR="004B325D" w:rsidRPr="002545FB">
        <w:rPr>
          <w:sz w:val="24"/>
          <w:lang w:val="en-GB"/>
        </w:rPr>
        <w:t xml:space="preserve">. </w:t>
      </w:r>
      <w:r w:rsidRPr="002545FB">
        <w:rPr>
          <w:sz w:val="24"/>
          <w:lang w:val="en-GB"/>
        </w:rPr>
        <w:t xml:space="preserve">Based on the data for </w:t>
      </w:r>
      <w:r w:rsidR="00F26DBC" w:rsidRPr="002545FB">
        <w:rPr>
          <w:sz w:val="24"/>
          <w:lang w:val="en-GB"/>
        </w:rPr>
        <w:t>201</w:t>
      </w:r>
      <w:r w:rsidR="00D56798" w:rsidRPr="002545FB">
        <w:rPr>
          <w:sz w:val="24"/>
          <w:lang w:val="en-GB"/>
        </w:rPr>
        <w:t>4</w:t>
      </w:r>
      <w:r w:rsidR="00FE24B5" w:rsidRPr="002545FB">
        <w:rPr>
          <w:sz w:val="24"/>
          <w:lang w:val="en-GB"/>
        </w:rPr>
        <w:t>-</w:t>
      </w:r>
      <w:r w:rsidR="00224A78" w:rsidRPr="002545FB">
        <w:rPr>
          <w:sz w:val="24"/>
          <w:lang w:val="en-GB"/>
        </w:rPr>
        <w:t>201</w:t>
      </w:r>
      <w:r w:rsidR="00D56798" w:rsidRPr="002545FB">
        <w:rPr>
          <w:sz w:val="24"/>
          <w:lang w:val="en-GB"/>
        </w:rPr>
        <w:t>6</w:t>
      </w:r>
      <w:r w:rsidR="00224A78" w:rsidRPr="002545FB">
        <w:rPr>
          <w:sz w:val="24"/>
          <w:lang w:val="en-GB"/>
        </w:rPr>
        <w:t xml:space="preserve"> </w:t>
      </w:r>
      <w:r w:rsidRPr="002545FB">
        <w:rPr>
          <w:sz w:val="24"/>
          <w:lang w:val="en-GB"/>
        </w:rPr>
        <w:t xml:space="preserve">a “reference price” was determined for each cadastral district. Then the ratio of these prices for two different cadastral districts determines the “qualitative relation” of these two cadastral districts. The qualitative adjustment can be then carried out on the basis of this relation. This method is relatively </w:t>
      </w:r>
      <w:r w:rsidR="00D07864" w:rsidRPr="002545FB">
        <w:rPr>
          <w:sz w:val="24"/>
          <w:lang w:val="en-GB"/>
        </w:rPr>
        <w:t>effective;</w:t>
      </w:r>
      <w:r w:rsidRPr="002545FB">
        <w:rPr>
          <w:sz w:val="24"/>
          <w:lang w:val="en-GB"/>
        </w:rPr>
        <w:t xml:space="preserve"> variability of “adjusted prices” has been substantially reduced. </w:t>
      </w:r>
    </w:p>
    <w:p w:rsidR="004B325D" w:rsidRPr="002545FB" w:rsidRDefault="00F26DBC">
      <w:pPr>
        <w:tabs>
          <w:tab w:val="num" w:pos="0"/>
        </w:tabs>
        <w:rPr>
          <w:sz w:val="24"/>
          <w:lang w:val="en-GB"/>
        </w:rPr>
      </w:pPr>
      <w:r w:rsidRPr="002545FB">
        <w:rPr>
          <w:sz w:val="24"/>
          <w:lang w:val="en-GB"/>
        </w:rPr>
        <w:t>The year 2010</w:t>
      </w:r>
      <w:r w:rsidR="00D07864" w:rsidRPr="002545FB">
        <w:rPr>
          <w:sz w:val="24"/>
          <w:lang w:val="en-GB"/>
        </w:rPr>
        <w:t xml:space="preserve"> (whole-year period) was chosen a</w:t>
      </w:r>
      <w:r w:rsidR="00C44385" w:rsidRPr="002545FB">
        <w:rPr>
          <w:sz w:val="24"/>
          <w:lang w:val="en-GB"/>
        </w:rPr>
        <w:t xml:space="preserve">s the price and index base period to </w:t>
      </w:r>
      <w:r w:rsidR="00D07864" w:rsidRPr="002545FB">
        <w:rPr>
          <w:sz w:val="24"/>
          <w:lang w:val="en-GB"/>
        </w:rPr>
        <w:t>construct</w:t>
      </w:r>
      <w:r w:rsidR="00C44385" w:rsidRPr="002545FB">
        <w:rPr>
          <w:sz w:val="24"/>
          <w:lang w:val="en-GB"/>
        </w:rPr>
        <w:t xml:space="preserve"> the index</w:t>
      </w:r>
      <w:r w:rsidR="00D07864" w:rsidRPr="002545FB">
        <w:rPr>
          <w:sz w:val="24"/>
          <w:lang w:val="en-GB"/>
        </w:rPr>
        <w:t>.</w:t>
      </w:r>
      <w:r w:rsidR="00C44385" w:rsidRPr="002545FB">
        <w:rPr>
          <w:sz w:val="24"/>
          <w:lang w:val="en-GB"/>
        </w:rPr>
        <w:t xml:space="preserve"> </w:t>
      </w:r>
      <w:r w:rsidR="00D07864" w:rsidRPr="002545FB">
        <w:rPr>
          <w:sz w:val="24"/>
          <w:lang w:val="en-GB"/>
        </w:rPr>
        <w:t xml:space="preserve">In </w:t>
      </w:r>
      <w:r w:rsidRPr="002545FB">
        <w:rPr>
          <w:sz w:val="24"/>
          <w:lang w:val="en-GB"/>
        </w:rPr>
        <w:t>2013</w:t>
      </w:r>
      <w:r w:rsidR="004B325D" w:rsidRPr="002545FB">
        <w:rPr>
          <w:sz w:val="24"/>
          <w:lang w:val="en-GB"/>
        </w:rPr>
        <w:t xml:space="preserve"> </w:t>
      </w:r>
      <w:r w:rsidR="00D07864" w:rsidRPr="002545FB">
        <w:rPr>
          <w:sz w:val="24"/>
          <w:lang w:val="en-GB"/>
        </w:rPr>
        <w:t>real estate price indices were reviewed and new, more realistic weight</w:t>
      </w:r>
      <w:r w:rsidR="00B56CDC" w:rsidRPr="002545FB">
        <w:rPr>
          <w:sz w:val="24"/>
          <w:lang w:val="en-GB"/>
        </w:rPr>
        <w:t>ings</w:t>
      </w:r>
      <w:r w:rsidR="00D07864" w:rsidRPr="002545FB">
        <w:rPr>
          <w:sz w:val="24"/>
          <w:lang w:val="en-GB"/>
        </w:rPr>
        <w:t xml:space="preserve"> were created for all types of real estate </w:t>
      </w:r>
      <w:r w:rsidR="00B56CDC" w:rsidRPr="002545FB">
        <w:rPr>
          <w:sz w:val="24"/>
          <w:lang w:val="en-GB"/>
        </w:rPr>
        <w:t>indices</w:t>
      </w:r>
      <w:r w:rsidR="00D07864" w:rsidRPr="002545FB">
        <w:rPr>
          <w:sz w:val="24"/>
          <w:lang w:val="en-GB"/>
        </w:rPr>
        <w:t>. Weights for construction plot</w:t>
      </w:r>
      <w:r w:rsidR="00B56CDC" w:rsidRPr="002545FB">
        <w:rPr>
          <w:sz w:val="24"/>
          <w:lang w:val="en-GB"/>
        </w:rPr>
        <w:t xml:space="preserve"> index</w:t>
      </w:r>
      <w:r w:rsidR="00D07864" w:rsidRPr="002545FB">
        <w:rPr>
          <w:sz w:val="24"/>
          <w:lang w:val="en-GB"/>
        </w:rPr>
        <w:t xml:space="preserve"> and multi-dwelling buildings </w:t>
      </w:r>
      <w:r w:rsidR="00B56CDC" w:rsidRPr="002545FB">
        <w:rPr>
          <w:sz w:val="24"/>
          <w:lang w:val="en-GB"/>
        </w:rPr>
        <w:t xml:space="preserve">index </w:t>
      </w:r>
      <w:r w:rsidR="00D07864" w:rsidRPr="002545FB">
        <w:rPr>
          <w:sz w:val="24"/>
          <w:lang w:val="en-GB"/>
        </w:rPr>
        <w:t>are determined on the basis</w:t>
      </w:r>
      <w:r w:rsidR="00241F65" w:rsidRPr="002545FB">
        <w:rPr>
          <w:sz w:val="24"/>
          <w:lang w:val="en-GB"/>
        </w:rPr>
        <w:t xml:space="preserve"> </w:t>
      </w:r>
      <w:r w:rsidR="00D07864" w:rsidRPr="002545FB">
        <w:rPr>
          <w:sz w:val="24"/>
          <w:lang w:val="en-GB"/>
        </w:rPr>
        <w:t xml:space="preserve">of relative ratios of sums of absolute </w:t>
      </w:r>
      <w:r w:rsidR="00D013E2" w:rsidRPr="002545FB">
        <w:rPr>
          <w:sz w:val="24"/>
          <w:lang w:val="en-GB"/>
        </w:rPr>
        <w:t>appraisal values</w:t>
      </w:r>
      <w:r w:rsidR="00D07864" w:rsidRPr="002545FB">
        <w:rPr>
          <w:sz w:val="24"/>
          <w:lang w:val="en-GB"/>
        </w:rPr>
        <w:t xml:space="preserve"> of real </w:t>
      </w:r>
      <w:proofErr w:type="spellStart"/>
      <w:r w:rsidR="00D07864" w:rsidRPr="002545FB">
        <w:rPr>
          <w:sz w:val="24"/>
          <w:lang w:val="en-GB"/>
        </w:rPr>
        <w:t>estates</w:t>
      </w:r>
      <w:proofErr w:type="spellEnd"/>
      <w:r w:rsidR="00D07864" w:rsidRPr="002545FB">
        <w:rPr>
          <w:sz w:val="24"/>
          <w:lang w:val="en-GB"/>
        </w:rPr>
        <w:t xml:space="preserve"> falling into the given categories for </w:t>
      </w:r>
      <w:r w:rsidR="004B325D" w:rsidRPr="002545FB">
        <w:rPr>
          <w:sz w:val="24"/>
          <w:lang w:val="en-GB"/>
        </w:rPr>
        <w:t>20</w:t>
      </w:r>
      <w:r w:rsidRPr="002545FB">
        <w:rPr>
          <w:sz w:val="24"/>
          <w:lang w:val="en-GB"/>
        </w:rPr>
        <w:t>09</w:t>
      </w:r>
      <w:r w:rsidR="004B325D" w:rsidRPr="002545FB">
        <w:rPr>
          <w:sz w:val="24"/>
          <w:lang w:val="en-GB"/>
        </w:rPr>
        <w:t xml:space="preserve"> – 20</w:t>
      </w:r>
      <w:r w:rsidRPr="002545FB">
        <w:rPr>
          <w:sz w:val="24"/>
          <w:lang w:val="en-GB"/>
        </w:rPr>
        <w:t>11</w:t>
      </w:r>
      <w:r w:rsidR="004B325D" w:rsidRPr="002545FB">
        <w:rPr>
          <w:sz w:val="24"/>
          <w:lang w:val="en-GB"/>
        </w:rPr>
        <w:t xml:space="preserve"> (</w:t>
      </w:r>
      <w:r w:rsidR="00D07864" w:rsidRPr="002545FB">
        <w:rPr>
          <w:sz w:val="24"/>
          <w:lang w:val="en-GB"/>
        </w:rPr>
        <w:t>in order to get more robust weights</w:t>
      </w:r>
      <w:r w:rsidR="004B325D" w:rsidRPr="002545FB">
        <w:rPr>
          <w:sz w:val="24"/>
          <w:lang w:val="en-GB"/>
        </w:rPr>
        <w:t xml:space="preserve">). </w:t>
      </w:r>
      <w:r w:rsidR="00D07864" w:rsidRPr="002545FB">
        <w:rPr>
          <w:sz w:val="24"/>
          <w:lang w:val="en-GB"/>
        </w:rPr>
        <w:t xml:space="preserve">Weights for the overall index have been determined the same way. Weights for flats and family houses are solved as a combination of outputs from sums of absolute </w:t>
      </w:r>
      <w:r w:rsidR="00D013E2" w:rsidRPr="002545FB">
        <w:rPr>
          <w:sz w:val="24"/>
          <w:lang w:val="en-GB"/>
        </w:rPr>
        <w:t>appraisal values</w:t>
      </w:r>
      <w:r w:rsidR="00D07864" w:rsidRPr="002545FB">
        <w:rPr>
          <w:sz w:val="24"/>
          <w:lang w:val="en-GB"/>
        </w:rPr>
        <w:t xml:space="preserve"> and data from the Census </w:t>
      </w:r>
      <w:r w:rsidR="004B325D" w:rsidRPr="002545FB">
        <w:rPr>
          <w:sz w:val="24"/>
          <w:lang w:val="en-GB"/>
        </w:rPr>
        <w:t>o</w:t>
      </w:r>
      <w:r w:rsidR="00D07864" w:rsidRPr="002545FB">
        <w:rPr>
          <w:sz w:val="24"/>
          <w:lang w:val="en-GB"/>
        </w:rPr>
        <w:t xml:space="preserve">n the numbers of family houses and flats </w:t>
      </w:r>
      <w:r w:rsidR="004B325D" w:rsidRPr="002545FB">
        <w:rPr>
          <w:sz w:val="24"/>
          <w:lang w:val="en-GB"/>
        </w:rPr>
        <w:t>(</w:t>
      </w:r>
      <w:r w:rsidR="00D07864" w:rsidRPr="002545FB">
        <w:rPr>
          <w:sz w:val="24"/>
          <w:lang w:val="en-GB"/>
        </w:rPr>
        <w:t>these data are not available for other types of real estate</w:t>
      </w:r>
      <w:r w:rsidR="004B325D" w:rsidRPr="002545FB">
        <w:rPr>
          <w:sz w:val="24"/>
          <w:lang w:val="en-GB"/>
        </w:rPr>
        <w:t>).</w:t>
      </w:r>
      <w:r w:rsidR="00671440" w:rsidRPr="002545FB">
        <w:rPr>
          <w:sz w:val="24"/>
          <w:lang w:val="en-GB"/>
        </w:rPr>
        <w:t xml:space="preserve"> The weights for flats and family houses for regions are taken as the relative shares of the volumes of real transactions.</w:t>
      </w:r>
      <w:r w:rsidR="004B325D" w:rsidRPr="002545FB">
        <w:rPr>
          <w:sz w:val="24"/>
          <w:lang w:val="en-GB"/>
        </w:rPr>
        <w:t xml:space="preserve"> </w:t>
      </w:r>
    </w:p>
    <w:p w:rsidR="004B325D" w:rsidRPr="002545FB" w:rsidRDefault="00D43E4F">
      <w:pPr>
        <w:pStyle w:val="Nadpis1"/>
        <w:rPr>
          <w:sz w:val="24"/>
          <w:szCs w:val="24"/>
          <w:lang w:val="en-GB"/>
        </w:rPr>
      </w:pPr>
      <w:r w:rsidRPr="002545FB">
        <w:rPr>
          <w:sz w:val="24"/>
          <w:szCs w:val="24"/>
          <w:lang w:val="en-GB"/>
        </w:rPr>
        <w:lastRenderedPageBreak/>
        <w:t>9</w:t>
      </w:r>
      <w:r w:rsidR="004B325D" w:rsidRPr="002545FB">
        <w:rPr>
          <w:sz w:val="24"/>
          <w:szCs w:val="24"/>
          <w:lang w:val="en-GB"/>
        </w:rPr>
        <w:t xml:space="preserve">.  </w:t>
      </w:r>
      <w:r w:rsidR="00083DD3" w:rsidRPr="002545FB">
        <w:rPr>
          <w:sz w:val="24"/>
          <w:szCs w:val="24"/>
          <w:lang w:val="en-GB"/>
        </w:rPr>
        <w:t xml:space="preserve">Determination of the </w:t>
      </w:r>
      <w:r w:rsidR="000A4175" w:rsidRPr="002545FB">
        <w:rPr>
          <w:sz w:val="24"/>
          <w:szCs w:val="24"/>
          <w:lang w:val="en-GB"/>
        </w:rPr>
        <w:t xml:space="preserve">set of </w:t>
      </w:r>
      <w:r w:rsidR="00083DD3" w:rsidRPr="002545FB">
        <w:rPr>
          <w:sz w:val="24"/>
          <w:szCs w:val="24"/>
          <w:lang w:val="en-GB"/>
        </w:rPr>
        <w:t>publication table</w:t>
      </w:r>
      <w:r w:rsidR="000A4175" w:rsidRPr="002545FB">
        <w:rPr>
          <w:sz w:val="24"/>
          <w:szCs w:val="24"/>
          <w:lang w:val="en-GB"/>
        </w:rPr>
        <w:t>s</w:t>
      </w:r>
      <w:r w:rsidR="00083DD3" w:rsidRPr="002545FB">
        <w:rPr>
          <w:sz w:val="24"/>
          <w:szCs w:val="24"/>
          <w:lang w:val="en-GB"/>
        </w:rPr>
        <w:t xml:space="preserve"> </w:t>
      </w:r>
    </w:p>
    <w:p w:rsidR="004B325D" w:rsidRPr="002545FB" w:rsidRDefault="00D736A4">
      <w:pPr>
        <w:rPr>
          <w:sz w:val="24"/>
          <w:lang w:val="en-GB"/>
        </w:rPr>
      </w:pPr>
      <w:r w:rsidRPr="002545FB">
        <w:rPr>
          <w:sz w:val="24"/>
          <w:lang w:val="en-GB"/>
        </w:rPr>
        <w:t xml:space="preserve">The analyses resulted in the determination of the extent of </w:t>
      </w:r>
      <w:r w:rsidR="00A44B2F" w:rsidRPr="002545FB">
        <w:rPr>
          <w:sz w:val="24"/>
          <w:lang w:val="en-GB"/>
        </w:rPr>
        <w:t xml:space="preserve">published </w:t>
      </w:r>
      <w:r w:rsidRPr="002545FB">
        <w:rPr>
          <w:sz w:val="24"/>
          <w:lang w:val="en-GB"/>
        </w:rPr>
        <w:t xml:space="preserve">tables. One of the </w:t>
      </w:r>
      <w:r w:rsidR="00A44B2F" w:rsidRPr="002545FB">
        <w:rPr>
          <w:sz w:val="24"/>
          <w:lang w:val="en-GB"/>
        </w:rPr>
        <w:t xml:space="preserve">aims </w:t>
      </w:r>
      <w:r w:rsidRPr="002545FB">
        <w:rPr>
          <w:sz w:val="24"/>
          <w:lang w:val="en-GB"/>
        </w:rPr>
        <w:t xml:space="preserve">of this publication is also to </w:t>
      </w:r>
      <w:r w:rsidR="00453EC8" w:rsidRPr="002545FB">
        <w:rPr>
          <w:sz w:val="24"/>
          <w:lang w:val="en-GB"/>
        </w:rPr>
        <w:t>establish</w:t>
      </w:r>
      <w:r w:rsidRPr="002545FB">
        <w:rPr>
          <w:sz w:val="24"/>
          <w:lang w:val="en-GB"/>
        </w:rPr>
        <w:t xml:space="preserve"> limits of the information cont</w:t>
      </w:r>
      <w:r w:rsidR="00A44B2F" w:rsidRPr="002545FB">
        <w:rPr>
          <w:sz w:val="24"/>
          <w:lang w:val="en-GB"/>
        </w:rPr>
        <w:t>ained</w:t>
      </w:r>
      <w:r w:rsidRPr="002545FB">
        <w:rPr>
          <w:sz w:val="24"/>
          <w:lang w:val="en-GB"/>
        </w:rPr>
        <w:t xml:space="preserve"> </w:t>
      </w:r>
      <w:r w:rsidR="00A44B2F" w:rsidRPr="002545FB">
        <w:rPr>
          <w:sz w:val="24"/>
          <w:lang w:val="en-GB"/>
        </w:rPr>
        <w:t xml:space="preserve">within </w:t>
      </w:r>
      <w:r w:rsidRPr="002545FB">
        <w:rPr>
          <w:sz w:val="24"/>
          <w:lang w:val="en-GB"/>
        </w:rPr>
        <w:t xml:space="preserve">the data </w:t>
      </w:r>
      <w:r w:rsidR="00A44B2F" w:rsidRPr="002545FB">
        <w:rPr>
          <w:sz w:val="24"/>
          <w:lang w:val="en-GB"/>
        </w:rPr>
        <w:t xml:space="preserve">set </w:t>
      </w:r>
      <w:proofErr w:type="gramStart"/>
      <w:r w:rsidRPr="002545FB">
        <w:rPr>
          <w:sz w:val="24"/>
          <w:lang w:val="en-GB"/>
        </w:rPr>
        <w:t>investigated, that</w:t>
      </w:r>
      <w:proofErr w:type="gramEnd"/>
      <w:r w:rsidRPr="002545FB">
        <w:rPr>
          <w:sz w:val="24"/>
          <w:lang w:val="en-GB"/>
        </w:rPr>
        <w:t xml:space="preserve"> is t</w:t>
      </w:r>
      <w:r w:rsidR="00453EC8" w:rsidRPr="002545FB">
        <w:rPr>
          <w:sz w:val="24"/>
          <w:lang w:val="en-GB"/>
        </w:rPr>
        <w:t>o</w:t>
      </w:r>
      <w:r w:rsidRPr="002545FB">
        <w:rPr>
          <w:sz w:val="24"/>
          <w:lang w:val="en-GB"/>
        </w:rPr>
        <w:t xml:space="preserve"> determin</w:t>
      </w:r>
      <w:r w:rsidR="00453EC8" w:rsidRPr="002545FB">
        <w:rPr>
          <w:sz w:val="24"/>
          <w:lang w:val="en-GB"/>
        </w:rPr>
        <w:t>e</w:t>
      </w:r>
      <w:r w:rsidRPr="002545FB">
        <w:rPr>
          <w:sz w:val="24"/>
          <w:lang w:val="en-GB"/>
        </w:rPr>
        <w:t xml:space="preserve"> the real estate unit price by means of certain chosen factors. The maximum possible </w:t>
      </w:r>
      <w:r w:rsidR="00453EC8" w:rsidRPr="002545FB">
        <w:rPr>
          <w:sz w:val="24"/>
          <w:lang w:val="en-GB"/>
        </w:rPr>
        <w:t xml:space="preserve">population </w:t>
      </w:r>
      <w:r w:rsidRPr="002545FB">
        <w:rPr>
          <w:sz w:val="24"/>
          <w:lang w:val="en-GB"/>
        </w:rPr>
        <w:t xml:space="preserve">is represented by the </w:t>
      </w:r>
      <w:r w:rsidR="00453EC8" w:rsidRPr="002545FB">
        <w:rPr>
          <w:sz w:val="24"/>
          <w:lang w:val="en-GB"/>
        </w:rPr>
        <w:t xml:space="preserve">set of </w:t>
      </w:r>
      <w:r w:rsidRPr="002545FB">
        <w:rPr>
          <w:sz w:val="24"/>
          <w:lang w:val="en-GB"/>
        </w:rPr>
        <w:t>family houses</w:t>
      </w:r>
      <w:r w:rsidR="004B325D" w:rsidRPr="002545FB">
        <w:rPr>
          <w:sz w:val="24"/>
          <w:lang w:val="en-GB"/>
        </w:rPr>
        <w:t xml:space="preserve">, </w:t>
      </w:r>
      <w:r w:rsidRPr="002545FB">
        <w:rPr>
          <w:sz w:val="24"/>
          <w:lang w:val="en-GB"/>
        </w:rPr>
        <w:t>which is relatively large</w:t>
      </w:r>
      <w:r w:rsidR="004B325D" w:rsidRPr="002545FB">
        <w:rPr>
          <w:sz w:val="24"/>
          <w:lang w:val="en-GB"/>
        </w:rPr>
        <w:t xml:space="preserve">, </w:t>
      </w:r>
      <w:proofErr w:type="gramStart"/>
      <w:r w:rsidRPr="002545FB">
        <w:rPr>
          <w:sz w:val="24"/>
          <w:lang w:val="en-GB"/>
        </w:rPr>
        <w:t>relations</w:t>
      </w:r>
      <w:proofErr w:type="gramEnd"/>
      <w:r w:rsidRPr="002545FB">
        <w:rPr>
          <w:sz w:val="24"/>
          <w:lang w:val="en-GB"/>
        </w:rPr>
        <w:t xml:space="preserve"> are provable, and is relatively homogeneous in terms of price. For other types of real estate </w:t>
      </w:r>
      <w:r w:rsidR="00453EC8" w:rsidRPr="002545FB">
        <w:rPr>
          <w:sz w:val="24"/>
          <w:lang w:val="en-GB"/>
        </w:rPr>
        <w:t>sole</w:t>
      </w:r>
      <w:r w:rsidRPr="002545FB">
        <w:rPr>
          <w:sz w:val="24"/>
          <w:lang w:val="en-GB"/>
        </w:rPr>
        <w:t xml:space="preserve">ly specific subsets could be selected because the </w:t>
      </w:r>
      <w:r w:rsidR="006D53F2" w:rsidRPr="002545FB">
        <w:rPr>
          <w:sz w:val="24"/>
          <w:lang w:val="en-GB"/>
        </w:rPr>
        <w:t>afore</w:t>
      </w:r>
      <w:r w:rsidR="00453EC8" w:rsidRPr="002545FB">
        <w:rPr>
          <w:sz w:val="24"/>
          <w:lang w:val="en-GB"/>
        </w:rPr>
        <w:t xml:space="preserve">mentioned </w:t>
      </w:r>
      <w:r w:rsidR="006D53F2" w:rsidRPr="002545FB">
        <w:rPr>
          <w:sz w:val="24"/>
          <w:lang w:val="en-GB"/>
        </w:rPr>
        <w:t>characteristics</w:t>
      </w:r>
      <w:r w:rsidRPr="002545FB">
        <w:rPr>
          <w:sz w:val="24"/>
          <w:lang w:val="en-GB"/>
        </w:rPr>
        <w:t xml:space="preserve"> are absent</w:t>
      </w:r>
      <w:r w:rsidR="004B325D" w:rsidRPr="002545FB">
        <w:rPr>
          <w:sz w:val="24"/>
          <w:lang w:val="en-GB"/>
        </w:rPr>
        <w:t xml:space="preserve">. </w:t>
      </w:r>
      <w:r w:rsidRPr="002545FB">
        <w:rPr>
          <w:sz w:val="24"/>
          <w:lang w:val="en-GB"/>
        </w:rPr>
        <w:t xml:space="preserve">Construction plots are a special case because the </w:t>
      </w:r>
      <w:r w:rsidR="006D53F2" w:rsidRPr="002545FB">
        <w:rPr>
          <w:sz w:val="24"/>
          <w:lang w:val="en-GB"/>
        </w:rPr>
        <w:t xml:space="preserve">factor of the extent of </w:t>
      </w:r>
      <w:r w:rsidRPr="002545FB">
        <w:rPr>
          <w:sz w:val="24"/>
          <w:lang w:val="en-GB"/>
        </w:rPr>
        <w:t xml:space="preserve">wear </w:t>
      </w:r>
      <w:r w:rsidR="006D53F2" w:rsidRPr="002545FB">
        <w:rPr>
          <w:sz w:val="24"/>
          <w:lang w:val="en-GB"/>
        </w:rPr>
        <w:t xml:space="preserve">is </w:t>
      </w:r>
      <w:r w:rsidRPr="002545FB">
        <w:rPr>
          <w:sz w:val="24"/>
          <w:lang w:val="en-GB"/>
        </w:rPr>
        <w:t>missing here</w:t>
      </w:r>
      <w:r w:rsidR="004B325D" w:rsidRPr="002545FB">
        <w:rPr>
          <w:sz w:val="24"/>
          <w:lang w:val="en-GB"/>
        </w:rPr>
        <w:t xml:space="preserve">, </w:t>
      </w:r>
      <w:r w:rsidRPr="002545FB">
        <w:rPr>
          <w:sz w:val="24"/>
          <w:lang w:val="en-GB"/>
        </w:rPr>
        <w:t xml:space="preserve">which is usually the most significant </w:t>
      </w:r>
      <w:r w:rsidR="006D53F2" w:rsidRPr="002545FB">
        <w:rPr>
          <w:sz w:val="24"/>
          <w:lang w:val="en-GB"/>
        </w:rPr>
        <w:t xml:space="preserve">one </w:t>
      </w:r>
      <w:r w:rsidRPr="002545FB">
        <w:rPr>
          <w:sz w:val="24"/>
          <w:lang w:val="en-GB"/>
        </w:rPr>
        <w:t>for other types</w:t>
      </w:r>
      <w:r w:rsidR="006D53F2" w:rsidRPr="002545FB">
        <w:rPr>
          <w:sz w:val="24"/>
          <w:lang w:val="en-GB"/>
        </w:rPr>
        <w:t xml:space="preserve"> of real estate</w:t>
      </w:r>
      <w:r w:rsidRPr="002545FB">
        <w:rPr>
          <w:sz w:val="24"/>
          <w:lang w:val="en-GB"/>
        </w:rPr>
        <w:t xml:space="preserve">. </w:t>
      </w:r>
      <w:r w:rsidR="00D32492" w:rsidRPr="002545FB">
        <w:rPr>
          <w:sz w:val="24"/>
          <w:lang w:val="en-GB"/>
        </w:rPr>
        <w:t xml:space="preserve">Therefore there are partially special modifications of otherwise standard types of tables given for construction plots. </w:t>
      </w:r>
    </w:p>
    <w:p w:rsidR="004B325D" w:rsidRPr="002545FB" w:rsidRDefault="00F77FEB">
      <w:pPr>
        <w:tabs>
          <w:tab w:val="num" w:pos="0"/>
        </w:tabs>
        <w:rPr>
          <w:sz w:val="24"/>
          <w:lang w:val="en-GB"/>
        </w:rPr>
      </w:pPr>
      <w:r w:rsidRPr="002545FB">
        <w:rPr>
          <w:sz w:val="24"/>
          <w:lang w:val="en-GB"/>
        </w:rPr>
        <w:t>Table “Overview of Publishing Tables” provides the complete overview. In its left section one can find the table type marked by number, in the middle section there are determining factors given in tables</w:t>
      </w:r>
      <w:r w:rsidR="004B325D" w:rsidRPr="002545FB">
        <w:rPr>
          <w:sz w:val="24"/>
          <w:lang w:val="en-GB"/>
        </w:rPr>
        <w:t xml:space="preserve">, </w:t>
      </w:r>
      <w:r w:rsidR="006D53F2" w:rsidRPr="002545FB">
        <w:rPr>
          <w:sz w:val="24"/>
          <w:lang w:val="en-GB"/>
        </w:rPr>
        <w:t xml:space="preserve">and </w:t>
      </w:r>
      <w:r w:rsidRPr="002545FB">
        <w:rPr>
          <w:sz w:val="24"/>
          <w:lang w:val="en-GB"/>
        </w:rPr>
        <w:t>the right section gives page number</w:t>
      </w:r>
      <w:r w:rsidR="006D53F2" w:rsidRPr="002545FB">
        <w:rPr>
          <w:sz w:val="24"/>
          <w:lang w:val="en-GB"/>
        </w:rPr>
        <w:t>,</w:t>
      </w:r>
      <w:r w:rsidRPr="002545FB">
        <w:rPr>
          <w:sz w:val="24"/>
          <w:lang w:val="en-GB"/>
        </w:rPr>
        <w:t xml:space="preserve"> on which one can find corresponding table for every type of real estate</w:t>
      </w:r>
      <w:r w:rsidR="006D53F2" w:rsidRPr="002545FB">
        <w:rPr>
          <w:sz w:val="24"/>
          <w:lang w:val="en-GB"/>
        </w:rPr>
        <w:t>,</w:t>
      </w:r>
      <w:r w:rsidRPr="002545FB">
        <w:rPr>
          <w:sz w:val="24"/>
          <w:lang w:val="en-GB"/>
        </w:rPr>
        <w:t xml:space="preserve"> if </w:t>
      </w:r>
      <w:r w:rsidR="006D53F2" w:rsidRPr="002545FB">
        <w:rPr>
          <w:sz w:val="24"/>
          <w:lang w:val="en-GB"/>
        </w:rPr>
        <w:t>there is any</w:t>
      </w:r>
      <w:r w:rsidRPr="002545FB">
        <w:rPr>
          <w:sz w:val="24"/>
          <w:lang w:val="en-GB"/>
        </w:rPr>
        <w:t xml:space="preserve">. </w:t>
      </w:r>
    </w:p>
    <w:p w:rsidR="004B325D" w:rsidRPr="002545FB" w:rsidRDefault="00D43E4F">
      <w:pPr>
        <w:pStyle w:val="Nadpis1"/>
        <w:rPr>
          <w:sz w:val="24"/>
          <w:szCs w:val="24"/>
          <w:lang w:val="en-GB"/>
        </w:rPr>
      </w:pPr>
      <w:r w:rsidRPr="002545FB">
        <w:rPr>
          <w:sz w:val="24"/>
          <w:szCs w:val="24"/>
          <w:lang w:val="en-GB"/>
        </w:rPr>
        <w:t>10</w:t>
      </w:r>
      <w:r w:rsidR="004B325D" w:rsidRPr="002545FB">
        <w:rPr>
          <w:sz w:val="24"/>
          <w:szCs w:val="24"/>
          <w:lang w:val="en-GB"/>
        </w:rPr>
        <w:t xml:space="preserve">. </w:t>
      </w:r>
      <w:r w:rsidR="00083DD3" w:rsidRPr="002545FB">
        <w:rPr>
          <w:sz w:val="24"/>
          <w:szCs w:val="24"/>
          <w:lang w:val="en-GB"/>
        </w:rPr>
        <w:t>Information content of tables, interpretation</w:t>
      </w:r>
    </w:p>
    <w:p w:rsidR="004B325D" w:rsidRPr="002545FB" w:rsidRDefault="00631D0A">
      <w:pPr>
        <w:tabs>
          <w:tab w:val="num" w:pos="0"/>
        </w:tabs>
        <w:rPr>
          <w:sz w:val="24"/>
          <w:lang w:val="en-GB"/>
        </w:rPr>
      </w:pPr>
      <w:r w:rsidRPr="002545FB">
        <w:rPr>
          <w:sz w:val="24"/>
          <w:lang w:val="en-GB"/>
        </w:rPr>
        <w:t>Each table includes the average purchas</w:t>
      </w:r>
      <w:r w:rsidR="006D53F2" w:rsidRPr="002545FB">
        <w:rPr>
          <w:sz w:val="24"/>
          <w:lang w:val="en-GB"/>
        </w:rPr>
        <w:t>e</w:t>
      </w:r>
      <w:r w:rsidRPr="002545FB">
        <w:rPr>
          <w:sz w:val="24"/>
          <w:lang w:val="en-GB"/>
        </w:rPr>
        <w:t xml:space="preserve"> </w:t>
      </w:r>
      <w:r w:rsidR="006D53F2" w:rsidRPr="002545FB">
        <w:rPr>
          <w:sz w:val="24"/>
          <w:lang w:val="en-GB"/>
        </w:rPr>
        <w:t xml:space="preserve">unit </w:t>
      </w:r>
      <w:r w:rsidRPr="002545FB">
        <w:rPr>
          <w:sz w:val="24"/>
          <w:lang w:val="en-GB"/>
        </w:rPr>
        <w:t>price of the given type of real estate for the breakdown by established factor</w:t>
      </w:r>
      <w:r w:rsidR="004B325D" w:rsidRPr="002545FB">
        <w:rPr>
          <w:sz w:val="24"/>
          <w:lang w:val="en-GB"/>
        </w:rPr>
        <w:t xml:space="preserve">. </w:t>
      </w:r>
      <w:r w:rsidRPr="002545FB">
        <w:rPr>
          <w:sz w:val="24"/>
          <w:lang w:val="en-GB"/>
        </w:rPr>
        <w:t xml:space="preserve">These are always simple arithmetic averages. </w:t>
      </w:r>
      <w:proofErr w:type="gramStart"/>
      <w:r w:rsidRPr="002545FB">
        <w:rPr>
          <w:sz w:val="24"/>
          <w:lang w:val="en-GB"/>
        </w:rPr>
        <w:t xml:space="preserve">The number of transfers, which the price was obtained from, is given as </w:t>
      </w:r>
      <w:r w:rsidR="006D53F2" w:rsidRPr="002545FB">
        <w:rPr>
          <w:sz w:val="24"/>
          <w:lang w:val="en-GB"/>
        </w:rPr>
        <w:t xml:space="preserve">information </w:t>
      </w:r>
      <w:r w:rsidRPr="002545FB">
        <w:rPr>
          <w:sz w:val="24"/>
          <w:lang w:val="en-GB"/>
        </w:rPr>
        <w:t>on reliability and representa</w:t>
      </w:r>
      <w:r w:rsidR="006D53F2" w:rsidRPr="002545FB">
        <w:rPr>
          <w:sz w:val="24"/>
          <w:lang w:val="en-GB"/>
        </w:rPr>
        <w:t>t</w:t>
      </w:r>
      <w:r w:rsidRPr="002545FB">
        <w:rPr>
          <w:sz w:val="24"/>
          <w:lang w:val="en-GB"/>
        </w:rPr>
        <w:t>i</w:t>
      </w:r>
      <w:r w:rsidR="006D53F2" w:rsidRPr="002545FB">
        <w:rPr>
          <w:sz w:val="24"/>
          <w:lang w:val="en-GB"/>
        </w:rPr>
        <w:t>veness</w:t>
      </w:r>
      <w:r w:rsidRPr="002545FB">
        <w:rPr>
          <w:sz w:val="24"/>
          <w:lang w:val="en-GB"/>
        </w:rPr>
        <w:t>, whenever possible.</w:t>
      </w:r>
      <w:proofErr w:type="gramEnd"/>
      <w:r w:rsidR="004B325D" w:rsidRPr="002545FB">
        <w:rPr>
          <w:sz w:val="24"/>
          <w:lang w:val="en-GB"/>
        </w:rPr>
        <w:t xml:space="preserve"> </w:t>
      </w:r>
      <w:r w:rsidRPr="002545FB">
        <w:rPr>
          <w:sz w:val="24"/>
          <w:lang w:val="en-GB"/>
        </w:rPr>
        <w:t xml:space="preserve">In case </w:t>
      </w:r>
      <w:r w:rsidR="00131781" w:rsidRPr="002545FB">
        <w:rPr>
          <w:sz w:val="24"/>
          <w:lang w:val="en-GB"/>
        </w:rPr>
        <w:t>there</w:t>
      </w:r>
      <w:r w:rsidRPr="002545FB">
        <w:rPr>
          <w:sz w:val="24"/>
          <w:lang w:val="en-GB"/>
        </w:rPr>
        <w:t xml:space="preserve"> are less than three data, the </w:t>
      </w:r>
      <w:r w:rsidR="00131781" w:rsidRPr="002545FB">
        <w:rPr>
          <w:sz w:val="24"/>
          <w:lang w:val="en-GB"/>
        </w:rPr>
        <w:t>price</w:t>
      </w:r>
      <w:r w:rsidRPr="002545FB">
        <w:rPr>
          <w:sz w:val="24"/>
          <w:lang w:val="en-GB"/>
        </w:rPr>
        <w:t xml:space="preserve"> is not given yet the numbers are. Furthermore, the </w:t>
      </w:r>
      <w:r w:rsidR="009A1061" w:rsidRPr="002545FB">
        <w:rPr>
          <w:sz w:val="24"/>
          <w:lang w:val="en-GB"/>
        </w:rPr>
        <w:t>coefficient of variation</w:t>
      </w:r>
      <w:r w:rsidR="00131781" w:rsidRPr="002545FB">
        <w:rPr>
          <w:sz w:val="24"/>
          <w:lang w:val="en-GB"/>
        </w:rPr>
        <w:t xml:space="preserve"> of the </w:t>
      </w:r>
      <w:r w:rsidRPr="002545FB">
        <w:rPr>
          <w:sz w:val="24"/>
          <w:lang w:val="en-GB"/>
        </w:rPr>
        <w:t>se</w:t>
      </w:r>
      <w:r w:rsidR="00131781" w:rsidRPr="002545FB">
        <w:rPr>
          <w:sz w:val="24"/>
          <w:lang w:val="en-GB"/>
        </w:rPr>
        <w:t>t</w:t>
      </w:r>
      <w:r w:rsidR="00545192" w:rsidRPr="002545FB">
        <w:rPr>
          <w:sz w:val="24"/>
          <w:lang w:val="en-GB"/>
        </w:rPr>
        <w:t>,</w:t>
      </w:r>
      <w:r w:rsidR="00131781" w:rsidRPr="002545FB">
        <w:rPr>
          <w:sz w:val="24"/>
          <w:lang w:val="en-GB"/>
        </w:rPr>
        <w:t xml:space="preserve"> which the average price was calculated for, is given as a </w:t>
      </w:r>
      <w:r w:rsidR="00545192" w:rsidRPr="002545FB">
        <w:rPr>
          <w:sz w:val="24"/>
          <w:lang w:val="en-GB"/>
        </w:rPr>
        <w:t>measure</w:t>
      </w:r>
      <w:r w:rsidR="00131781" w:rsidRPr="002545FB">
        <w:rPr>
          <w:sz w:val="24"/>
          <w:lang w:val="en-GB"/>
        </w:rPr>
        <w:t xml:space="preserve"> of data accuracy and level of homogeneity of the given group, whenever possible. In some cases </w:t>
      </w:r>
      <w:proofErr w:type="spellStart"/>
      <w:r w:rsidR="00131781" w:rsidRPr="002545FB">
        <w:rPr>
          <w:sz w:val="24"/>
          <w:lang w:val="en-GB"/>
        </w:rPr>
        <w:t>quantiles</w:t>
      </w:r>
      <w:proofErr w:type="spellEnd"/>
      <w:r w:rsidR="00131781" w:rsidRPr="002545FB">
        <w:rPr>
          <w:sz w:val="24"/>
          <w:lang w:val="en-GB"/>
        </w:rPr>
        <w:t xml:space="preserve"> are given as well. These are important namely for construction plot</w:t>
      </w:r>
      <w:r w:rsidR="00545192" w:rsidRPr="002545FB">
        <w:rPr>
          <w:sz w:val="24"/>
          <w:lang w:val="en-GB"/>
        </w:rPr>
        <w:t>s</w:t>
      </w:r>
      <w:r w:rsidR="00131781" w:rsidRPr="002545FB">
        <w:rPr>
          <w:sz w:val="24"/>
          <w:lang w:val="en-GB"/>
        </w:rPr>
        <w:t xml:space="preserve"> of high price variability. </w:t>
      </w:r>
      <w:r w:rsidR="004E50CC" w:rsidRPr="002545FB">
        <w:rPr>
          <w:sz w:val="24"/>
          <w:lang w:val="en-GB"/>
        </w:rPr>
        <w:t xml:space="preserve">Average values of factors, which </w:t>
      </w:r>
      <w:r w:rsidR="00545192" w:rsidRPr="002545FB">
        <w:rPr>
          <w:sz w:val="24"/>
          <w:lang w:val="en-GB"/>
        </w:rPr>
        <w:t xml:space="preserve">in the given table </w:t>
      </w:r>
      <w:r w:rsidR="004E50CC" w:rsidRPr="002545FB">
        <w:rPr>
          <w:sz w:val="24"/>
          <w:lang w:val="en-GB"/>
        </w:rPr>
        <w:t xml:space="preserve">are </w:t>
      </w:r>
      <w:r w:rsidR="00545192" w:rsidRPr="002545FB">
        <w:rPr>
          <w:sz w:val="24"/>
          <w:lang w:val="en-GB"/>
        </w:rPr>
        <w:t xml:space="preserve">not </w:t>
      </w:r>
      <w:r w:rsidR="004E50CC" w:rsidRPr="002545FB">
        <w:rPr>
          <w:sz w:val="24"/>
          <w:lang w:val="en-GB"/>
        </w:rPr>
        <w:t xml:space="preserve">applied as determining ones (as </w:t>
      </w:r>
      <w:r w:rsidR="00545192" w:rsidRPr="002545FB">
        <w:rPr>
          <w:sz w:val="24"/>
          <w:lang w:val="en-GB"/>
        </w:rPr>
        <w:t xml:space="preserve">the extent of </w:t>
      </w:r>
      <w:r w:rsidR="004E50CC" w:rsidRPr="002545FB">
        <w:rPr>
          <w:sz w:val="24"/>
          <w:lang w:val="en-GB"/>
        </w:rPr>
        <w:t xml:space="preserve">wear, for instance), or possibly other quantities </w:t>
      </w:r>
      <w:r w:rsidR="004B325D" w:rsidRPr="002545FB">
        <w:rPr>
          <w:sz w:val="24"/>
          <w:lang w:val="en-GB"/>
        </w:rPr>
        <w:t>(</w:t>
      </w:r>
      <w:r w:rsidR="004E50CC" w:rsidRPr="002545FB">
        <w:rPr>
          <w:sz w:val="24"/>
          <w:lang w:val="en-GB"/>
        </w:rPr>
        <w:t>as the size of real estate given in appropriate measuring units, for example</w:t>
      </w:r>
      <w:r w:rsidR="004B325D" w:rsidRPr="002545FB">
        <w:rPr>
          <w:sz w:val="24"/>
          <w:lang w:val="en-GB"/>
        </w:rPr>
        <w:t>)</w:t>
      </w:r>
      <w:r w:rsidR="00545192" w:rsidRPr="002545FB">
        <w:rPr>
          <w:sz w:val="24"/>
          <w:lang w:val="en-GB"/>
        </w:rPr>
        <w:t xml:space="preserve"> are given in some cases, too</w:t>
      </w:r>
      <w:r w:rsidR="004B325D" w:rsidRPr="002545FB">
        <w:rPr>
          <w:sz w:val="24"/>
          <w:lang w:val="en-GB"/>
        </w:rPr>
        <w:t xml:space="preserve">. </w:t>
      </w:r>
      <w:r w:rsidR="004E50CC" w:rsidRPr="002545FB">
        <w:rPr>
          <w:sz w:val="24"/>
          <w:lang w:val="en-GB"/>
        </w:rPr>
        <w:t>In every case these are simple arithmetic averages o</w:t>
      </w:r>
      <w:r w:rsidR="00545192" w:rsidRPr="002545FB">
        <w:rPr>
          <w:sz w:val="24"/>
          <w:lang w:val="en-GB"/>
        </w:rPr>
        <w:t>f</w:t>
      </w:r>
      <w:r w:rsidR="004E50CC" w:rsidRPr="002545FB">
        <w:rPr>
          <w:sz w:val="24"/>
          <w:lang w:val="en-GB"/>
        </w:rPr>
        <w:t xml:space="preserve"> the group. </w:t>
      </w:r>
    </w:p>
    <w:p w:rsidR="004B325D" w:rsidRPr="002545FB" w:rsidRDefault="00D43E4F">
      <w:pPr>
        <w:pStyle w:val="Nadpis1"/>
        <w:rPr>
          <w:sz w:val="24"/>
          <w:szCs w:val="24"/>
          <w:lang w:val="en-GB"/>
        </w:rPr>
      </w:pPr>
      <w:r w:rsidRPr="002545FB">
        <w:rPr>
          <w:sz w:val="24"/>
          <w:szCs w:val="24"/>
          <w:lang w:val="en-GB"/>
        </w:rPr>
        <w:t>11</w:t>
      </w:r>
      <w:r w:rsidR="004B325D" w:rsidRPr="002545FB">
        <w:rPr>
          <w:sz w:val="24"/>
          <w:szCs w:val="24"/>
          <w:lang w:val="en-GB"/>
        </w:rPr>
        <w:t xml:space="preserve">. </w:t>
      </w:r>
      <w:r w:rsidR="00563899" w:rsidRPr="002545FB">
        <w:rPr>
          <w:sz w:val="24"/>
          <w:szCs w:val="24"/>
          <w:lang w:val="en-GB"/>
        </w:rPr>
        <w:t>Estimates of price indexes</w:t>
      </w:r>
    </w:p>
    <w:p w:rsidR="004B325D" w:rsidRPr="00F53128" w:rsidRDefault="00F53128">
      <w:pPr>
        <w:rPr>
          <w:sz w:val="24"/>
          <w:lang w:val="en-GB"/>
        </w:rPr>
      </w:pPr>
      <w:r w:rsidRPr="002545FB">
        <w:rPr>
          <w:sz w:val="24"/>
          <w:lang w:val="en-GB"/>
        </w:rPr>
        <w:t>Due to del</w:t>
      </w:r>
      <w:r w:rsidR="00D56798" w:rsidRPr="002545FB">
        <w:rPr>
          <w:sz w:val="24"/>
          <w:lang w:val="en-GB"/>
        </w:rPr>
        <w:t>ay of the data for the year 2017</w:t>
      </w:r>
      <w:r w:rsidRPr="002545FB">
        <w:rPr>
          <w:sz w:val="24"/>
          <w:lang w:val="en-GB"/>
        </w:rPr>
        <w:t xml:space="preserve"> from Ministry of finance the estimates of price indices </w:t>
      </w:r>
      <w:r w:rsidR="00BD6D55" w:rsidRPr="002545FB">
        <w:rPr>
          <w:sz w:val="24"/>
          <w:lang w:val="en-GB"/>
        </w:rPr>
        <w:t xml:space="preserve">of flats and family houses </w:t>
      </w:r>
      <w:r w:rsidRPr="002545FB">
        <w:rPr>
          <w:sz w:val="24"/>
          <w:lang w:val="en-GB"/>
        </w:rPr>
        <w:t>for 1</w:t>
      </w:r>
      <w:r w:rsidRPr="002545FB">
        <w:rPr>
          <w:sz w:val="24"/>
          <w:vertAlign w:val="superscript"/>
          <w:lang w:val="en-GB"/>
        </w:rPr>
        <w:t>st</w:t>
      </w:r>
      <w:r w:rsidRPr="002545FB">
        <w:rPr>
          <w:sz w:val="24"/>
          <w:lang w:val="en-GB"/>
        </w:rPr>
        <w:t xml:space="preserve"> half of 201</w:t>
      </w:r>
      <w:r w:rsidR="00D56798" w:rsidRPr="002545FB">
        <w:rPr>
          <w:sz w:val="24"/>
          <w:lang w:val="en-GB"/>
        </w:rPr>
        <w:t>7</w:t>
      </w:r>
      <w:r w:rsidRPr="002545FB">
        <w:rPr>
          <w:sz w:val="24"/>
          <w:lang w:val="en-GB"/>
        </w:rPr>
        <w:t xml:space="preserve"> will be</w:t>
      </w:r>
      <w:r w:rsidR="002545FB" w:rsidRPr="002545FB">
        <w:rPr>
          <w:sz w:val="24"/>
          <w:lang w:val="en-GB"/>
        </w:rPr>
        <w:t xml:space="preserve"> released not in January of 2018</w:t>
      </w:r>
      <w:r w:rsidRPr="002545FB">
        <w:rPr>
          <w:sz w:val="24"/>
          <w:lang w:val="en-GB"/>
        </w:rPr>
        <w:t xml:space="preserve"> but also with certain delay.</w:t>
      </w:r>
    </w:p>
    <w:p w:rsidR="00F53128" w:rsidRPr="00861B4A" w:rsidRDefault="00F53128">
      <w:pPr>
        <w:rPr>
          <w:sz w:val="24"/>
          <w:lang w:val="en-GB"/>
        </w:rPr>
      </w:pPr>
    </w:p>
    <w:sectPr w:rsidR="00F53128" w:rsidRPr="00861B4A" w:rsidSect="0074087A">
      <w:headerReference w:type="even" r:id="rId10"/>
      <w:footerReference w:type="even" r:id="rId11"/>
      <w:footerReference w:type="default" r:id="rId12"/>
      <w:pgSz w:w="11906" w:h="16838"/>
      <w:pgMar w:top="1701" w:right="1418" w:bottom="1701"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9B3" w:rsidRDefault="00F229B3">
      <w:pPr>
        <w:spacing w:after="0"/>
      </w:pPr>
      <w:r>
        <w:separator/>
      </w:r>
    </w:p>
  </w:endnote>
  <w:endnote w:type="continuationSeparator" w:id="0">
    <w:p w:rsidR="00F229B3" w:rsidRDefault="00F229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5D" w:rsidRDefault="00E9757F">
    <w:pPr>
      <w:pStyle w:val="Zpat"/>
      <w:framePr w:wrap="around" w:vAnchor="text" w:hAnchor="margin" w:xAlign="outside" w:y="1"/>
      <w:rPr>
        <w:rStyle w:val="slostrnky"/>
      </w:rPr>
    </w:pPr>
    <w:r>
      <w:rPr>
        <w:rStyle w:val="slostrnky"/>
      </w:rPr>
      <w:fldChar w:fldCharType="begin"/>
    </w:r>
    <w:r w:rsidR="004B325D">
      <w:rPr>
        <w:rStyle w:val="slostrnky"/>
      </w:rPr>
      <w:instrText xml:space="preserve">PAGE  </w:instrText>
    </w:r>
    <w:r>
      <w:rPr>
        <w:rStyle w:val="slostrnky"/>
      </w:rPr>
      <w:fldChar w:fldCharType="end"/>
    </w:r>
  </w:p>
  <w:p w:rsidR="004B325D" w:rsidRDefault="004B325D">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5D" w:rsidRDefault="00E9757F">
    <w:pPr>
      <w:pStyle w:val="Zpat"/>
      <w:framePr w:wrap="around" w:vAnchor="text" w:hAnchor="margin" w:xAlign="outside" w:y="1"/>
      <w:rPr>
        <w:rStyle w:val="slostrnky"/>
      </w:rPr>
    </w:pPr>
    <w:r>
      <w:rPr>
        <w:rStyle w:val="slostrnky"/>
      </w:rPr>
      <w:fldChar w:fldCharType="begin"/>
    </w:r>
    <w:r w:rsidR="004B325D">
      <w:rPr>
        <w:rStyle w:val="slostrnky"/>
      </w:rPr>
      <w:instrText xml:space="preserve">PAGE  </w:instrText>
    </w:r>
    <w:r>
      <w:rPr>
        <w:rStyle w:val="slostrnky"/>
      </w:rPr>
      <w:fldChar w:fldCharType="separate"/>
    </w:r>
    <w:r w:rsidR="002545FB">
      <w:rPr>
        <w:rStyle w:val="slostrnky"/>
        <w:noProof/>
      </w:rPr>
      <w:t>6</w:t>
    </w:r>
    <w:r>
      <w:rPr>
        <w:rStyle w:val="slostrnky"/>
      </w:rPr>
      <w:fldChar w:fldCharType="end"/>
    </w:r>
  </w:p>
  <w:p w:rsidR="004B325D" w:rsidRDefault="004B325D">
    <w:pPr>
      <w:pStyle w:val="Zpat"/>
      <w:framePr w:wrap="around" w:vAnchor="text" w:hAnchor="margin" w:xAlign="center" w:y="1"/>
      <w:ind w:right="360" w:firstLine="360"/>
      <w:rPr>
        <w:rStyle w:val="slostrnky"/>
      </w:rPr>
    </w:pPr>
  </w:p>
  <w:p w:rsidR="004B325D" w:rsidRDefault="004B325D">
    <w:pPr>
      <w:pStyle w:val="Zpat"/>
      <w:framePr w:wrap="around" w:vAnchor="text" w:hAnchor="margin" w:xAlign="center" w:y="1"/>
      <w:rPr>
        <w:rStyle w:val="slostrnky"/>
      </w:rPr>
    </w:pPr>
  </w:p>
  <w:p w:rsidR="004B325D" w:rsidRDefault="004B325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9B3" w:rsidRDefault="00F229B3">
      <w:pPr>
        <w:spacing w:after="0"/>
      </w:pPr>
      <w:r>
        <w:separator/>
      </w:r>
    </w:p>
  </w:footnote>
  <w:footnote w:type="continuationSeparator" w:id="0">
    <w:p w:rsidR="00F229B3" w:rsidRDefault="00F229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5D" w:rsidRDefault="00E9757F">
    <w:pPr>
      <w:pStyle w:val="Zhlav"/>
      <w:framePr w:wrap="around" w:vAnchor="text" w:hAnchor="margin" w:xAlign="center" w:y="1"/>
      <w:rPr>
        <w:rStyle w:val="slostrnky"/>
      </w:rPr>
    </w:pPr>
    <w:r>
      <w:rPr>
        <w:rStyle w:val="slostrnky"/>
      </w:rPr>
      <w:fldChar w:fldCharType="begin"/>
    </w:r>
    <w:r w:rsidR="004B325D">
      <w:rPr>
        <w:rStyle w:val="slostrnky"/>
      </w:rPr>
      <w:instrText xml:space="preserve">PAGE  </w:instrText>
    </w:r>
    <w:r>
      <w:rPr>
        <w:rStyle w:val="slostrnky"/>
      </w:rPr>
      <w:fldChar w:fldCharType="end"/>
    </w:r>
  </w:p>
  <w:p w:rsidR="004B325D" w:rsidRDefault="004B325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5811"/>
    <w:multiLevelType w:val="hybridMultilevel"/>
    <w:tmpl w:val="FB2EAA52"/>
    <w:lvl w:ilvl="0" w:tplc="A8240E68">
      <w:start w:val="60"/>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nsid w:val="0A865AAD"/>
    <w:multiLevelType w:val="hybridMultilevel"/>
    <w:tmpl w:val="8F565E02"/>
    <w:lvl w:ilvl="0" w:tplc="9D1A801E">
      <w:start w:val="12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8D6774"/>
    <w:multiLevelType w:val="hybridMultilevel"/>
    <w:tmpl w:val="CB8A1D94"/>
    <w:lvl w:ilvl="0" w:tplc="B49A1848">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E050877"/>
    <w:multiLevelType w:val="hybridMultilevel"/>
    <w:tmpl w:val="26D4D87E"/>
    <w:lvl w:ilvl="0" w:tplc="BF30180E">
      <w:start w:val="11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0F0F17"/>
    <w:multiLevelType w:val="hybridMultilevel"/>
    <w:tmpl w:val="1E9CA6C0"/>
    <w:lvl w:ilvl="0" w:tplc="EA401ACA">
      <w:start w:val="15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B50641"/>
    <w:multiLevelType w:val="hybridMultilevel"/>
    <w:tmpl w:val="1EBEA548"/>
    <w:lvl w:ilvl="0" w:tplc="91F27C32">
      <w:start w:val="14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58182A"/>
    <w:multiLevelType w:val="hybridMultilevel"/>
    <w:tmpl w:val="30FE00F8"/>
    <w:lvl w:ilvl="0" w:tplc="04050017">
      <w:start w:val="1"/>
      <w:numFmt w:val="lowerLetter"/>
      <w:lvlText w:val="%1)"/>
      <w:lvlJc w:val="left"/>
      <w:pPr>
        <w:tabs>
          <w:tab w:val="num" w:pos="720"/>
        </w:tabs>
        <w:ind w:left="720" w:hanging="360"/>
      </w:pPr>
      <w:rPr>
        <w:rFonts w:hint="default"/>
      </w:rPr>
    </w:lvl>
    <w:lvl w:ilvl="1" w:tplc="A2ECA24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3E488E"/>
    <w:multiLevelType w:val="hybridMultilevel"/>
    <w:tmpl w:val="89B68806"/>
    <w:lvl w:ilvl="0" w:tplc="3274FAA8">
      <w:start w:val="12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680774"/>
    <w:multiLevelType w:val="hybridMultilevel"/>
    <w:tmpl w:val="90C081E2"/>
    <w:lvl w:ilvl="0" w:tplc="CA884074">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E6D41D4"/>
    <w:multiLevelType w:val="hybridMultilevel"/>
    <w:tmpl w:val="C8B09BB4"/>
    <w:lvl w:ilvl="0" w:tplc="C0A8A4C0">
      <w:start w:val="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16C20A4"/>
    <w:multiLevelType w:val="hybridMultilevel"/>
    <w:tmpl w:val="DEB8DC64"/>
    <w:lvl w:ilvl="0" w:tplc="E64691FC">
      <w:start w:val="1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3AE2B3E"/>
    <w:multiLevelType w:val="hybridMultilevel"/>
    <w:tmpl w:val="117AC28C"/>
    <w:lvl w:ilvl="0" w:tplc="F0BC0598">
      <w:start w:val="8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4664A96"/>
    <w:multiLevelType w:val="hybridMultilevel"/>
    <w:tmpl w:val="1D36FD6C"/>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DCF4229"/>
    <w:multiLevelType w:val="hybridMultilevel"/>
    <w:tmpl w:val="A5588A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E555762"/>
    <w:multiLevelType w:val="hybridMultilevel"/>
    <w:tmpl w:val="6F0459C4"/>
    <w:lvl w:ilvl="0" w:tplc="ADD20210">
      <w:start w:val="9"/>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5C514FC1"/>
    <w:multiLevelType w:val="hybridMultilevel"/>
    <w:tmpl w:val="7DE2CE82"/>
    <w:lvl w:ilvl="0" w:tplc="57D2816C">
      <w:start w:val="11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1607DD6"/>
    <w:multiLevelType w:val="hybridMultilevel"/>
    <w:tmpl w:val="39DAEEBC"/>
    <w:lvl w:ilvl="0" w:tplc="1C30AFE4">
      <w:start w:val="10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43A4867"/>
    <w:multiLevelType w:val="hybridMultilevel"/>
    <w:tmpl w:val="4F40CF48"/>
    <w:lvl w:ilvl="0" w:tplc="2620E1FE">
      <w:start w:val="7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5C507C9"/>
    <w:multiLevelType w:val="hybridMultilevel"/>
    <w:tmpl w:val="1BA4A53C"/>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9ED641A"/>
    <w:multiLevelType w:val="hybridMultilevel"/>
    <w:tmpl w:val="F7808CA6"/>
    <w:lvl w:ilvl="0" w:tplc="41166966">
      <w:start w:val="12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D082BC3"/>
    <w:multiLevelType w:val="hybridMultilevel"/>
    <w:tmpl w:val="8E168E1E"/>
    <w:lvl w:ilvl="0" w:tplc="055E47EC">
      <w:numFmt w:val="decimalZero"/>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D233134"/>
    <w:multiLevelType w:val="hybridMultilevel"/>
    <w:tmpl w:val="BC4ADE26"/>
    <w:lvl w:ilvl="0" w:tplc="3A66E228">
      <w:start w:val="9"/>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nsid w:val="6E0F7E32"/>
    <w:multiLevelType w:val="hybridMultilevel"/>
    <w:tmpl w:val="647A0996"/>
    <w:lvl w:ilvl="0" w:tplc="5D12FB2C">
      <w:start w:val="13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18A0587"/>
    <w:multiLevelType w:val="hybridMultilevel"/>
    <w:tmpl w:val="2F60F1C0"/>
    <w:lvl w:ilvl="0" w:tplc="6B26FCC2">
      <w:start w:val="6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55D50C2"/>
    <w:multiLevelType w:val="hybridMultilevel"/>
    <w:tmpl w:val="D602CB20"/>
    <w:lvl w:ilvl="0" w:tplc="9F783C0A">
      <w:start w:val="10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96A2313"/>
    <w:multiLevelType w:val="hybridMultilevel"/>
    <w:tmpl w:val="17B00D2E"/>
    <w:lvl w:ilvl="0" w:tplc="B914EAC4">
      <w:start w:val="9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25"/>
  </w:num>
  <w:num w:numId="4">
    <w:abstractNumId w:val="23"/>
  </w:num>
  <w:num w:numId="5">
    <w:abstractNumId w:val="24"/>
  </w:num>
  <w:num w:numId="6">
    <w:abstractNumId w:val="3"/>
  </w:num>
  <w:num w:numId="7">
    <w:abstractNumId w:val="1"/>
  </w:num>
  <w:num w:numId="8">
    <w:abstractNumId w:val="20"/>
  </w:num>
  <w:num w:numId="9">
    <w:abstractNumId w:val="10"/>
  </w:num>
  <w:num w:numId="10">
    <w:abstractNumId w:val="0"/>
  </w:num>
  <w:num w:numId="11">
    <w:abstractNumId w:val="13"/>
  </w:num>
  <w:num w:numId="12">
    <w:abstractNumId w:val="9"/>
  </w:num>
  <w:num w:numId="13">
    <w:abstractNumId w:val="16"/>
  </w:num>
  <w:num w:numId="14">
    <w:abstractNumId w:val="6"/>
  </w:num>
  <w:num w:numId="15">
    <w:abstractNumId w:val="15"/>
  </w:num>
  <w:num w:numId="16">
    <w:abstractNumId w:val="19"/>
  </w:num>
  <w:num w:numId="17">
    <w:abstractNumId w:val="7"/>
  </w:num>
  <w:num w:numId="18">
    <w:abstractNumId w:val="22"/>
  </w:num>
  <w:num w:numId="19">
    <w:abstractNumId w:val="5"/>
  </w:num>
  <w:num w:numId="20">
    <w:abstractNumId w:val="4"/>
  </w:num>
  <w:num w:numId="21">
    <w:abstractNumId w:val="18"/>
  </w:num>
  <w:num w:numId="22">
    <w:abstractNumId w:val="12"/>
  </w:num>
  <w:num w:numId="23">
    <w:abstractNumId w:val="21"/>
  </w:num>
  <w:num w:numId="24">
    <w:abstractNumId w:val="2"/>
  </w:num>
  <w:num w:numId="25">
    <w:abstractNumId w:val="1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FA5"/>
    <w:rsid w:val="000044F3"/>
    <w:rsid w:val="00007DAC"/>
    <w:rsid w:val="00010A25"/>
    <w:rsid w:val="00012F7A"/>
    <w:rsid w:val="00022F75"/>
    <w:rsid w:val="00023143"/>
    <w:rsid w:val="0002344A"/>
    <w:rsid w:val="00025CBE"/>
    <w:rsid w:val="000305B5"/>
    <w:rsid w:val="00032ACD"/>
    <w:rsid w:val="00060DFC"/>
    <w:rsid w:val="000710B6"/>
    <w:rsid w:val="00073827"/>
    <w:rsid w:val="00075610"/>
    <w:rsid w:val="00083DD3"/>
    <w:rsid w:val="00084638"/>
    <w:rsid w:val="00086DC8"/>
    <w:rsid w:val="00097307"/>
    <w:rsid w:val="000A1097"/>
    <w:rsid w:val="000A4175"/>
    <w:rsid w:val="000B5E85"/>
    <w:rsid w:val="000C2729"/>
    <w:rsid w:val="000C5166"/>
    <w:rsid w:val="000D0987"/>
    <w:rsid w:val="000D253D"/>
    <w:rsid w:val="000D3402"/>
    <w:rsid w:val="000D4CB9"/>
    <w:rsid w:val="0010252B"/>
    <w:rsid w:val="00131781"/>
    <w:rsid w:val="00135ED4"/>
    <w:rsid w:val="00145293"/>
    <w:rsid w:val="00151418"/>
    <w:rsid w:val="00152596"/>
    <w:rsid w:val="00156206"/>
    <w:rsid w:val="00164329"/>
    <w:rsid w:val="001655DB"/>
    <w:rsid w:val="001667C2"/>
    <w:rsid w:val="001677BA"/>
    <w:rsid w:val="00180B42"/>
    <w:rsid w:val="001866E1"/>
    <w:rsid w:val="001B611F"/>
    <w:rsid w:val="001B72A5"/>
    <w:rsid w:val="001B7638"/>
    <w:rsid w:val="001C0980"/>
    <w:rsid w:val="001D19EE"/>
    <w:rsid w:val="001E2E7E"/>
    <w:rsid w:val="001F47E5"/>
    <w:rsid w:val="00206667"/>
    <w:rsid w:val="00222165"/>
    <w:rsid w:val="00224A78"/>
    <w:rsid w:val="0023651A"/>
    <w:rsid w:val="00241F65"/>
    <w:rsid w:val="002524AF"/>
    <w:rsid w:val="002545FB"/>
    <w:rsid w:val="00263CB0"/>
    <w:rsid w:val="00272033"/>
    <w:rsid w:val="00272B50"/>
    <w:rsid w:val="0027613B"/>
    <w:rsid w:val="002912C8"/>
    <w:rsid w:val="00291D03"/>
    <w:rsid w:val="002C1366"/>
    <w:rsid w:val="002C1E3B"/>
    <w:rsid w:val="002D0D54"/>
    <w:rsid w:val="002D15AE"/>
    <w:rsid w:val="002E009B"/>
    <w:rsid w:val="002E3092"/>
    <w:rsid w:val="002E4A05"/>
    <w:rsid w:val="002E6B61"/>
    <w:rsid w:val="002F03E4"/>
    <w:rsid w:val="002F5152"/>
    <w:rsid w:val="0030013F"/>
    <w:rsid w:val="00311EA6"/>
    <w:rsid w:val="0031374A"/>
    <w:rsid w:val="00335D9A"/>
    <w:rsid w:val="00342DC5"/>
    <w:rsid w:val="003437A0"/>
    <w:rsid w:val="00346635"/>
    <w:rsid w:val="00350688"/>
    <w:rsid w:val="00367204"/>
    <w:rsid w:val="0037179A"/>
    <w:rsid w:val="003754CD"/>
    <w:rsid w:val="00384281"/>
    <w:rsid w:val="00387EF7"/>
    <w:rsid w:val="00397F4F"/>
    <w:rsid w:val="003A6678"/>
    <w:rsid w:val="003C2003"/>
    <w:rsid w:val="003C5D9F"/>
    <w:rsid w:val="003C7FE4"/>
    <w:rsid w:val="003D31A7"/>
    <w:rsid w:val="00406FEE"/>
    <w:rsid w:val="004105AB"/>
    <w:rsid w:val="00411170"/>
    <w:rsid w:val="0042019E"/>
    <w:rsid w:val="00430691"/>
    <w:rsid w:val="004316C8"/>
    <w:rsid w:val="00446105"/>
    <w:rsid w:val="00453EC8"/>
    <w:rsid w:val="00454F47"/>
    <w:rsid w:val="0045753E"/>
    <w:rsid w:val="00467BED"/>
    <w:rsid w:val="0048600E"/>
    <w:rsid w:val="00491A93"/>
    <w:rsid w:val="004A3479"/>
    <w:rsid w:val="004B03C8"/>
    <w:rsid w:val="004B1471"/>
    <w:rsid w:val="004B325D"/>
    <w:rsid w:val="004D2C9E"/>
    <w:rsid w:val="004E50CC"/>
    <w:rsid w:val="004F480A"/>
    <w:rsid w:val="00543D9A"/>
    <w:rsid w:val="00545192"/>
    <w:rsid w:val="00545B9B"/>
    <w:rsid w:val="005542E0"/>
    <w:rsid w:val="00555FDF"/>
    <w:rsid w:val="00563588"/>
    <w:rsid w:val="00563899"/>
    <w:rsid w:val="00566EF8"/>
    <w:rsid w:val="00570339"/>
    <w:rsid w:val="00573CC6"/>
    <w:rsid w:val="00587672"/>
    <w:rsid w:val="0059295A"/>
    <w:rsid w:val="005B044A"/>
    <w:rsid w:val="005C230A"/>
    <w:rsid w:val="005C50B8"/>
    <w:rsid w:val="005C79EA"/>
    <w:rsid w:val="005D3FBB"/>
    <w:rsid w:val="005E19C2"/>
    <w:rsid w:val="005E7B6C"/>
    <w:rsid w:val="005F3675"/>
    <w:rsid w:val="00601ABC"/>
    <w:rsid w:val="00612E13"/>
    <w:rsid w:val="00621A70"/>
    <w:rsid w:val="00621F28"/>
    <w:rsid w:val="00622336"/>
    <w:rsid w:val="00627525"/>
    <w:rsid w:val="00631D0A"/>
    <w:rsid w:val="00632EF9"/>
    <w:rsid w:val="0063379B"/>
    <w:rsid w:val="00651C03"/>
    <w:rsid w:val="0066554E"/>
    <w:rsid w:val="0067141C"/>
    <w:rsid w:val="00671440"/>
    <w:rsid w:val="00671E93"/>
    <w:rsid w:val="00683468"/>
    <w:rsid w:val="00685F94"/>
    <w:rsid w:val="00686452"/>
    <w:rsid w:val="006941D7"/>
    <w:rsid w:val="006B11F3"/>
    <w:rsid w:val="006B5812"/>
    <w:rsid w:val="006C080E"/>
    <w:rsid w:val="006D4B86"/>
    <w:rsid w:val="006D53F2"/>
    <w:rsid w:val="006D5A38"/>
    <w:rsid w:val="006D6F14"/>
    <w:rsid w:val="006E7E95"/>
    <w:rsid w:val="006F4C36"/>
    <w:rsid w:val="006F5B25"/>
    <w:rsid w:val="007104EB"/>
    <w:rsid w:val="00737E72"/>
    <w:rsid w:val="0074087A"/>
    <w:rsid w:val="00760C80"/>
    <w:rsid w:val="00760EA2"/>
    <w:rsid w:val="00762413"/>
    <w:rsid w:val="0077000E"/>
    <w:rsid w:val="00770AAA"/>
    <w:rsid w:val="00774A2D"/>
    <w:rsid w:val="00777CE3"/>
    <w:rsid w:val="00786657"/>
    <w:rsid w:val="007A6DDA"/>
    <w:rsid w:val="007B170C"/>
    <w:rsid w:val="007C3EEA"/>
    <w:rsid w:val="007C5D7A"/>
    <w:rsid w:val="007D1CAD"/>
    <w:rsid w:val="007E0CB7"/>
    <w:rsid w:val="007E11AB"/>
    <w:rsid w:val="007E5287"/>
    <w:rsid w:val="007F0D14"/>
    <w:rsid w:val="007F69FC"/>
    <w:rsid w:val="008242CD"/>
    <w:rsid w:val="00830FA5"/>
    <w:rsid w:val="00843F37"/>
    <w:rsid w:val="00853D00"/>
    <w:rsid w:val="0086025E"/>
    <w:rsid w:val="00861B4A"/>
    <w:rsid w:val="00871094"/>
    <w:rsid w:val="00876FDD"/>
    <w:rsid w:val="00880DB3"/>
    <w:rsid w:val="00887D7A"/>
    <w:rsid w:val="00892B16"/>
    <w:rsid w:val="00897BBA"/>
    <w:rsid w:val="008B5BC9"/>
    <w:rsid w:val="008B7D87"/>
    <w:rsid w:val="008C76AE"/>
    <w:rsid w:val="008F70F7"/>
    <w:rsid w:val="00921936"/>
    <w:rsid w:val="0092283E"/>
    <w:rsid w:val="00933E0E"/>
    <w:rsid w:val="00956F9E"/>
    <w:rsid w:val="00974BC3"/>
    <w:rsid w:val="00984EA0"/>
    <w:rsid w:val="009933D4"/>
    <w:rsid w:val="009A1061"/>
    <w:rsid w:val="009A3490"/>
    <w:rsid w:val="009A4B47"/>
    <w:rsid w:val="009D650B"/>
    <w:rsid w:val="009F33E4"/>
    <w:rsid w:val="009F3C2C"/>
    <w:rsid w:val="00A22DCE"/>
    <w:rsid w:val="00A40A69"/>
    <w:rsid w:val="00A41917"/>
    <w:rsid w:val="00A44B2F"/>
    <w:rsid w:val="00A46C0B"/>
    <w:rsid w:val="00A6321B"/>
    <w:rsid w:val="00AA11A1"/>
    <w:rsid w:val="00AA53FC"/>
    <w:rsid w:val="00AA7879"/>
    <w:rsid w:val="00AC19AF"/>
    <w:rsid w:val="00AC3645"/>
    <w:rsid w:val="00AC3D91"/>
    <w:rsid w:val="00AC451B"/>
    <w:rsid w:val="00AD0150"/>
    <w:rsid w:val="00AD4834"/>
    <w:rsid w:val="00AD54A7"/>
    <w:rsid w:val="00AD6B08"/>
    <w:rsid w:val="00AD729D"/>
    <w:rsid w:val="00AE25B3"/>
    <w:rsid w:val="00AE2699"/>
    <w:rsid w:val="00AE6C81"/>
    <w:rsid w:val="00AE72ED"/>
    <w:rsid w:val="00AF0492"/>
    <w:rsid w:val="00AF2D11"/>
    <w:rsid w:val="00AF31EA"/>
    <w:rsid w:val="00AF4C6F"/>
    <w:rsid w:val="00B0002A"/>
    <w:rsid w:val="00B06D71"/>
    <w:rsid w:val="00B10D4F"/>
    <w:rsid w:val="00B221CB"/>
    <w:rsid w:val="00B269C6"/>
    <w:rsid w:val="00B27425"/>
    <w:rsid w:val="00B40E82"/>
    <w:rsid w:val="00B56CDC"/>
    <w:rsid w:val="00B659BF"/>
    <w:rsid w:val="00B85D51"/>
    <w:rsid w:val="00B91D8C"/>
    <w:rsid w:val="00BA7413"/>
    <w:rsid w:val="00BB6A53"/>
    <w:rsid w:val="00BC6857"/>
    <w:rsid w:val="00BD6D55"/>
    <w:rsid w:val="00BE556C"/>
    <w:rsid w:val="00BF0621"/>
    <w:rsid w:val="00BF51EC"/>
    <w:rsid w:val="00C001EF"/>
    <w:rsid w:val="00C02757"/>
    <w:rsid w:val="00C11D1A"/>
    <w:rsid w:val="00C13E02"/>
    <w:rsid w:val="00C23685"/>
    <w:rsid w:val="00C269C3"/>
    <w:rsid w:val="00C33DEB"/>
    <w:rsid w:val="00C40030"/>
    <w:rsid w:val="00C40E05"/>
    <w:rsid w:val="00C436D6"/>
    <w:rsid w:val="00C44385"/>
    <w:rsid w:val="00C53AFF"/>
    <w:rsid w:val="00C67A17"/>
    <w:rsid w:val="00C72C41"/>
    <w:rsid w:val="00C821C7"/>
    <w:rsid w:val="00C857FD"/>
    <w:rsid w:val="00C93ACF"/>
    <w:rsid w:val="00CC611D"/>
    <w:rsid w:val="00CD47AB"/>
    <w:rsid w:val="00CF0C2A"/>
    <w:rsid w:val="00D00A27"/>
    <w:rsid w:val="00D013E2"/>
    <w:rsid w:val="00D04754"/>
    <w:rsid w:val="00D07864"/>
    <w:rsid w:val="00D104E5"/>
    <w:rsid w:val="00D24F5A"/>
    <w:rsid w:val="00D2547A"/>
    <w:rsid w:val="00D27754"/>
    <w:rsid w:val="00D31379"/>
    <w:rsid w:val="00D32492"/>
    <w:rsid w:val="00D35CED"/>
    <w:rsid w:val="00D36244"/>
    <w:rsid w:val="00D37083"/>
    <w:rsid w:val="00D37749"/>
    <w:rsid w:val="00D43E4F"/>
    <w:rsid w:val="00D468AD"/>
    <w:rsid w:val="00D56798"/>
    <w:rsid w:val="00D6364C"/>
    <w:rsid w:val="00D679B9"/>
    <w:rsid w:val="00D714A6"/>
    <w:rsid w:val="00D736A4"/>
    <w:rsid w:val="00D74C0B"/>
    <w:rsid w:val="00D776AA"/>
    <w:rsid w:val="00D82266"/>
    <w:rsid w:val="00DA6AF4"/>
    <w:rsid w:val="00DA7A37"/>
    <w:rsid w:val="00DB0A86"/>
    <w:rsid w:val="00DB3F9F"/>
    <w:rsid w:val="00DC17DC"/>
    <w:rsid w:val="00DD6469"/>
    <w:rsid w:val="00DD70F0"/>
    <w:rsid w:val="00E02F81"/>
    <w:rsid w:val="00E05337"/>
    <w:rsid w:val="00E35358"/>
    <w:rsid w:val="00E503D1"/>
    <w:rsid w:val="00E51C03"/>
    <w:rsid w:val="00E521A5"/>
    <w:rsid w:val="00E60241"/>
    <w:rsid w:val="00E611FD"/>
    <w:rsid w:val="00E70563"/>
    <w:rsid w:val="00E746AB"/>
    <w:rsid w:val="00E863A6"/>
    <w:rsid w:val="00E947ED"/>
    <w:rsid w:val="00E94EB6"/>
    <w:rsid w:val="00E9757F"/>
    <w:rsid w:val="00EA7EA2"/>
    <w:rsid w:val="00EB7662"/>
    <w:rsid w:val="00EC3ACB"/>
    <w:rsid w:val="00EC475B"/>
    <w:rsid w:val="00ED054A"/>
    <w:rsid w:val="00ED59A4"/>
    <w:rsid w:val="00ED6D2E"/>
    <w:rsid w:val="00EE18DE"/>
    <w:rsid w:val="00EE46CF"/>
    <w:rsid w:val="00EE52D4"/>
    <w:rsid w:val="00EF2644"/>
    <w:rsid w:val="00EF76AE"/>
    <w:rsid w:val="00F02128"/>
    <w:rsid w:val="00F077C7"/>
    <w:rsid w:val="00F1195F"/>
    <w:rsid w:val="00F229B3"/>
    <w:rsid w:val="00F23B90"/>
    <w:rsid w:val="00F26DBC"/>
    <w:rsid w:val="00F369C9"/>
    <w:rsid w:val="00F43DAF"/>
    <w:rsid w:val="00F53128"/>
    <w:rsid w:val="00F53202"/>
    <w:rsid w:val="00F551ED"/>
    <w:rsid w:val="00F77FEB"/>
    <w:rsid w:val="00F83525"/>
    <w:rsid w:val="00F83EB1"/>
    <w:rsid w:val="00F918E2"/>
    <w:rsid w:val="00FA5764"/>
    <w:rsid w:val="00FA6885"/>
    <w:rsid w:val="00FB00E7"/>
    <w:rsid w:val="00FC132B"/>
    <w:rsid w:val="00FD2320"/>
    <w:rsid w:val="00FD4A9A"/>
    <w:rsid w:val="00FE023B"/>
    <w:rsid w:val="00FE192A"/>
    <w:rsid w:val="00FE2239"/>
    <w:rsid w:val="00FE24B5"/>
    <w:rsid w:val="00FF15AA"/>
    <w:rsid w:val="00FF17E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087A"/>
    <w:pPr>
      <w:spacing w:after="160"/>
      <w:jc w:val="both"/>
    </w:pPr>
    <w:rPr>
      <w:sz w:val="22"/>
      <w:szCs w:val="24"/>
    </w:rPr>
  </w:style>
  <w:style w:type="paragraph" w:styleId="Nadpis1">
    <w:name w:val="heading 1"/>
    <w:basedOn w:val="Normln"/>
    <w:next w:val="Normln"/>
    <w:qFormat/>
    <w:rsid w:val="0074087A"/>
    <w:pPr>
      <w:keepNext/>
      <w:spacing w:before="300" w:after="200"/>
      <w:outlineLvl w:val="0"/>
    </w:pPr>
    <w:rPr>
      <w:rFonts w:cs="Arial"/>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74087A"/>
    <w:pPr>
      <w:ind w:firstLine="360"/>
      <w:jc w:val="right"/>
    </w:pPr>
  </w:style>
  <w:style w:type="paragraph" w:styleId="Zkladntextodsazen2">
    <w:name w:val="Body Text Indent 2"/>
    <w:basedOn w:val="Normln"/>
    <w:semiHidden/>
    <w:rsid w:val="0074087A"/>
    <w:pPr>
      <w:ind w:firstLine="360"/>
    </w:pPr>
  </w:style>
  <w:style w:type="paragraph" w:styleId="Zkladntextodsazen3">
    <w:name w:val="Body Text Indent 3"/>
    <w:basedOn w:val="Normln"/>
    <w:semiHidden/>
    <w:rsid w:val="0074087A"/>
    <w:pPr>
      <w:ind w:firstLine="708"/>
    </w:pPr>
  </w:style>
  <w:style w:type="paragraph" w:styleId="Zkladntext">
    <w:name w:val="Body Text"/>
    <w:basedOn w:val="Normln"/>
    <w:semiHidden/>
    <w:rsid w:val="0074087A"/>
    <w:pPr>
      <w:tabs>
        <w:tab w:val="num" w:pos="0"/>
      </w:tabs>
    </w:pPr>
  </w:style>
  <w:style w:type="paragraph" w:styleId="Zhlav">
    <w:name w:val="header"/>
    <w:basedOn w:val="Normln"/>
    <w:semiHidden/>
    <w:rsid w:val="0074087A"/>
    <w:pPr>
      <w:tabs>
        <w:tab w:val="center" w:pos="4536"/>
        <w:tab w:val="right" w:pos="9072"/>
      </w:tabs>
    </w:pPr>
  </w:style>
  <w:style w:type="character" w:styleId="slostrnky">
    <w:name w:val="page number"/>
    <w:basedOn w:val="Standardnpsmoodstavce"/>
    <w:semiHidden/>
    <w:rsid w:val="0074087A"/>
  </w:style>
  <w:style w:type="paragraph" w:styleId="Zpat">
    <w:name w:val="footer"/>
    <w:basedOn w:val="Normln"/>
    <w:semiHidden/>
    <w:rsid w:val="0074087A"/>
    <w:pPr>
      <w:tabs>
        <w:tab w:val="center" w:pos="4536"/>
        <w:tab w:val="right" w:pos="9072"/>
      </w:tabs>
    </w:pPr>
  </w:style>
  <w:style w:type="paragraph" w:styleId="Zkladntext2">
    <w:name w:val="Body Text 2"/>
    <w:basedOn w:val="Normln"/>
    <w:semiHidden/>
    <w:rsid w:val="0074087A"/>
  </w:style>
  <w:style w:type="paragraph" w:styleId="Zkladntext3">
    <w:name w:val="Body Text 3"/>
    <w:basedOn w:val="Normln"/>
    <w:semiHidden/>
    <w:rsid w:val="0074087A"/>
    <w:pPr>
      <w:tabs>
        <w:tab w:val="num" w:pos="0"/>
        <w:tab w:val="left" w:pos="1440"/>
        <w:tab w:val="left" w:pos="2880"/>
      </w:tabs>
    </w:pPr>
    <w:rPr>
      <w:sz w:val="18"/>
    </w:rPr>
  </w:style>
  <w:style w:type="paragraph" w:styleId="Textpoznpodarou">
    <w:name w:val="footnote text"/>
    <w:basedOn w:val="Normln"/>
    <w:semiHidden/>
    <w:rsid w:val="0074087A"/>
    <w:rPr>
      <w:sz w:val="20"/>
      <w:szCs w:val="20"/>
    </w:rPr>
  </w:style>
  <w:style w:type="character" w:styleId="Znakapoznpodarou">
    <w:name w:val="footnote reference"/>
    <w:basedOn w:val="Standardnpsmoodstavce"/>
    <w:semiHidden/>
    <w:rsid w:val="0074087A"/>
    <w:rPr>
      <w:vertAlign w:val="superscript"/>
    </w:rPr>
  </w:style>
  <w:style w:type="paragraph" w:styleId="Textbubliny">
    <w:name w:val="Balloon Text"/>
    <w:basedOn w:val="Normln"/>
    <w:link w:val="TextbublinyChar"/>
    <w:uiPriority w:val="99"/>
    <w:semiHidden/>
    <w:unhideWhenUsed/>
    <w:rsid w:val="000D4CB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4CB9"/>
    <w:rPr>
      <w:rFonts w:ascii="Tahoma" w:hAnsi="Tahoma" w:cs="Tahoma"/>
      <w:sz w:val="16"/>
      <w:szCs w:val="16"/>
    </w:rPr>
  </w:style>
  <w:style w:type="character" w:customStyle="1" w:styleId="hps">
    <w:name w:val="hps"/>
    <w:basedOn w:val="Standardnpsmoodstavce"/>
    <w:rsid w:val="00AE25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76A46-A368-4B3E-A982-55495859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2610</Words>
  <Characters>15399</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1</vt:lpstr>
    </vt:vector>
  </TitlesOfParts>
  <Company>ČSÚ</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System Service</dc:creator>
  <cp:lastModifiedBy>Jan Pokorný</cp:lastModifiedBy>
  <cp:revision>4</cp:revision>
  <cp:lastPrinted>2011-12-07T09:28:00Z</cp:lastPrinted>
  <dcterms:created xsi:type="dcterms:W3CDTF">2017-12-13T11:28:00Z</dcterms:created>
  <dcterms:modified xsi:type="dcterms:W3CDTF">2017-12-13T11:57:00Z</dcterms:modified>
</cp:coreProperties>
</file>